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before="104"/>
        <w:ind w:left="2243" w:right="3221" w:firstLine="0"/>
        <w:jc w:val="center"/>
        <w:rPr>
          <w:rFonts w:ascii="宋体" w:hAnsi="宋体" w:cs="宋体" w:eastAsia="宋体" w:hint="default"/>
          <w:sz w:val="36"/>
          <w:szCs w:val="36"/>
        </w:rPr>
      </w:pPr>
      <w:r>
        <w:rPr/>
        <w:pict>
          <v:group style="position:absolute;margin-left:55.200001pt;margin-top:-84.796555pt;width:485pt;height:.1pt;mso-position-horizontal-relative:page;mso-position-vertical-relative:paragraph;z-index:0" coordorigin="1104,-1696" coordsize="9700,2">
            <v:shape style="position:absolute;left:1104;top:-1696;width:9700;height:2" coordorigin="1104,-1696" coordsize="9700,0" path="m1104,-1696l10804,-1696e" filled="false" stroked="true" strokeweight=".72pt" strokecolor="#000000">
              <v:path arrowok="t"/>
            </v:shape>
            <w10:wrap type="none"/>
          </v:group>
        </w:pict>
      </w:r>
      <w:r>
        <w:rPr>
          <w:rFonts w:ascii="宋体" w:hAnsi="宋体" w:cs="宋体" w:eastAsia="宋体" w:hint="default"/>
          <w:b/>
          <w:bCs/>
          <w:sz w:val="36"/>
          <w:szCs w:val="36"/>
        </w:rPr>
        <w:t>成都卫士通信息产业股份有限公司</w:t>
      </w:r>
      <w:r>
        <w:rPr>
          <w:rFonts w:ascii="宋体" w:hAnsi="宋体" w:cs="宋体" w:eastAsia="宋体" w:hint="default"/>
          <w:sz w:val="36"/>
          <w:szCs w:val="36"/>
        </w:rPr>
      </w:r>
    </w:p>
    <w:p>
      <w:pPr>
        <w:spacing w:line="240" w:lineRule="auto" w:before="10"/>
        <w:rPr>
          <w:rFonts w:ascii="宋体" w:hAnsi="宋体" w:cs="宋体" w:eastAsia="宋体" w:hint="default"/>
          <w:b/>
          <w:bCs/>
          <w:sz w:val="30"/>
          <w:szCs w:val="30"/>
        </w:rPr>
      </w:pPr>
    </w:p>
    <w:p>
      <w:pPr>
        <w:spacing w:before="0"/>
        <w:ind w:left="2242" w:right="3221"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2018</w:t>
      </w:r>
      <w:r>
        <w:rPr>
          <w:rFonts w:ascii="Times New Roman" w:hAnsi="Times New Roman" w:cs="Times New Roman" w:eastAsia="Times New Roman" w:hint="default"/>
          <w:b/>
          <w:bCs/>
          <w:spacing w:val="-4"/>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4"/>
        <w:rPr>
          <w:rFonts w:ascii="宋体" w:hAnsi="宋体" w:cs="宋体" w:eastAsia="宋体" w:hint="default"/>
          <w:b/>
          <w:bCs/>
          <w:sz w:val="48"/>
          <w:szCs w:val="48"/>
        </w:rPr>
      </w:pPr>
    </w:p>
    <w:p>
      <w:pPr>
        <w:spacing w:before="0"/>
        <w:ind w:left="2243" w:right="3219"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2019</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979" w:top="1060" w:bottom="1160" w:left="980" w:right="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5" w:right="1022"/>
        <w:jc w:val="left"/>
        <w:rPr>
          <w:b w:val="0"/>
          <w:bCs w:val="0"/>
        </w:rPr>
      </w:pPr>
      <w:bookmarkStart w:name="第一节 重要提示、目录和释义" w:id="1"/>
      <w:bookmarkEnd w:id="1"/>
      <w:r>
        <w:rPr>
          <w:b w:val="0"/>
          <w:bCs w:val="0"/>
        </w:rPr>
      </w:r>
      <w:r>
        <w:rPr/>
        <w:t>第一节</w:t>
      </w:r>
      <w:r>
        <w:rPr>
          <w:spacing w:val="-11"/>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1"/>
        <w:ind w:left="154" w:right="1141"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公司董事会、监事会及董事、监事、高级管理人员保证年度报告内容的真</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实、准确、完整，不存在虚假记载、误导性陈述或重大遗漏，并承担个别和连</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带的法律责任。</w:t>
      </w:r>
      <w:r>
        <w:rPr>
          <w:rFonts w:ascii="宋体" w:hAnsi="宋体" w:cs="宋体" w:eastAsia="宋体" w:hint="default"/>
          <w:sz w:val="28"/>
          <w:szCs w:val="28"/>
        </w:rPr>
      </w:r>
    </w:p>
    <w:p>
      <w:pPr>
        <w:spacing w:line="410" w:lineRule="auto" w:before="161"/>
        <w:ind w:left="154" w:right="1128"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公司负责人卿昱、主管会计工作负责人刘志惠及会计机构负责人（会计主</w:t>
      </w:r>
      <w:r>
        <w:rPr>
          <w:rFonts w:ascii="宋体" w:hAnsi="宋体" w:cs="宋体" w:eastAsia="宋体" w:hint="default"/>
          <w:b/>
          <w:bCs/>
          <w:spacing w:val="3"/>
          <w:w w:val="99"/>
          <w:sz w:val="28"/>
          <w:szCs w:val="28"/>
        </w:rPr>
        <w:t> </w:t>
      </w:r>
      <w:r>
        <w:rPr>
          <w:rFonts w:ascii="宋体" w:hAnsi="宋体" w:cs="宋体" w:eastAsia="宋体" w:hint="default"/>
          <w:b/>
          <w:bCs/>
          <w:sz w:val="28"/>
          <w:szCs w:val="28"/>
        </w:rPr>
        <w:t>管人员）周天文声明：保证年度报告中财务报告的真实、准确、完整。</w:t>
      </w:r>
      <w:r>
        <w:rPr>
          <w:rFonts w:ascii="宋体" w:hAnsi="宋体" w:cs="宋体" w:eastAsia="宋体" w:hint="default"/>
          <w:sz w:val="28"/>
          <w:szCs w:val="28"/>
        </w:rPr>
      </w:r>
    </w:p>
    <w:p>
      <w:pPr>
        <w:spacing w:line="472" w:lineRule="auto" w:before="158"/>
        <w:ind w:left="716" w:right="1022"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大华会计师事务所（特殊普通合伙）为本公司出具了带强调事项段的无保</w:t>
      </w:r>
      <w:r>
        <w:rPr>
          <w:rFonts w:ascii="宋体" w:hAnsi="宋体" w:cs="宋体" w:eastAsia="宋体" w:hint="default"/>
          <w:spacing w:val="3"/>
          <w:sz w:val="28"/>
          <w:szCs w:val="28"/>
        </w:rPr>
      </w:r>
    </w:p>
    <w:p>
      <w:pPr>
        <w:spacing w:line="410" w:lineRule="auto" w:before="0"/>
        <w:ind w:left="154" w:right="1022" w:firstLine="0"/>
        <w:jc w:val="left"/>
        <w:rPr>
          <w:rFonts w:ascii="宋体" w:hAnsi="宋体" w:cs="宋体" w:eastAsia="宋体" w:hint="default"/>
          <w:sz w:val="28"/>
          <w:szCs w:val="28"/>
        </w:rPr>
      </w:pPr>
      <w:r>
        <w:rPr>
          <w:rFonts w:ascii="宋体" w:hAnsi="宋体" w:cs="宋体" w:eastAsia="宋体" w:hint="default"/>
          <w:b/>
          <w:bCs/>
          <w:spacing w:val="3"/>
          <w:w w:val="95"/>
          <w:sz w:val="28"/>
          <w:szCs w:val="28"/>
        </w:rPr>
        <w:t>留意见审计报告，本公司董事会、监事会对相关事项已有详细说明，请投资者</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注意阅读。</w:t>
      </w:r>
      <w:r>
        <w:rPr>
          <w:rFonts w:ascii="宋体" w:hAnsi="宋体" w:cs="宋体" w:eastAsia="宋体" w:hint="default"/>
          <w:sz w:val="28"/>
          <w:szCs w:val="28"/>
        </w:rPr>
      </w:r>
    </w:p>
    <w:p>
      <w:pPr>
        <w:spacing w:line="408" w:lineRule="auto" w:before="158"/>
        <w:ind w:left="154" w:right="1141"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年度报告中所设定的经营计划和经营目标，为公司的内部管理控制指标，</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不代表公司盈利预测，能否实现取决于宏观经济环境、市场情况、行业发展状</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况与公司管理团队的努力等多种因素，存在很大的不确定性，请投资者注意投</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资风险。</w:t>
      </w:r>
      <w:r>
        <w:rPr>
          <w:rFonts w:ascii="宋体" w:hAnsi="宋体" w:cs="宋体" w:eastAsia="宋体" w:hint="default"/>
          <w:sz w:val="28"/>
          <w:szCs w:val="28"/>
        </w:rPr>
      </w:r>
    </w:p>
    <w:p>
      <w:pPr>
        <w:spacing w:before="160"/>
        <w:ind w:left="716" w:right="1022" w:firstLine="0"/>
        <w:jc w:val="left"/>
        <w:rPr>
          <w:rFonts w:ascii="宋体" w:hAnsi="宋体" w:cs="宋体" w:eastAsia="宋体" w:hint="default"/>
          <w:sz w:val="28"/>
          <w:szCs w:val="28"/>
        </w:rPr>
      </w:pPr>
      <w:r>
        <w:rPr>
          <w:rFonts w:ascii="宋体" w:hAnsi="宋体" w:cs="宋体" w:eastAsia="宋体" w:hint="default"/>
          <w:b/>
          <w:bCs/>
          <w:sz w:val="28"/>
          <w:szCs w:val="28"/>
        </w:rPr>
        <w:t>公司经本次董事会审议通过的利润分配预案为：以</w:t>
      </w:r>
      <w:r>
        <w:rPr>
          <w:rFonts w:ascii="宋体" w:hAnsi="宋体" w:cs="宋体" w:eastAsia="宋体" w:hint="default"/>
          <w:b/>
          <w:bCs/>
          <w:spacing w:val="-80"/>
          <w:sz w:val="28"/>
          <w:szCs w:val="28"/>
        </w:rPr>
        <w:t> </w:t>
      </w:r>
      <w:r>
        <w:rPr>
          <w:rFonts w:ascii="Times New Roman" w:hAnsi="Times New Roman" w:cs="Times New Roman" w:eastAsia="Times New Roman" w:hint="default"/>
          <w:b/>
          <w:bCs/>
          <w:sz w:val="28"/>
          <w:szCs w:val="28"/>
        </w:rPr>
        <w:t>838,336,028</w:t>
      </w:r>
      <w:r>
        <w:rPr>
          <w:rFonts w:ascii="Times New Roman" w:hAnsi="Times New Roman" w:cs="Times New Roman" w:eastAsia="Times New Roman" w:hint="default"/>
          <w:b/>
          <w:bCs/>
          <w:spacing w:val="-14"/>
          <w:sz w:val="28"/>
          <w:szCs w:val="28"/>
        </w:rPr>
        <w:t> </w:t>
      </w:r>
      <w:r>
        <w:rPr>
          <w:rFonts w:ascii="宋体" w:hAnsi="宋体" w:cs="宋体" w:eastAsia="宋体" w:hint="default"/>
          <w:b/>
          <w:bCs/>
          <w:sz w:val="28"/>
          <w:szCs w:val="28"/>
        </w:rPr>
        <w:t>股为基数，</w:t>
      </w:r>
      <w:r>
        <w:rPr>
          <w:rFonts w:ascii="宋体" w:hAnsi="宋体" w:cs="宋体" w:eastAsia="宋体" w:hint="default"/>
          <w:sz w:val="28"/>
          <w:szCs w:val="28"/>
        </w:rPr>
      </w:r>
    </w:p>
    <w:p>
      <w:pPr>
        <w:spacing w:line="386" w:lineRule="auto" w:before="236"/>
        <w:ind w:left="154" w:right="1022" w:firstLine="0"/>
        <w:jc w:val="left"/>
        <w:rPr>
          <w:rFonts w:ascii="宋体" w:hAnsi="宋体" w:cs="宋体" w:eastAsia="宋体" w:hint="default"/>
          <w:sz w:val="28"/>
          <w:szCs w:val="28"/>
        </w:rPr>
      </w:pPr>
      <w:r>
        <w:rPr>
          <w:rFonts w:ascii="宋体" w:hAnsi="宋体" w:cs="宋体" w:eastAsia="宋体" w:hint="default"/>
          <w:b/>
          <w:bCs/>
          <w:w w:val="99"/>
          <w:sz w:val="28"/>
          <w:szCs w:val="28"/>
        </w:rPr>
        <w:t>向全体股东每</w:t>
      </w:r>
      <w:r>
        <w:rPr>
          <w:rFonts w:ascii="宋体" w:hAnsi="宋体" w:cs="宋体" w:eastAsia="宋体" w:hint="default"/>
          <w:b/>
          <w:bCs/>
          <w:spacing w:val="-65"/>
          <w:w w:val="99"/>
          <w:sz w:val="28"/>
          <w:szCs w:val="28"/>
        </w:rPr>
        <w:t> </w:t>
      </w:r>
      <w:r>
        <w:rPr>
          <w:rFonts w:ascii="Times New Roman" w:hAnsi="Times New Roman" w:cs="Times New Roman" w:eastAsia="Times New Roman" w:hint="default"/>
          <w:b/>
          <w:bCs/>
          <w:w w:val="99"/>
          <w:sz w:val="28"/>
          <w:szCs w:val="28"/>
        </w:rPr>
        <w:t>10</w:t>
      </w:r>
      <w:r>
        <w:rPr>
          <w:rFonts w:ascii="Times New Roman" w:hAnsi="Times New Roman" w:cs="Times New Roman" w:eastAsia="Times New Roman" w:hint="default"/>
          <w:b/>
          <w:bCs/>
          <w:spacing w:val="2"/>
          <w:w w:val="99"/>
          <w:sz w:val="28"/>
          <w:szCs w:val="28"/>
        </w:rPr>
        <w:t> </w:t>
      </w:r>
      <w:r>
        <w:rPr>
          <w:rFonts w:ascii="宋体" w:hAnsi="宋体" w:cs="宋体" w:eastAsia="宋体" w:hint="default"/>
          <w:b/>
          <w:bCs/>
          <w:w w:val="99"/>
          <w:sz w:val="28"/>
          <w:szCs w:val="28"/>
        </w:rPr>
        <w:t>股派发现金红利</w:t>
      </w:r>
      <w:r>
        <w:rPr>
          <w:rFonts w:ascii="宋体" w:hAnsi="宋体" w:cs="宋体" w:eastAsia="宋体" w:hint="default"/>
          <w:b/>
          <w:bCs/>
          <w:spacing w:val="-64"/>
          <w:w w:val="99"/>
          <w:sz w:val="28"/>
          <w:szCs w:val="28"/>
        </w:rPr>
        <w:t> </w:t>
      </w:r>
      <w:r>
        <w:rPr>
          <w:rFonts w:ascii="Times New Roman" w:hAnsi="Times New Roman" w:cs="Times New Roman" w:eastAsia="Times New Roman" w:hint="default"/>
          <w:b/>
          <w:bCs/>
          <w:w w:val="99"/>
          <w:sz w:val="28"/>
          <w:szCs w:val="28"/>
        </w:rPr>
        <w:t>0.15</w:t>
      </w:r>
      <w:r>
        <w:rPr>
          <w:rFonts w:ascii="Times New Roman" w:hAnsi="Times New Roman" w:cs="Times New Roman" w:eastAsia="Times New Roman" w:hint="default"/>
          <w:b/>
          <w:bCs/>
          <w:spacing w:val="3"/>
          <w:w w:val="99"/>
          <w:sz w:val="28"/>
          <w:szCs w:val="28"/>
        </w:rPr>
        <w:t> </w:t>
      </w:r>
      <w:r>
        <w:rPr>
          <w:rFonts w:ascii="宋体" w:hAnsi="宋体" w:cs="宋体" w:eastAsia="宋体" w:hint="default"/>
          <w:b/>
          <w:bCs/>
          <w:spacing w:val="-23"/>
          <w:w w:val="99"/>
          <w:sz w:val="28"/>
          <w:szCs w:val="28"/>
        </w:rPr>
        <w:t>元（含税），送红股</w:t>
      </w:r>
      <w:r>
        <w:rPr>
          <w:rFonts w:ascii="宋体" w:hAnsi="宋体" w:cs="宋体" w:eastAsia="宋体" w:hint="default"/>
          <w:b/>
          <w:bCs/>
          <w:spacing w:val="-65"/>
          <w:w w:val="99"/>
          <w:sz w:val="28"/>
          <w:szCs w:val="28"/>
        </w:rPr>
        <w:t> </w:t>
      </w:r>
      <w:r>
        <w:rPr>
          <w:rFonts w:ascii="Times New Roman" w:hAnsi="Times New Roman" w:cs="Times New Roman" w:eastAsia="Times New Roman" w:hint="default"/>
          <w:b/>
          <w:bCs/>
          <w:w w:val="99"/>
          <w:sz w:val="28"/>
          <w:szCs w:val="28"/>
        </w:rPr>
        <w:t>0</w:t>
      </w:r>
      <w:r>
        <w:rPr>
          <w:rFonts w:ascii="Times New Roman" w:hAnsi="Times New Roman" w:cs="Times New Roman" w:eastAsia="Times New Roman" w:hint="default"/>
          <w:b/>
          <w:bCs/>
          <w:spacing w:val="3"/>
          <w:w w:val="99"/>
          <w:sz w:val="28"/>
          <w:szCs w:val="28"/>
        </w:rPr>
        <w:t> </w:t>
      </w:r>
      <w:r>
        <w:rPr>
          <w:rFonts w:ascii="宋体" w:hAnsi="宋体" w:cs="宋体" w:eastAsia="宋体" w:hint="default"/>
          <w:b/>
          <w:bCs/>
          <w:spacing w:val="-23"/>
          <w:w w:val="99"/>
          <w:sz w:val="28"/>
          <w:szCs w:val="28"/>
        </w:rPr>
        <w:t>股（含税），不以公</w:t>
      </w:r>
      <w:r>
        <w:rPr>
          <w:rFonts w:ascii="宋体" w:hAnsi="宋体" w:cs="宋体" w:eastAsia="宋体" w:hint="default"/>
          <w:b/>
          <w:bCs/>
          <w:w w:val="99"/>
          <w:sz w:val="28"/>
          <w:szCs w:val="28"/>
        </w:rPr>
        <w:t> </w:t>
      </w:r>
      <w:r>
        <w:rPr>
          <w:rFonts w:ascii="宋体" w:hAnsi="宋体" w:cs="宋体" w:eastAsia="宋体" w:hint="default"/>
          <w:b/>
          <w:bCs/>
          <w:sz w:val="28"/>
          <w:szCs w:val="28"/>
        </w:rPr>
        <w:t>积金转增股本。</w:t>
      </w:r>
      <w:r>
        <w:rPr>
          <w:rFonts w:ascii="宋体" w:hAnsi="宋体" w:cs="宋体" w:eastAsia="宋体" w:hint="default"/>
          <w:sz w:val="28"/>
          <w:szCs w:val="28"/>
        </w:rPr>
      </w:r>
    </w:p>
    <w:p>
      <w:pPr>
        <w:spacing w:after="0" w:line="386" w:lineRule="auto"/>
        <w:jc w:val="left"/>
        <w:rPr>
          <w:rFonts w:ascii="宋体" w:hAnsi="宋体" w:cs="宋体" w:eastAsia="宋体" w:hint="default"/>
          <w:sz w:val="28"/>
          <w:szCs w:val="28"/>
        </w:rPr>
        <w:sectPr>
          <w:footerReference w:type="default" r:id="rId7"/>
          <w:pgSz w:w="11910" w:h="16840"/>
          <w:pgMar w:footer="979" w:header="747" w:top="1060" w:bottom="1160" w:left="980" w:right="0"/>
          <w:pgNumType w:start="2"/>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5"/>
          <w:szCs w:val="25"/>
        </w:rPr>
      </w:pPr>
    </w:p>
    <w:p>
      <w:pPr>
        <w:spacing w:line="460" w:lineRule="exact" w:before="0"/>
        <w:ind w:left="2243" w:right="3219"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
        <w:rPr>
          <w:rFonts w:ascii="宋体" w:hAnsi="宋体" w:cs="宋体" w:eastAsia="宋体" w:hint="default"/>
          <w:b/>
          <w:bCs/>
          <w:sz w:val="42"/>
          <w:szCs w:val="42"/>
        </w:rPr>
      </w:pPr>
    </w:p>
    <w:sdt>
      <w:sdtPr>
        <w:docPartObj>
          <w:docPartGallery w:val="Table of Contents"/>
          <w:docPartUnique/>
        </w:docPartObj>
      </w:sdtPr>
      <w:sdtEndPr/>
      <w:sdtContent>
        <w:p>
          <w:pPr>
            <w:pStyle w:val="TOC1"/>
            <w:tabs>
              <w:tab w:pos="9782" w:val="right" w:leader="dot"/>
            </w:tabs>
            <w:spacing w:line="240" w:lineRule="auto" w:before="0"/>
            <w:ind w:right="0"/>
            <w:jc w:val="left"/>
            <w:rPr>
              <w:rFonts w:ascii="Times New Roman" w:hAnsi="Times New Roman" w:cs="Times New Roman" w:eastAsia="Times New Roman" w:hint="default"/>
              <w:b w:val="0"/>
              <w:bCs w:val="0"/>
            </w:rPr>
          </w:pPr>
          <w:hyperlink w:history="true" w:anchor="_bookmark0">
            <w:r>
              <w:rPr/>
              <w:t>第一节</w:t>
            </w:r>
            <w:r>
              <w:rPr>
                <w:spacing w:val="-19"/>
              </w:rPr>
              <w:t> </w:t>
            </w:r>
            <w:r>
              <w:rPr/>
              <w:t>重要提示、目录和释义</w:t>
            </w:r>
            <w:r>
              <w:rPr>
                <w:rFonts w:ascii="Times New Roman" w:hAnsi="Times New Roman" w:cs="Times New Roman" w:eastAsia="Times New Roman" w:hint="default"/>
              </w:rPr>
              <w:tab/>
              <w:t>5</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1">
            <w:r>
              <w:rPr/>
              <w:t>第二节</w:t>
            </w:r>
            <w:r>
              <w:rPr>
                <w:spacing w:val="-19"/>
              </w:rPr>
              <w:t> </w:t>
            </w:r>
            <w:r>
              <w:rPr/>
              <w:t>公司简介和主要财务指标</w:t>
            </w:r>
            <w:r>
              <w:rPr>
                <w:rFonts w:ascii="Times New Roman" w:hAnsi="Times New Roman" w:cs="Times New Roman" w:eastAsia="Times New Roman" w:hint="default"/>
              </w:rPr>
              <w:tab/>
              <w:t>9</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2">
            <w:r>
              <w:rPr/>
              <w:t>第三节</w:t>
            </w:r>
            <w:r>
              <w:rPr>
                <w:spacing w:val="-19"/>
              </w:rPr>
              <w:t> </w:t>
            </w:r>
            <w:r>
              <w:rPr/>
              <w:t>公司业务概要</w:t>
            </w:r>
            <w:r>
              <w:rPr>
                <w:rFonts w:ascii="Times New Roman" w:hAnsi="Times New Roman" w:cs="Times New Roman" w:eastAsia="Times New Roman" w:hint="default"/>
              </w:rPr>
              <w:tab/>
              <w:t>13</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第四节</w:t>
            </w:r>
            <w:r>
              <w:rPr>
                <w:spacing w:val="-19"/>
              </w:rPr>
              <w:t> </w:t>
            </w:r>
            <w:r>
              <w:rPr/>
              <w:t>经营情况讨论与分析</w:t>
            </w:r>
            <w:r>
              <w:rPr>
                <w:rFonts w:ascii="Times New Roman" w:hAnsi="Times New Roman" w:cs="Times New Roman" w:eastAsia="Times New Roman" w:hint="default"/>
              </w:rPr>
              <w:tab/>
              <w:t>29</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第五节</w:t>
            </w:r>
            <w:r>
              <w:rPr>
                <w:spacing w:val="-19"/>
              </w:rPr>
              <w:t> </w:t>
            </w:r>
            <w:r>
              <w:rPr/>
              <w:t>重要事项</w:t>
            </w:r>
            <w:r>
              <w:rPr>
                <w:rFonts w:ascii="Times New Roman" w:hAnsi="Times New Roman" w:cs="Times New Roman" w:eastAsia="Times New Roman" w:hint="default"/>
              </w:rPr>
              <w:tab/>
              <w:t>43</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第六节</w:t>
            </w:r>
            <w:r>
              <w:rPr>
                <w:spacing w:val="-19"/>
              </w:rPr>
              <w:t> </w:t>
            </w:r>
            <w:r>
              <w:rPr/>
              <w:t>股份变动及股东情况</w:t>
            </w:r>
            <w:r>
              <w:rPr>
                <w:rFonts w:ascii="Times New Roman" w:hAnsi="Times New Roman" w:cs="Times New Roman" w:eastAsia="Times New Roman" w:hint="default"/>
              </w:rPr>
              <w:tab/>
              <w:t>49</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第七节</w:t>
            </w:r>
            <w:r>
              <w:rPr>
                <w:spacing w:val="-19"/>
              </w:rPr>
              <w:t> </w:t>
            </w:r>
            <w:r>
              <w:rPr/>
              <w:t>优先股相关情况</w:t>
            </w:r>
            <w:r>
              <w:rPr>
                <w:rFonts w:ascii="Times New Roman" w:hAnsi="Times New Roman" w:cs="Times New Roman" w:eastAsia="Times New Roman" w:hint="default"/>
              </w:rPr>
              <w:tab/>
              <w:t>49</w:t>
            </w:r>
            <w:r>
              <w:rPr>
                <w:rFonts w:ascii="Times New Roman" w:hAnsi="Times New Roman" w:cs="Times New Roman" w:eastAsia="Times New Roman" w:hint="default"/>
                <w:b w:val="0"/>
                <w:bCs w:val="0"/>
              </w:rPr>
            </w:r>
          </w:hyperlink>
        </w:p>
        <w:p>
          <w:pPr>
            <w:pStyle w:val="TOC1"/>
            <w:tabs>
              <w:tab w:pos="9782" w:val="right" w:leader="dot"/>
            </w:tabs>
            <w:spacing w:line="240" w:lineRule="auto" w:before="160"/>
            <w:ind w:right="0"/>
            <w:jc w:val="left"/>
            <w:rPr>
              <w:rFonts w:ascii="Times New Roman" w:hAnsi="Times New Roman" w:cs="Times New Roman" w:eastAsia="Times New Roman" w:hint="default"/>
              <w:b w:val="0"/>
              <w:bCs w:val="0"/>
            </w:rPr>
          </w:pPr>
          <w:hyperlink w:history="true" w:anchor="_bookmark6">
            <w:r>
              <w:rPr/>
              <w:t>第八节</w:t>
            </w:r>
            <w:r>
              <w:rPr>
                <w:spacing w:val="-19"/>
              </w:rPr>
              <w:t> </w:t>
            </w:r>
            <w:r>
              <w:rPr/>
              <w:t>董事、监事、高级管理人员和员工情况</w:t>
            </w:r>
            <w:r>
              <w:rPr>
                <w:rFonts w:ascii="Times New Roman" w:hAnsi="Times New Roman" w:cs="Times New Roman" w:eastAsia="Times New Roman" w:hint="default"/>
              </w:rPr>
              <w:tab/>
              <w:t>50</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7">
            <w:r>
              <w:rPr/>
              <w:t>第九节</w:t>
            </w:r>
            <w:r>
              <w:rPr>
                <w:spacing w:val="-19"/>
              </w:rPr>
              <w:t> </w:t>
            </w:r>
            <w:r>
              <w:rPr/>
              <w:t>公司治理</w:t>
            </w:r>
            <w:r>
              <w:rPr>
                <w:rFonts w:ascii="Times New Roman" w:hAnsi="Times New Roman" w:cs="Times New Roman" w:eastAsia="Times New Roman" w:hint="default"/>
              </w:rPr>
              <w:tab/>
              <w:t>60</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8">
            <w:r>
              <w:rPr/>
              <w:t>第十节</w:t>
            </w:r>
            <w:r>
              <w:rPr>
                <w:spacing w:val="-19"/>
              </w:rPr>
              <w:t> </w:t>
            </w:r>
            <w:r>
              <w:rPr/>
              <w:t>公司债券相关情况</w:t>
            </w:r>
            <w:r>
              <w:rPr>
                <w:rFonts w:ascii="Times New Roman" w:hAnsi="Times New Roman" w:cs="Times New Roman" w:eastAsia="Times New Roman" w:hint="default"/>
              </w:rPr>
              <w:tab/>
              <w:t>65</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9">
            <w:r>
              <w:rPr/>
              <w:t>第十一节</w:t>
            </w:r>
            <w:r>
              <w:rPr>
                <w:spacing w:val="-19"/>
              </w:rPr>
              <w:t> </w:t>
            </w:r>
            <w:r>
              <w:rPr/>
              <w:t>财务报告</w:t>
            </w:r>
            <w:r>
              <w:rPr>
                <w:rFonts w:ascii="Times New Roman" w:hAnsi="Times New Roman" w:cs="Times New Roman" w:eastAsia="Times New Roman" w:hint="default"/>
              </w:rPr>
              <w:tab/>
              <w:t>66</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10">
            <w:r>
              <w:rPr/>
              <w:t>第十二节</w:t>
            </w:r>
            <w:r>
              <w:rPr>
                <w:spacing w:val="-20"/>
              </w:rPr>
              <w:t> </w:t>
            </w:r>
            <w:r>
              <w:rPr/>
              <w:t>备查文件目录</w:t>
            </w:r>
            <w:r>
              <w:rPr>
                <w:rFonts w:ascii="Times New Roman" w:hAnsi="Times New Roman" w:cs="Times New Roman" w:eastAsia="Times New Roman" w:hint="default"/>
              </w:rPr>
              <w:tab/>
              <w:t>162</w:t>
            </w:r>
            <w:r>
              <w:rPr>
                <w:rFonts w:ascii="Times New Roman" w:hAnsi="Times New Roman" w:cs="Times New Roman" w:eastAsia="Times New Roman" w:hint="default"/>
                <w:b w:val="0"/>
                <w:bCs w:val="0"/>
              </w:rPr>
            </w:r>
          </w:hyperlink>
        </w:p>
      </w:sdtContent>
    </w:sdt>
    <w:p>
      <w:pPr>
        <w:spacing w:after="0" w:line="240" w:lineRule="auto"/>
        <w:jc w:val="left"/>
        <w:rPr>
          <w:rFonts w:ascii="Times New Roman" w:hAnsi="Times New Roman" w:cs="Times New Roman" w:eastAsia="Times New Roman" w:hint="default"/>
        </w:rPr>
        <w:sectPr>
          <w:pgSz w:w="11910" w:h="16840"/>
          <w:pgMar w:header="747" w:footer="979" w:top="1060" w:bottom="1160" w:left="980" w:right="0"/>
        </w:sectPr>
      </w:pPr>
    </w:p>
    <w:p>
      <w:pPr>
        <w:spacing w:before="946"/>
        <w:ind w:left="2243" w:right="3219"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36"/>
        <w:gridCol w:w="598"/>
        <w:gridCol w:w="5436"/>
      </w:tblGrid>
      <w:tr>
        <w:trPr>
          <w:trHeight w:val="402"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公司、本公司</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成都卫士通信息产业股份有限公司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控股股东、中国网安</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中国电子科技网络信息安全有限公司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三十所</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西南通信研究所（中国电子科技集团公司第三十研究所）</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中电科财务公司</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中国电子科技财务有限公司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实际控制人、中国电科</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中国电子科技集团有限公司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审计机构</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大华会计师事务所（特殊普通合伙）</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证监会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股东大会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成都卫士通信息产业股份有限公司股东大会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成都卫士通信息产业股份有限公司董事会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成都卫士通信息产业股份有限公司监事会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r>
        <w:rPr/>
        <w:pict>
          <v:group style="position:absolute;margin-left:172.339996pt;margin-top:272.779968pt;width:361.5pt;height:19.6pt;mso-position-horizontal-relative:page;mso-position-vertical-relative:page;z-index:-1003648" coordorigin="3447,5456" coordsize="7230,392">
            <v:shape style="position:absolute;left:3447;top:5456;width:7230;height:392" coordorigin="3447,5456" coordsize="7230,392" path="m3447,5847l10676,5847,10676,5456,3447,5456,3447,5847xe" filled="true" fillcolor="#ffffff" stroked="false">
              <v:path arrowok="t"/>
              <v:fill type="solid"/>
            </v:shape>
            <w10:wrap type="none"/>
          </v:group>
        </w:pict>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left="2644" w:right="1022"/>
        <w:jc w:val="left"/>
        <w:rPr>
          <w:b w:val="0"/>
          <w:bCs w:val="0"/>
        </w:rPr>
      </w:pPr>
      <w:bookmarkStart w:name="第二节 公司简介和主要财务指标" w:id="2"/>
      <w:bookmarkEnd w:id="2"/>
      <w:r>
        <w:rPr>
          <w:b w:val="0"/>
          <w:bCs w:val="0"/>
        </w:rPr>
      </w:r>
      <w:bookmarkStart w:name="_bookmark0" w:id="3"/>
      <w:bookmarkEnd w:id="3"/>
      <w:r>
        <w:rPr>
          <w:b w:val="0"/>
          <w:bCs w:val="0"/>
        </w:rPr>
      </w:r>
      <w:r>
        <w:rPr/>
        <w:t>第二节</w:t>
      </w:r>
      <w:r>
        <w:rPr>
          <w:spacing w:val="-11"/>
        </w:rPr>
        <w:t> </w:t>
      </w:r>
      <w:r>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1022"/>
        <w:jc w:val="left"/>
        <w:rPr>
          <w:b w:val="0"/>
          <w:bCs w:val="0"/>
        </w:rPr>
      </w:pPr>
      <w:bookmarkStart w:name="一、公司信息" w:id="4"/>
      <w:bookmarkEnd w:id="4"/>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3"/>
        <w:gridCol w:w="2976"/>
        <w:gridCol w:w="2133"/>
        <w:gridCol w:w="2188"/>
      </w:tblGrid>
      <w:tr>
        <w:trPr>
          <w:trHeight w:val="403"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76" w:type="dxa"/>
            <w:tcBorders>
              <w:top w:val="single" w:sz="4" w:space="0" w:color="000000"/>
              <w:left w:val="single" w:sz="9" w:space="0" w:color="D2D2D2"/>
              <w:bottom w:val="single" w:sz="4" w:space="0" w:color="000000"/>
              <w:right w:val="single" w:sz="9" w:space="0" w:color="D2D2D2"/>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卫士通</w:t>
            </w:r>
          </w:p>
        </w:tc>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002268</w:t>
            </w:r>
          </w:p>
        </w:tc>
      </w:tr>
      <w:tr>
        <w:trPr>
          <w:trHeight w:val="401"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9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5"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成都卫士通信息产业股份有限公司</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卫士通</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pacing w:val="-3"/>
                <w:sz w:val="18"/>
              </w:rPr>
              <w:t>Westone </w:t>
            </w:r>
            <w:r>
              <w:rPr>
                <w:rFonts w:ascii="Times New Roman"/>
                <w:sz w:val="18"/>
              </w:rPr>
              <w:t>Information Industry</w:t>
            </w:r>
            <w:r>
              <w:rPr>
                <w:rFonts w:ascii="Times New Roman"/>
                <w:spacing w:val="4"/>
                <w:sz w:val="18"/>
              </w:rPr>
              <w:t> </w:t>
            </w:r>
            <w:r>
              <w:rPr>
                <w:rFonts w:ascii="Times New Roman"/>
                <w:sz w:val="18"/>
              </w:rPr>
              <w:t>Inc.</w:t>
            </w:r>
          </w:p>
        </w:tc>
      </w:tr>
      <w:tr>
        <w:trPr>
          <w:trHeight w:val="402" w:hRule="exact"/>
        </w:trPr>
        <w:tc>
          <w:tcPr>
            <w:tcW w:w="2273"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2"/>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7"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92"/>
              <w:ind w:left="12" w:right="0"/>
              <w:jc w:val="left"/>
              <w:rPr>
                <w:rFonts w:ascii="Times New Roman" w:hAnsi="Times New Roman" w:cs="Times New Roman" w:eastAsia="Times New Roman" w:hint="default"/>
                <w:sz w:val="18"/>
                <w:szCs w:val="18"/>
              </w:rPr>
            </w:pPr>
            <w:r>
              <w:rPr>
                <w:rFonts w:ascii="Times New Roman"/>
                <w:spacing w:val="-3"/>
                <w:sz w:val="18"/>
              </w:rPr>
              <w:t>Westone</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卿昱</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成都市高新区云华路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333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610095</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成都市高新区云华路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333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610095</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8">
              <w:r>
                <w:rPr>
                  <w:rFonts w:ascii="Times New Roman"/>
                  <w:sz w:val="18"/>
                </w:rPr>
                <w:t>http://www.westone.com.cn</w:t>
              </w:r>
            </w:hyperlink>
          </w:p>
        </w:tc>
      </w:tr>
      <w:tr>
        <w:trPr>
          <w:trHeight w:val="404"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9">
              <w:r>
                <w:rPr>
                  <w:rFonts w:ascii="Times New Roman"/>
                  <w:sz w:val="18"/>
                </w:rPr>
                <w:t>westone_dm@163.com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1022"/>
        <w:jc w:val="left"/>
        <w:rPr>
          <w:b w:val="0"/>
          <w:bCs w:val="0"/>
        </w:rPr>
      </w:pPr>
      <w:bookmarkStart w:name="二、联系人和联系方式" w:id="5"/>
      <w:bookmarkEnd w:id="5"/>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胡凯春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舒梅</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成都市高新区云华路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333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成都市高新区云华路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333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028-62386166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028-62386169</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028-62386030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028-62386030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9">
              <w:r>
                <w:rPr>
                  <w:rFonts w:ascii="Times New Roman"/>
                  <w:sz w:val="18"/>
                </w:rPr>
                <w:t>westone_dm@163.com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0">
              <w:r>
                <w:rPr>
                  <w:rFonts w:ascii="Times New Roman"/>
                  <w:sz w:val="18"/>
                </w:rPr>
                <w:t>westone_zd@163.com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1022"/>
        <w:jc w:val="left"/>
        <w:rPr>
          <w:b w:val="0"/>
          <w:bCs w:val="0"/>
        </w:rPr>
      </w:pPr>
      <w:bookmarkStart w:name="三、信息披露及备置地点" w:id="6"/>
      <w:bookmarkEnd w:id="6"/>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3"/>
        <w:gridCol w:w="5576"/>
      </w:tblGrid>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证券时报、中国证券报</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公司证券部</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b/>
          <w:bCs/>
          <w:sz w:val="23"/>
          <w:szCs w:val="23"/>
        </w:rPr>
      </w:pPr>
    </w:p>
    <w:p>
      <w:pPr>
        <w:pStyle w:val="Heading2"/>
        <w:spacing w:line="240" w:lineRule="auto" w:before="26"/>
        <w:ind w:right="1022"/>
        <w:jc w:val="left"/>
        <w:rPr>
          <w:b w:val="0"/>
          <w:bCs w:val="0"/>
        </w:rPr>
      </w:pPr>
      <w:bookmarkStart w:name="四、注册变更情况" w:id="7"/>
      <w:bookmarkEnd w:id="7"/>
      <w:r>
        <w:rPr>
          <w:b w:val="0"/>
          <w:bCs w:val="0"/>
        </w:rPr>
      </w:r>
      <w:r>
        <w:rPr/>
        <w:t>四、注册变更情况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44"/>
        <w:gridCol w:w="6025"/>
      </w:tblGrid>
      <w:tr>
        <w:trPr>
          <w:trHeight w:val="402" w:hRule="exact"/>
        </w:trPr>
        <w:tc>
          <w:tcPr>
            <w:tcW w:w="3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6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统一社会信用代码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9151010070927392XM</w:t>
            </w: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公司上市以来主营业务的变化情况（如有）</w:t>
            </w:r>
          </w:p>
        </w:tc>
        <w:tc>
          <w:tcPr>
            <w:tcW w:w="6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无变更。</w:t>
            </w:r>
          </w:p>
        </w:tc>
      </w:tr>
      <w:tr>
        <w:trPr>
          <w:trHeight w:val="1026" w:hRule="exact"/>
        </w:trPr>
        <w:tc>
          <w:tcPr>
            <w:tcW w:w="3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02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3" w:right="21"/>
              <w:jc w:val="both"/>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年公司控股股东由西南通信研究所（中国电子科技集团公司第三十研究 所）变更为中国电子科技网络信息安全有限公司，实际控制人未发生变更， 仍为中国电子科技集团有限公司。</w:t>
            </w:r>
          </w:p>
        </w:tc>
      </w:tr>
    </w:tbl>
    <w:p>
      <w:pPr>
        <w:spacing w:line="240" w:lineRule="auto" w:before="2"/>
        <w:rPr>
          <w:rFonts w:ascii="宋体" w:hAnsi="宋体" w:cs="宋体" w:eastAsia="宋体" w:hint="default"/>
          <w:b/>
          <w:bCs/>
          <w:sz w:val="18"/>
          <w:szCs w:val="18"/>
        </w:rPr>
      </w:pPr>
    </w:p>
    <w:p>
      <w:pPr>
        <w:pStyle w:val="Heading2"/>
        <w:spacing w:line="240" w:lineRule="auto" w:before="26"/>
        <w:ind w:right="1022"/>
        <w:jc w:val="left"/>
        <w:rPr>
          <w:b w:val="0"/>
          <w:bCs w:val="0"/>
        </w:rPr>
      </w:pPr>
      <w:bookmarkStart w:name="五、其他有关资料" w:id="8"/>
      <w:bookmarkEnd w:id="8"/>
      <w:r>
        <w:rPr>
          <w:b w:val="0"/>
          <w:bCs w:val="0"/>
        </w:rPr>
      </w:r>
      <w:r>
        <w:rPr/>
        <w:t>五、其他有关资料</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022"/>
        <w:jc w:val="left"/>
      </w:pPr>
      <w:r>
        <w:rPr/>
        <w:t>公司聘请的会计师事务所</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大华会计师事务所（特殊普通合伙）</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北京市海淀区西四环中路</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号院</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号楼</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1101</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钟平修 曹云华</w:t>
            </w:r>
          </w:p>
        </w:tc>
      </w:tr>
    </w:tbl>
    <w:p>
      <w:pPr>
        <w:pStyle w:val="BodyText"/>
        <w:spacing w:line="240" w:lineRule="auto" w:before="51"/>
        <w:ind w:right="1022"/>
        <w:jc w:val="left"/>
      </w:pPr>
      <w:r>
        <w:rPr/>
        <w:t>公司聘请的报告期内履行持续督导职责的保荐机构</w:t>
      </w:r>
    </w:p>
    <w:p>
      <w:pPr>
        <w:pStyle w:val="BodyText"/>
        <w:spacing w:line="240" w:lineRule="auto" w:before="117"/>
        <w:ind w:right="10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1"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0"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华泰联合证券有限责任公司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北京市西城区丰盛胡同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丰铭国际大厦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李金虎、贾鹏</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07"/>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日到督导事项 完毕</w:t>
            </w:r>
          </w:p>
        </w:tc>
      </w:tr>
    </w:tbl>
    <w:p>
      <w:pPr>
        <w:pStyle w:val="BodyText"/>
        <w:spacing w:line="240" w:lineRule="auto" w:before="51"/>
        <w:ind w:right="1022"/>
        <w:jc w:val="left"/>
      </w:pPr>
      <w:r>
        <w:rPr/>
        <w:t>公司聘请的报告期内履行持续督导职责的财务顾问</w:t>
      </w:r>
    </w:p>
    <w:p>
      <w:pPr>
        <w:pStyle w:val="BodyText"/>
        <w:spacing w:line="240" w:lineRule="auto" w:before="117"/>
        <w:ind w:right="10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1022"/>
        <w:jc w:val="left"/>
        <w:rPr>
          <w:b w:val="0"/>
          <w:bCs w:val="0"/>
        </w:rPr>
      </w:pPr>
      <w:bookmarkStart w:name="六、主要会计数据和财务指标" w:id="9"/>
      <w:bookmarkEnd w:id="9"/>
      <w:r>
        <w:rPr>
          <w:b w:val="0"/>
          <w:bCs w:val="0"/>
        </w:rPr>
      </w:r>
      <w:r>
        <w:rPr/>
        <w:t>六、主要会计数据和财务指标</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22"/>
        <w:jc w:val="left"/>
      </w:pPr>
      <w:r>
        <w:rPr/>
        <w:t>公司是否需追溯调整或重述以前年度会计数据</w:t>
      </w:r>
    </w:p>
    <w:p>
      <w:pPr>
        <w:pStyle w:val="BodyText"/>
        <w:spacing w:line="348" w:lineRule="auto" w:before="117"/>
        <w:ind w:right="913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追溯调整或重述原因 其他原因</w:t>
      </w:r>
    </w:p>
    <w:p>
      <w:pPr>
        <w:spacing w:line="240" w:lineRule="auto" w:before="0"/>
        <w:rPr>
          <w:rFonts w:ascii="宋体" w:hAnsi="宋体" w:cs="宋体" w:eastAsia="宋体" w:hint="default"/>
          <w:sz w:val="2"/>
          <w:szCs w:val="2"/>
        </w:rPr>
      </w:pPr>
    </w:p>
    <w:tbl>
      <w:tblPr>
        <w:tblW w:w="0" w:type="auto"/>
        <w:jc w:val="left"/>
        <w:tblInd w:w="160" w:type="dxa"/>
        <w:tblLayout w:type="fixed"/>
        <w:tblCellMar>
          <w:top w:w="0" w:type="dxa"/>
          <w:left w:w="0" w:type="dxa"/>
          <w:bottom w:w="0" w:type="dxa"/>
          <w:right w:w="0" w:type="dxa"/>
        </w:tblCellMar>
        <w:tblLook w:val="01E0"/>
      </w:tblPr>
      <w:tblGrid>
        <w:gridCol w:w="2349"/>
        <w:gridCol w:w="1200"/>
        <w:gridCol w:w="1202"/>
        <w:gridCol w:w="1200"/>
        <w:gridCol w:w="1202"/>
        <w:gridCol w:w="1202"/>
        <w:gridCol w:w="1202"/>
      </w:tblGrid>
      <w:tr>
        <w:trPr>
          <w:trHeight w:val="161" w:hRule="exact"/>
        </w:trPr>
        <w:tc>
          <w:tcPr>
            <w:tcW w:w="2349" w:type="dxa"/>
            <w:vMerge w:val="restart"/>
            <w:tcBorders>
              <w:top w:val="single" w:sz="4" w:space="0" w:color="000000"/>
              <w:left w:val="single" w:sz="4" w:space="0" w:color="000000"/>
              <w:right w:val="single" w:sz="4" w:space="0" w:color="000000"/>
            </w:tcBorders>
            <w:shd w:val="clear" w:color="auto" w:fill="D2D2D2"/>
          </w:tcPr>
          <w:p>
            <w:pPr/>
          </w:p>
        </w:tc>
        <w:tc>
          <w:tcPr>
            <w:tcW w:w="1200" w:type="dxa"/>
            <w:vMerge w:val="restart"/>
            <w:tcBorders>
              <w:top w:val="single" w:sz="4" w:space="0" w:color="000000"/>
              <w:left w:val="single" w:sz="4" w:space="0" w:color="000000"/>
              <w:right w:val="single" w:sz="4" w:space="0" w:color="000000"/>
            </w:tcBorders>
            <w:shd w:val="clear" w:color="auto" w:fill="D2D2D2"/>
          </w:tcPr>
          <w:p>
            <w:pPr/>
          </w:p>
        </w:tc>
        <w:tc>
          <w:tcPr>
            <w:tcW w:w="2402"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20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506" w:right="53" w:hanging="450"/>
              <w:jc w:val="left"/>
              <w:rPr>
                <w:rFonts w:ascii="宋体" w:hAnsi="宋体" w:cs="宋体" w:eastAsia="宋体" w:hint="default"/>
                <w:sz w:val="18"/>
                <w:szCs w:val="18"/>
              </w:rPr>
            </w:pPr>
            <w:r>
              <w:rPr>
                <w:rFonts w:ascii="宋体" w:hAnsi="宋体" w:cs="宋体" w:eastAsia="宋体" w:hint="default"/>
                <w:sz w:val="18"/>
                <w:szCs w:val="18"/>
              </w:rPr>
              <w:t>本年比上年增 减</w:t>
            </w:r>
          </w:p>
        </w:tc>
        <w:tc>
          <w:tcPr>
            <w:tcW w:w="2405" w:type="dxa"/>
            <w:gridSpan w:val="2"/>
            <w:tcBorders>
              <w:top w:val="single" w:sz="4" w:space="0" w:color="000000"/>
              <w:left w:val="single" w:sz="4" w:space="0" w:color="000000"/>
              <w:bottom w:val="nil" w:sz="6" w:space="0" w:color="auto"/>
              <w:right w:val="single" w:sz="4" w:space="0" w:color="000000"/>
            </w:tcBorders>
            <w:shd w:val="clear" w:color="auto" w:fill="D2D2D2"/>
          </w:tcPr>
          <w:p>
            <w:pPr/>
          </w:p>
        </w:tc>
      </w:tr>
      <w:tr>
        <w:trPr>
          <w:trHeight w:val="200" w:hRule="exact"/>
        </w:trPr>
        <w:tc>
          <w:tcPr>
            <w:tcW w:w="2349" w:type="dxa"/>
            <w:vMerge/>
            <w:tcBorders>
              <w:left w:val="single" w:sz="4" w:space="0" w:color="000000"/>
              <w:bottom w:val="nil" w:sz="6" w:space="0" w:color="auto"/>
              <w:right w:val="single" w:sz="4" w:space="0" w:color="000000"/>
            </w:tcBorders>
            <w:shd w:val="clear" w:color="auto" w:fill="D2D2D2"/>
          </w:tcPr>
          <w:p>
            <w:pPr/>
          </w:p>
        </w:tc>
        <w:tc>
          <w:tcPr>
            <w:tcW w:w="1200" w:type="dxa"/>
            <w:vMerge/>
            <w:tcBorders>
              <w:left w:val="single" w:sz="4" w:space="0" w:color="000000"/>
              <w:bottom w:val="nil" w:sz="6" w:space="0" w:color="auto"/>
              <w:right w:val="single" w:sz="4" w:space="0" w:color="000000"/>
            </w:tcBorders>
            <w:shd w:val="clear" w:color="auto" w:fill="D2D2D2"/>
          </w:tcPr>
          <w:p>
            <w:pPr/>
          </w:p>
        </w:tc>
        <w:tc>
          <w:tcPr>
            <w:tcW w:w="240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02" w:type="dxa"/>
            <w:vMerge/>
            <w:tcBorders>
              <w:left w:val="single" w:sz="4" w:space="0" w:color="000000"/>
              <w:right w:val="single" w:sz="4" w:space="0" w:color="000000"/>
            </w:tcBorders>
            <w:shd w:val="clear" w:color="auto" w:fill="D2D2D2"/>
          </w:tcPr>
          <w:p>
            <w:pPr/>
          </w:p>
        </w:tc>
        <w:tc>
          <w:tcPr>
            <w:tcW w:w="2405"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192" w:hRule="exact"/>
        </w:trPr>
        <w:tc>
          <w:tcPr>
            <w:tcW w:w="2349" w:type="dxa"/>
            <w:vMerge w:val="restart"/>
            <w:tcBorders>
              <w:top w:val="nil" w:sz="6" w:space="0" w:color="auto"/>
              <w:left w:val="single" w:sz="4" w:space="0" w:color="000000"/>
              <w:right w:val="single" w:sz="4" w:space="0" w:color="000000"/>
            </w:tcBorders>
            <w:shd w:val="clear" w:color="auto" w:fill="D2D2D2"/>
          </w:tcPr>
          <w:p>
            <w:pPr/>
          </w:p>
        </w:tc>
        <w:tc>
          <w:tcPr>
            <w:tcW w:w="12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02" w:type="dxa"/>
            <w:gridSpan w:val="2"/>
            <w:vMerge/>
            <w:tcBorders>
              <w:left w:val="single" w:sz="4" w:space="0" w:color="000000"/>
              <w:bottom w:val="nil" w:sz="6" w:space="0" w:color="auto"/>
              <w:right w:val="single" w:sz="4" w:space="0" w:color="000000"/>
            </w:tcBorders>
            <w:shd w:val="clear" w:color="auto" w:fill="D2D2D2"/>
          </w:tcPr>
          <w:p>
            <w:pPr/>
          </w:p>
        </w:tc>
        <w:tc>
          <w:tcPr>
            <w:tcW w:w="1202" w:type="dxa"/>
            <w:vMerge/>
            <w:tcBorders>
              <w:left w:val="single" w:sz="4" w:space="0" w:color="000000"/>
              <w:right w:val="single" w:sz="4" w:space="0" w:color="000000"/>
            </w:tcBorders>
            <w:shd w:val="clear" w:color="auto" w:fill="D2D2D2"/>
          </w:tcPr>
          <w:p>
            <w:pPr/>
          </w:p>
        </w:tc>
        <w:tc>
          <w:tcPr>
            <w:tcW w:w="2405" w:type="dxa"/>
            <w:gridSpan w:val="2"/>
            <w:vMerge/>
            <w:tcBorders>
              <w:left w:val="single" w:sz="4" w:space="0" w:color="000000"/>
              <w:bottom w:val="nil" w:sz="6" w:space="0" w:color="auto"/>
              <w:right w:val="single" w:sz="4" w:space="0" w:color="000000"/>
            </w:tcBorders>
            <w:shd w:val="clear" w:color="auto" w:fill="D2D2D2"/>
          </w:tcPr>
          <w:p>
            <w:pPr/>
          </w:p>
        </w:tc>
      </w:tr>
      <w:tr>
        <w:trPr>
          <w:trHeight w:val="156" w:hRule="exact"/>
        </w:trPr>
        <w:tc>
          <w:tcPr>
            <w:tcW w:w="2349" w:type="dxa"/>
            <w:vMerge/>
            <w:tcBorders>
              <w:left w:val="single" w:sz="4" w:space="0" w:color="000000"/>
              <w:bottom w:val="nil" w:sz="6" w:space="0" w:color="auto"/>
              <w:right w:val="single" w:sz="4" w:space="0" w:color="000000"/>
            </w:tcBorders>
            <w:shd w:val="clear" w:color="auto" w:fill="D2D2D2"/>
          </w:tcPr>
          <w:p>
            <w:pPr/>
          </w:p>
        </w:tc>
        <w:tc>
          <w:tcPr>
            <w:tcW w:w="1200" w:type="dxa"/>
            <w:vMerge/>
            <w:tcBorders>
              <w:left w:val="single" w:sz="4" w:space="0" w:color="000000"/>
              <w:bottom w:val="nil" w:sz="6" w:space="0" w:color="auto"/>
              <w:right w:val="single" w:sz="4" w:space="0" w:color="000000"/>
            </w:tcBorders>
            <w:shd w:val="clear" w:color="auto" w:fill="D2D2D2"/>
          </w:tcPr>
          <w:p>
            <w:pPr/>
          </w:p>
        </w:tc>
        <w:tc>
          <w:tcPr>
            <w:tcW w:w="2402"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202" w:type="dxa"/>
            <w:vMerge/>
            <w:tcBorders>
              <w:left w:val="single" w:sz="4" w:space="0" w:color="000000"/>
              <w:bottom w:val="single" w:sz="4" w:space="0" w:color="000000"/>
              <w:right w:val="single" w:sz="4" w:space="0" w:color="000000"/>
            </w:tcBorders>
            <w:shd w:val="clear" w:color="auto" w:fill="D2D2D2"/>
          </w:tcPr>
          <w:p>
            <w:pPr/>
          </w:p>
        </w:tc>
        <w:tc>
          <w:tcPr>
            <w:tcW w:w="2405" w:type="dxa"/>
            <w:gridSpan w:val="2"/>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7" w:hRule="exact"/>
        </w:trPr>
        <w:tc>
          <w:tcPr>
            <w:tcW w:w="2349"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0"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调整前</w:t>
            </w:r>
          </w:p>
        </w:tc>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调整后</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26"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调整前</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调整后</w:t>
            </w:r>
          </w:p>
        </w:tc>
      </w:tr>
      <w:tr>
        <w:trPr>
          <w:trHeight w:val="161" w:hRule="exact"/>
        </w:trPr>
        <w:tc>
          <w:tcPr>
            <w:tcW w:w="2349"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0" w:type="dxa"/>
            <w:vMerge w:val="restart"/>
            <w:tcBorders>
              <w:top w:val="single" w:sz="4" w:space="0" w:color="000000"/>
              <w:left w:val="single" w:sz="9" w:space="0" w:color="D2D2D2"/>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1,930,998,380.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73</w:t>
            </w:r>
          </w:p>
        </w:tc>
        <w:tc>
          <w:tcPr>
            <w:tcW w:w="1202"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2,137,114,975.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61</w:t>
            </w:r>
          </w:p>
        </w:tc>
        <w:tc>
          <w:tcPr>
            <w:tcW w:w="1200"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2,136,933,366.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68</w:t>
            </w:r>
          </w:p>
        </w:tc>
        <w:tc>
          <w:tcPr>
            <w:tcW w:w="120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4" w:right="0"/>
              <w:jc w:val="left"/>
              <w:rPr>
                <w:rFonts w:ascii="Times New Roman" w:hAnsi="Times New Roman" w:cs="Times New Roman" w:eastAsia="Times New Roman" w:hint="default"/>
                <w:sz w:val="18"/>
                <w:szCs w:val="18"/>
              </w:rPr>
            </w:pPr>
            <w:r>
              <w:rPr>
                <w:rFonts w:ascii="Times New Roman"/>
                <w:sz w:val="18"/>
              </w:rPr>
              <w:t>-9.64%</w:t>
            </w:r>
          </w:p>
        </w:tc>
        <w:tc>
          <w:tcPr>
            <w:tcW w:w="1202"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1,798,901,758.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47</w:t>
            </w:r>
          </w:p>
        </w:tc>
        <w:tc>
          <w:tcPr>
            <w:tcW w:w="1202"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1,798,901,758.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47</w:t>
            </w:r>
          </w:p>
        </w:tc>
      </w:tr>
      <w:tr>
        <w:trPr>
          <w:trHeight w:val="392" w:hRule="exact"/>
        </w:trPr>
        <w:tc>
          <w:tcPr>
            <w:tcW w:w="234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200" w:type="dxa"/>
            <w:vMerge/>
            <w:tcBorders>
              <w:left w:val="single" w:sz="9" w:space="0" w:color="D2D2D2"/>
              <w:right w:val="single" w:sz="4" w:space="0" w:color="000000"/>
            </w:tcBorders>
          </w:tcPr>
          <w:p>
            <w:pPr/>
          </w:p>
        </w:tc>
        <w:tc>
          <w:tcPr>
            <w:tcW w:w="1202" w:type="dxa"/>
            <w:vMerge/>
            <w:tcBorders>
              <w:left w:val="single" w:sz="4" w:space="0" w:color="000000"/>
              <w:right w:val="single" w:sz="4" w:space="0" w:color="000000"/>
            </w:tcBorders>
          </w:tcPr>
          <w:p>
            <w:pPr/>
          </w:p>
        </w:tc>
        <w:tc>
          <w:tcPr>
            <w:tcW w:w="1200" w:type="dxa"/>
            <w:vMerge/>
            <w:tcBorders>
              <w:left w:val="single" w:sz="4" w:space="0" w:color="000000"/>
              <w:right w:val="single" w:sz="4" w:space="0" w:color="000000"/>
            </w:tcBorders>
          </w:tcPr>
          <w:p>
            <w:pPr/>
          </w:p>
        </w:tc>
        <w:tc>
          <w:tcPr>
            <w:tcW w:w="1202" w:type="dxa"/>
            <w:vMerge/>
            <w:tcBorders>
              <w:left w:val="single" w:sz="4" w:space="0" w:color="000000"/>
              <w:right w:val="single" w:sz="4" w:space="0" w:color="000000"/>
            </w:tcBorders>
          </w:tcPr>
          <w:p>
            <w:pPr/>
          </w:p>
        </w:tc>
        <w:tc>
          <w:tcPr>
            <w:tcW w:w="1202" w:type="dxa"/>
            <w:vMerge/>
            <w:tcBorders>
              <w:left w:val="single" w:sz="4" w:space="0" w:color="000000"/>
              <w:right w:val="single" w:sz="4" w:space="0" w:color="000000"/>
            </w:tcBorders>
          </w:tcPr>
          <w:p>
            <w:pPr/>
          </w:p>
        </w:tc>
        <w:tc>
          <w:tcPr>
            <w:tcW w:w="1202" w:type="dxa"/>
            <w:vMerge/>
            <w:tcBorders>
              <w:left w:val="single" w:sz="4" w:space="0" w:color="000000"/>
              <w:right w:val="single" w:sz="4" w:space="0" w:color="000000"/>
            </w:tcBorders>
          </w:tcPr>
          <w:p>
            <w:pPr/>
          </w:p>
        </w:tc>
      </w:tr>
      <w:tr>
        <w:trPr>
          <w:trHeight w:val="161" w:hRule="exact"/>
        </w:trPr>
        <w:tc>
          <w:tcPr>
            <w:tcW w:w="2349"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0" w:type="dxa"/>
            <w:vMerge/>
            <w:tcBorders>
              <w:left w:val="single" w:sz="9" w:space="0" w:color="D2D2D2"/>
              <w:bottom w:val="single" w:sz="4" w:space="0" w:color="000000"/>
              <w:right w:val="single" w:sz="4" w:space="0" w:color="000000"/>
            </w:tcBorders>
          </w:tcPr>
          <w:p>
            <w:pPr/>
          </w:p>
        </w:tc>
        <w:tc>
          <w:tcPr>
            <w:tcW w:w="1202" w:type="dxa"/>
            <w:vMerge/>
            <w:tcBorders>
              <w:left w:val="single" w:sz="4" w:space="0" w:color="000000"/>
              <w:bottom w:val="single" w:sz="4" w:space="0" w:color="000000"/>
              <w:right w:val="single" w:sz="4" w:space="0" w:color="000000"/>
            </w:tcBorders>
          </w:tcPr>
          <w:p>
            <w:pPr/>
          </w:p>
        </w:tc>
        <w:tc>
          <w:tcPr>
            <w:tcW w:w="1200" w:type="dxa"/>
            <w:vMerge/>
            <w:tcBorders>
              <w:left w:val="single" w:sz="4" w:space="0" w:color="000000"/>
              <w:bottom w:val="single" w:sz="4" w:space="0" w:color="000000"/>
              <w:right w:val="single" w:sz="4" w:space="0" w:color="000000"/>
            </w:tcBorders>
          </w:tcPr>
          <w:p>
            <w:pPr/>
          </w:p>
        </w:tc>
        <w:tc>
          <w:tcPr>
            <w:tcW w:w="1202" w:type="dxa"/>
            <w:vMerge/>
            <w:tcBorders>
              <w:left w:val="single" w:sz="4" w:space="0" w:color="000000"/>
              <w:bottom w:val="single" w:sz="4" w:space="0" w:color="000000"/>
              <w:right w:val="single" w:sz="4" w:space="0" w:color="000000"/>
            </w:tcBorders>
          </w:tcPr>
          <w:p>
            <w:pPr/>
          </w:p>
        </w:tc>
        <w:tc>
          <w:tcPr>
            <w:tcW w:w="1202" w:type="dxa"/>
            <w:vMerge/>
            <w:tcBorders>
              <w:left w:val="single" w:sz="4" w:space="0" w:color="000000"/>
              <w:bottom w:val="single" w:sz="4" w:space="0" w:color="000000"/>
              <w:right w:val="single" w:sz="4" w:space="0" w:color="000000"/>
            </w:tcBorders>
          </w:tcPr>
          <w:p>
            <w:pPr/>
          </w:p>
        </w:tc>
        <w:tc>
          <w:tcPr>
            <w:tcW w:w="1202" w:type="dxa"/>
            <w:vMerge/>
            <w:tcBorders>
              <w:left w:val="single" w:sz="4" w:space="0" w:color="000000"/>
              <w:bottom w:val="single" w:sz="4" w:space="0" w:color="000000"/>
              <w:right w:val="single" w:sz="4" w:space="0" w:color="000000"/>
            </w:tcBorders>
          </w:tcPr>
          <w:p>
            <w:pPr/>
          </w:p>
        </w:tc>
      </w:tr>
      <w:tr>
        <w:trPr>
          <w:trHeight w:val="714" w:hRule="exact"/>
        </w:trPr>
        <w:tc>
          <w:tcPr>
            <w:tcW w:w="2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66"/>
              <w:jc w:val="left"/>
              <w:rPr>
                <w:rFonts w:ascii="宋体" w:hAnsi="宋体" w:cs="宋体" w:eastAsia="宋体" w:hint="default"/>
                <w:sz w:val="18"/>
                <w:szCs w:val="18"/>
              </w:rPr>
            </w:pPr>
            <w:r>
              <w:rPr>
                <w:rFonts w:ascii="宋体" w:hAnsi="宋体" w:cs="宋体" w:eastAsia="宋体" w:hint="default"/>
                <w:sz w:val="18"/>
                <w:szCs w:val="18"/>
              </w:rPr>
              <w:t>归属于上市公司股东的净利 润（元）</w:t>
            </w:r>
          </w:p>
        </w:tc>
        <w:tc>
          <w:tcPr>
            <w:tcW w:w="12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120,204,513.73</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 w:right="0"/>
              <w:jc w:val="center"/>
              <w:rPr>
                <w:rFonts w:ascii="Times New Roman" w:hAnsi="Times New Roman" w:cs="Times New Roman" w:eastAsia="Times New Roman" w:hint="default"/>
                <w:sz w:val="18"/>
                <w:szCs w:val="18"/>
              </w:rPr>
            </w:pPr>
            <w:r>
              <w:rPr>
                <w:rFonts w:ascii="Times New Roman"/>
                <w:sz w:val="18"/>
              </w:rPr>
              <w:t>169,054,901.59</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 w:right="0"/>
              <w:jc w:val="center"/>
              <w:rPr>
                <w:rFonts w:ascii="Times New Roman" w:hAnsi="Times New Roman" w:cs="Times New Roman" w:eastAsia="Times New Roman" w:hint="default"/>
                <w:sz w:val="18"/>
                <w:szCs w:val="18"/>
              </w:rPr>
            </w:pPr>
            <w:r>
              <w:rPr>
                <w:rFonts w:ascii="Times New Roman"/>
                <w:sz w:val="18"/>
              </w:rPr>
              <w:t>169,054,901.59</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-28.90%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 w:right="0"/>
              <w:jc w:val="center"/>
              <w:rPr>
                <w:rFonts w:ascii="Times New Roman" w:hAnsi="Times New Roman" w:cs="Times New Roman" w:eastAsia="Times New Roman" w:hint="default"/>
                <w:sz w:val="18"/>
                <w:szCs w:val="18"/>
              </w:rPr>
            </w:pPr>
            <w:r>
              <w:rPr>
                <w:rFonts w:ascii="Times New Roman"/>
                <w:sz w:val="18"/>
              </w:rPr>
              <w:t>155,751,257.66</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 w:right="0"/>
              <w:jc w:val="center"/>
              <w:rPr>
                <w:rFonts w:ascii="Times New Roman" w:hAnsi="Times New Roman" w:cs="Times New Roman" w:eastAsia="Times New Roman" w:hint="default"/>
                <w:sz w:val="18"/>
                <w:szCs w:val="18"/>
              </w:rPr>
            </w:pPr>
            <w:r>
              <w:rPr>
                <w:rFonts w:ascii="Times New Roman"/>
                <w:sz w:val="18"/>
              </w:rPr>
              <w:t>155,751,257.66</w:t>
            </w:r>
          </w:p>
        </w:tc>
      </w:tr>
      <w:tr>
        <w:trPr>
          <w:trHeight w:val="714" w:hRule="exact"/>
        </w:trPr>
        <w:tc>
          <w:tcPr>
            <w:tcW w:w="2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2"/>
              <w:jc w:val="left"/>
              <w:rPr>
                <w:rFonts w:ascii="宋体" w:hAnsi="宋体" w:cs="宋体" w:eastAsia="宋体" w:hint="default"/>
                <w:sz w:val="18"/>
                <w:szCs w:val="18"/>
              </w:rPr>
            </w:pPr>
            <w:r>
              <w:rPr>
                <w:rFonts w:ascii="宋体" w:hAnsi="宋体" w:cs="宋体" w:eastAsia="宋体" w:hint="default"/>
                <w:sz w:val="18"/>
                <w:szCs w:val="18"/>
              </w:rPr>
              <w:t>归属于上市公司股东的扣除 非经常性损益的净利润（元）</w:t>
            </w:r>
          </w:p>
        </w:tc>
        <w:tc>
          <w:tcPr>
            <w:tcW w:w="12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100,816,597.78</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 w:right="0"/>
              <w:jc w:val="center"/>
              <w:rPr>
                <w:rFonts w:ascii="Times New Roman" w:hAnsi="Times New Roman" w:cs="Times New Roman" w:eastAsia="Times New Roman" w:hint="default"/>
                <w:sz w:val="18"/>
                <w:szCs w:val="18"/>
              </w:rPr>
            </w:pPr>
            <w:r>
              <w:rPr>
                <w:rFonts w:ascii="Times New Roman"/>
                <w:sz w:val="18"/>
              </w:rPr>
              <w:t>127,219,125.29</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 w:right="0"/>
              <w:jc w:val="center"/>
              <w:rPr>
                <w:rFonts w:ascii="Times New Roman" w:hAnsi="Times New Roman" w:cs="Times New Roman" w:eastAsia="Times New Roman" w:hint="default"/>
                <w:sz w:val="18"/>
                <w:szCs w:val="18"/>
              </w:rPr>
            </w:pPr>
            <w:r>
              <w:rPr>
                <w:rFonts w:ascii="Times New Roman"/>
                <w:sz w:val="18"/>
              </w:rPr>
              <w:t>162,950,284.55</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-38.13%</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 w:right="0"/>
              <w:jc w:val="center"/>
              <w:rPr>
                <w:rFonts w:ascii="Times New Roman" w:hAnsi="Times New Roman" w:cs="Times New Roman" w:eastAsia="Times New Roman" w:hint="default"/>
                <w:sz w:val="18"/>
                <w:szCs w:val="18"/>
              </w:rPr>
            </w:pPr>
            <w:r>
              <w:rPr>
                <w:rFonts w:ascii="Times New Roman"/>
                <w:sz w:val="18"/>
              </w:rPr>
              <w:t>108,727,168.36</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 w:right="0"/>
              <w:jc w:val="center"/>
              <w:rPr>
                <w:rFonts w:ascii="Times New Roman" w:hAnsi="Times New Roman" w:cs="Times New Roman" w:eastAsia="Times New Roman" w:hint="default"/>
                <w:sz w:val="18"/>
                <w:szCs w:val="18"/>
              </w:rPr>
            </w:pPr>
            <w:r>
              <w:rPr>
                <w:rFonts w:ascii="Times New Roman"/>
                <w:sz w:val="18"/>
              </w:rPr>
              <w:t>108,727,168.36</w:t>
            </w:r>
          </w:p>
        </w:tc>
      </w:tr>
      <w:tr>
        <w:trPr>
          <w:trHeight w:val="714" w:hRule="exact"/>
        </w:trPr>
        <w:tc>
          <w:tcPr>
            <w:tcW w:w="2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66"/>
              <w:jc w:val="left"/>
              <w:rPr>
                <w:rFonts w:ascii="宋体" w:hAnsi="宋体" w:cs="宋体" w:eastAsia="宋体" w:hint="default"/>
                <w:sz w:val="18"/>
                <w:szCs w:val="18"/>
              </w:rPr>
            </w:pPr>
            <w:r>
              <w:rPr>
                <w:rFonts w:ascii="宋体" w:hAnsi="宋体" w:cs="宋体" w:eastAsia="宋体" w:hint="default"/>
                <w:sz w:val="18"/>
                <w:szCs w:val="18"/>
              </w:rPr>
              <w:t>经营活动产生的现金流量净 额（元）</w:t>
            </w:r>
          </w:p>
        </w:tc>
        <w:tc>
          <w:tcPr>
            <w:tcW w:w="12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32,868,957.49</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-51,064,026.58</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-51,064,026.58</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164.37%</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-137,218,914.8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-137,218,914.8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61"/>
        <w:gridCol w:w="1200"/>
        <w:gridCol w:w="1202"/>
        <w:gridCol w:w="1200"/>
        <w:gridCol w:w="1202"/>
        <w:gridCol w:w="1202"/>
        <w:gridCol w:w="1202"/>
      </w:tblGrid>
      <w:tr>
        <w:trPr>
          <w:trHeight w:val="402" w:hRule="exact"/>
        </w:trPr>
        <w:tc>
          <w:tcPr>
            <w:tcW w:w="23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2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0.1434</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0.2109</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0.2109</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-32.01%</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0.3601</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0.2251</w:t>
            </w:r>
          </w:p>
        </w:tc>
      </w:tr>
      <w:tr>
        <w:trPr>
          <w:trHeight w:val="402" w:hRule="exact"/>
        </w:trPr>
        <w:tc>
          <w:tcPr>
            <w:tcW w:w="23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2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0.1434</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0.2109</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0.2109</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-32.01%</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0.3601</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0.2251</w:t>
            </w:r>
          </w:p>
        </w:tc>
      </w:tr>
      <w:tr>
        <w:trPr>
          <w:trHeight w:val="161" w:hRule="exact"/>
        </w:trPr>
        <w:tc>
          <w:tcPr>
            <w:tcW w:w="2361"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0"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5" w:right="0"/>
              <w:jc w:val="left"/>
              <w:rPr>
                <w:rFonts w:ascii="Times New Roman" w:hAnsi="Times New Roman" w:cs="Times New Roman" w:eastAsia="Times New Roman" w:hint="default"/>
                <w:sz w:val="18"/>
                <w:szCs w:val="18"/>
              </w:rPr>
            </w:pPr>
            <w:r>
              <w:rPr>
                <w:rFonts w:ascii="Times New Roman"/>
                <w:sz w:val="18"/>
              </w:rPr>
              <w:t>2.78%</w:t>
            </w:r>
          </w:p>
        </w:tc>
        <w:tc>
          <w:tcPr>
            <w:tcW w:w="120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03" w:right="0"/>
              <w:jc w:val="left"/>
              <w:rPr>
                <w:rFonts w:ascii="Times New Roman" w:hAnsi="Times New Roman" w:cs="Times New Roman" w:eastAsia="Times New Roman" w:hint="default"/>
                <w:sz w:val="18"/>
                <w:szCs w:val="18"/>
              </w:rPr>
            </w:pPr>
            <w:r>
              <w:rPr>
                <w:rFonts w:ascii="Times New Roman"/>
                <w:sz w:val="18"/>
              </w:rPr>
              <w:t>4.76%</w:t>
            </w:r>
          </w:p>
        </w:tc>
        <w:tc>
          <w:tcPr>
            <w:tcW w:w="120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03" w:right="0"/>
              <w:jc w:val="left"/>
              <w:rPr>
                <w:rFonts w:ascii="Times New Roman" w:hAnsi="Times New Roman" w:cs="Times New Roman" w:eastAsia="Times New Roman" w:hint="default"/>
                <w:sz w:val="18"/>
                <w:szCs w:val="18"/>
              </w:rPr>
            </w:pPr>
            <w:r>
              <w:rPr>
                <w:rFonts w:ascii="Times New Roman"/>
                <w:sz w:val="18"/>
              </w:rPr>
              <w:t>4.76%</w:t>
            </w:r>
          </w:p>
        </w:tc>
        <w:tc>
          <w:tcPr>
            <w:tcW w:w="1202" w:type="dxa"/>
            <w:vMerge w:val="restart"/>
            <w:tcBorders>
              <w:top w:val="single" w:sz="4" w:space="0" w:color="000000"/>
              <w:left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hAnsi="宋体" w:cs="宋体" w:eastAsia="宋体" w:hint="default"/>
                <w:sz w:val="18"/>
                <w:szCs w:val="18"/>
              </w:rPr>
              <w:t>下降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个百</w:t>
            </w:r>
          </w:p>
          <w:p>
            <w:pPr>
              <w:pStyle w:val="TableParagraph"/>
              <w:spacing w:line="240" w:lineRule="auto" w:before="64"/>
              <w:ind w:right="21"/>
              <w:jc w:val="right"/>
              <w:rPr>
                <w:rFonts w:ascii="宋体" w:hAnsi="宋体" w:cs="宋体" w:eastAsia="宋体" w:hint="default"/>
                <w:sz w:val="18"/>
                <w:szCs w:val="18"/>
              </w:rPr>
            </w:pPr>
            <w:r>
              <w:rPr>
                <w:rFonts w:ascii="宋体" w:hAnsi="宋体" w:cs="宋体" w:eastAsia="宋体" w:hint="default"/>
                <w:sz w:val="18"/>
                <w:szCs w:val="18"/>
              </w:rPr>
              <w:t>分点</w:t>
            </w:r>
          </w:p>
        </w:tc>
        <w:tc>
          <w:tcPr>
            <w:tcW w:w="120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4" w:right="0"/>
              <w:jc w:val="left"/>
              <w:rPr>
                <w:rFonts w:ascii="Times New Roman" w:hAnsi="Times New Roman" w:cs="Times New Roman" w:eastAsia="Times New Roman" w:hint="default"/>
                <w:sz w:val="18"/>
                <w:szCs w:val="18"/>
              </w:rPr>
            </w:pPr>
            <w:r>
              <w:rPr>
                <w:rFonts w:ascii="Times New Roman"/>
                <w:sz w:val="18"/>
              </w:rPr>
              <w:t>10.95%</w:t>
            </w:r>
          </w:p>
        </w:tc>
        <w:tc>
          <w:tcPr>
            <w:tcW w:w="120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4" w:right="0"/>
              <w:jc w:val="left"/>
              <w:rPr>
                <w:rFonts w:ascii="Times New Roman" w:hAnsi="Times New Roman" w:cs="Times New Roman" w:eastAsia="Times New Roman" w:hint="default"/>
                <w:sz w:val="18"/>
                <w:szCs w:val="18"/>
              </w:rPr>
            </w:pPr>
            <w:r>
              <w:rPr>
                <w:rFonts w:ascii="Times New Roman"/>
                <w:sz w:val="18"/>
              </w:rPr>
              <w:t>10.95%</w:t>
            </w:r>
          </w:p>
        </w:tc>
      </w:tr>
      <w:tr>
        <w:trPr>
          <w:trHeight w:val="392" w:hRule="exact"/>
        </w:trPr>
        <w:tc>
          <w:tcPr>
            <w:tcW w:w="236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200" w:type="dxa"/>
            <w:vMerge/>
            <w:tcBorders>
              <w:left w:val="single" w:sz="9" w:space="0" w:color="D2D2D2"/>
              <w:right w:val="single" w:sz="4" w:space="0" w:color="000000"/>
            </w:tcBorders>
          </w:tcPr>
          <w:p>
            <w:pPr/>
          </w:p>
        </w:tc>
        <w:tc>
          <w:tcPr>
            <w:tcW w:w="1202" w:type="dxa"/>
            <w:vMerge/>
            <w:tcBorders>
              <w:left w:val="single" w:sz="4" w:space="0" w:color="000000"/>
              <w:right w:val="single" w:sz="4" w:space="0" w:color="000000"/>
            </w:tcBorders>
          </w:tcPr>
          <w:p>
            <w:pPr/>
          </w:p>
        </w:tc>
        <w:tc>
          <w:tcPr>
            <w:tcW w:w="1200" w:type="dxa"/>
            <w:vMerge/>
            <w:tcBorders>
              <w:left w:val="single" w:sz="4" w:space="0" w:color="000000"/>
              <w:right w:val="single" w:sz="4" w:space="0" w:color="000000"/>
            </w:tcBorders>
          </w:tcPr>
          <w:p>
            <w:pPr/>
          </w:p>
        </w:tc>
        <w:tc>
          <w:tcPr>
            <w:tcW w:w="1202" w:type="dxa"/>
            <w:vMerge/>
            <w:tcBorders>
              <w:left w:val="single" w:sz="4" w:space="0" w:color="000000"/>
              <w:right w:val="single" w:sz="4" w:space="0" w:color="000000"/>
            </w:tcBorders>
          </w:tcPr>
          <w:p>
            <w:pPr/>
          </w:p>
        </w:tc>
        <w:tc>
          <w:tcPr>
            <w:tcW w:w="1202" w:type="dxa"/>
            <w:vMerge/>
            <w:tcBorders>
              <w:left w:val="single" w:sz="4" w:space="0" w:color="000000"/>
              <w:right w:val="single" w:sz="4" w:space="0" w:color="000000"/>
            </w:tcBorders>
          </w:tcPr>
          <w:p>
            <w:pPr/>
          </w:p>
        </w:tc>
        <w:tc>
          <w:tcPr>
            <w:tcW w:w="1202" w:type="dxa"/>
            <w:vMerge/>
            <w:tcBorders>
              <w:left w:val="single" w:sz="4" w:space="0" w:color="000000"/>
              <w:right w:val="single" w:sz="4" w:space="0" w:color="000000"/>
            </w:tcBorders>
          </w:tcPr>
          <w:p>
            <w:pPr/>
          </w:p>
        </w:tc>
      </w:tr>
      <w:tr>
        <w:trPr>
          <w:trHeight w:val="161" w:hRule="exact"/>
        </w:trPr>
        <w:tc>
          <w:tcPr>
            <w:tcW w:w="2361"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0" w:type="dxa"/>
            <w:vMerge/>
            <w:tcBorders>
              <w:left w:val="single" w:sz="9" w:space="0" w:color="D2D2D2"/>
              <w:bottom w:val="single" w:sz="4" w:space="0" w:color="000000"/>
              <w:right w:val="single" w:sz="4" w:space="0" w:color="000000"/>
            </w:tcBorders>
          </w:tcPr>
          <w:p>
            <w:pPr/>
          </w:p>
        </w:tc>
        <w:tc>
          <w:tcPr>
            <w:tcW w:w="1202" w:type="dxa"/>
            <w:vMerge/>
            <w:tcBorders>
              <w:left w:val="single" w:sz="4" w:space="0" w:color="000000"/>
              <w:bottom w:val="single" w:sz="4" w:space="0" w:color="000000"/>
              <w:right w:val="single" w:sz="4" w:space="0" w:color="000000"/>
            </w:tcBorders>
          </w:tcPr>
          <w:p>
            <w:pPr/>
          </w:p>
        </w:tc>
        <w:tc>
          <w:tcPr>
            <w:tcW w:w="1200" w:type="dxa"/>
            <w:vMerge/>
            <w:tcBorders>
              <w:left w:val="single" w:sz="4" w:space="0" w:color="000000"/>
              <w:bottom w:val="single" w:sz="4" w:space="0" w:color="000000"/>
              <w:right w:val="single" w:sz="4" w:space="0" w:color="000000"/>
            </w:tcBorders>
          </w:tcPr>
          <w:p>
            <w:pPr/>
          </w:p>
        </w:tc>
        <w:tc>
          <w:tcPr>
            <w:tcW w:w="1202" w:type="dxa"/>
            <w:vMerge/>
            <w:tcBorders>
              <w:left w:val="single" w:sz="4" w:space="0" w:color="000000"/>
              <w:bottom w:val="single" w:sz="4" w:space="0" w:color="000000"/>
              <w:right w:val="single" w:sz="4" w:space="0" w:color="000000"/>
            </w:tcBorders>
          </w:tcPr>
          <w:p>
            <w:pPr/>
          </w:p>
        </w:tc>
        <w:tc>
          <w:tcPr>
            <w:tcW w:w="1202" w:type="dxa"/>
            <w:vMerge/>
            <w:tcBorders>
              <w:left w:val="single" w:sz="4" w:space="0" w:color="000000"/>
              <w:bottom w:val="single" w:sz="4" w:space="0" w:color="000000"/>
              <w:right w:val="single" w:sz="4" w:space="0" w:color="000000"/>
            </w:tcBorders>
          </w:tcPr>
          <w:p>
            <w:pPr/>
          </w:p>
        </w:tc>
        <w:tc>
          <w:tcPr>
            <w:tcW w:w="1202" w:type="dxa"/>
            <w:vMerge/>
            <w:tcBorders>
              <w:left w:val="single" w:sz="4" w:space="0" w:color="000000"/>
              <w:bottom w:val="single" w:sz="4" w:space="0" w:color="000000"/>
              <w:right w:val="single" w:sz="4" w:space="0" w:color="000000"/>
            </w:tcBorders>
          </w:tcPr>
          <w:p>
            <w:pPr/>
          </w:p>
        </w:tc>
      </w:tr>
      <w:tr>
        <w:trPr>
          <w:trHeight w:val="161" w:hRule="exact"/>
        </w:trPr>
        <w:tc>
          <w:tcPr>
            <w:tcW w:w="2361" w:type="dxa"/>
            <w:vMerge w:val="restart"/>
            <w:tcBorders>
              <w:top w:val="single" w:sz="4" w:space="0" w:color="000000"/>
              <w:left w:val="single" w:sz="4" w:space="0" w:color="000000"/>
              <w:right w:val="single" w:sz="4" w:space="0" w:color="000000"/>
            </w:tcBorders>
            <w:shd w:val="clear" w:color="auto" w:fill="D2D2D2"/>
          </w:tcPr>
          <w:p>
            <w:pPr/>
          </w:p>
        </w:tc>
        <w:tc>
          <w:tcPr>
            <w:tcW w:w="1200" w:type="dxa"/>
            <w:vMerge w:val="restart"/>
            <w:tcBorders>
              <w:top w:val="single" w:sz="4" w:space="0" w:color="000000"/>
              <w:left w:val="single" w:sz="4" w:space="0" w:color="000000"/>
              <w:right w:val="single" w:sz="4" w:space="0" w:color="000000"/>
            </w:tcBorders>
            <w:shd w:val="clear" w:color="auto" w:fill="D2D2D2"/>
          </w:tcPr>
          <w:p>
            <w:pPr/>
          </w:p>
        </w:tc>
        <w:tc>
          <w:tcPr>
            <w:tcW w:w="2402"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20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326" w:right="53" w:hanging="270"/>
              <w:jc w:val="left"/>
              <w:rPr>
                <w:rFonts w:ascii="宋体" w:hAnsi="宋体" w:cs="宋体" w:eastAsia="宋体" w:hint="default"/>
                <w:sz w:val="18"/>
                <w:szCs w:val="18"/>
              </w:rPr>
            </w:pPr>
            <w:r>
              <w:rPr>
                <w:rFonts w:ascii="宋体" w:hAnsi="宋体" w:cs="宋体" w:eastAsia="宋体" w:hint="default"/>
                <w:sz w:val="18"/>
                <w:szCs w:val="18"/>
              </w:rPr>
              <w:t>本年末比上年 末增减</w:t>
            </w:r>
          </w:p>
        </w:tc>
        <w:tc>
          <w:tcPr>
            <w:tcW w:w="2405" w:type="dxa"/>
            <w:gridSpan w:val="2"/>
            <w:tcBorders>
              <w:top w:val="single" w:sz="4" w:space="0" w:color="000000"/>
              <w:left w:val="single" w:sz="4" w:space="0" w:color="000000"/>
              <w:bottom w:val="nil" w:sz="6" w:space="0" w:color="auto"/>
              <w:right w:val="single" w:sz="4" w:space="0" w:color="000000"/>
            </w:tcBorders>
            <w:shd w:val="clear" w:color="auto" w:fill="D2D2D2"/>
          </w:tcPr>
          <w:p>
            <w:pPr/>
          </w:p>
        </w:tc>
      </w:tr>
      <w:tr>
        <w:trPr>
          <w:trHeight w:val="202" w:hRule="exact"/>
        </w:trPr>
        <w:tc>
          <w:tcPr>
            <w:tcW w:w="2361" w:type="dxa"/>
            <w:vMerge/>
            <w:tcBorders>
              <w:left w:val="single" w:sz="4" w:space="0" w:color="000000"/>
              <w:bottom w:val="nil" w:sz="6" w:space="0" w:color="auto"/>
              <w:right w:val="single" w:sz="4" w:space="0" w:color="000000"/>
            </w:tcBorders>
            <w:shd w:val="clear" w:color="auto" w:fill="D2D2D2"/>
          </w:tcPr>
          <w:p>
            <w:pPr/>
          </w:p>
        </w:tc>
        <w:tc>
          <w:tcPr>
            <w:tcW w:w="1200" w:type="dxa"/>
            <w:vMerge/>
            <w:tcBorders>
              <w:left w:val="single" w:sz="4" w:space="0" w:color="000000"/>
              <w:bottom w:val="nil" w:sz="6" w:space="0" w:color="auto"/>
              <w:right w:val="single" w:sz="4" w:space="0" w:color="000000"/>
            </w:tcBorders>
            <w:shd w:val="clear" w:color="auto" w:fill="D2D2D2"/>
          </w:tcPr>
          <w:p>
            <w:pPr/>
          </w:p>
        </w:tc>
        <w:tc>
          <w:tcPr>
            <w:tcW w:w="240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202" w:type="dxa"/>
            <w:vMerge/>
            <w:tcBorders>
              <w:left w:val="single" w:sz="4" w:space="0" w:color="000000"/>
              <w:right w:val="single" w:sz="4" w:space="0" w:color="000000"/>
            </w:tcBorders>
            <w:shd w:val="clear" w:color="auto" w:fill="D2D2D2"/>
          </w:tcPr>
          <w:p>
            <w:pPr/>
          </w:p>
        </w:tc>
        <w:tc>
          <w:tcPr>
            <w:tcW w:w="2405"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191" w:hRule="exact"/>
        </w:trPr>
        <w:tc>
          <w:tcPr>
            <w:tcW w:w="2361" w:type="dxa"/>
            <w:vMerge w:val="restart"/>
            <w:tcBorders>
              <w:top w:val="nil" w:sz="6" w:space="0" w:color="auto"/>
              <w:left w:val="single" w:sz="4" w:space="0" w:color="000000"/>
              <w:right w:val="single" w:sz="4" w:space="0" w:color="000000"/>
            </w:tcBorders>
            <w:shd w:val="clear" w:color="auto" w:fill="D2D2D2"/>
          </w:tcPr>
          <w:p>
            <w:pPr/>
          </w:p>
        </w:tc>
        <w:tc>
          <w:tcPr>
            <w:tcW w:w="12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402" w:type="dxa"/>
            <w:gridSpan w:val="2"/>
            <w:vMerge/>
            <w:tcBorders>
              <w:left w:val="single" w:sz="4" w:space="0" w:color="000000"/>
              <w:bottom w:val="nil" w:sz="6" w:space="0" w:color="auto"/>
              <w:right w:val="single" w:sz="4" w:space="0" w:color="000000"/>
            </w:tcBorders>
            <w:shd w:val="clear" w:color="auto" w:fill="D2D2D2"/>
          </w:tcPr>
          <w:p>
            <w:pPr/>
          </w:p>
        </w:tc>
        <w:tc>
          <w:tcPr>
            <w:tcW w:w="1202" w:type="dxa"/>
            <w:vMerge/>
            <w:tcBorders>
              <w:left w:val="single" w:sz="4" w:space="0" w:color="000000"/>
              <w:right w:val="single" w:sz="4" w:space="0" w:color="000000"/>
            </w:tcBorders>
            <w:shd w:val="clear" w:color="auto" w:fill="D2D2D2"/>
          </w:tcPr>
          <w:p>
            <w:pPr/>
          </w:p>
        </w:tc>
        <w:tc>
          <w:tcPr>
            <w:tcW w:w="2405" w:type="dxa"/>
            <w:gridSpan w:val="2"/>
            <w:vMerge/>
            <w:tcBorders>
              <w:left w:val="single" w:sz="4" w:space="0" w:color="000000"/>
              <w:bottom w:val="nil" w:sz="6" w:space="0" w:color="auto"/>
              <w:right w:val="single" w:sz="4" w:space="0" w:color="000000"/>
            </w:tcBorders>
            <w:shd w:val="clear" w:color="auto" w:fill="D2D2D2"/>
          </w:tcPr>
          <w:p>
            <w:pPr/>
          </w:p>
        </w:tc>
      </w:tr>
      <w:tr>
        <w:trPr>
          <w:trHeight w:val="156" w:hRule="exact"/>
        </w:trPr>
        <w:tc>
          <w:tcPr>
            <w:tcW w:w="2361" w:type="dxa"/>
            <w:vMerge/>
            <w:tcBorders>
              <w:left w:val="single" w:sz="4" w:space="0" w:color="000000"/>
              <w:bottom w:val="nil" w:sz="6" w:space="0" w:color="auto"/>
              <w:right w:val="single" w:sz="4" w:space="0" w:color="000000"/>
            </w:tcBorders>
            <w:shd w:val="clear" w:color="auto" w:fill="D2D2D2"/>
          </w:tcPr>
          <w:p>
            <w:pPr/>
          </w:p>
        </w:tc>
        <w:tc>
          <w:tcPr>
            <w:tcW w:w="1200" w:type="dxa"/>
            <w:vMerge/>
            <w:tcBorders>
              <w:left w:val="single" w:sz="4" w:space="0" w:color="000000"/>
              <w:bottom w:val="nil" w:sz="6" w:space="0" w:color="auto"/>
              <w:right w:val="single" w:sz="4" w:space="0" w:color="000000"/>
            </w:tcBorders>
            <w:shd w:val="clear" w:color="auto" w:fill="D2D2D2"/>
          </w:tcPr>
          <w:p>
            <w:pPr/>
          </w:p>
        </w:tc>
        <w:tc>
          <w:tcPr>
            <w:tcW w:w="2402"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202" w:type="dxa"/>
            <w:vMerge/>
            <w:tcBorders>
              <w:left w:val="single" w:sz="4" w:space="0" w:color="000000"/>
              <w:bottom w:val="single" w:sz="4" w:space="0" w:color="000000"/>
              <w:right w:val="single" w:sz="4" w:space="0" w:color="000000"/>
            </w:tcBorders>
            <w:shd w:val="clear" w:color="auto" w:fill="D2D2D2"/>
          </w:tcPr>
          <w:p>
            <w:pPr/>
          </w:p>
        </w:tc>
        <w:tc>
          <w:tcPr>
            <w:tcW w:w="2405" w:type="dxa"/>
            <w:gridSpan w:val="2"/>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7" w:hRule="exact"/>
        </w:trPr>
        <w:tc>
          <w:tcPr>
            <w:tcW w:w="2361"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0"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25"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25"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26"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25"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25"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161" w:hRule="exact"/>
        </w:trPr>
        <w:tc>
          <w:tcPr>
            <w:tcW w:w="2361"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0" w:type="dxa"/>
            <w:vMerge w:val="restart"/>
            <w:tcBorders>
              <w:top w:val="single" w:sz="4" w:space="0" w:color="000000"/>
              <w:left w:val="single" w:sz="9" w:space="0" w:color="D2D2D2"/>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6,220,278,883.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90</w:t>
            </w:r>
          </w:p>
        </w:tc>
        <w:tc>
          <w:tcPr>
            <w:tcW w:w="1202"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5,753,577,876.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80</w:t>
            </w:r>
          </w:p>
        </w:tc>
        <w:tc>
          <w:tcPr>
            <w:tcW w:w="1200"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5,753,577,876.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80</w:t>
            </w:r>
          </w:p>
        </w:tc>
        <w:tc>
          <w:tcPr>
            <w:tcW w:w="120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0" w:right="0"/>
              <w:jc w:val="left"/>
              <w:rPr>
                <w:rFonts w:ascii="Times New Roman" w:hAnsi="Times New Roman" w:cs="Times New Roman" w:eastAsia="Times New Roman" w:hint="default"/>
                <w:sz w:val="18"/>
                <w:szCs w:val="18"/>
              </w:rPr>
            </w:pPr>
            <w:r>
              <w:rPr>
                <w:rFonts w:ascii="Times New Roman"/>
                <w:sz w:val="18"/>
              </w:rPr>
              <w:t>8.11%</w:t>
            </w:r>
          </w:p>
        </w:tc>
        <w:tc>
          <w:tcPr>
            <w:tcW w:w="1202"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3,649,498,766.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16</w:t>
            </w:r>
          </w:p>
        </w:tc>
        <w:tc>
          <w:tcPr>
            <w:tcW w:w="1202"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3,649,498,766.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16</w:t>
            </w:r>
          </w:p>
        </w:tc>
      </w:tr>
      <w:tr>
        <w:trPr>
          <w:trHeight w:val="392" w:hRule="exact"/>
        </w:trPr>
        <w:tc>
          <w:tcPr>
            <w:tcW w:w="236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200" w:type="dxa"/>
            <w:vMerge/>
            <w:tcBorders>
              <w:left w:val="single" w:sz="9" w:space="0" w:color="D2D2D2"/>
              <w:right w:val="single" w:sz="4" w:space="0" w:color="000000"/>
            </w:tcBorders>
          </w:tcPr>
          <w:p>
            <w:pPr/>
          </w:p>
        </w:tc>
        <w:tc>
          <w:tcPr>
            <w:tcW w:w="1202" w:type="dxa"/>
            <w:vMerge/>
            <w:tcBorders>
              <w:left w:val="single" w:sz="4" w:space="0" w:color="000000"/>
              <w:right w:val="single" w:sz="4" w:space="0" w:color="000000"/>
            </w:tcBorders>
          </w:tcPr>
          <w:p>
            <w:pPr/>
          </w:p>
        </w:tc>
        <w:tc>
          <w:tcPr>
            <w:tcW w:w="1200" w:type="dxa"/>
            <w:vMerge/>
            <w:tcBorders>
              <w:left w:val="single" w:sz="4" w:space="0" w:color="000000"/>
              <w:right w:val="single" w:sz="4" w:space="0" w:color="000000"/>
            </w:tcBorders>
          </w:tcPr>
          <w:p>
            <w:pPr/>
          </w:p>
        </w:tc>
        <w:tc>
          <w:tcPr>
            <w:tcW w:w="1202" w:type="dxa"/>
            <w:vMerge/>
            <w:tcBorders>
              <w:left w:val="single" w:sz="4" w:space="0" w:color="000000"/>
              <w:right w:val="single" w:sz="4" w:space="0" w:color="000000"/>
            </w:tcBorders>
          </w:tcPr>
          <w:p>
            <w:pPr/>
          </w:p>
        </w:tc>
        <w:tc>
          <w:tcPr>
            <w:tcW w:w="1202" w:type="dxa"/>
            <w:vMerge/>
            <w:tcBorders>
              <w:left w:val="single" w:sz="4" w:space="0" w:color="000000"/>
              <w:right w:val="single" w:sz="4" w:space="0" w:color="000000"/>
            </w:tcBorders>
          </w:tcPr>
          <w:p>
            <w:pPr/>
          </w:p>
        </w:tc>
        <w:tc>
          <w:tcPr>
            <w:tcW w:w="1202" w:type="dxa"/>
            <w:vMerge/>
            <w:tcBorders>
              <w:left w:val="single" w:sz="4" w:space="0" w:color="000000"/>
              <w:right w:val="single" w:sz="4" w:space="0" w:color="000000"/>
            </w:tcBorders>
          </w:tcPr>
          <w:p>
            <w:pPr/>
          </w:p>
        </w:tc>
      </w:tr>
      <w:tr>
        <w:trPr>
          <w:trHeight w:val="161" w:hRule="exact"/>
        </w:trPr>
        <w:tc>
          <w:tcPr>
            <w:tcW w:w="2361"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0" w:type="dxa"/>
            <w:vMerge/>
            <w:tcBorders>
              <w:left w:val="single" w:sz="9" w:space="0" w:color="D2D2D2"/>
              <w:bottom w:val="single" w:sz="4" w:space="0" w:color="000000"/>
              <w:right w:val="single" w:sz="4" w:space="0" w:color="000000"/>
            </w:tcBorders>
          </w:tcPr>
          <w:p>
            <w:pPr/>
          </w:p>
        </w:tc>
        <w:tc>
          <w:tcPr>
            <w:tcW w:w="1202" w:type="dxa"/>
            <w:vMerge/>
            <w:tcBorders>
              <w:left w:val="single" w:sz="4" w:space="0" w:color="000000"/>
              <w:bottom w:val="single" w:sz="4" w:space="0" w:color="000000"/>
              <w:right w:val="single" w:sz="4" w:space="0" w:color="000000"/>
            </w:tcBorders>
          </w:tcPr>
          <w:p>
            <w:pPr/>
          </w:p>
        </w:tc>
        <w:tc>
          <w:tcPr>
            <w:tcW w:w="1200" w:type="dxa"/>
            <w:vMerge/>
            <w:tcBorders>
              <w:left w:val="single" w:sz="4" w:space="0" w:color="000000"/>
              <w:bottom w:val="single" w:sz="4" w:space="0" w:color="000000"/>
              <w:right w:val="single" w:sz="4" w:space="0" w:color="000000"/>
            </w:tcBorders>
          </w:tcPr>
          <w:p>
            <w:pPr/>
          </w:p>
        </w:tc>
        <w:tc>
          <w:tcPr>
            <w:tcW w:w="1202" w:type="dxa"/>
            <w:vMerge/>
            <w:tcBorders>
              <w:left w:val="single" w:sz="4" w:space="0" w:color="000000"/>
              <w:bottom w:val="single" w:sz="4" w:space="0" w:color="000000"/>
              <w:right w:val="single" w:sz="4" w:space="0" w:color="000000"/>
            </w:tcBorders>
          </w:tcPr>
          <w:p>
            <w:pPr/>
          </w:p>
        </w:tc>
        <w:tc>
          <w:tcPr>
            <w:tcW w:w="1202" w:type="dxa"/>
            <w:vMerge/>
            <w:tcBorders>
              <w:left w:val="single" w:sz="4" w:space="0" w:color="000000"/>
              <w:bottom w:val="single" w:sz="4" w:space="0" w:color="000000"/>
              <w:right w:val="single" w:sz="4" w:space="0" w:color="000000"/>
            </w:tcBorders>
          </w:tcPr>
          <w:p>
            <w:pPr/>
          </w:p>
        </w:tc>
        <w:tc>
          <w:tcPr>
            <w:tcW w:w="1202" w:type="dxa"/>
            <w:vMerge/>
            <w:tcBorders>
              <w:left w:val="single" w:sz="4" w:space="0" w:color="000000"/>
              <w:bottom w:val="single" w:sz="4" w:space="0" w:color="000000"/>
              <w:right w:val="single" w:sz="4" w:space="0" w:color="000000"/>
            </w:tcBorders>
          </w:tcPr>
          <w:p>
            <w:pPr/>
          </w:p>
        </w:tc>
      </w:tr>
      <w:tr>
        <w:trPr>
          <w:trHeight w:val="714" w:hRule="exact"/>
        </w:trPr>
        <w:tc>
          <w:tcPr>
            <w:tcW w:w="23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6"/>
              <w:jc w:val="left"/>
              <w:rPr>
                <w:rFonts w:ascii="宋体" w:hAnsi="宋体" w:cs="宋体" w:eastAsia="宋体" w:hint="default"/>
                <w:sz w:val="18"/>
                <w:szCs w:val="18"/>
              </w:rPr>
            </w:pPr>
            <w:r>
              <w:rPr>
                <w:rFonts w:ascii="宋体" w:hAnsi="宋体" w:cs="宋体" w:eastAsia="宋体" w:hint="default"/>
                <w:sz w:val="18"/>
                <w:szCs w:val="18"/>
              </w:rPr>
              <w:t>归属于上市公司股东的净资 产（元）</w:t>
            </w:r>
          </w:p>
        </w:tc>
        <w:tc>
          <w:tcPr>
            <w:tcW w:w="12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4,406,885,517.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19</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4,295,785,925.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34</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4,295,785,925.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34</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2.59%</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1,489,073,077.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51</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1,489,073,077.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51</w:t>
            </w:r>
          </w:p>
        </w:tc>
      </w:tr>
    </w:tbl>
    <w:p>
      <w:pPr>
        <w:spacing w:line="240" w:lineRule="auto" w:before="2"/>
        <w:rPr>
          <w:rFonts w:ascii="宋体" w:hAnsi="宋体" w:cs="宋体" w:eastAsia="宋体" w:hint="default"/>
          <w:sz w:val="18"/>
          <w:szCs w:val="18"/>
        </w:rPr>
      </w:pPr>
    </w:p>
    <w:p>
      <w:pPr>
        <w:pStyle w:val="Heading2"/>
        <w:spacing w:line="240" w:lineRule="auto" w:before="26"/>
        <w:ind w:right="1022"/>
        <w:jc w:val="left"/>
        <w:rPr>
          <w:b w:val="0"/>
          <w:bCs w:val="0"/>
        </w:rPr>
      </w:pPr>
      <w:bookmarkStart w:name="七、境内外会计准则下会计数据差异" w:id="10"/>
      <w:bookmarkEnd w:id="10"/>
      <w:r>
        <w:rPr>
          <w:b w:val="0"/>
          <w:bCs w:val="0"/>
        </w:rPr>
      </w:r>
      <w:r>
        <w:rPr/>
        <w:t>七、境内外会计准则下会计数据差异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22"/>
        <w:jc w:val="left"/>
        <w:rPr>
          <w:b w:val="0"/>
          <w:bCs w:val="0"/>
        </w:rPr>
      </w:pPr>
      <w:bookmarkStart w:name="1、同时按照国际会计准则与按照中国会计准则披露的财务报告中净利润和净资产差异情况" w:id="11"/>
      <w:bookmarkEnd w:id="11"/>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157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公司报告期不存在按照国际会计准则与按照中国会计准则披露的财务报告中净利润和净资产差异情况。</w:t>
      </w:r>
    </w:p>
    <w:p>
      <w:pPr>
        <w:spacing w:line="240" w:lineRule="auto" w:before="12"/>
        <w:rPr>
          <w:rFonts w:ascii="宋体" w:hAnsi="宋体" w:cs="宋体" w:eastAsia="宋体" w:hint="default"/>
          <w:sz w:val="20"/>
          <w:szCs w:val="20"/>
        </w:rPr>
      </w:pPr>
    </w:p>
    <w:p>
      <w:pPr>
        <w:pStyle w:val="Heading3"/>
        <w:spacing w:line="240" w:lineRule="auto"/>
        <w:ind w:right="1022"/>
        <w:jc w:val="left"/>
        <w:rPr>
          <w:b w:val="0"/>
          <w:bCs w:val="0"/>
        </w:rPr>
      </w:pPr>
      <w:bookmarkStart w:name="2、同时按照境外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26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公司报告期不存在按照境外会计准则与按照中国会计准则披露的财务报告中净利润和净资产差异情况。</w:t>
      </w:r>
    </w:p>
    <w:p>
      <w:pPr>
        <w:spacing w:line="240" w:lineRule="auto" w:before="6"/>
        <w:rPr>
          <w:rFonts w:ascii="宋体" w:hAnsi="宋体" w:cs="宋体" w:eastAsia="宋体" w:hint="default"/>
          <w:sz w:val="19"/>
          <w:szCs w:val="19"/>
        </w:rPr>
      </w:pPr>
    </w:p>
    <w:p>
      <w:pPr>
        <w:pStyle w:val="Heading2"/>
        <w:spacing w:line="240" w:lineRule="auto"/>
        <w:ind w:right="1022"/>
        <w:jc w:val="left"/>
        <w:rPr>
          <w:b w:val="0"/>
          <w:bCs w:val="0"/>
        </w:rPr>
      </w:pPr>
      <w:bookmarkStart w:name="八、分季度主要财务指标" w:id="13"/>
      <w:bookmarkEnd w:id="13"/>
      <w:r>
        <w:rPr>
          <w:b w:val="0"/>
          <w:bCs w:val="0"/>
        </w:rPr>
      </w:r>
      <w:r>
        <w:rPr/>
        <w:t>八、分季度主要财务指标</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598"/>
        <w:gridCol w:w="1752"/>
        <w:gridCol w:w="1739"/>
        <w:gridCol w:w="1740"/>
        <w:gridCol w:w="1729"/>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4"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144,295,679.02</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453,897,164.06</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443,749,752.81</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889,055,784.84</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-85,683,115.89</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-7,551,920.48</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19,772,814.88</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193,666,735.22</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-85,719,033.18</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-8,244,226.86</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19,549,229.04</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175,230,628.78</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-371,235,977.94</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-88,036,121.08</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-127,806,777.35</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619,947,833.86</w:t>
            </w:r>
          </w:p>
        </w:tc>
      </w:tr>
    </w:tbl>
    <w:p>
      <w:pPr>
        <w:pStyle w:val="BodyText"/>
        <w:spacing w:line="240" w:lineRule="auto" w:before="51"/>
        <w:ind w:right="1022"/>
        <w:jc w:val="left"/>
      </w:pPr>
      <w:r>
        <w:rPr/>
        <w:t>上述财务指标或其加总数是否与公司已披露季度报告、半年度报告相关财务指标存在重大差异</w:t>
      </w:r>
    </w:p>
    <w:p>
      <w:pPr>
        <w:pStyle w:val="BodyText"/>
        <w:spacing w:line="240" w:lineRule="auto" w:before="117"/>
        <w:ind w:right="102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3"/>
        <w:rPr>
          <w:rFonts w:ascii="宋体" w:hAnsi="宋体" w:cs="宋体" w:eastAsia="宋体" w:hint="default"/>
          <w:sz w:val="23"/>
          <w:szCs w:val="23"/>
        </w:rPr>
      </w:pPr>
    </w:p>
    <w:p>
      <w:pPr>
        <w:pStyle w:val="Heading2"/>
        <w:spacing w:line="240" w:lineRule="auto"/>
        <w:ind w:right="1022"/>
        <w:jc w:val="left"/>
        <w:rPr>
          <w:b w:val="0"/>
          <w:bCs w:val="0"/>
        </w:rPr>
      </w:pPr>
      <w:bookmarkStart w:name="九、非经常性损益项目及金额" w:id="14"/>
      <w:bookmarkEnd w:id="14"/>
      <w:r>
        <w:rPr>
          <w:b w:val="0"/>
          <w:bCs w:val="0"/>
        </w:rPr>
      </w:r>
      <w:r>
        <w:rPr/>
        <w:t>九、非经常性损益项目及金额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0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553"/>
        <w:gridCol w:w="1276"/>
        <w:gridCol w:w="1134"/>
        <w:gridCol w:w="1134"/>
        <w:gridCol w:w="3472"/>
      </w:tblGrid>
      <w:tr>
        <w:trPr>
          <w:trHeight w:val="402" w:hRule="exact"/>
        </w:trPr>
        <w:tc>
          <w:tcPr>
            <w:tcW w:w="2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9"/>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3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2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2"/>
                <w:sz w:val="18"/>
                <w:szCs w:val="18"/>
              </w:rPr>
              <w:t>非流动资产处置损益（包括已计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提资产减值准备的冲销部分）</w:t>
            </w:r>
          </w:p>
        </w:tc>
        <w:tc>
          <w:tcPr>
            <w:tcW w:w="127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-31,986.54</w:t>
            </w:r>
            <w:r>
              <w:rPr>
                <w:rFonts w:ascii="Times New Roman"/>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1,003,606.70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-123,874.12</w:t>
            </w:r>
            <w:r>
              <w:rPr>
                <w:rFonts w:ascii="Times New Roman"/>
                <w:sz w:val="18"/>
              </w:rPr>
            </w:r>
          </w:p>
        </w:tc>
        <w:tc>
          <w:tcPr>
            <w:tcW w:w="3472" w:type="dxa"/>
            <w:tcBorders>
              <w:top w:val="single" w:sz="4" w:space="0" w:color="000000"/>
              <w:left w:val="single" w:sz="4" w:space="0" w:color="000000"/>
              <w:bottom w:val="single" w:sz="4" w:space="0" w:color="000000"/>
              <w:right w:val="single" w:sz="4" w:space="0" w:color="000000"/>
            </w:tcBorders>
          </w:tcPr>
          <w:p>
            <w:pPr/>
          </w:p>
        </w:tc>
      </w:tr>
      <w:tr>
        <w:trPr>
          <w:trHeight w:val="473" w:hRule="exact"/>
        </w:trPr>
        <w:tc>
          <w:tcPr>
            <w:tcW w:w="2553"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6"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201" w:right="0"/>
              <w:jc w:val="left"/>
              <w:rPr>
                <w:rFonts w:ascii="Times New Roman" w:hAnsi="Times New Roman" w:cs="Times New Roman" w:eastAsia="Times New Roman" w:hint="default"/>
                <w:sz w:val="18"/>
                <w:szCs w:val="18"/>
              </w:rPr>
            </w:pPr>
            <w:r>
              <w:rPr>
                <w:rFonts w:ascii="Times New Roman"/>
                <w:sz w:val="18"/>
              </w:rPr>
              <w:t>23,349,900.42</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156" w:right="0"/>
              <w:jc w:val="left"/>
              <w:rPr>
                <w:rFonts w:ascii="Times New Roman" w:hAnsi="Times New Roman" w:cs="Times New Roman" w:eastAsia="Times New Roman" w:hint="default"/>
                <w:sz w:val="18"/>
                <w:szCs w:val="18"/>
              </w:rPr>
            </w:pPr>
            <w:r>
              <w:rPr>
                <w:rFonts w:ascii="Times New Roman"/>
                <w:sz w:val="18"/>
              </w:rPr>
              <w:t>6,840,633.08</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66" w:right="0"/>
              <w:jc w:val="left"/>
              <w:rPr>
                <w:rFonts w:ascii="Times New Roman" w:hAnsi="Times New Roman" w:cs="Times New Roman" w:eastAsia="Times New Roman" w:hint="default"/>
                <w:sz w:val="18"/>
                <w:szCs w:val="18"/>
              </w:rPr>
            </w:pPr>
            <w:r>
              <w:rPr>
                <w:rFonts w:ascii="Times New Roman"/>
                <w:sz w:val="18"/>
              </w:rPr>
              <w:t>55,897,325.89</w:t>
            </w:r>
          </w:p>
        </w:tc>
        <w:tc>
          <w:tcPr>
            <w:tcW w:w="3472" w:type="dxa"/>
            <w:vMerge w:val="restart"/>
            <w:tcBorders>
              <w:top w:val="single" w:sz="4" w:space="0" w:color="000000"/>
              <w:left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《企业会计准则第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政府补助》</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宋体" w:hAnsi="宋体" w:cs="宋体" w:eastAsia="宋体" w:hint="default"/>
                <w:sz w:val="18"/>
                <w:szCs w:val="18"/>
              </w:rPr>
              <w:t>）自</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日起施行，</w:t>
            </w:r>
            <w:r>
              <w:rPr>
                <w:rFonts w:ascii="Times New Roman" w:hAnsi="Times New Roman" w:cs="Times New Roman" w:eastAsia="Times New Roman" w:hint="default"/>
                <w:sz w:val="18"/>
                <w:szCs w:val="18"/>
              </w:rPr>
              <w:t>2017</w:t>
            </w:r>
          </w:p>
          <w:p>
            <w:pPr>
              <w:pStyle w:val="TableParagraph"/>
              <w:spacing w:line="309" w:lineRule="auto" w:before="63"/>
              <w:ind w:left="22" w:right="2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日存在的政府补助和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年新增 的政府补助适用该准则。根据规定，公司自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日开始将发生的与日常经营活</w:t>
            </w:r>
          </w:p>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动相关的政府补助计入经常性损益，而</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年无需追溯调整，仍计入非经常性损益。</w:t>
            </w:r>
          </w:p>
        </w:tc>
      </w:tr>
      <w:tr>
        <w:trPr>
          <w:trHeight w:val="1328" w:hRule="exact"/>
        </w:trPr>
        <w:tc>
          <w:tcPr>
            <w:tcW w:w="25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2"/>
                <w:sz w:val="18"/>
                <w:szCs w:val="18"/>
              </w:rPr>
              <w:t>计入当期损益的政府补助（与企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业业务密切相关，按照国家统一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标准定额或定量享受的政府补 助除外）</w:t>
            </w:r>
          </w:p>
        </w:tc>
        <w:tc>
          <w:tcPr>
            <w:tcW w:w="1276" w:type="dxa"/>
            <w:vMerge/>
            <w:tcBorders>
              <w:left w:val="single" w:sz="10" w:space="0" w:color="D2D2D2"/>
              <w:right w:val="single" w:sz="4" w:space="0" w:color="000000"/>
            </w:tcBorders>
          </w:tcPr>
          <w:p>
            <w:pP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3472" w:type="dxa"/>
            <w:vMerge/>
            <w:tcBorders>
              <w:left w:val="single" w:sz="4" w:space="0" w:color="000000"/>
              <w:right w:val="single" w:sz="4" w:space="0" w:color="000000"/>
            </w:tcBorders>
          </w:tcPr>
          <w:p>
            <w:pPr/>
          </w:p>
        </w:tc>
      </w:tr>
      <w:tr>
        <w:trPr>
          <w:trHeight w:val="473" w:hRule="exact"/>
        </w:trPr>
        <w:tc>
          <w:tcPr>
            <w:tcW w:w="2553"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6" w:type="dxa"/>
            <w:vMerge/>
            <w:tcBorders>
              <w:left w:val="single" w:sz="10" w:space="0" w:color="D2D2D2"/>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3472" w:type="dxa"/>
            <w:vMerge/>
            <w:tcBorders>
              <w:left w:val="single" w:sz="4" w:space="0" w:color="000000"/>
              <w:bottom w:val="single" w:sz="4" w:space="0" w:color="000000"/>
              <w:right w:val="single" w:sz="4" w:space="0" w:color="000000"/>
            </w:tcBorders>
          </w:tcPr>
          <w:p>
            <w:pPr/>
          </w:p>
        </w:tc>
      </w:tr>
      <w:tr>
        <w:trPr>
          <w:trHeight w:val="714" w:hRule="exact"/>
        </w:trPr>
        <w:tc>
          <w:tcPr>
            <w:tcW w:w="2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78"/>
              <w:jc w:val="left"/>
              <w:rPr>
                <w:rFonts w:ascii="宋体" w:hAnsi="宋体" w:cs="宋体" w:eastAsia="宋体" w:hint="default"/>
                <w:sz w:val="18"/>
                <w:szCs w:val="18"/>
              </w:rPr>
            </w:pPr>
            <w:r>
              <w:rPr>
                <w:rFonts w:ascii="宋体" w:hAnsi="宋体" w:cs="宋体" w:eastAsia="宋体" w:hint="default"/>
                <w:sz w:val="18"/>
                <w:szCs w:val="18"/>
              </w:rPr>
              <w:t>单独进行减值测试的应收款项 减值准备转回</w:t>
            </w:r>
          </w:p>
        </w:tc>
        <w:tc>
          <w:tcPr>
            <w:tcW w:w="1276" w:type="dxa"/>
            <w:tcBorders>
              <w:top w:val="single" w:sz="4" w:space="0" w:color="000000"/>
              <w:left w:val="single" w:sz="13" w:space="0" w:color="D2D2D2"/>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222,482.30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644,717.90</w:t>
            </w:r>
          </w:p>
        </w:tc>
        <w:tc>
          <w:tcPr>
            <w:tcW w:w="347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78"/>
              <w:jc w:val="left"/>
              <w:rPr>
                <w:rFonts w:ascii="宋体" w:hAnsi="宋体" w:cs="宋体" w:eastAsia="宋体" w:hint="default"/>
                <w:sz w:val="18"/>
                <w:szCs w:val="18"/>
              </w:rPr>
            </w:pPr>
            <w:r>
              <w:rPr>
                <w:rFonts w:ascii="宋体" w:hAnsi="宋体" w:cs="宋体" w:eastAsia="宋体" w:hint="default"/>
                <w:sz w:val="18"/>
                <w:szCs w:val="18"/>
              </w:rPr>
              <w:t>除上述各项之外的其他营业外 收入和支出</w:t>
            </w:r>
          </w:p>
        </w:tc>
        <w:tc>
          <w:tcPr>
            <w:tcW w:w="127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-253,690.98</w:t>
            </w:r>
            <w:r>
              <w:rPr>
                <w:rFonts w:ascii="Times New Roman"/>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-433,269.23</w:t>
            </w:r>
            <w:r>
              <w:rPr>
                <w:rFonts w:ascii="Times New Roman"/>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235,944.77</w:t>
            </w:r>
          </w:p>
        </w:tc>
        <w:tc>
          <w:tcPr>
            <w:tcW w:w="347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27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3,446,246.51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1,215,032.55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8,477,828.59</w:t>
            </w:r>
          </w:p>
        </w:tc>
        <w:tc>
          <w:tcPr>
            <w:tcW w:w="347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78" w:firstLine="360"/>
              <w:jc w:val="left"/>
              <w:rPr>
                <w:rFonts w:ascii="宋体" w:hAnsi="宋体" w:cs="宋体" w:eastAsia="宋体" w:hint="default"/>
                <w:sz w:val="18"/>
                <w:szCs w:val="18"/>
              </w:rPr>
            </w:pPr>
            <w:r>
              <w:rPr>
                <w:rFonts w:ascii="宋体" w:hAnsi="宋体" w:cs="宋体" w:eastAsia="宋体" w:hint="default"/>
                <w:sz w:val="18"/>
                <w:szCs w:val="18"/>
              </w:rPr>
              <w:t>少数股东权益影响额（税 后）</w:t>
            </w:r>
          </w:p>
        </w:tc>
        <w:tc>
          <w:tcPr>
            <w:tcW w:w="127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230,060.44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313,803.26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1,152,196.55</w:t>
            </w:r>
          </w:p>
        </w:tc>
        <w:tc>
          <w:tcPr>
            <w:tcW w:w="347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19,387,915.95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6,104,617.04</w:t>
            </w:r>
          </w:p>
        </w:tc>
        <w:tc>
          <w:tcPr>
            <w:tcW w:w="1134"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47,024,089.30</w:t>
            </w:r>
          </w:p>
        </w:tc>
        <w:tc>
          <w:tcPr>
            <w:tcW w:w="3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1022"/>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3"/>
        <w:ind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69"/>
        <w:ind w:right="10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2" w:lineRule="auto" w:before="101"/>
        <w:ind w:right="1115"/>
        <w:jc w:val="left"/>
      </w:pPr>
      <w:r>
        <w:rPr/>
        <w:t>公司报告期不存在将根据《公开发行证券的公司信息披露解释性公告第</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2"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3221"/>
        <w:jc w:val="center"/>
        <w:rPr>
          <w:b w:val="0"/>
          <w:bCs w:val="0"/>
        </w:rPr>
      </w:pPr>
      <w:bookmarkStart w:name="第三节 公司业务概要" w:id="15"/>
      <w:bookmarkEnd w:id="15"/>
      <w:r>
        <w:rPr>
          <w:b w:val="0"/>
          <w:bCs w:val="0"/>
        </w:rPr>
      </w:r>
      <w:bookmarkStart w:name="_bookmark1" w:id="16"/>
      <w:bookmarkEnd w:id="16"/>
      <w:r>
        <w:rPr>
          <w:b w:val="0"/>
          <w:bCs w:val="0"/>
        </w:rPr>
      </w:r>
      <w:r>
        <w:rPr/>
        <w:t>第三节</w:t>
      </w:r>
      <w:r>
        <w:rPr>
          <w:spacing w:val="-7"/>
        </w:rPr>
        <w:t> </w:t>
      </w:r>
      <w:r>
        <w:rPr/>
        <w:t>公司业务概要</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1022"/>
        <w:jc w:val="left"/>
        <w:rPr>
          <w:b w:val="0"/>
          <w:bCs w:val="0"/>
        </w:rPr>
      </w:pPr>
      <w:bookmarkStart w:name="一、报告期内公司从事的主要业务" w:id="17"/>
      <w:bookmarkEnd w:id="17"/>
      <w:r>
        <w:rPr>
          <w:b w:val="0"/>
          <w:bCs w:val="0"/>
        </w:rPr>
      </w:r>
      <w:r>
        <w:rPr/>
        <w:t>一、报告期内公司从事的主要业务</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7692"/>
        <w:jc w:val="left"/>
      </w:pPr>
      <w:r>
        <w:rPr/>
        <w:t>公司是否需要遵守特殊行业的披露要求 是</w:t>
      </w:r>
    </w:p>
    <w:p>
      <w:pPr>
        <w:pStyle w:val="BodyText"/>
        <w:spacing w:line="240" w:lineRule="auto" w:before="26"/>
        <w:ind w:right="1022"/>
        <w:jc w:val="left"/>
      </w:pPr>
      <w:r>
        <w:rPr/>
        <w:t>软件与信息技术服务业</w:t>
      </w:r>
    </w:p>
    <w:p>
      <w:pPr>
        <w:pStyle w:val="BodyText"/>
        <w:spacing w:line="240" w:lineRule="auto" w:before="116"/>
        <w:ind w:right="1022"/>
        <w:jc w:val="left"/>
      </w:pPr>
      <w:r>
        <w:rPr/>
        <w:t>公司需遵守《深圳证券交易所行业信息披露指引第</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上市公司从事软件与信息技术服务业务》的披露要求</w:t>
      </w:r>
    </w:p>
    <w:p>
      <w:pPr>
        <w:pStyle w:val="BodyText"/>
        <w:spacing w:line="316" w:lineRule="auto" w:before="102"/>
        <w:ind w:left="514" w:right="1022" w:hanging="89"/>
        <w:jc w:val="left"/>
      </w:pPr>
      <w:r>
        <w:rPr>
          <w:rFonts w:ascii="宋体" w:hAnsi="宋体" w:cs="宋体" w:eastAsia="宋体" w:hint="default"/>
          <w:b/>
          <w:bCs/>
        </w:rPr>
        <w:t>（一）公司主要业务</w:t>
      </w:r>
      <w:r>
        <w:rPr>
          <w:rFonts w:ascii="宋体" w:hAnsi="宋体" w:cs="宋体" w:eastAsia="宋体" w:hint="default"/>
          <w:b/>
          <w:bCs/>
          <w:w w:val="99"/>
        </w:rPr>
        <w:t> </w:t>
      </w:r>
      <w:r>
        <w:rPr>
          <w:spacing w:val="-2"/>
        </w:rPr>
        <w:t>卫士通公司自成立以来一直致力于网络安全领域的技术研究及产品开发，经过</w:t>
      </w:r>
      <w:r>
        <w:rPr>
          <w:rFonts w:ascii="Times New Roman" w:hAnsi="Times New Roman" w:cs="Times New Roman" w:eastAsia="Times New Roman" w:hint="default"/>
          <w:spacing w:val="-2"/>
        </w:rPr>
        <w:t>20</w:t>
      </w:r>
      <w:r>
        <w:rPr>
          <w:spacing w:val="-2"/>
        </w:rPr>
        <w:t>年的耕耘，公司从密码技术应用持续拓</w:t>
      </w:r>
    </w:p>
    <w:p>
      <w:pPr>
        <w:pStyle w:val="BodyText"/>
        <w:spacing w:line="300" w:lineRule="auto"/>
        <w:ind w:right="1022"/>
        <w:jc w:val="left"/>
      </w:pPr>
      <w:r>
        <w:rPr/>
        <w:t>展，已形成覆盖密码产品、信息安全产品、安全信息系统的完善的网络安全产品体系，同时，基于</w:t>
      </w:r>
      <w:r>
        <w:rPr>
          <w:rFonts w:ascii="Times New Roman" w:hAnsi="Times New Roman" w:cs="Times New Roman" w:eastAsia="Times New Roman" w:hint="default"/>
        </w:rPr>
        <w:t>ISSE</w:t>
      </w:r>
      <w:r>
        <w:rPr/>
        <w:t>体系框架，为政府、 </w:t>
      </w:r>
      <w:r>
        <w:rPr>
          <w:spacing w:val="-3"/>
        </w:rPr>
        <w:t>能源、金融等用户提供以</w:t>
      </w:r>
      <w:r>
        <w:rPr>
          <w:rFonts w:ascii="Times New Roman" w:hAnsi="Times New Roman" w:cs="Times New Roman" w:eastAsia="Times New Roman" w:hint="default"/>
          <w:spacing w:val="-3"/>
        </w:rPr>
        <w:t>“</w:t>
      </w:r>
      <w:r>
        <w:rPr>
          <w:spacing w:val="-3"/>
        </w:rPr>
        <w:t>安全咨询、风险评估、运维与应急响应</w:t>
      </w:r>
      <w:r>
        <w:rPr>
          <w:rFonts w:ascii="Times New Roman" w:hAnsi="Times New Roman" w:cs="Times New Roman" w:eastAsia="Times New Roman" w:hint="default"/>
          <w:spacing w:val="-3"/>
        </w:rPr>
        <w:t>”</w:t>
      </w:r>
      <w:r>
        <w:rPr>
          <w:spacing w:val="-3"/>
        </w:rPr>
        <w:t>为主要内容的信息系统全生命周期的安全集成与运营服务。</w:t>
      </w:r>
    </w:p>
    <w:p>
      <w:pPr>
        <w:pStyle w:val="BodyText"/>
        <w:spacing w:line="300" w:lineRule="auto" w:before="13"/>
        <w:ind w:right="1140" w:firstLine="360"/>
        <w:jc w:val="both"/>
      </w:pPr>
      <w:r>
        <w:rPr>
          <w:rFonts w:ascii="Times New Roman" w:hAnsi="Times New Roman" w:cs="Times New Roman" w:eastAsia="Times New Roman" w:hint="default"/>
        </w:rPr>
        <w:t>1</w:t>
      </w:r>
      <w:r>
        <w:rPr/>
        <w:t>、密码产品。密码产品指采用密码技术对信息进行加密保护或者安全认证的产品。经过多年的发展，公司已经形成包 括密码芯片、密码模块、密码设备和密码系统在内的全系列密码产品。</w:t>
      </w:r>
    </w:p>
    <w:p>
      <w:pPr>
        <w:pStyle w:val="BodyText"/>
        <w:spacing w:line="304" w:lineRule="auto" w:before="31"/>
        <w:ind w:right="1022" w:firstLine="360"/>
        <w:jc w:val="left"/>
      </w:pPr>
      <w:r>
        <w:rPr>
          <w:spacing w:val="-1"/>
        </w:rPr>
        <w:t>报告期内，公司加强基础共性平台的研究，完成了</w:t>
      </w:r>
      <w:r>
        <w:rPr>
          <w:rFonts w:ascii="Times New Roman" w:hAnsi="Times New Roman" w:cs="Times New Roman" w:eastAsia="Times New Roman" w:hint="default"/>
          <w:spacing w:val="-1"/>
        </w:rPr>
        <w:t>X86</w:t>
      </w:r>
      <w:r>
        <w:rPr>
          <w:spacing w:val="-1"/>
        </w:rPr>
        <w:t>通用硬件平台、统一固件平台和密码中间件的产品研制，并成功</w:t>
      </w:r>
      <w:r>
        <w:rPr/>
        <w:t> </w:t>
      </w:r>
      <w:r>
        <w:rPr>
          <w:spacing w:val="-2"/>
        </w:rPr>
        <w:t>应用于金融数据密码机、</w:t>
      </w:r>
      <w:r>
        <w:rPr>
          <w:rFonts w:ascii="Times New Roman" w:hAnsi="Times New Roman" w:cs="Times New Roman" w:eastAsia="Times New Roman" w:hint="default"/>
          <w:spacing w:val="-2"/>
        </w:rPr>
        <w:t>VPN</w:t>
      </w:r>
      <w:r>
        <w:rPr>
          <w:spacing w:val="-2"/>
        </w:rPr>
        <w:t>等多款密码设备；公司启动移动终端安全芯片和超低功耗安全芯片的研制工作，高速可编程安</w:t>
      </w:r>
      <w:r>
        <w:rPr>
          <w:spacing w:val="-65"/>
        </w:rPr>
        <w:t> </w:t>
      </w:r>
      <w:r>
        <w:rPr>
          <w:spacing w:val="-65"/>
        </w:rPr>
      </w:r>
      <w:r>
        <w:rPr/>
        <w:t>全芯片和高性能嵌入式安全</w:t>
      </w:r>
      <w:r>
        <w:rPr>
          <w:rFonts w:ascii="Times New Roman" w:hAnsi="Times New Roman" w:cs="Times New Roman" w:eastAsia="Times New Roman" w:hint="default"/>
        </w:rPr>
        <w:t>SE</w:t>
      </w:r>
      <w:r>
        <w:rPr/>
        <w:t>按研制计划稳步推进中；软件密码模块完成研制，并获软件密码模块最高商密资质。此外， </w:t>
      </w:r>
      <w:r>
        <w:rPr>
          <w:spacing w:val="-2"/>
        </w:rPr>
        <w:t>在现有产品及服务体系基础上，公司立足于充分发挥密码在网络安全防护中的基础与核心作用，近年来不断加大在密码算法</w:t>
      </w:r>
      <w:r>
        <w:rPr>
          <w:spacing w:val="-64"/>
        </w:rPr>
        <w:t> </w:t>
      </w:r>
      <w:r>
        <w:rPr>
          <w:spacing w:val="-64"/>
        </w:rPr>
      </w:r>
      <w:r>
        <w:rPr/>
        <w:t>分析与设计、量子密码、同态密码、区块链等密码基础前沿领域的科技创新投入。</w:t>
      </w:r>
    </w:p>
    <w:p>
      <w:pPr>
        <w:pStyle w:val="BodyText"/>
        <w:spacing w:line="309" w:lineRule="auto" w:before="28"/>
        <w:ind w:right="1131" w:firstLine="360"/>
        <w:jc w:val="both"/>
      </w:pPr>
      <w:r>
        <w:rPr>
          <w:rFonts w:ascii="Times New Roman" w:hAnsi="Times New Roman" w:cs="Times New Roman" w:eastAsia="Times New Roman" w:hint="default"/>
        </w:rPr>
        <w:t>2</w:t>
      </w:r>
      <w:r>
        <w:rPr/>
        <w:t>、通用网络安全产品。公司通用网络安全产品涵盖环境安全、网络安全、主机安全、数据安全、安全应用及安全管理 </w:t>
      </w:r>
      <w:r>
        <w:rPr>
          <w:spacing w:val="-2"/>
        </w:rPr>
        <w:t>等多个领域，可以为用户提供从硬件到软件、从底层到应用层、从端到云的一体化安全需求，帮助用户有效解决各类场景中</w:t>
      </w:r>
      <w:r>
        <w:rPr>
          <w:spacing w:val="-66"/>
        </w:rPr>
        <w:t> </w:t>
      </w:r>
      <w:r>
        <w:rPr>
          <w:spacing w:val="-66"/>
        </w:rPr>
      </w:r>
      <w:r>
        <w:rPr/>
        <w:t>面临的网络安全问题。</w:t>
      </w:r>
    </w:p>
    <w:p>
      <w:pPr>
        <w:pStyle w:val="BodyText"/>
        <w:spacing w:line="307" w:lineRule="auto" w:before="24"/>
        <w:ind w:right="1052" w:firstLine="360"/>
        <w:jc w:val="left"/>
      </w:pPr>
      <w:r>
        <w:rPr/>
        <w:t>公司和相关企业合作打造的安全视频监控系统，符合</w:t>
      </w:r>
      <w:r>
        <w:rPr>
          <w:rFonts w:ascii="Times New Roman" w:hAnsi="Times New Roman" w:cs="Times New Roman" w:eastAsia="Times New Roman" w:hint="default"/>
        </w:rPr>
        <w:t>GB35114</w:t>
      </w:r>
      <w:r>
        <w:rPr/>
        <w:t>标准要求，能为各种高安全需求客户提供环境安全防护； </w:t>
      </w:r>
      <w:r>
        <w:rPr>
          <w:rFonts w:ascii="Times New Roman" w:hAnsi="Times New Roman" w:cs="Times New Roman" w:eastAsia="Times New Roman" w:hint="default"/>
        </w:rPr>
        <w:t>IPSec VPN</w:t>
      </w:r>
      <w:r>
        <w:rPr/>
        <w:t>、</w:t>
      </w:r>
      <w:r>
        <w:rPr>
          <w:rFonts w:ascii="Times New Roman" w:hAnsi="Times New Roman" w:cs="Times New Roman" w:eastAsia="Times New Roman" w:hint="default"/>
        </w:rPr>
        <w:t>SSL</w:t>
      </w:r>
      <w:r>
        <w:rPr>
          <w:rFonts w:ascii="Times New Roman" w:hAnsi="Times New Roman" w:cs="Times New Roman" w:eastAsia="Times New Roman" w:hint="default"/>
          <w:spacing w:val="-2"/>
        </w:rPr>
        <w:t> </w:t>
      </w:r>
      <w:r>
        <w:rPr>
          <w:rFonts w:ascii="Times New Roman" w:hAnsi="Times New Roman" w:cs="Times New Roman" w:eastAsia="Times New Roman" w:hint="default"/>
        </w:rPr>
        <w:t>VPN</w:t>
      </w:r>
      <w:r>
        <w:rPr/>
        <w:t>、安全隔离交换等产品全面启动</w:t>
      </w:r>
      <w:r>
        <w:rPr>
          <w:rFonts w:ascii="Times New Roman" w:hAnsi="Times New Roman" w:cs="Times New Roman" w:eastAsia="Times New Roman" w:hint="default"/>
        </w:rPr>
        <w:t>IPv6</w:t>
      </w:r>
      <w:r>
        <w:rPr/>
        <w:t>适配改造工作，产品性价比、网络适应性和易用性都得到大幅提 </w:t>
      </w:r>
      <w:r>
        <w:rPr>
          <w:spacing w:val="-2"/>
        </w:rPr>
        <w:t>升；公司研制的电子印章系统通过国家密码管理局商密办测评；安全态势感知系统完成多款用户版本的发布，并广泛应用于</w:t>
      </w:r>
      <w:r>
        <w:rPr>
          <w:spacing w:val="-66"/>
        </w:rPr>
        <w:t> </w:t>
      </w:r>
      <w:r>
        <w:rPr>
          <w:spacing w:val="-66"/>
        </w:rPr>
      </w:r>
      <w:r>
        <w:rPr/>
        <w:t>多个省市。</w:t>
      </w:r>
    </w:p>
    <w:p>
      <w:pPr>
        <w:pStyle w:val="BodyText"/>
        <w:spacing w:line="316" w:lineRule="auto" w:before="26"/>
        <w:ind w:right="1130" w:firstLine="360"/>
        <w:jc w:val="both"/>
      </w:pPr>
      <w:r>
        <w:rPr>
          <w:spacing w:val="-2"/>
        </w:rPr>
        <w:t>在云计算领域，研制了云密码机、云密钥管理系统、云密码资源池管理平台、安全云终端等产品。云服务器密码机实现</w:t>
      </w:r>
      <w:r>
        <w:rPr/>
        <w:t> </w:t>
      </w:r>
      <w:r>
        <w:rPr>
          <w:spacing w:val="-2"/>
        </w:rPr>
        <w:t>了集群化，满足了大分小（虚拟化）、小聚大（集群）等多种需求；在移动互联网领域，从终端、解决方案两个方向规划业</w:t>
      </w:r>
      <w:r>
        <w:rPr>
          <w:spacing w:val="-69"/>
        </w:rPr>
        <w:t> </w:t>
      </w:r>
      <w:r>
        <w:rPr>
          <w:spacing w:val="-69"/>
        </w:rPr>
      </w:r>
      <w:r>
        <w:rPr>
          <w:spacing w:val="-2"/>
        </w:rPr>
        <w:t>务，终端包括手机、平板两类，解决方案主要针对政府、军工、司法三个行业打造移动办公整体解决方案，并在一些移动办</w:t>
      </w:r>
      <w:r>
        <w:rPr>
          <w:spacing w:val="-68"/>
        </w:rPr>
        <w:t> </w:t>
      </w:r>
      <w:r>
        <w:rPr>
          <w:spacing w:val="-68"/>
        </w:rPr>
      </w:r>
      <w:r>
        <w:rPr>
          <w:spacing w:val="-2"/>
        </w:rPr>
        <w:t>公样板工程中推广整体服务保障模式，探索业务转型路线；在物联网领域，积极参与物联网应用示范工程，承担安全保密系</w:t>
      </w:r>
      <w:r>
        <w:rPr>
          <w:spacing w:val="-66"/>
        </w:rPr>
        <w:t> </w:t>
      </w:r>
      <w:r>
        <w:rPr>
          <w:spacing w:val="-66"/>
        </w:rPr>
      </w:r>
      <w:r>
        <w:rPr/>
        <w:t>统的研制，进行</w:t>
      </w:r>
      <w:r>
        <w:rPr>
          <w:rFonts w:ascii="Times New Roman" w:hAnsi="Times New Roman" w:cs="Times New Roman" w:eastAsia="Times New Roman" w:hint="default"/>
        </w:rPr>
        <w:t>IoT</w:t>
      </w:r>
      <w:r>
        <w:rPr/>
        <w:t>加密模组、</w:t>
      </w:r>
      <w:r>
        <w:rPr>
          <w:rFonts w:ascii="Times New Roman" w:hAnsi="Times New Roman" w:cs="Times New Roman" w:eastAsia="Times New Roman" w:hint="default"/>
        </w:rPr>
        <w:t>4G</w:t>
      </w:r>
      <w:r>
        <w:rPr/>
        <w:t>加密、物联网加密网关等产品的研制。</w:t>
      </w:r>
    </w:p>
    <w:p>
      <w:pPr>
        <w:pStyle w:val="BodyText"/>
        <w:spacing w:line="300" w:lineRule="auto"/>
        <w:ind w:right="1140" w:firstLine="360"/>
        <w:jc w:val="both"/>
      </w:pPr>
      <w:r>
        <w:rPr>
          <w:rFonts w:ascii="Times New Roman" w:hAnsi="Times New Roman" w:cs="Times New Roman" w:eastAsia="Times New Roman" w:hint="default"/>
        </w:rPr>
        <w:t>3</w:t>
      </w:r>
      <w:r>
        <w:rPr/>
        <w:t>、行业应用安全产品。卫士通近年来积极践行安全与应用紧密融合的思路，形成了电子政务、金融、能源、公检法等 多类应用安全产品。</w:t>
      </w:r>
    </w:p>
    <w:p>
      <w:pPr>
        <w:pStyle w:val="BodyText"/>
        <w:spacing w:line="300" w:lineRule="auto" w:before="31"/>
        <w:ind w:right="1132" w:firstLine="360"/>
        <w:jc w:val="both"/>
      </w:pPr>
      <w:r>
        <w:rPr>
          <w:spacing w:val="-2"/>
        </w:rPr>
        <w:t>在电子政务领域，信任服务系统全面满足</w:t>
      </w:r>
      <w:r>
        <w:rPr>
          <w:rFonts w:ascii="Times New Roman" w:hAnsi="Times New Roman" w:cs="Times New Roman" w:eastAsia="Times New Roman" w:hint="default"/>
          <w:spacing w:val="-2"/>
        </w:rPr>
        <w:t>2018</w:t>
      </w:r>
      <w:r>
        <w:rPr>
          <w:spacing w:val="-2"/>
        </w:rPr>
        <w:t>年新标准，目前已有各类用户数十家；在金融、能源领域，积极通过降成</w:t>
      </w:r>
      <w:r>
        <w:rPr/>
        <w:t> 本、增功能、提性能来提升产品竞争力，同时瞄准国际市场，启动相关出口型产品的研制及</w:t>
      </w:r>
      <w:r>
        <w:rPr>
          <w:rFonts w:ascii="Times New Roman" w:hAnsi="Times New Roman" w:cs="Times New Roman" w:eastAsia="Times New Roman" w:hint="default"/>
        </w:rPr>
        <w:t>FIPS</w:t>
      </w:r>
      <w:r>
        <w:rPr/>
        <w:t>认证工作。</w:t>
      </w:r>
    </w:p>
    <w:p>
      <w:pPr>
        <w:pStyle w:val="BodyText"/>
        <w:spacing w:line="300" w:lineRule="auto" w:before="13"/>
        <w:ind w:right="1140" w:firstLine="360"/>
        <w:jc w:val="both"/>
      </w:pPr>
      <w:r>
        <w:rPr>
          <w:rFonts w:ascii="Times New Roman" w:hAnsi="Times New Roman" w:cs="Times New Roman" w:eastAsia="Times New Roman" w:hint="default"/>
        </w:rPr>
        <w:t>4</w:t>
      </w:r>
      <w:r>
        <w:rPr/>
        <w:t>、安全集成与运营服务。公司基于以密码为核心，一体化安全与整体运维服务并重的发展路径，依托强大的技术支持 和营销网络为各层次用户提供包括咨询、规划、设计、实施和运维在内的全生命周期安全支持与运营服务。</w:t>
      </w:r>
    </w:p>
    <w:p>
      <w:pPr>
        <w:pStyle w:val="BodyText"/>
        <w:spacing w:line="300" w:lineRule="auto" w:before="32"/>
        <w:ind w:right="1131" w:firstLine="360"/>
        <w:jc w:val="both"/>
      </w:pPr>
      <w:r>
        <w:rPr>
          <w:spacing w:val="-2"/>
        </w:rPr>
        <w:t>报告期内，公司按照</w:t>
      </w:r>
      <w:r>
        <w:rPr>
          <w:rFonts w:ascii="Times New Roman" w:hAnsi="Times New Roman" w:cs="Times New Roman" w:eastAsia="Times New Roman" w:hint="default"/>
          <w:spacing w:val="-2"/>
        </w:rPr>
        <w:t>“</w:t>
      </w:r>
      <w:r>
        <w:rPr>
          <w:spacing w:val="-2"/>
        </w:rPr>
        <w:t>密码应用</w:t>
      </w:r>
      <w:r>
        <w:rPr>
          <w:rFonts w:ascii="Times New Roman" w:hAnsi="Times New Roman" w:cs="Times New Roman" w:eastAsia="Times New Roman" w:hint="default"/>
          <w:spacing w:val="-2"/>
        </w:rPr>
        <w:t>”</w:t>
      </w:r>
      <w:r>
        <w:rPr>
          <w:spacing w:val="-2"/>
        </w:rPr>
        <w:t>等相关要求设计一体化安全云平台，面向第三方云、物端、移动端等提供密码和安全特</w:t>
      </w:r>
      <w:r>
        <w:rPr/>
        <w:t> </w:t>
      </w:r>
      <w:r>
        <w:rPr>
          <w:spacing w:val="-1"/>
        </w:rPr>
        <w:t>色服务，并能为用户提供多类云上应用服务，打通物联网</w:t>
      </w:r>
      <w:r>
        <w:rPr>
          <w:rFonts w:ascii="Times New Roman" w:hAnsi="Times New Roman" w:cs="Times New Roman" w:eastAsia="Times New Roman" w:hint="default"/>
          <w:spacing w:val="-1"/>
        </w:rPr>
        <w:t>“</w:t>
      </w:r>
      <w:r>
        <w:rPr>
          <w:spacing w:val="-1"/>
        </w:rPr>
        <w:t>物端</w:t>
      </w:r>
      <w:r>
        <w:rPr>
          <w:rFonts w:ascii="Times New Roman" w:hAnsi="Times New Roman" w:cs="Times New Roman" w:eastAsia="Times New Roman" w:hint="default"/>
          <w:spacing w:val="-1"/>
        </w:rPr>
        <w:t>”</w:t>
      </w:r>
      <w:r>
        <w:rPr>
          <w:spacing w:val="-1"/>
        </w:rPr>
        <w:t>和</w:t>
      </w:r>
      <w:r>
        <w:rPr>
          <w:rFonts w:ascii="Times New Roman" w:hAnsi="Times New Roman" w:cs="Times New Roman" w:eastAsia="Times New Roman" w:hint="default"/>
          <w:spacing w:val="-1"/>
        </w:rPr>
        <w:t>“</w:t>
      </w:r>
      <w:r>
        <w:rPr>
          <w:spacing w:val="-1"/>
        </w:rPr>
        <w:t>移动端</w:t>
      </w:r>
      <w:r>
        <w:rPr>
          <w:rFonts w:ascii="Times New Roman" w:hAnsi="Times New Roman" w:cs="Times New Roman" w:eastAsia="Times New Roman" w:hint="default"/>
          <w:spacing w:val="-1"/>
        </w:rPr>
        <w:t>”</w:t>
      </w:r>
      <w:r>
        <w:rPr>
          <w:spacing w:val="-1"/>
        </w:rPr>
        <w:t>。目前已在北京和成都建成两地多中心，并实现</w:t>
      </w:r>
      <w:r>
        <w:rPr>
          <w:spacing w:val="-79"/>
        </w:rPr>
        <w:t> </w:t>
      </w:r>
      <w:r>
        <w:rPr>
          <w:spacing w:val="-79"/>
        </w:rPr>
      </w:r>
      <w:r>
        <w:rPr/>
        <w:t>两地共同运维的云服务平台，为众多客户提供</w:t>
      </w:r>
      <w:r>
        <w:rPr>
          <w:rFonts w:ascii="Times New Roman" w:hAnsi="Times New Roman" w:cs="Times New Roman" w:eastAsia="Times New Roman" w:hint="default"/>
        </w:rPr>
        <w:t>IaaS</w:t>
      </w:r>
      <w:r>
        <w:rPr/>
        <w:t>服务、</w:t>
      </w:r>
      <w:r>
        <w:rPr>
          <w:rFonts w:ascii="Times New Roman" w:hAnsi="Times New Roman" w:cs="Times New Roman" w:eastAsia="Times New Roman" w:hint="default"/>
        </w:rPr>
        <w:t>PaaS</w:t>
      </w:r>
      <w:r>
        <w:rPr/>
        <w:t>服务、</w:t>
      </w:r>
      <w:r>
        <w:rPr>
          <w:rFonts w:ascii="Times New Roman" w:hAnsi="Times New Roman" w:cs="Times New Roman" w:eastAsia="Times New Roman" w:hint="default"/>
        </w:rPr>
        <w:t>SaaS</w:t>
      </w:r>
      <w:r>
        <w:rPr/>
        <w:t>服务。</w:t>
      </w:r>
    </w:p>
    <w:p>
      <w:pPr>
        <w:pStyle w:val="Heading5"/>
        <w:spacing w:line="240" w:lineRule="auto" w:before="13"/>
        <w:ind w:right="1022"/>
        <w:jc w:val="left"/>
        <w:rPr>
          <w:b w:val="0"/>
          <w:bCs w:val="0"/>
        </w:rPr>
      </w:pPr>
      <w:r>
        <w:rPr/>
        <w:t>（二）宏观经济形势等外部因素分析</w:t>
      </w:r>
      <w:r>
        <w:rPr>
          <w:b w:val="0"/>
          <w:bCs w:val="0"/>
        </w:rPr>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b/>
          <w:bCs/>
          <w:sz w:val="25"/>
          <w:szCs w:val="25"/>
        </w:rPr>
      </w:pPr>
    </w:p>
    <w:p>
      <w:pPr>
        <w:pStyle w:val="BodyText"/>
        <w:spacing w:line="309" w:lineRule="auto" w:before="44"/>
        <w:ind w:right="1032" w:firstLine="360"/>
        <w:jc w:val="left"/>
      </w:pPr>
      <w:r>
        <w:rPr/>
        <w:t>随着网络与信息化产业的蓬勃发展，网络安全已成为事关国家安全与经济发展的重大问题。据赛迪顾问报告数据显示， </w:t>
      </w:r>
      <w:r>
        <w:rPr>
          <w:rFonts w:ascii="Times New Roman" w:hAnsi="Times New Roman" w:cs="Times New Roman" w:eastAsia="Times New Roman" w:hint="default"/>
        </w:rPr>
        <w:t>2018</w:t>
      </w:r>
      <w:r>
        <w:rPr/>
        <w:t>年，中国网络安全市场整体规模达到</w:t>
      </w:r>
      <w:r>
        <w:rPr>
          <w:rFonts w:ascii="Times New Roman" w:hAnsi="Times New Roman" w:cs="Times New Roman" w:eastAsia="Times New Roman" w:hint="default"/>
        </w:rPr>
        <w:t>495.2</w:t>
      </w:r>
      <w:r>
        <w:rPr/>
        <w:t>亿元，同比增长</w:t>
      </w:r>
      <w:r>
        <w:rPr>
          <w:rFonts w:ascii="Times New Roman" w:hAnsi="Times New Roman" w:cs="Times New Roman" w:eastAsia="Times New Roman" w:hint="default"/>
        </w:rPr>
        <w:t>20.9%</w:t>
      </w:r>
      <w:r>
        <w:rPr/>
        <w:t>。随着数字经济的发展，物联网建设的逐步推进，网络 </w:t>
      </w:r>
      <w:r>
        <w:rPr>
          <w:spacing w:val="-1"/>
        </w:rPr>
        <w:t>安全作为数字经济发展的必要保障，投入将持续增加，赛迪顾问预测，到</w:t>
      </w:r>
      <w:r>
        <w:rPr>
          <w:rFonts w:ascii="Times New Roman" w:hAnsi="Times New Roman" w:cs="Times New Roman" w:eastAsia="Times New Roman" w:hint="default"/>
          <w:spacing w:val="-1"/>
        </w:rPr>
        <w:t>2021</w:t>
      </w:r>
      <w:r>
        <w:rPr>
          <w:spacing w:val="-1"/>
        </w:rPr>
        <w:t>年，中国网络信息安全市场将达到</w:t>
      </w:r>
      <w:r>
        <w:rPr>
          <w:rFonts w:ascii="Times New Roman" w:hAnsi="Times New Roman" w:cs="Times New Roman" w:eastAsia="Times New Roman" w:hint="default"/>
          <w:spacing w:val="-1"/>
        </w:rPr>
        <w:t>926.8</w:t>
      </w:r>
      <w:r>
        <w:rPr>
          <w:spacing w:val="-1"/>
        </w:rPr>
        <w:t>亿元。</w:t>
      </w:r>
    </w:p>
    <w:p>
      <w:pPr>
        <w:pStyle w:val="BodyText"/>
        <w:spacing w:line="240" w:lineRule="auto" w:before="5"/>
        <w:ind w:left="514" w:right="1022"/>
        <w:jc w:val="left"/>
      </w:pPr>
      <w:r>
        <w:rPr>
          <w:rFonts w:ascii="Times New Roman" w:hAnsi="Times New Roman" w:cs="Times New Roman" w:eastAsia="Times New Roman" w:hint="default"/>
        </w:rPr>
        <w:t>1</w:t>
      </w:r>
      <w:r>
        <w:rPr/>
        <w:t>、数字经济蓬勃发展，为网络安全市场提供新驱动</w:t>
      </w:r>
    </w:p>
    <w:p>
      <w:pPr>
        <w:pStyle w:val="BodyText"/>
        <w:spacing w:line="312" w:lineRule="auto" w:before="63"/>
        <w:ind w:right="1022" w:firstLine="360"/>
        <w:jc w:val="left"/>
      </w:pPr>
      <w:r>
        <w:rPr>
          <w:rFonts w:ascii="Times New Roman" w:hAnsi="Times New Roman" w:cs="Times New Roman" w:eastAsia="Times New Roman" w:hint="default"/>
          <w:spacing w:val="-2"/>
        </w:rPr>
        <w:t>2017</w:t>
      </w:r>
      <w:r>
        <w:rPr>
          <w:spacing w:val="-2"/>
        </w:rPr>
        <w:t>年，数字经济正式写入政府工作报告，我国数字经济发展开启了新篇章。未来数字经济发展主要涉及新旧动能转换</w:t>
      </w:r>
      <w:r>
        <w:rPr/>
        <w:t> </w:t>
      </w:r>
      <w:r>
        <w:rPr>
          <w:spacing w:val="-4"/>
        </w:rPr>
        <w:t>两大方向：一是加快推动数字产业化，以信息化培育新动能，构建新一代信息基础设施，完善数据资源建设，形成自主可控、</w:t>
      </w:r>
      <w:r>
        <w:rPr>
          <w:spacing w:val="-44"/>
        </w:rPr>
        <w:t> </w:t>
      </w:r>
      <w:r>
        <w:rPr>
          <w:spacing w:val="-44"/>
        </w:rPr>
      </w:r>
      <w:r>
        <w:rPr>
          <w:spacing w:val="-4"/>
        </w:rPr>
        <w:t>安全可信的产业链、价值链和生态系统，不断催生新产业、新业态、新模式；二是加快推动产业数字化，改造提升传统产业，</w:t>
      </w:r>
      <w:r>
        <w:rPr>
          <w:spacing w:val="-44"/>
        </w:rPr>
        <w:t> </w:t>
      </w:r>
      <w:r>
        <w:rPr>
          <w:spacing w:val="-44"/>
        </w:rPr>
      </w:r>
      <w:r>
        <w:rPr/>
        <w:t>推动人工智能、大数据、互联网和实体经济在多个领域的深度融合，释放数字对经济发展的放大、叠加和倍增作用。</w:t>
      </w:r>
    </w:p>
    <w:p>
      <w:pPr>
        <w:pStyle w:val="BodyText"/>
        <w:spacing w:line="304" w:lineRule="auto" w:before="22"/>
        <w:ind w:right="1022" w:firstLine="360"/>
        <w:jc w:val="left"/>
      </w:pPr>
      <w:r>
        <w:rPr/>
        <w:t>在</w:t>
      </w:r>
      <w:r>
        <w:rPr>
          <w:rFonts w:ascii="Times New Roman" w:hAnsi="Times New Roman" w:cs="Times New Roman" w:eastAsia="Times New Roman" w:hint="default"/>
        </w:rPr>
        <w:t>2018</w:t>
      </w:r>
      <w:r>
        <w:rPr/>
        <w:t>年的政府工作报告中提出，深入开展</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行动，实行包容审慎监管，推动大数据、云计算、物联网广泛应 </w:t>
      </w:r>
      <w:r>
        <w:rPr>
          <w:spacing w:val="-1"/>
        </w:rPr>
        <w:t>用，新兴产业蓬勃发展，传统产业深刻重塑。在</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5</w:t>
      </w:r>
      <w:r>
        <w:rPr>
          <w:spacing w:val="-1"/>
        </w:rPr>
        <w:t>月国家互联网信息办公室发布的《数字中国建设发展报告</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w:t>
      </w:r>
      <w:r>
        <w:rPr>
          <w:spacing w:val="-1"/>
        </w:rPr>
        <w:t>》</w:t>
      </w:r>
      <w:r>
        <w:rPr>
          <w:spacing w:val="-54"/>
        </w:rPr>
        <w:t> </w:t>
      </w:r>
      <w:r>
        <w:rPr>
          <w:spacing w:val="-4"/>
        </w:rPr>
        <w:t>中，设计了我国信息化发展评价指标体系，主要包括信息服务应用、信息技术产业、产业数字化、信息基础设施、网络安全、</w:t>
      </w:r>
      <w:r>
        <w:rPr>
          <w:spacing w:val="-44"/>
        </w:rPr>
        <w:t> </w:t>
      </w:r>
      <w:r>
        <w:rPr>
          <w:spacing w:val="-44"/>
        </w:rPr>
      </w:r>
      <w:r>
        <w:rPr/>
        <w:t>政策环境等</w:t>
      </w:r>
      <w:r>
        <w:rPr>
          <w:rFonts w:ascii="Times New Roman" w:hAnsi="Times New Roman" w:cs="Times New Roman" w:eastAsia="Times New Roman" w:hint="default"/>
        </w:rPr>
        <w:t>6</w:t>
      </w:r>
      <w:r>
        <w:rPr/>
        <w:t>个方面的指标，其中包含了网络安全工作机制、网络安全漏洞防护和网民网络安全意识等内容的</w:t>
      </w:r>
      <w:r>
        <w:rPr>
          <w:rFonts w:ascii="Times New Roman" w:hAnsi="Times New Roman" w:cs="Times New Roman" w:eastAsia="Times New Roman" w:hint="default"/>
        </w:rPr>
        <w:t>“</w:t>
      </w:r>
      <w:r>
        <w:rPr/>
        <w:t>网络安全</w:t>
      </w:r>
      <w:r>
        <w:rPr>
          <w:rFonts w:ascii="Times New Roman" w:hAnsi="Times New Roman" w:cs="Times New Roman" w:eastAsia="Times New Roman" w:hint="default"/>
        </w:rPr>
        <w:t>”</w:t>
      </w:r>
      <w:r>
        <w:rPr/>
        <w:t>指 标占据</w:t>
      </w:r>
      <w:r>
        <w:rPr>
          <w:rFonts w:ascii="Times New Roman" w:hAnsi="Times New Roman" w:cs="Times New Roman" w:eastAsia="Times New Roman" w:hint="default"/>
        </w:rPr>
        <w:t>15%</w:t>
      </w:r>
      <w:r>
        <w:rPr/>
        <w:t>的权重。可以预见，在数字化转型浪潮推动下，网络安全将持续增加投入，市场关注度将持续上升。</w:t>
      </w:r>
    </w:p>
    <w:p>
      <w:pPr>
        <w:pStyle w:val="BodyText"/>
        <w:spacing w:line="240" w:lineRule="auto" w:before="9"/>
        <w:ind w:left="514" w:right="1022"/>
        <w:jc w:val="left"/>
      </w:pPr>
      <w:r>
        <w:rPr>
          <w:rFonts w:ascii="Times New Roman" w:hAnsi="Times New Roman" w:cs="Times New Roman" w:eastAsia="Times New Roman" w:hint="default"/>
        </w:rPr>
        <w:t>2</w:t>
      </w:r>
      <w:r>
        <w:rPr/>
        <w:t>、网络安全监管体系持续完善，网络安全法律及配套制度逐步健全</w:t>
      </w:r>
    </w:p>
    <w:p>
      <w:pPr>
        <w:pStyle w:val="BodyText"/>
        <w:spacing w:line="309" w:lineRule="auto" w:before="63"/>
        <w:ind w:right="1133" w:firstLine="360"/>
        <w:jc w:val="both"/>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月召开的十九届中央国家安全委员会、全国网络安全和信息化工作会议上，习近平强调了加强党对国家安全工 </w:t>
      </w:r>
      <w:r>
        <w:rPr>
          <w:spacing w:val="-2"/>
        </w:rPr>
        <w:t>作的集中统一领导，系统阐述了网络强国战略思想，深刻回答了事关网信事业发展的一系列重大理论和实践问题，为加快推</w:t>
      </w:r>
      <w:r>
        <w:rPr>
          <w:spacing w:val="-66"/>
        </w:rPr>
        <w:t> </w:t>
      </w:r>
      <w:r>
        <w:rPr>
          <w:spacing w:val="-66"/>
        </w:rPr>
      </w:r>
      <w:r>
        <w:rPr/>
        <w:t>进网络强国建设指明前进方向、提供根本遵循。</w:t>
      </w:r>
    </w:p>
    <w:p>
      <w:pPr>
        <w:pStyle w:val="BodyText"/>
        <w:spacing w:line="312" w:lineRule="auto" w:before="24"/>
        <w:ind w:right="1131" w:firstLine="360"/>
        <w:jc w:val="both"/>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月，《网络安全法》正式实施一周年，网络安全法律及配套制度逐步完善，逐渐形成了综合法律、单行条例及 </w:t>
      </w:r>
      <w:r>
        <w:rPr>
          <w:spacing w:val="-2"/>
        </w:rPr>
        <w:t>标准指引的立体规范体系。在这一年中，网络安全监管与执法案件频现报端，各执法机关也进一步强化了日常监管巡查，处</w:t>
      </w:r>
      <w:r>
        <w:rPr>
          <w:spacing w:val="-66"/>
        </w:rPr>
        <w:t> </w:t>
      </w:r>
      <w:r>
        <w:rPr>
          <w:spacing w:val="-66"/>
        </w:rPr>
      </w:r>
      <w:r>
        <w:rPr>
          <w:spacing w:val="-2"/>
        </w:rPr>
        <w:t>罚力度也日渐加强，甚至出现了直接关停网络或高额罚款等情况。随着网络安全政策法规持续完善优化，网络安全市场规范</w:t>
      </w:r>
      <w:r>
        <w:rPr>
          <w:spacing w:val="-66"/>
        </w:rPr>
        <w:t> </w:t>
      </w:r>
      <w:r>
        <w:rPr>
          <w:spacing w:val="-66"/>
        </w:rPr>
      </w:r>
      <w:r>
        <w:rPr/>
        <w:t>性逐步提升，政企客户在网络安全产品和服务上的投入将稳步增长。</w:t>
      </w:r>
    </w:p>
    <w:p>
      <w:pPr>
        <w:pStyle w:val="BodyText"/>
        <w:spacing w:line="240" w:lineRule="auto" w:before="22"/>
        <w:ind w:left="514" w:right="1022"/>
        <w:jc w:val="left"/>
      </w:pPr>
      <w:r>
        <w:rPr>
          <w:rFonts w:ascii="Times New Roman" w:hAnsi="Times New Roman" w:cs="Times New Roman" w:eastAsia="Times New Roman" w:hint="default"/>
        </w:rPr>
        <w:t>3</w:t>
      </w:r>
      <w:r>
        <w:rPr/>
        <w:t>、新兴技术的发展也极大的推动了网络安全产业的增长</w:t>
      </w:r>
    </w:p>
    <w:p>
      <w:pPr>
        <w:pStyle w:val="BodyText"/>
        <w:spacing w:line="309" w:lineRule="auto" w:before="63"/>
        <w:ind w:right="1131" w:firstLine="360"/>
        <w:jc w:val="both"/>
      </w:pPr>
      <w:r>
        <w:rPr>
          <w:rFonts w:ascii="Times New Roman" w:hAnsi="Times New Roman" w:cs="Times New Roman" w:eastAsia="Times New Roman" w:hint="default"/>
        </w:rPr>
        <w:t>5G</w:t>
      </w:r>
      <w:r>
        <w:rPr/>
        <w:t>、人工智能、区块链、大数据、云计算、移动互联网等各种新技术、新应用、新场景不断萌生，使安全形势愈发严 </w:t>
      </w:r>
      <w:r>
        <w:rPr>
          <w:spacing w:val="-2"/>
        </w:rPr>
        <w:t>峻。针对关键基础设施的网络攻击将愈演愈烈，互联网与传统产业、传统应用与服务融合引发的安全威胁更为复杂，物联网</w:t>
      </w:r>
      <w:r>
        <w:rPr>
          <w:spacing w:val="-66"/>
        </w:rPr>
        <w:t> </w:t>
      </w:r>
      <w:r>
        <w:rPr>
          <w:spacing w:val="-66"/>
        </w:rPr>
      </w:r>
      <w:r>
        <w:rPr/>
        <w:t>安全风险将愈发严重，网络安全需求不断延伸，进一步倒逼网络安全产业加速发展。</w:t>
      </w:r>
    </w:p>
    <w:p>
      <w:pPr>
        <w:spacing w:line="240" w:lineRule="auto" w:before="2"/>
        <w:rPr>
          <w:rFonts w:ascii="宋体" w:hAnsi="宋体" w:cs="宋体" w:eastAsia="宋体" w:hint="default"/>
          <w:sz w:val="21"/>
          <w:szCs w:val="21"/>
        </w:rPr>
      </w:pPr>
    </w:p>
    <w:p>
      <w:pPr>
        <w:pStyle w:val="Heading2"/>
        <w:spacing w:line="240" w:lineRule="auto"/>
        <w:ind w:right="1022"/>
        <w:jc w:val="left"/>
        <w:rPr>
          <w:b w:val="0"/>
          <w:bCs w:val="0"/>
        </w:rPr>
      </w:pPr>
      <w:bookmarkStart w:name="二、主要资产重大变化情况" w:id="18"/>
      <w:bookmarkEnd w:id="18"/>
      <w:r>
        <w:rPr>
          <w:b w:val="0"/>
          <w:bCs w:val="0"/>
        </w:rPr>
      </w:r>
      <w:r>
        <w:rPr/>
        <w:t>二、主要资产重大变化情况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22"/>
        <w:jc w:val="left"/>
        <w:rPr>
          <w:b w:val="0"/>
          <w:bCs w:val="0"/>
        </w:rPr>
      </w:pPr>
      <w:bookmarkStart w:name="1、主要资产重大变化情况" w:id="19"/>
      <w:bookmarkEnd w:id="19"/>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85"/>
        <w:gridCol w:w="7584"/>
      </w:tblGrid>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51"/>
              <w:ind w:left="626" w:right="0"/>
              <w:jc w:val="left"/>
              <w:rPr>
                <w:rFonts w:ascii="宋体" w:hAnsi="宋体" w:cs="宋体" w:eastAsia="宋体" w:hint="default"/>
                <w:sz w:val="18"/>
                <w:szCs w:val="18"/>
              </w:rPr>
            </w:pPr>
            <w:r>
              <w:rPr>
                <w:rFonts w:ascii="宋体" w:hAnsi="宋体" w:cs="宋体" w:eastAsia="宋体" w:hint="default"/>
                <w:sz w:val="18"/>
                <w:szCs w:val="18"/>
              </w:rPr>
              <w:t>主要资产</w:t>
            </w:r>
          </w:p>
        </w:tc>
        <w:tc>
          <w:tcPr>
            <w:tcW w:w="758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758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758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758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主要系本年公司内部研发形成以及自外部购置的软件、专利权大幅增加所致。</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758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7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主要系本年公司采购备货，库存商品增加所致。</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7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主要系本年部分子公司可抵扣亏损以及资产减值准备增加，导致可抵扣暂时性差异增加所致。</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7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10"/>
              <w:jc w:val="left"/>
              <w:rPr>
                <w:rFonts w:ascii="宋体" w:hAnsi="宋体" w:cs="宋体" w:eastAsia="宋体" w:hint="default"/>
                <w:sz w:val="18"/>
                <w:szCs w:val="18"/>
              </w:rPr>
            </w:pPr>
            <w:r>
              <w:rPr>
                <w:rFonts w:ascii="宋体" w:hAnsi="宋体" w:cs="宋体" w:eastAsia="宋体" w:hint="default"/>
                <w:sz w:val="18"/>
                <w:szCs w:val="18"/>
              </w:rPr>
              <w:t>主要系子公司中电科（北京）网络信息安全有限公司定增项目实施搭建的演示环境及研发平台。</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7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系公司年末未到期的中电科财务公司贷款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7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主要系本年公司收到的预收货款增加所致。</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7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主要系本年公司票据结算业务量增加所致。</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3"/>
          <w:szCs w:val="3"/>
        </w:rPr>
      </w:pPr>
    </w:p>
    <w:tbl>
      <w:tblPr>
        <w:tblW w:w="0" w:type="auto"/>
        <w:jc w:val="left"/>
        <w:tblInd w:w="149" w:type="dxa"/>
        <w:tblLayout w:type="fixed"/>
        <w:tblCellMar>
          <w:top w:w="0" w:type="dxa"/>
          <w:left w:w="0" w:type="dxa"/>
          <w:bottom w:w="0" w:type="dxa"/>
          <w:right w:w="0" w:type="dxa"/>
        </w:tblCellMar>
        <w:tblLook w:val="01E0"/>
      </w:tblPr>
      <w:tblGrid>
        <w:gridCol w:w="1985"/>
        <w:gridCol w:w="7584"/>
      </w:tblGrid>
      <w:tr>
        <w:trPr>
          <w:trHeight w:val="332" w:hRule="exact"/>
        </w:trPr>
        <w:tc>
          <w:tcPr>
            <w:tcW w:w="1985" w:type="dxa"/>
            <w:tcBorders>
              <w:top w:val="nil" w:sz="6" w:space="0" w:color="auto"/>
              <w:left w:val="nil" w:sz="6" w:space="0" w:color="auto"/>
              <w:bottom w:val="single" w:sz="4" w:space="0" w:color="000000"/>
              <w:right w:val="nil" w:sz="6" w:space="0" w:color="auto"/>
            </w:tcBorders>
          </w:tcPr>
          <w:p>
            <w:pPr/>
          </w:p>
        </w:tc>
        <w:tc>
          <w:tcPr>
            <w:tcW w:w="7584" w:type="dxa"/>
            <w:tcBorders>
              <w:top w:val="nil" w:sz="6" w:space="0" w:color="auto"/>
              <w:left w:val="nil" w:sz="6" w:space="0" w:color="auto"/>
              <w:bottom w:val="single" w:sz="4" w:space="0" w:color="000000"/>
              <w:right w:val="nil" w:sz="6" w:space="0" w:color="auto"/>
            </w:tcBorders>
          </w:tcPr>
          <w:p>
            <w:pP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7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主要系本年收到的政策性项目拨款大幅增加所致。</w:t>
            </w:r>
          </w:p>
        </w:tc>
      </w:tr>
    </w:tbl>
    <w:p>
      <w:pPr>
        <w:spacing w:line="240" w:lineRule="auto" w:before="2"/>
        <w:rPr>
          <w:rFonts w:ascii="宋体" w:hAnsi="宋体" w:cs="宋体" w:eastAsia="宋体" w:hint="default"/>
          <w:b/>
          <w:bCs/>
          <w:sz w:val="19"/>
          <w:szCs w:val="19"/>
        </w:rPr>
      </w:pPr>
    </w:p>
    <w:p>
      <w:pPr>
        <w:pStyle w:val="Heading3"/>
        <w:spacing w:line="240" w:lineRule="auto" w:before="35"/>
        <w:ind w:right="1022"/>
        <w:jc w:val="left"/>
        <w:rPr>
          <w:b w:val="0"/>
          <w:bCs w:val="0"/>
        </w:rPr>
      </w:pPr>
      <w:r>
        <w:rPr/>
        <w:pict>
          <v:group style="position:absolute;margin-left:55.200001pt;margin-top:-49.526318pt;width:485pt;height:.1pt;mso-position-horizontal-relative:page;mso-position-vertical-relative:paragraph;z-index:-1003624" coordorigin="1104,-991" coordsize="9700,2">
            <v:shape style="position:absolute;left:1104;top:-991;width:9700;height:2" coordorigin="1104,-991" coordsize="9700,0" path="m1104,-991l10804,-991e" filled="false" stroked="true" strokeweight=".72pt" strokecolor="#000000">
              <v:path arrowok="t"/>
            </v:shape>
            <w10:wrap type="none"/>
          </v:group>
        </w:pict>
      </w:r>
      <w:bookmarkStart w:name="2、主要境外资产情况" w:id="20"/>
      <w:bookmarkEnd w:id="20"/>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022"/>
        <w:jc w:val="left"/>
        <w:rPr>
          <w:b w:val="0"/>
          <w:bCs w:val="0"/>
        </w:rPr>
      </w:pPr>
      <w:bookmarkStart w:name="三、核心竞争力分析" w:id="21"/>
      <w:bookmarkEnd w:id="21"/>
      <w:r>
        <w:rPr>
          <w:b w:val="0"/>
          <w:bCs w:val="0"/>
        </w:rPr>
      </w:r>
      <w:r>
        <w:rPr/>
        <w:t>三、核心竞争力分析</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7692"/>
        <w:jc w:val="left"/>
      </w:pPr>
      <w:r>
        <w:rPr/>
        <w:t>公司是否需要遵守特殊行业的披露要求 是</w:t>
      </w:r>
    </w:p>
    <w:p>
      <w:pPr>
        <w:pStyle w:val="BodyText"/>
        <w:spacing w:line="357" w:lineRule="auto" w:before="26"/>
        <w:ind w:left="514" w:right="1032" w:hanging="360"/>
        <w:jc w:val="left"/>
      </w:pPr>
      <w:r>
        <w:rPr/>
        <w:t>软件与信息技术服务业 卫士通公司经过二十年的发展，积累了大量密码及网络安全核心技术，能够满足用户从硬件到软件、从底层到应用层、</w:t>
      </w:r>
    </w:p>
    <w:p>
      <w:pPr>
        <w:pStyle w:val="BodyText"/>
        <w:spacing w:line="224" w:lineRule="exact"/>
        <w:ind w:right="0"/>
        <w:jc w:val="left"/>
      </w:pPr>
      <w:r>
        <w:rPr/>
        <w:t>从端到云的一体化安全需求，帮助用户有效解决基础设施防护、智慧城市、移动办公、安全应用、工业控制、云计算、信任</w:t>
      </w:r>
    </w:p>
    <w:p>
      <w:pPr>
        <w:pStyle w:val="BodyText"/>
        <w:spacing w:line="240" w:lineRule="auto" w:before="76"/>
        <w:ind w:right="1022"/>
        <w:jc w:val="left"/>
      </w:pPr>
      <w:r>
        <w:rPr/>
        <w:t>服务等各类场景中面临的安全问题。</w:t>
      </w:r>
    </w:p>
    <w:p>
      <w:pPr>
        <w:pStyle w:val="BodyText"/>
        <w:spacing w:line="300" w:lineRule="auto" w:before="76"/>
        <w:ind w:left="514" w:right="1032"/>
        <w:jc w:val="left"/>
      </w:pPr>
      <w:r>
        <w:rPr>
          <w:rFonts w:ascii="Times New Roman" w:hAnsi="Times New Roman" w:cs="Times New Roman" w:eastAsia="Times New Roman" w:hint="default"/>
        </w:rPr>
        <w:t>1</w:t>
      </w:r>
      <w:r>
        <w:rPr/>
        <w:t>、完整产业链覆盖 卫士通公司拥有从理论研究、芯片、模块、应用、整机、系统、整体解决方案到安全运维服务的完整网络安全产业链，</w:t>
      </w:r>
    </w:p>
    <w:p>
      <w:pPr>
        <w:pStyle w:val="BodyText"/>
        <w:spacing w:line="240" w:lineRule="auto" w:before="31"/>
        <w:ind w:right="1022"/>
        <w:jc w:val="left"/>
      </w:pPr>
      <w:r>
        <w:rPr/>
        <w:t>并具备产业链各环节的设计、制造、营销、服务能力。</w:t>
      </w:r>
    </w:p>
    <w:p>
      <w:pPr>
        <w:pStyle w:val="BodyText"/>
        <w:spacing w:line="300" w:lineRule="auto" w:before="76"/>
        <w:ind w:left="514" w:right="1022"/>
        <w:jc w:val="left"/>
      </w:pPr>
      <w:r>
        <w:rPr>
          <w:rFonts w:ascii="Times New Roman" w:hAnsi="Times New Roman" w:cs="Times New Roman" w:eastAsia="Times New Roman" w:hint="default"/>
        </w:rPr>
        <w:t>2</w:t>
      </w:r>
      <w:r>
        <w:rPr/>
        <w:t>、密码技术深厚积淀 </w:t>
      </w:r>
      <w:r>
        <w:rPr>
          <w:spacing w:val="-2"/>
        </w:rPr>
        <w:t>密码是网络安全的基础支撑和核心保障，卫士通公司长期在密码技术领域进行研究和拓展，具有深厚的技术积累。公司</w:t>
      </w:r>
    </w:p>
    <w:p>
      <w:pPr>
        <w:pStyle w:val="BodyText"/>
        <w:spacing w:line="316" w:lineRule="auto" w:before="31"/>
        <w:ind w:right="1131"/>
        <w:jc w:val="both"/>
      </w:pPr>
      <w:r>
        <w:rPr>
          <w:spacing w:val="-2"/>
        </w:rPr>
        <w:t>在密码产品多样性和密码算法高性能实现方面一直保持国内领先，多项商密产品达到国内首创、国际领先水平。基于密码与</w:t>
      </w:r>
      <w:r>
        <w:rPr>
          <w:spacing w:val="-65"/>
        </w:rPr>
        <w:t> </w:t>
      </w:r>
      <w:r>
        <w:rPr>
          <w:spacing w:val="-65"/>
        </w:rPr>
      </w:r>
      <w:r>
        <w:rPr>
          <w:spacing w:val="-2"/>
        </w:rPr>
        <w:t>安全技术积淀，公司参与了大量国家信息安全行业标准的制定，包括国家信息安全标准体系、国家密码标准体系规划、信息</w:t>
      </w:r>
      <w:r>
        <w:rPr>
          <w:spacing w:val="-66"/>
        </w:rPr>
        <w:t> </w:t>
      </w:r>
      <w:r>
        <w:rPr>
          <w:spacing w:val="-66"/>
        </w:rPr>
      </w:r>
      <w:r>
        <w:rPr/>
        <w:t>安全产品认证管理体系等，为公司的可持续发展奠定了坚实的基础。</w:t>
      </w:r>
    </w:p>
    <w:p>
      <w:pPr>
        <w:pStyle w:val="BodyText"/>
        <w:spacing w:line="300" w:lineRule="auto" w:before="19"/>
        <w:ind w:left="514" w:right="1132"/>
        <w:jc w:val="left"/>
      </w:pPr>
      <w:r>
        <w:rPr>
          <w:rFonts w:ascii="Times New Roman" w:hAnsi="Times New Roman" w:cs="Times New Roman" w:eastAsia="Times New Roman" w:hint="default"/>
        </w:rPr>
        <w:t>3</w:t>
      </w:r>
      <w:r>
        <w:rPr/>
        <w:t>、全生命周期安全集成与服务能力 卫士通公司凭借先进的网络安全体系框架理念和完整的产品线综合优势，形成了</w:t>
      </w:r>
      <w:r>
        <w:rPr>
          <w:rFonts w:ascii="Times New Roman" w:hAnsi="Times New Roman" w:cs="Times New Roman" w:eastAsia="Times New Roman" w:hint="default"/>
        </w:rPr>
        <w:t>“</w:t>
      </w:r>
      <w:r>
        <w:rPr/>
        <w:t>安全咨询、在线安全服务、应急响应</w:t>
      </w:r>
    </w:p>
    <w:p>
      <w:pPr>
        <w:pStyle w:val="BodyText"/>
        <w:spacing w:line="300" w:lineRule="auto" w:before="13"/>
        <w:ind w:right="1132"/>
        <w:jc w:val="left"/>
      </w:pPr>
      <w:r>
        <w:rPr/>
        <w:t>服务、安全运维服务</w:t>
      </w:r>
      <w:r>
        <w:rPr>
          <w:rFonts w:ascii="Times New Roman" w:hAnsi="Times New Roman" w:cs="Times New Roman" w:eastAsia="Times New Roman" w:hint="default"/>
        </w:rPr>
        <w:t>”</w:t>
      </w:r>
      <w:r>
        <w:rPr/>
        <w:t>为主要内容的信息系统全生命周期安全集成与服务能力，承接了大量国家级重点工程，并为政府、央 企、金融、能源、社保、公交等重点领域及行业用户提供安全集成与服务。</w:t>
      </w:r>
    </w:p>
    <w:p>
      <w:pPr>
        <w:pStyle w:val="BodyText"/>
        <w:spacing w:line="300" w:lineRule="auto" w:before="31"/>
        <w:ind w:left="514" w:right="1122"/>
        <w:jc w:val="left"/>
      </w:pPr>
      <w:r>
        <w:rPr>
          <w:rFonts w:ascii="Times New Roman" w:hAnsi="Times New Roman" w:cs="Times New Roman" w:eastAsia="Times New Roman" w:hint="default"/>
        </w:rPr>
        <w:t>4</w:t>
      </w:r>
      <w:r>
        <w:rPr/>
        <w:t>、辐射全国的市场营销网络 公司建立了行业和区域相结合的矩阵式营销服务支撑体系，通过北方、西南、西北、华东、华南、四川</w:t>
      </w:r>
      <w:r>
        <w:rPr>
          <w:rFonts w:ascii="Times New Roman" w:hAnsi="Times New Roman" w:cs="Times New Roman" w:eastAsia="Times New Roman" w:hint="default"/>
        </w:rPr>
        <w:t>6</w:t>
      </w:r>
      <w:r>
        <w:rPr/>
        <w:t>大区域营销服</w:t>
      </w:r>
    </w:p>
    <w:p>
      <w:pPr>
        <w:pStyle w:val="BodyText"/>
        <w:spacing w:line="300" w:lineRule="auto" w:before="13"/>
        <w:ind w:right="1022"/>
        <w:jc w:val="left"/>
      </w:pPr>
      <w:r>
        <w:rPr>
          <w:spacing w:val="-2"/>
        </w:rPr>
        <w:t>务中心及下设的</w:t>
      </w:r>
      <w:r>
        <w:rPr>
          <w:rFonts w:ascii="Times New Roman" w:hAnsi="Times New Roman" w:cs="Times New Roman" w:eastAsia="Times New Roman" w:hint="default"/>
          <w:spacing w:val="-2"/>
        </w:rPr>
        <w:t>20</w:t>
      </w:r>
      <w:r>
        <w:rPr>
          <w:spacing w:val="-2"/>
        </w:rPr>
        <w:t>余个分公司、办事处，配合政府、金融、能源、央企、移动互联网等多个行业营销部门，建立了辐射全国</w:t>
      </w:r>
      <w:r>
        <w:rPr>
          <w:spacing w:val="-70"/>
        </w:rPr>
        <w:t> </w:t>
      </w:r>
      <w:r>
        <w:rPr>
          <w:spacing w:val="-70"/>
        </w:rPr>
      </w:r>
      <w:r>
        <w:rPr/>
        <w:t>的营销和服务网络，进一步提升了公司的本地化营销服务能力。</w:t>
      </w:r>
    </w:p>
    <w:p>
      <w:pPr>
        <w:pStyle w:val="BodyText"/>
        <w:spacing w:line="300" w:lineRule="auto" w:before="31"/>
        <w:ind w:left="514" w:right="1212"/>
        <w:jc w:val="left"/>
        <w:rPr>
          <w:rFonts w:ascii="Times New Roman" w:hAnsi="Times New Roman" w:cs="Times New Roman" w:eastAsia="Times New Roman" w:hint="default"/>
        </w:rPr>
      </w:pPr>
      <w:r>
        <w:rPr>
          <w:rFonts w:ascii="Times New Roman" w:hAnsi="Times New Roman" w:cs="Times New Roman" w:eastAsia="Times New Roman" w:hint="default"/>
        </w:rPr>
        <w:t>5</w:t>
      </w:r>
      <w:r>
        <w:rPr/>
        <w:t>、持续提升的技术创新能力 公司研发的系列密码产品具有完全自主知识产权，现有</w:t>
      </w:r>
      <w:r>
        <w:rPr>
          <w:rFonts w:ascii="Times New Roman" w:hAnsi="Times New Roman" w:cs="Times New Roman" w:eastAsia="Times New Roman" w:hint="default"/>
        </w:rPr>
        <w:t>67</w:t>
      </w:r>
      <w:r>
        <w:rPr/>
        <w:t>项发明专利、</w:t>
      </w:r>
      <w:r>
        <w:rPr>
          <w:rFonts w:ascii="Times New Roman" w:hAnsi="Times New Roman" w:cs="Times New Roman" w:eastAsia="Times New Roman" w:hint="default"/>
        </w:rPr>
        <w:t>112</w:t>
      </w:r>
      <w:r>
        <w:rPr/>
        <w:t>项软件著作权，主持或参与制定国家标准</w:t>
      </w:r>
      <w:r>
        <w:rPr>
          <w:rFonts w:ascii="Times New Roman" w:hAnsi="Times New Roman" w:cs="Times New Roman" w:eastAsia="Times New Roman" w:hint="default"/>
        </w:rPr>
        <w:t>1</w:t>
      </w:r>
    </w:p>
    <w:p>
      <w:pPr>
        <w:pStyle w:val="BodyText"/>
        <w:spacing w:line="300" w:lineRule="auto" w:before="13"/>
        <w:ind w:right="1032"/>
        <w:jc w:val="left"/>
      </w:pPr>
      <w:r>
        <w:rPr>
          <w:spacing w:val="-2"/>
        </w:rPr>
        <w:t>项、行业标准</w:t>
      </w:r>
      <w:r>
        <w:rPr>
          <w:rFonts w:ascii="Times New Roman" w:hAnsi="Times New Roman" w:cs="Times New Roman" w:eastAsia="Times New Roman" w:hint="default"/>
          <w:spacing w:val="-2"/>
        </w:rPr>
        <w:t>38</w:t>
      </w:r>
      <w:r>
        <w:rPr>
          <w:spacing w:val="-2"/>
        </w:rPr>
        <w:t>项。承担了大量国家级重大技术攻关及产业化项目，如科技支撑计划项目、高技术产业化示范工程项目、自</w:t>
      </w:r>
      <w:r>
        <w:rPr>
          <w:spacing w:val="-64"/>
        </w:rPr>
        <w:t> </w:t>
      </w:r>
      <w:r>
        <w:rPr>
          <w:spacing w:val="-64"/>
        </w:rPr>
      </w:r>
      <w:r>
        <w:rPr/>
        <w:t>主高安全专网技术与产品研发及产业化、移动互联网应用安全接入平台、高性能</w:t>
      </w:r>
      <w:r>
        <w:rPr>
          <w:rFonts w:ascii="Times New Roman" w:hAnsi="Times New Roman" w:cs="Times New Roman" w:eastAsia="Times New Roman" w:hint="default"/>
        </w:rPr>
        <w:t>VPN</w:t>
      </w:r>
      <w:r>
        <w:rPr/>
        <w:t>设备研发与产业化等国家级创新项目， </w:t>
      </w:r>
      <w:r>
        <w:rPr>
          <w:spacing w:val="-2"/>
        </w:rPr>
        <w:t>以及国家、省部委重点新产品、重点技术创新科研项目</w:t>
      </w:r>
      <w:r>
        <w:rPr>
          <w:rFonts w:ascii="Times New Roman" w:hAnsi="Times New Roman" w:cs="Times New Roman" w:eastAsia="Times New Roman" w:hint="default"/>
          <w:spacing w:val="-2"/>
        </w:rPr>
        <w:t>50</w:t>
      </w:r>
      <w:r>
        <w:rPr>
          <w:spacing w:val="-2"/>
        </w:rPr>
        <w:t>余项，荣获省部级科技进步奖一等奖</w:t>
      </w:r>
      <w:r>
        <w:rPr>
          <w:rFonts w:ascii="Times New Roman" w:hAnsi="Times New Roman" w:cs="Times New Roman" w:eastAsia="Times New Roman" w:hint="default"/>
          <w:spacing w:val="-2"/>
        </w:rPr>
        <w:t>1</w:t>
      </w:r>
      <w:r>
        <w:rPr>
          <w:spacing w:val="-2"/>
        </w:rPr>
        <w:t>项、二等奖</w:t>
      </w:r>
      <w:r>
        <w:rPr>
          <w:rFonts w:ascii="Times New Roman" w:hAnsi="Times New Roman" w:cs="Times New Roman" w:eastAsia="Times New Roman" w:hint="default"/>
          <w:spacing w:val="-2"/>
        </w:rPr>
        <w:t>4</w:t>
      </w:r>
      <w:r>
        <w:rPr>
          <w:spacing w:val="-2"/>
        </w:rPr>
        <w:t>项、三等奖</w:t>
      </w:r>
      <w:r>
        <w:rPr>
          <w:rFonts w:ascii="Times New Roman" w:hAnsi="Times New Roman" w:cs="Times New Roman" w:eastAsia="Times New Roman" w:hint="default"/>
          <w:spacing w:val="-2"/>
        </w:rPr>
        <w:t>6</w:t>
      </w:r>
      <w:r>
        <w:rPr>
          <w:spacing w:val="-2"/>
        </w:rPr>
        <w:t>项。</w:t>
      </w:r>
      <w:r>
        <w:rPr>
          <w:spacing w:val="-61"/>
        </w:rPr>
        <w:t> </w:t>
      </w:r>
      <w:r>
        <w:rPr/>
        <w:t>公司高度重视研发与技术创新，成立了包括</w:t>
      </w:r>
      <w:r>
        <w:rPr>
          <w:rFonts w:ascii="Times New Roman" w:hAnsi="Times New Roman" w:cs="Times New Roman" w:eastAsia="Times New Roman" w:hint="default"/>
        </w:rPr>
        <w:t>“</w:t>
      </w:r>
      <w:r>
        <w:rPr/>
        <w:t>研究院</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摩石实验室</w:t>
      </w:r>
      <w:r>
        <w:rPr>
          <w:rFonts w:ascii="Times New Roman" w:hAnsi="Times New Roman" w:cs="Times New Roman" w:eastAsia="Times New Roman" w:hint="default"/>
        </w:rPr>
        <w:t>”</w:t>
      </w:r>
      <w:r>
        <w:rPr/>
        <w:t>、省级科技创新平台</w:t>
      </w:r>
      <w:r>
        <w:rPr>
          <w:rFonts w:ascii="Times New Roman" w:hAnsi="Times New Roman" w:cs="Times New Roman" w:eastAsia="Times New Roman" w:hint="default"/>
        </w:rPr>
        <w:t>“</w:t>
      </w:r>
      <w:r>
        <w:rPr/>
        <w:t>可信云计算与大数据四川省重点 实验室</w:t>
      </w:r>
      <w:r>
        <w:rPr>
          <w:rFonts w:ascii="Times New Roman" w:hAnsi="Times New Roman" w:cs="Times New Roman" w:eastAsia="Times New Roman" w:hint="default"/>
        </w:rPr>
        <w:t>”</w:t>
      </w:r>
      <w:r>
        <w:rPr/>
        <w:t>等一系列科研创新机构，在公司现有产品及服务体系基础上，不断加大在工业控制、可信计算、密码基础前沿研究 及应用等领域的科技创新投入。</w:t>
      </w:r>
    </w:p>
    <w:p>
      <w:pPr>
        <w:pStyle w:val="BodyText"/>
        <w:spacing w:line="300" w:lineRule="auto" w:before="31"/>
        <w:ind w:left="514" w:right="1022"/>
        <w:jc w:val="left"/>
      </w:pPr>
      <w:r>
        <w:rPr>
          <w:rFonts w:ascii="Times New Roman" w:hAnsi="Times New Roman" w:cs="Times New Roman" w:eastAsia="Times New Roman" w:hint="default"/>
        </w:rPr>
        <w:t>6</w:t>
      </w:r>
      <w:r>
        <w:rPr/>
        <w:t>、稳定的核心人才队伍 </w:t>
      </w:r>
      <w:r>
        <w:rPr>
          <w:spacing w:val="-2"/>
        </w:rPr>
        <w:t>公司高度注重人才队伍建设，持续开展网络安全核心人才挖掘和培养，通过外部引进、自身培养等多种方式相结合，构</w:t>
      </w:r>
    </w:p>
    <w:p>
      <w:pPr>
        <w:pStyle w:val="BodyText"/>
        <w:spacing w:line="316" w:lineRule="auto" w:before="32"/>
        <w:ind w:right="1022"/>
        <w:jc w:val="left"/>
      </w:pPr>
      <w:r>
        <w:rPr/>
        <w:t>建了一支稳定的技术研发、总体规划、营销策划核心人才队伍。 </w:t>
      </w:r>
      <w:r>
        <w:rPr>
          <w:spacing w:val="-2"/>
        </w:rPr>
        <w:t>公司拥有人力资源和社会保障部认定的企业博士后科研工作站，并与国内知名高校及科研院所建立起长期合作关系，通过项</w:t>
      </w:r>
      <w:r>
        <w:rPr>
          <w:spacing w:val="-64"/>
        </w:rPr>
        <w:t> </w:t>
      </w:r>
      <w:r>
        <w:rPr>
          <w:spacing w:val="-64"/>
        </w:rPr>
      </w:r>
      <w:r>
        <w:rPr>
          <w:spacing w:val="-2"/>
        </w:rPr>
        <w:t>目合作、实习实训平台、互派教授导师等校企合作方式，产学研相结合，促进公司技术能力及创新能力提升，快速有力推进</w:t>
      </w:r>
      <w:r>
        <w:rPr>
          <w:spacing w:val="-66"/>
        </w:rPr>
        <w:t> </w:t>
      </w:r>
      <w:r>
        <w:rPr>
          <w:spacing w:val="-66"/>
        </w:rPr>
      </w:r>
      <w:r>
        <w:rPr/>
        <w:t>各类前沿技术和科研成果的市场化进程，实现公司可持续发展。</w:t>
      </w:r>
    </w:p>
    <w:p>
      <w:pPr>
        <w:spacing w:after="0" w:line="316" w:lineRule="auto"/>
        <w:jc w:val="left"/>
        <w:sectPr>
          <w:pgSz w:w="11910" w:h="16840"/>
          <w:pgMar w:header="747" w:footer="979" w:top="1060" w:bottom="1160" w:left="98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21"/>
          <w:szCs w:val="21"/>
        </w:rPr>
      </w:pPr>
    </w:p>
    <w:p>
      <w:pPr>
        <w:pStyle w:val="BodyText"/>
        <w:spacing w:line="300" w:lineRule="auto" w:before="44"/>
        <w:ind w:left="514" w:right="1162"/>
        <w:jc w:val="left"/>
      </w:pPr>
      <w:r>
        <w:rPr>
          <w:rFonts w:ascii="Times New Roman" w:hAnsi="Times New Roman" w:cs="Times New Roman" w:eastAsia="Times New Roman" w:hint="default"/>
        </w:rPr>
        <w:t>7</w:t>
      </w:r>
      <w:r>
        <w:rPr/>
        <w:t>、完备的网络安全资质体系 公司具有涉密计算机信息系统集成资质（甲级）、计算机信息系统集成一级资质、</w:t>
      </w:r>
      <w:r>
        <w:rPr>
          <w:rFonts w:ascii="Times New Roman" w:hAnsi="Times New Roman" w:cs="Times New Roman" w:eastAsia="Times New Roman" w:hint="default"/>
        </w:rPr>
        <w:t>CMMI</w:t>
      </w:r>
      <w:r>
        <w:rPr>
          <w:rFonts w:ascii="Times New Roman" w:hAnsi="Times New Roman" w:cs="Times New Roman" w:eastAsia="Times New Roman" w:hint="default"/>
        </w:rPr>
        <w:t>—</w:t>
      </w:r>
      <w:r>
        <w:rPr>
          <w:rFonts w:ascii="Times New Roman" w:hAnsi="Times New Roman" w:cs="Times New Roman" w:eastAsia="Times New Roman" w:hint="default"/>
        </w:rPr>
        <w:t>3</w:t>
      </w:r>
      <w:r>
        <w:rPr/>
        <w:t>级证书、建筑智能化系统</w:t>
      </w:r>
    </w:p>
    <w:p>
      <w:pPr>
        <w:pStyle w:val="BodyText"/>
        <w:spacing w:line="300" w:lineRule="auto" w:before="13"/>
        <w:ind w:right="1022"/>
        <w:jc w:val="left"/>
      </w:pPr>
      <w:r>
        <w:rPr>
          <w:spacing w:val="-2"/>
        </w:rPr>
        <w:t>设计专项甲级资质、电子与智能化工程专业承包壹级证书、安防一级资质和</w:t>
      </w:r>
      <w:r>
        <w:rPr>
          <w:rFonts w:ascii="Times New Roman" w:hAnsi="Times New Roman" w:cs="Times New Roman" w:eastAsia="Times New Roman" w:hint="default"/>
          <w:spacing w:val="-2"/>
        </w:rPr>
        <w:t>ISCCC</w:t>
      </w:r>
      <w:r>
        <w:rPr>
          <w:spacing w:val="-2"/>
        </w:rPr>
        <w:t>信息安全服务资质认证证书（信息系统安</w:t>
      </w:r>
      <w:r>
        <w:rPr>
          <w:spacing w:val="-43"/>
        </w:rPr>
        <w:t> </w:t>
      </w:r>
      <w:r>
        <w:rPr>
          <w:spacing w:val="-43"/>
        </w:rPr>
      </w:r>
      <w:r>
        <w:rPr/>
        <w:t>全集成一级）、国家信息安全测评信息安全服务资质证书（安全工程类一级）等。</w:t>
      </w:r>
    </w:p>
    <w:p>
      <w:pPr>
        <w:pStyle w:val="BodyText"/>
        <w:spacing w:line="300" w:lineRule="auto" w:before="32"/>
        <w:ind w:left="514" w:right="1212"/>
        <w:jc w:val="left"/>
      </w:pPr>
      <w:r>
        <w:rPr>
          <w:rFonts w:ascii="Times New Roman" w:hAnsi="Times New Roman" w:cs="Times New Roman" w:eastAsia="Times New Roman" w:hint="default"/>
        </w:rPr>
        <w:t>8</w:t>
      </w:r>
      <w:r>
        <w:rPr/>
        <w:t>、强大的资源支持 公司实际控制人中国电子科技集团有限公司和控股股东中国电子科技网络信息安全有限公司具备雄厚的技术实力和创</w:t>
      </w:r>
    </w:p>
    <w:p>
      <w:pPr>
        <w:pStyle w:val="BodyText"/>
        <w:spacing w:line="240" w:lineRule="auto" w:before="31"/>
        <w:ind w:right="1022"/>
        <w:jc w:val="left"/>
      </w:pPr>
      <w:r>
        <w:rPr/>
        <w:t>新能力，能够为卫士通业务、技术、产品等各方面能力的持续提升和创新提供有力的支撑。</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2966" w:right="1022"/>
        <w:jc w:val="left"/>
        <w:rPr>
          <w:b w:val="0"/>
          <w:bCs w:val="0"/>
        </w:rPr>
      </w:pPr>
      <w:bookmarkStart w:name="第四节 经营情况讨论与分析" w:id="22"/>
      <w:bookmarkEnd w:id="22"/>
      <w:r>
        <w:rPr>
          <w:b w:val="0"/>
          <w:bCs w:val="0"/>
        </w:rPr>
      </w:r>
      <w:bookmarkStart w:name="_bookmark2" w:id="23"/>
      <w:bookmarkEnd w:id="23"/>
      <w:r>
        <w:rPr>
          <w:b w:val="0"/>
          <w:bCs w:val="0"/>
        </w:rPr>
      </w:r>
      <w:r>
        <w:rPr/>
        <w:t>第四节</w:t>
      </w:r>
      <w:r>
        <w:rPr>
          <w:spacing w:val="-10"/>
        </w:rPr>
        <w:t> </w:t>
      </w:r>
      <w:r>
        <w:rPr/>
        <w:t>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1022"/>
        <w:jc w:val="left"/>
        <w:rPr>
          <w:b w:val="0"/>
          <w:bCs w:val="0"/>
        </w:rPr>
      </w:pPr>
      <w:bookmarkStart w:name="一、概述" w:id="24"/>
      <w:bookmarkEnd w:id="24"/>
      <w:r>
        <w:rPr>
          <w:b w:val="0"/>
          <w:bCs w:val="0"/>
        </w:rPr>
      </w:r>
      <w:r>
        <w:rPr/>
        <w:t>一、概述</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131" w:firstLine="360"/>
        <w:jc w:val="both"/>
      </w:pPr>
      <w:r>
        <w:rPr>
          <w:rFonts w:ascii="Times New Roman" w:hAnsi="Times New Roman" w:cs="Times New Roman" w:eastAsia="Times New Roman" w:hint="default"/>
          <w:spacing w:val="-2"/>
        </w:rPr>
        <w:t>2018</w:t>
      </w:r>
      <w:r>
        <w:rPr>
          <w:spacing w:val="-2"/>
        </w:rPr>
        <w:t>年，公司承受着传统核心业务竞争加剧、优势减弱和新业务孵化新模式初创、产出不明显的多重压力，公司年度总</w:t>
      </w:r>
      <w:r>
        <w:rPr/>
        <w:t> </w:t>
      </w:r>
      <w:r>
        <w:rPr>
          <w:spacing w:val="2"/>
        </w:rPr>
        <w:t>体经济运行形势并不理想。</w:t>
      </w:r>
      <w:r>
        <w:rPr>
          <w:rFonts w:ascii="Times New Roman" w:hAnsi="Times New Roman" w:cs="Times New Roman" w:eastAsia="Times New Roman" w:hint="default"/>
          <w:spacing w:val="2"/>
        </w:rPr>
        <w:t>2018</w:t>
      </w:r>
      <w:r>
        <w:rPr>
          <w:spacing w:val="2"/>
        </w:rPr>
        <w:t>年实现营业总收入</w:t>
      </w:r>
      <w:r>
        <w:rPr>
          <w:rFonts w:ascii="Times New Roman" w:hAnsi="Times New Roman" w:cs="Times New Roman" w:eastAsia="Times New Roman" w:hint="default"/>
          <w:spacing w:val="2"/>
        </w:rPr>
        <w:t>193,099.84</w:t>
      </w:r>
      <w:r>
        <w:rPr>
          <w:spacing w:val="2"/>
        </w:rPr>
        <w:t>万元，同比增长</w:t>
      </w:r>
      <w:r>
        <w:rPr>
          <w:rFonts w:ascii="Times New Roman" w:hAnsi="Times New Roman" w:cs="Times New Roman" w:eastAsia="Times New Roman" w:hint="default"/>
          <w:spacing w:val="2"/>
        </w:rPr>
        <w:t>-9.64%</w:t>
      </w:r>
      <w:r>
        <w:rPr>
          <w:spacing w:val="2"/>
        </w:rPr>
        <w:t>；实现归属于上市公司股东的净利润</w:t>
      </w:r>
      <w:r>
        <w:rPr>
          <w:spacing w:val="-44"/>
        </w:rPr>
        <w:t> </w:t>
      </w:r>
      <w:r>
        <w:rPr>
          <w:spacing w:val="-44"/>
        </w:rPr>
      </w:r>
      <w:r>
        <w:rPr>
          <w:rFonts w:ascii="Times New Roman" w:hAnsi="Times New Roman" w:cs="Times New Roman" w:eastAsia="Times New Roman" w:hint="default"/>
        </w:rPr>
        <w:t>12,020.45</w:t>
      </w:r>
      <w:r>
        <w:rPr/>
        <w:t>万元，同比增长</w:t>
      </w:r>
      <w:r>
        <w:rPr>
          <w:rFonts w:ascii="Times New Roman" w:hAnsi="Times New Roman" w:cs="Times New Roman" w:eastAsia="Times New Roman" w:hint="default"/>
        </w:rPr>
        <w:t>-28.90%</w:t>
      </w:r>
      <w:r>
        <w:rPr/>
        <w:t>；报告期末公司资产总额</w:t>
      </w:r>
      <w:r>
        <w:rPr>
          <w:rFonts w:ascii="Times New Roman" w:hAnsi="Times New Roman" w:cs="Times New Roman" w:eastAsia="Times New Roman" w:hint="default"/>
        </w:rPr>
        <w:t>622,027.89</w:t>
      </w:r>
      <w:r>
        <w:rPr/>
        <w:t>万元，同比增长</w:t>
      </w:r>
      <w:r>
        <w:rPr>
          <w:rFonts w:ascii="Times New Roman" w:hAnsi="Times New Roman" w:cs="Times New Roman" w:eastAsia="Times New Roman" w:hint="default"/>
        </w:rPr>
        <w:t>8.11%</w:t>
      </w:r>
      <w:r>
        <w:rPr/>
        <w:t>；归属于上市公司股东的所有者 权益</w:t>
      </w:r>
      <w:r>
        <w:rPr>
          <w:rFonts w:ascii="Times New Roman" w:hAnsi="Times New Roman" w:cs="Times New Roman" w:eastAsia="Times New Roman" w:hint="default"/>
        </w:rPr>
        <w:t>440,688.55</w:t>
      </w:r>
      <w:r>
        <w:rPr/>
        <w:t>万元，同比增长</w:t>
      </w:r>
      <w:r>
        <w:rPr>
          <w:rFonts w:ascii="Times New Roman" w:hAnsi="Times New Roman" w:cs="Times New Roman" w:eastAsia="Times New Roman" w:hint="default"/>
        </w:rPr>
        <w:t>2.59%</w:t>
      </w:r>
      <w:r>
        <w:rPr/>
        <w:t>。</w:t>
      </w:r>
    </w:p>
    <w:p>
      <w:pPr>
        <w:pStyle w:val="BodyText"/>
        <w:spacing w:line="240" w:lineRule="auto" w:before="13"/>
        <w:ind w:left="514" w:right="1022"/>
        <w:jc w:val="left"/>
      </w:pPr>
      <w:r>
        <w:rPr>
          <w:rFonts w:ascii="Times New Roman" w:hAnsi="Times New Roman" w:cs="Times New Roman" w:eastAsia="Times New Roman" w:hint="default"/>
        </w:rPr>
        <w:t>1</w:t>
      </w:r>
      <w:r>
        <w:rPr/>
        <w:t>、业务布局与市场拓展情况</w:t>
      </w:r>
    </w:p>
    <w:p>
      <w:pPr>
        <w:pStyle w:val="BodyText"/>
        <w:spacing w:line="314" w:lineRule="auto" w:before="63"/>
        <w:ind w:right="1032" w:firstLine="360"/>
        <w:jc w:val="left"/>
      </w:pPr>
      <w:r>
        <w:rPr>
          <w:rFonts w:ascii="Times New Roman" w:hAnsi="Times New Roman" w:cs="Times New Roman" w:eastAsia="Times New Roman" w:hint="default"/>
          <w:spacing w:val="-2"/>
        </w:rPr>
        <w:t>2018</w:t>
      </w:r>
      <w:r>
        <w:rPr>
          <w:spacing w:val="-2"/>
        </w:rPr>
        <w:t>年，公司充分发挥核心市场和核心业务优势，全力投入新动能打造，强化全国市场布局，持续推进公司业务结构的</w:t>
      </w:r>
      <w:r>
        <w:rPr/>
        <w:t> </w:t>
      </w:r>
      <w:r>
        <w:rPr>
          <w:spacing w:val="-2"/>
        </w:rPr>
        <w:t>优化。</w:t>
      </w:r>
      <w:r>
        <w:rPr>
          <w:rFonts w:ascii="Times New Roman" w:hAnsi="Times New Roman" w:cs="Times New Roman" w:eastAsia="Times New Roman" w:hint="default"/>
          <w:spacing w:val="-2"/>
        </w:rPr>
        <w:t>2018</w:t>
      </w:r>
      <w:r>
        <w:rPr>
          <w:spacing w:val="-2"/>
        </w:rPr>
        <w:t>年，公司的云密码机推广初见成效，成功中标多个项目；安全移动办公系统成功获取商密资质，通过试点构建了</w:t>
      </w:r>
      <w:r>
        <w:rPr>
          <w:spacing w:val="-62"/>
        </w:rPr>
        <w:t> </w:t>
      </w:r>
      <w:r>
        <w:rPr>
          <w:spacing w:val="-62"/>
        </w:rPr>
      </w:r>
      <w:r>
        <w:rPr>
          <w:spacing w:val="-2"/>
        </w:rPr>
        <w:t>基于云部署模式的安全移动办公解决方案基础框架，为不同用户提供可伸缩、可定制的安全移动办公服务；重点推进中央企</w:t>
      </w:r>
      <w:r>
        <w:rPr>
          <w:spacing w:val="-66"/>
        </w:rPr>
        <w:t> </w:t>
      </w:r>
      <w:r>
        <w:rPr>
          <w:spacing w:val="-66"/>
        </w:rPr>
      </w:r>
      <w:r>
        <w:rPr/>
        <w:t>业整体保障服务工程，与招商局集团签订并落地业内首个网络安全整体保障服务合同，项目阶段性工作获得用户高度认可； </w:t>
      </w:r>
      <w:r>
        <w:rPr>
          <w:spacing w:val="-2"/>
        </w:rPr>
        <w:t>加强重要领域密码应用推进工作，根据相关文件精神，完善金融行业、电力行业、政务云、安全移动办公等解决方案，金融</w:t>
      </w:r>
      <w:r>
        <w:rPr>
          <w:spacing w:val="-67"/>
        </w:rPr>
        <w:t> </w:t>
      </w:r>
      <w:r>
        <w:rPr>
          <w:spacing w:val="-67"/>
        </w:rPr>
      </w:r>
      <w:r>
        <w:rPr>
          <w:spacing w:val="-2"/>
        </w:rPr>
        <w:t>领域在维护原有国有银行、股份制银行市场的基础上，加强了保险、证券、区域银行、第三方支付公司的市场拓展；持续拓</w:t>
      </w:r>
      <w:r>
        <w:rPr>
          <w:spacing w:val="-68"/>
        </w:rPr>
        <w:t> </w:t>
      </w:r>
      <w:r>
        <w:rPr>
          <w:spacing w:val="-68"/>
        </w:rPr>
      </w:r>
      <w:r>
        <w:rPr/>
        <w:t>展移动互联网安全市场，继续深化与中国移动等战略伙伴的合作，以行业需求为牵引，成功拓展公安、检察、监狱、戒毒、 </w:t>
      </w:r>
      <w:r>
        <w:rPr>
          <w:spacing w:val="-4"/>
        </w:rPr>
        <w:t>军工集团、央企、中小企业等行业市场；谋划国际业务，紧跟“一带一路”建设，启动国际化业务布局，重点拓展香港市场，</w:t>
      </w:r>
      <w:r>
        <w:rPr>
          <w:spacing w:val="-46"/>
        </w:rPr>
        <w:t> </w:t>
      </w:r>
      <w:r>
        <w:rPr>
          <w:spacing w:val="-46"/>
        </w:rPr>
      </w:r>
      <w:r>
        <w:rPr>
          <w:spacing w:val="-2"/>
        </w:rPr>
        <w:t>探索海外金融机构密码应用、政府移动办公、视频加密等商用密码需求并开展能力准备和渠道建设；不断探索和谋划新业务</w:t>
      </w:r>
      <w:r>
        <w:rPr>
          <w:spacing w:val="-66"/>
        </w:rPr>
        <w:t> </w:t>
      </w:r>
      <w:r>
        <w:rPr>
          <w:spacing w:val="-66"/>
        </w:rPr>
      </w:r>
      <w:r>
        <w:rPr/>
        <w:t>领域，开展了云安全服务、</w:t>
      </w:r>
      <w:r>
        <w:rPr>
          <w:rFonts w:ascii="Times New Roman" w:hAnsi="Times New Roman" w:cs="Times New Roman" w:eastAsia="Times New Roman" w:hint="default"/>
        </w:rPr>
        <w:t>5G</w:t>
      </w:r>
      <w:r>
        <w:rPr/>
        <w:t>与物联网、新型智慧城市、安全视频监控等方面的市场研究和业务策划。</w:t>
      </w:r>
    </w:p>
    <w:p>
      <w:pPr>
        <w:pStyle w:val="BodyText"/>
        <w:spacing w:line="240" w:lineRule="auto" w:before="1"/>
        <w:ind w:left="514" w:right="1022"/>
        <w:jc w:val="left"/>
      </w:pPr>
      <w:r>
        <w:rPr>
          <w:rFonts w:ascii="Times New Roman" w:hAnsi="Times New Roman" w:cs="Times New Roman" w:eastAsia="Times New Roman" w:hint="default"/>
        </w:rPr>
        <w:t>2</w:t>
      </w:r>
      <w:r>
        <w:rPr/>
        <w:t>、研发与产品化情况</w:t>
      </w:r>
    </w:p>
    <w:p>
      <w:pPr>
        <w:pStyle w:val="BodyText"/>
        <w:spacing w:line="312" w:lineRule="auto" w:before="63"/>
        <w:ind w:right="1022" w:firstLine="360"/>
        <w:jc w:val="left"/>
      </w:pPr>
      <w:r>
        <w:rPr>
          <w:rFonts w:ascii="Times New Roman" w:hAnsi="Times New Roman" w:cs="Times New Roman" w:eastAsia="Times New Roman" w:hint="default"/>
          <w:spacing w:val="-2"/>
        </w:rPr>
        <w:t>2018</w:t>
      </w:r>
      <w:r>
        <w:rPr>
          <w:spacing w:val="-2"/>
        </w:rPr>
        <w:t>年，公司着力强化市场和技术研究、产品研发的融合，以市场为中心，以技术创新为基石，以产品化为重点，推进</w:t>
      </w:r>
      <w:r>
        <w:rPr/>
        <w:t> </w:t>
      </w:r>
      <w:r>
        <w:rPr>
          <w:spacing w:val="-2"/>
        </w:rPr>
        <w:t>从“项目型”向“产品型”的转型。一是积极参与国家密码管理局、最高法等标准规范和总体方案制定，巩固公司的顶层策</w:t>
      </w:r>
      <w:r>
        <w:rPr>
          <w:spacing w:val="-72"/>
        </w:rPr>
        <w:t> </w:t>
      </w:r>
      <w:r>
        <w:rPr>
          <w:spacing w:val="-72"/>
        </w:rPr>
      </w:r>
      <w:r>
        <w:rPr>
          <w:spacing w:val="-4"/>
        </w:rPr>
        <w:t>划和系统总体能力。二是优化研发管理模式，提升产品化意识和能力，强化了面向重大市场的产品策划和快速开发响应能力。</w:t>
      </w:r>
      <w:r>
        <w:rPr>
          <w:spacing w:val="-44"/>
        </w:rPr>
        <w:t> </w:t>
      </w:r>
      <w:r>
        <w:rPr>
          <w:spacing w:val="-44"/>
        </w:rPr>
      </w:r>
      <w:r>
        <w:rPr>
          <w:spacing w:val="-2"/>
        </w:rPr>
        <w:t>三是积极推动重大专项，重点面向政府、金融、能源、交通等关键基础设施领域，打造安全芯片、板卡、平台、整机、应用</w:t>
      </w:r>
      <w:r>
        <w:rPr>
          <w:spacing w:val="-70"/>
        </w:rPr>
        <w:t> </w:t>
      </w:r>
      <w:r>
        <w:rPr>
          <w:spacing w:val="-70"/>
        </w:rPr>
      </w:r>
      <w:r>
        <w:rPr>
          <w:spacing w:val="-2"/>
        </w:rPr>
        <w:t>等完整的产品谱系。同时，公司制定了商密创新发展行动计划，从前沿技术、成果转化、标准制定、产品研制等方面进行了</w:t>
      </w:r>
      <w:r>
        <w:rPr>
          <w:spacing w:val="-67"/>
        </w:rPr>
        <w:t> </w:t>
      </w:r>
      <w:r>
        <w:rPr>
          <w:spacing w:val="-67"/>
        </w:rPr>
      </w:r>
      <w:r>
        <w:rPr>
          <w:spacing w:val="-2"/>
        </w:rPr>
        <w:t>布局，统一筹划、统筹协调。四是重视基础技术研究和技术创新，打造了统一的硬件平台、操作系统固件、软件开发平台和</w:t>
      </w:r>
      <w:r>
        <w:rPr>
          <w:spacing w:val="-68"/>
        </w:rPr>
        <w:t> </w:t>
      </w:r>
      <w:r>
        <w:rPr>
          <w:spacing w:val="-68"/>
        </w:rPr>
      </w:r>
      <w:r>
        <w:rPr>
          <w:spacing w:val="-2"/>
        </w:rPr>
        <w:t>软密码模块，积极开展同态加密、白盒密码、新一代密码算法等密码基础理论研究和算法设计以及多项国家和行业标准的编</w:t>
      </w:r>
      <w:r>
        <w:rPr>
          <w:spacing w:val="-66"/>
        </w:rPr>
        <w:t> </w:t>
      </w:r>
      <w:r>
        <w:rPr>
          <w:spacing w:val="-66"/>
        </w:rPr>
      </w:r>
      <w:r>
        <w:rPr/>
        <w:t>制；聚焦网络空间安全热点和前沿领域，在</w:t>
      </w:r>
      <w:r>
        <w:rPr>
          <w:rFonts w:ascii="Times New Roman" w:hAnsi="Times New Roman" w:cs="Times New Roman" w:eastAsia="Times New Roman" w:hint="default"/>
        </w:rPr>
        <w:t>5G</w:t>
      </w:r>
      <w:r>
        <w:rPr/>
        <w:t>安全、物联网安全、北斗应用安全、工控安全、区块链、人工智能等方向均</w:t>
      </w:r>
      <w:r>
        <w:rPr>
          <w:spacing w:val="-44"/>
        </w:rPr>
        <w:t> </w:t>
      </w:r>
      <w:r>
        <w:rPr>
          <w:spacing w:val="-44"/>
        </w:rPr>
      </w:r>
      <w:r>
        <w:rPr/>
        <w:t>成立了专门的团队进行研究探索。五是加大新产品研发和新动能打造，在芯片、物联网、互联网</w:t>
      </w:r>
      <w:r>
        <w:rPr>
          <w:rFonts w:ascii="Times New Roman" w:hAnsi="Times New Roman" w:cs="Times New Roman" w:eastAsia="Times New Roman" w:hint="default"/>
        </w:rPr>
        <w:t>+</w:t>
      </w:r>
      <w:r>
        <w:rPr/>
        <w:t>政务、数据治理等方向多 维发力，重点策划推进低功耗移动终端安全芯片、高性能嵌入式安全</w:t>
      </w:r>
      <w:r>
        <w:rPr>
          <w:rFonts w:ascii="Times New Roman" w:hAnsi="Times New Roman" w:cs="Times New Roman" w:eastAsia="Times New Roman" w:hint="default"/>
        </w:rPr>
        <w:t>SE</w:t>
      </w:r>
      <w:r>
        <w:rPr/>
        <w:t>、通信加密系统、信任服务系统、统一身份认证、</w:t>
      </w:r>
      <w:r>
        <w:rPr>
          <w:spacing w:val="-30"/>
        </w:rPr>
        <w:t> </w:t>
      </w:r>
      <w:r>
        <w:rPr/>
        <w:t>专用安全移动办公、安全数据共享交换平台等自主创新产品。</w:t>
      </w:r>
    </w:p>
    <w:p>
      <w:pPr>
        <w:pStyle w:val="BodyText"/>
        <w:spacing w:line="240" w:lineRule="auto" w:before="22"/>
        <w:ind w:left="514" w:right="1022"/>
        <w:jc w:val="left"/>
      </w:pPr>
      <w:r>
        <w:rPr>
          <w:rFonts w:ascii="Times New Roman" w:hAnsi="Times New Roman" w:cs="Times New Roman" w:eastAsia="Times New Roman" w:hint="default"/>
        </w:rPr>
        <w:t>3</w:t>
      </w:r>
      <w:r>
        <w:rPr/>
        <w:t>、管理提升与创新情况</w:t>
      </w:r>
    </w:p>
    <w:p>
      <w:pPr>
        <w:pStyle w:val="BodyText"/>
        <w:spacing w:line="312" w:lineRule="auto" w:before="63"/>
        <w:ind w:right="1130" w:firstLine="360"/>
        <w:jc w:val="both"/>
      </w:pPr>
      <w:r>
        <w:rPr>
          <w:rFonts w:ascii="Times New Roman" w:hAnsi="Times New Roman" w:cs="Times New Roman" w:eastAsia="Times New Roman" w:hint="default"/>
          <w:spacing w:val="-2"/>
        </w:rPr>
        <w:t>2018</w:t>
      </w:r>
      <w:r>
        <w:rPr>
          <w:spacing w:val="-2"/>
        </w:rPr>
        <w:t>年，公司持续完善内部管理制度，激发创新活力。公司进一步优化薪酬绩效制度、目标考核管理办法和细则，健全</w:t>
      </w:r>
      <w:r>
        <w:rPr/>
        <w:t> </w:t>
      </w:r>
      <w:r>
        <w:rPr>
          <w:spacing w:val="-2"/>
        </w:rPr>
        <w:t>人才发展体系、岗位及职务体系，逐步完善科学、合理的绩效考核体系，更加契合公司特点及需求。建立常态化经济运行分</w:t>
      </w:r>
      <w:r>
        <w:rPr>
          <w:spacing w:val="-66"/>
        </w:rPr>
        <w:t> </w:t>
      </w:r>
      <w:r>
        <w:rPr>
          <w:spacing w:val="-66"/>
        </w:rPr>
      </w:r>
      <w:r>
        <w:rPr>
          <w:spacing w:val="-2"/>
        </w:rPr>
        <w:t>析机制，改进创新财务核算组织模式，进一步提升了工作效率。采购管理全面启用网上竞价系统，大力拓展厂商渠道，发挥</w:t>
      </w:r>
      <w:r>
        <w:rPr>
          <w:spacing w:val="-66"/>
        </w:rPr>
        <w:t> </w:t>
      </w:r>
      <w:r>
        <w:rPr>
          <w:spacing w:val="-66"/>
        </w:rPr>
      </w:r>
      <w:r>
        <w:rPr/>
        <w:t>优势资源，有效降低了采购成本。企业信息化在结合“统一信息服务平台”的基础上取得实质进展，</w:t>
      </w:r>
      <w:r>
        <w:rPr>
          <w:rFonts w:ascii="Times New Roman" w:hAnsi="Times New Roman" w:cs="Times New Roman" w:eastAsia="Times New Roman" w:hint="default"/>
        </w:rPr>
        <w:t>ISO27000</w:t>
      </w:r>
      <w:r>
        <w:rPr/>
        <w:t>和相关保密</w:t>
      </w:r>
      <w:r>
        <w:rPr>
          <w:spacing w:val="-18"/>
        </w:rPr>
        <w:t> </w:t>
      </w:r>
      <w:r>
        <w:rPr>
          <w:spacing w:val="-2"/>
        </w:rPr>
        <w:t>认定的规范要求得到全面贯彻落实，企业数字化运营平台项目顺利完成第一阶段实施。保密管理全年围绕与业务深度融合的</w:t>
      </w:r>
      <w:r>
        <w:rPr>
          <w:spacing w:val="-64"/>
        </w:rPr>
        <w:t> </w:t>
      </w:r>
      <w:r>
        <w:rPr>
          <w:spacing w:val="-64"/>
        </w:rPr>
      </w:r>
      <w:r>
        <w:rPr>
          <w:spacing w:val="-2"/>
        </w:rPr>
        <w:t>工作理念，建立公司保密风险评估体系，相关资质顺利通过复查、延续审查。质量管理围绕核心业务匹配质量目标，总公司</w:t>
      </w:r>
      <w:r>
        <w:rPr>
          <w:spacing w:val="-66"/>
        </w:rPr>
        <w:t> </w:t>
      </w:r>
      <w:r>
        <w:rPr>
          <w:spacing w:val="-66"/>
        </w:rPr>
      </w:r>
      <w:r>
        <w:rPr/>
        <w:t>和各子公司均顺利通过第三方机构外审，确保了质量体系的有效性。</w:t>
      </w:r>
    </w:p>
    <w:p>
      <w:pPr>
        <w:spacing w:after="0" w:line="312" w:lineRule="auto"/>
        <w:jc w:val="both"/>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1022"/>
        <w:jc w:val="left"/>
        <w:rPr>
          <w:b w:val="0"/>
          <w:bCs w:val="0"/>
        </w:rPr>
      </w:pPr>
      <w:bookmarkStart w:name="二、主营业务分析" w:id="25"/>
      <w:bookmarkEnd w:id="25"/>
      <w:r>
        <w:rPr>
          <w:b w:val="0"/>
          <w:bCs w:val="0"/>
        </w:rPr>
      </w:r>
      <w:r>
        <w:rPr/>
        <w:t>二、主营业务分析</w:t>
      </w:r>
      <w:r>
        <w:rPr>
          <w:b w:val="0"/>
          <w:bCs w:val="0"/>
        </w:rPr>
      </w:r>
    </w:p>
    <w:p>
      <w:pPr>
        <w:spacing w:line="240" w:lineRule="auto" w:before="8"/>
        <w:rPr>
          <w:rFonts w:ascii="宋体" w:hAnsi="宋体" w:cs="宋体" w:eastAsia="宋体" w:hint="default"/>
          <w:b/>
          <w:bCs/>
          <w:sz w:val="24"/>
          <w:szCs w:val="24"/>
        </w:rPr>
      </w:pPr>
    </w:p>
    <w:p>
      <w:pPr>
        <w:spacing w:line="544" w:lineRule="auto" w:before="0"/>
        <w:ind w:left="154" w:right="6472" w:firstLine="0"/>
        <w:jc w:val="left"/>
        <w:rPr>
          <w:rFonts w:ascii="宋体" w:hAnsi="宋体" w:cs="宋体" w:eastAsia="宋体" w:hint="default"/>
          <w:sz w:val="21"/>
          <w:szCs w:val="21"/>
        </w:rPr>
      </w:pPr>
      <w:bookmarkStart w:name="1、概述" w:id="26"/>
      <w:bookmarkEnd w:id="26"/>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spacing w:val="1"/>
          <w:w w:val="99"/>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经营情况讨论与分析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bookmarkStart w:name="2、收入与成本" w:id="27"/>
      <w:bookmarkEnd w:id="27"/>
      <w:r>
        <w:rPr>
          <w:rFonts w:ascii="宋体" w:hAnsi="宋体" w:cs="宋体" w:eastAsia="宋体" w:hint="default"/>
          <w:sz w:val="18"/>
          <w:szCs w:val="18"/>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3"/>
        <w:spacing w:line="240" w:lineRule="auto" w:before="28"/>
        <w:ind w:right="1022"/>
        <w:jc w:val="left"/>
        <w:rPr>
          <w:b w:val="0"/>
          <w:bCs w:val="0"/>
        </w:rPr>
      </w:pPr>
      <w:bookmarkStart w:name="（1）营业收入构成" w:id="28"/>
      <w:bookmarkEnd w:id="28"/>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6"/>
        <w:gridCol w:w="1597"/>
        <w:gridCol w:w="1592"/>
        <w:gridCol w:w="1597"/>
        <w:gridCol w:w="1588"/>
        <w:gridCol w:w="1598"/>
      </w:tblGrid>
      <w:tr>
        <w:trPr>
          <w:trHeight w:val="205"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596" w:type="dxa"/>
            <w:vMerge w:val="restart"/>
            <w:tcBorders>
              <w:top w:val="nil" w:sz="6" w:space="0" w:color="auto"/>
              <w:left w:val="single" w:sz="4" w:space="0" w:color="000000"/>
              <w:right w:val="single" w:sz="4" w:space="0" w:color="000000"/>
            </w:tcBorders>
            <w:shd w:val="clear" w:color="auto" w:fill="D2D2D2"/>
          </w:tcPr>
          <w:p>
            <w:pPr/>
          </w:p>
        </w:tc>
        <w:tc>
          <w:tcPr>
            <w:tcW w:w="3189" w:type="dxa"/>
            <w:gridSpan w:val="2"/>
            <w:vMerge/>
            <w:tcBorders>
              <w:left w:val="single" w:sz="4" w:space="0" w:color="000000"/>
              <w:bottom w:val="single" w:sz="4" w:space="0" w:color="000000"/>
              <w:right w:val="single" w:sz="4" w:space="0" w:color="000000"/>
            </w:tcBorders>
            <w:shd w:val="clear" w:color="auto" w:fill="D2D2D2"/>
          </w:tcPr>
          <w:p>
            <w:pPr/>
          </w:p>
        </w:tc>
        <w:tc>
          <w:tcPr>
            <w:tcW w:w="3185" w:type="dxa"/>
            <w:gridSpan w:val="2"/>
            <w:vMerge/>
            <w:tcBorders>
              <w:left w:val="single" w:sz="4" w:space="0" w:color="000000"/>
              <w:bottom w:val="single" w:sz="4" w:space="0" w:color="000000"/>
              <w:right w:val="single" w:sz="4" w:space="0" w:color="000000"/>
            </w:tcBorders>
            <w:shd w:val="clear" w:color="auto" w:fill="D2D2D2"/>
          </w:tcPr>
          <w:p>
            <w:pPr/>
          </w:p>
        </w:tc>
        <w:tc>
          <w:tcPr>
            <w:tcW w:w="15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36"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200" w:hRule="exact"/>
        </w:trPr>
        <w:tc>
          <w:tcPr>
            <w:tcW w:w="1596" w:type="dxa"/>
            <w:vMerge/>
            <w:tcBorders>
              <w:left w:val="single" w:sz="4" w:space="0" w:color="000000"/>
              <w:bottom w:val="nil" w:sz="6" w:space="0" w:color="auto"/>
              <w:right w:val="single" w:sz="4" w:space="0" w:color="000000"/>
            </w:tcBorders>
            <w:shd w:val="clear" w:color="auto" w:fill="D2D2D2"/>
          </w:tcPr>
          <w:p>
            <w:pP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15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60"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59"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8"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92" w:type="dxa"/>
            <w:vMerge/>
            <w:tcBorders>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88" w:type="dxa"/>
            <w:vMerge/>
            <w:tcBorders>
              <w:left w:val="single" w:sz="4" w:space="0" w:color="000000"/>
              <w:bottom w:val="single" w:sz="4" w:space="0" w:color="000000"/>
              <w:right w:val="single" w:sz="4" w:space="0" w:color="000000"/>
            </w:tcBorders>
            <w:shd w:val="clear" w:color="auto" w:fill="D2D2D2"/>
          </w:tcPr>
          <w:p>
            <w:pPr/>
          </w:p>
        </w:tc>
        <w:tc>
          <w:tcPr>
            <w:tcW w:w="159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7"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7" w:type="dxa"/>
            <w:tcBorders>
              <w:top w:val="single" w:sz="4" w:space="0" w:color="000000"/>
              <w:left w:val="single" w:sz="13" w:space="0" w:color="D2D2D2"/>
              <w:bottom w:val="single" w:sz="4" w:space="0" w:color="000000"/>
              <w:right w:val="single" w:sz="10" w:space="0" w:color="D2D2D2"/>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1,930,998,380.73</w:t>
            </w:r>
          </w:p>
        </w:tc>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7" w:type="dxa"/>
            <w:tcBorders>
              <w:top w:val="single" w:sz="4" w:space="0" w:color="000000"/>
              <w:left w:val="single" w:sz="13" w:space="0" w:color="D2D2D2"/>
              <w:bottom w:val="single" w:sz="4" w:space="0" w:color="000000"/>
              <w:right w:val="single" w:sz="9" w:space="0" w:color="D2D2D2"/>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2,136,933,366.68</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-9.64%</w:t>
            </w:r>
          </w:p>
        </w:tc>
      </w:tr>
      <w:tr>
        <w:trPr>
          <w:trHeight w:val="397"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信息安全行业</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1,930,998,380.73</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2,136,933,366.68</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100.00%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-9.64%</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单机和系统产品</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922,576,104.96</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47.78%</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1,092,606,824.73</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51.13%</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-15.56%</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安全服务与集成</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1,008,422,275.77</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52.22%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1,044,326,541.95</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48.87%</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-3.44%</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东北</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34,668,667.82</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36,835,918.79</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1.72%</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-5.88%</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690,765,302.33</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35.77%</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555,860,827.38</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26.01%</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24.27%</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203,206,138.71</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10.52%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436,597,970.58</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20.43%</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-53.46%</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144,915,625.49</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90,946,878.01</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4.26%</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59.34%</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华中</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80,550,219.91</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4.17%</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72,851,840.92</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3.41%</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10.57%</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西北</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138,730,207.52</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7.18%</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84,008,868.36</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3.93%</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65.14%</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西南</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638,162,218.95</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33.05%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859,831,062.64</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40.24%</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-25.78%</w:t>
            </w:r>
          </w:p>
        </w:tc>
      </w:tr>
    </w:tbl>
    <w:p>
      <w:pPr>
        <w:pStyle w:val="BodyText"/>
        <w:spacing w:line="240" w:lineRule="auto" w:before="51"/>
        <w:ind w:right="1022"/>
        <w:jc w:val="left"/>
      </w:pPr>
      <w:r>
        <w:rPr/>
        <w:t>公司需遵守《深圳证券交易所行业信息披露指引第</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上市公司从软件与信息技术服务业务》的披露要求</w:t>
      </w:r>
    </w:p>
    <w:p>
      <w:pPr>
        <w:pStyle w:val="BodyText"/>
        <w:spacing w:line="240" w:lineRule="auto" w:before="103"/>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507"/>
        <w:gridCol w:w="1008"/>
        <w:gridCol w:w="1010"/>
        <w:gridCol w:w="1011"/>
        <w:gridCol w:w="1012"/>
        <w:gridCol w:w="1003"/>
        <w:gridCol w:w="1005"/>
        <w:gridCol w:w="1002"/>
        <w:gridCol w:w="1002"/>
      </w:tblGrid>
      <w:tr>
        <w:trPr>
          <w:trHeight w:val="206" w:hRule="exact"/>
        </w:trPr>
        <w:tc>
          <w:tcPr>
            <w:tcW w:w="1507" w:type="dxa"/>
            <w:tcBorders>
              <w:top w:val="single" w:sz="4" w:space="0" w:color="000000"/>
              <w:left w:val="single" w:sz="4" w:space="0" w:color="000000"/>
              <w:bottom w:val="nil" w:sz="6" w:space="0" w:color="auto"/>
              <w:right w:val="single" w:sz="4" w:space="0" w:color="000000"/>
            </w:tcBorders>
            <w:shd w:val="clear" w:color="auto" w:fill="D2D2D2"/>
          </w:tcPr>
          <w:p>
            <w:pPr/>
          </w:p>
        </w:tc>
        <w:tc>
          <w:tcPr>
            <w:tcW w:w="4041"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4012"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191" w:hRule="exact"/>
        </w:trPr>
        <w:tc>
          <w:tcPr>
            <w:tcW w:w="1507" w:type="dxa"/>
            <w:vMerge w:val="restart"/>
            <w:tcBorders>
              <w:top w:val="nil" w:sz="6" w:space="0" w:color="auto"/>
              <w:left w:val="single" w:sz="4" w:space="0" w:color="000000"/>
              <w:right w:val="single" w:sz="4" w:space="0" w:color="000000"/>
            </w:tcBorders>
            <w:shd w:val="clear" w:color="auto" w:fill="D2D2D2"/>
          </w:tcPr>
          <w:p>
            <w:pPr/>
          </w:p>
        </w:tc>
        <w:tc>
          <w:tcPr>
            <w:tcW w:w="4041" w:type="dxa"/>
            <w:gridSpan w:val="4"/>
            <w:vMerge/>
            <w:tcBorders>
              <w:left w:val="single" w:sz="4" w:space="0" w:color="000000"/>
              <w:bottom w:val="single" w:sz="4" w:space="0" w:color="000000"/>
              <w:right w:val="single" w:sz="4" w:space="0" w:color="000000"/>
            </w:tcBorders>
            <w:shd w:val="clear" w:color="auto" w:fill="D2D2D2"/>
          </w:tcPr>
          <w:p>
            <w:pPr/>
          </w:p>
        </w:tc>
        <w:tc>
          <w:tcPr>
            <w:tcW w:w="4012" w:type="dxa"/>
            <w:gridSpan w:val="4"/>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507" w:type="dxa"/>
            <w:vMerge/>
            <w:tcBorders>
              <w:left w:val="single" w:sz="4" w:space="0" w:color="000000"/>
              <w:bottom w:val="nil" w:sz="6" w:space="0" w:color="auto"/>
              <w:right w:val="single" w:sz="4" w:space="0" w:color="000000"/>
            </w:tcBorders>
            <w:shd w:val="clear" w:color="auto" w:fill="D2D2D2"/>
          </w:tcPr>
          <w:p>
            <w:pPr/>
          </w:p>
        </w:tc>
        <w:tc>
          <w:tcPr>
            <w:tcW w:w="10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37"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01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39"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0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0"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0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0" w:right="0"/>
              <w:jc w:val="left"/>
              <w:rPr>
                <w:rFonts w:ascii="宋体" w:hAnsi="宋体" w:cs="宋体" w:eastAsia="宋体" w:hint="default"/>
                <w:sz w:val="18"/>
                <w:szCs w:val="18"/>
              </w:rPr>
            </w:pPr>
            <w:r>
              <w:rPr>
                <w:rFonts w:ascii="宋体" w:hAnsi="宋体" w:cs="宋体" w:eastAsia="宋体" w:hint="default"/>
                <w:sz w:val="18"/>
                <w:szCs w:val="18"/>
              </w:rPr>
              <w:t>第四季度</w:t>
            </w:r>
          </w:p>
        </w:tc>
        <w:tc>
          <w:tcPr>
            <w:tcW w:w="10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36"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0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37"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0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3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0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35"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206" w:hRule="exact"/>
        </w:trPr>
        <w:tc>
          <w:tcPr>
            <w:tcW w:w="1507" w:type="dxa"/>
            <w:tcBorders>
              <w:top w:val="nil" w:sz="6" w:space="0" w:color="auto"/>
              <w:left w:val="single" w:sz="4" w:space="0" w:color="000000"/>
              <w:bottom w:val="single" w:sz="4" w:space="0" w:color="000000"/>
              <w:right w:val="single" w:sz="4" w:space="0" w:color="000000"/>
            </w:tcBorders>
            <w:shd w:val="clear" w:color="auto" w:fill="D2D2D2"/>
          </w:tcPr>
          <w:p>
            <w:pPr/>
          </w:p>
        </w:tc>
        <w:tc>
          <w:tcPr>
            <w:tcW w:w="1008" w:type="dxa"/>
            <w:vMerge/>
            <w:tcBorders>
              <w:left w:val="single" w:sz="4" w:space="0" w:color="000000"/>
              <w:bottom w:val="single" w:sz="4" w:space="0" w:color="000000"/>
              <w:right w:val="single" w:sz="4" w:space="0" w:color="000000"/>
            </w:tcBorders>
            <w:shd w:val="clear" w:color="auto" w:fill="D2D2D2"/>
          </w:tcPr>
          <w:p>
            <w:pPr/>
          </w:p>
        </w:tc>
        <w:tc>
          <w:tcPr>
            <w:tcW w:w="1010" w:type="dxa"/>
            <w:vMerge/>
            <w:tcBorders>
              <w:left w:val="single" w:sz="4" w:space="0" w:color="000000"/>
              <w:bottom w:val="single" w:sz="4" w:space="0" w:color="000000"/>
              <w:right w:val="single" w:sz="4" w:space="0" w:color="000000"/>
            </w:tcBorders>
            <w:shd w:val="clear" w:color="auto" w:fill="D2D2D2"/>
          </w:tcPr>
          <w:p>
            <w:pPr/>
          </w:p>
        </w:tc>
        <w:tc>
          <w:tcPr>
            <w:tcW w:w="1011" w:type="dxa"/>
            <w:vMerge/>
            <w:tcBorders>
              <w:left w:val="single" w:sz="4" w:space="0" w:color="000000"/>
              <w:bottom w:val="single" w:sz="4" w:space="0" w:color="000000"/>
              <w:right w:val="single" w:sz="4" w:space="0" w:color="000000"/>
            </w:tcBorders>
            <w:shd w:val="clear" w:color="auto" w:fill="D2D2D2"/>
          </w:tcPr>
          <w:p>
            <w:pPr/>
          </w:p>
        </w:tc>
        <w:tc>
          <w:tcPr>
            <w:tcW w:w="1012" w:type="dxa"/>
            <w:vMerge/>
            <w:tcBorders>
              <w:left w:val="single" w:sz="4" w:space="0" w:color="000000"/>
              <w:bottom w:val="single" w:sz="4" w:space="0" w:color="000000"/>
              <w:right w:val="single" w:sz="4" w:space="0" w:color="000000"/>
            </w:tcBorders>
            <w:shd w:val="clear" w:color="auto" w:fill="D2D2D2"/>
          </w:tcPr>
          <w:p>
            <w:pPr/>
          </w:p>
        </w:tc>
        <w:tc>
          <w:tcPr>
            <w:tcW w:w="1003" w:type="dxa"/>
            <w:vMerge/>
            <w:tcBorders>
              <w:left w:val="single" w:sz="4" w:space="0" w:color="000000"/>
              <w:bottom w:val="single" w:sz="4" w:space="0" w:color="000000"/>
              <w:right w:val="single" w:sz="4" w:space="0" w:color="000000"/>
            </w:tcBorders>
            <w:shd w:val="clear" w:color="auto" w:fill="D2D2D2"/>
          </w:tcPr>
          <w:p>
            <w:pPr/>
          </w:p>
        </w:tc>
        <w:tc>
          <w:tcPr>
            <w:tcW w:w="1005" w:type="dxa"/>
            <w:vMerge/>
            <w:tcBorders>
              <w:left w:val="single" w:sz="4" w:space="0" w:color="000000"/>
              <w:bottom w:val="single" w:sz="4" w:space="0" w:color="000000"/>
              <w:right w:val="single" w:sz="4" w:space="0" w:color="000000"/>
            </w:tcBorders>
            <w:shd w:val="clear" w:color="auto" w:fill="D2D2D2"/>
          </w:tcPr>
          <w:p>
            <w:pPr/>
          </w:p>
        </w:tc>
        <w:tc>
          <w:tcPr>
            <w:tcW w:w="1002" w:type="dxa"/>
            <w:vMerge/>
            <w:tcBorders>
              <w:left w:val="single" w:sz="4" w:space="0" w:color="000000"/>
              <w:bottom w:val="single" w:sz="4" w:space="0" w:color="000000"/>
              <w:right w:val="single" w:sz="4" w:space="0" w:color="000000"/>
            </w:tcBorders>
            <w:shd w:val="clear" w:color="auto" w:fill="D2D2D2"/>
          </w:tcPr>
          <w:p>
            <w:pPr/>
          </w:p>
        </w:tc>
        <w:tc>
          <w:tcPr>
            <w:tcW w:w="1002"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507" w:type="dxa"/>
            <w:tcBorders>
              <w:top w:val="single" w:sz="4" w:space="0" w:color="000000"/>
              <w:left w:val="single" w:sz="4" w:space="0" w:color="000000"/>
              <w:bottom w:val="nil" w:sz="6" w:space="0" w:color="auto"/>
              <w:right w:val="single" w:sz="4" w:space="0" w:color="000000"/>
            </w:tcBorders>
            <w:shd w:val="clear" w:color="auto" w:fill="D2D2D2"/>
          </w:tcPr>
          <w:p>
            <w:pPr/>
          </w:p>
        </w:tc>
        <w:tc>
          <w:tcPr>
            <w:tcW w:w="1008"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144,295,679.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02</w:t>
            </w:r>
          </w:p>
        </w:tc>
        <w:tc>
          <w:tcPr>
            <w:tcW w:w="1010"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453,897,164.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06</w:t>
            </w:r>
          </w:p>
        </w:tc>
        <w:tc>
          <w:tcPr>
            <w:tcW w:w="1011"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443,749,752.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81</w:t>
            </w:r>
          </w:p>
        </w:tc>
        <w:tc>
          <w:tcPr>
            <w:tcW w:w="101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889,055,784.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84</w:t>
            </w:r>
          </w:p>
        </w:tc>
        <w:tc>
          <w:tcPr>
            <w:tcW w:w="100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119,154,463.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97</w:t>
            </w:r>
          </w:p>
        </w:tc>
        <w:tc>
          <w:tcPr>
            <w:tcW w:w="100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445,925,485.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80</w:t>
            </w:r>
          </w:p>
        </w:tc>
        <w:tc>
          <w:tcPr>
            <w:tcW w:w="100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468,348,398.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21</w:t>
            </w:r>
          </w:p>
        </w:tc>
        <w:tc>
          <w:tcPr>
            <w:tcW w:w="1002" w:type="dxa"/>
            <w:vMerge w:val="restart"/>
            <w:tcBorders>
              <w:top w:val="single" w:sz="4" w:space="0" w:color="000000"/>
              <w:left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1,103,505,01</w:t>
            </w:r>
          </w:p>
          <w:p>
            <w:pPr>
              <w:pStyle w:val="TableParagraph"/>
              <w:spacing w:line="240" w:lineRule="auto" w:before="106"/>
              <w:ind w:left="653" w:right="0"/>
              <w:jc w:val="left"/>
              <w:rPr>
                <w:rFonts w:ascii="Times New Roman" w:hAnsi="Times New Roman" w:cs="Times New Roman" w:eastAsia="Times New Roman" w:hint="default"/>
                <w:sz w:val="18"/>
                <w:szCs w:val="18"/>
              </w:rPr>
            </w:pPr>
            <w:r>
              <w:rPr>
                <w:rFonts w:ascii="Times New Roman"/>
                <w:sz w:val="18"/>
              </w:rPr>
              <w:t>8.70</w:t>
            </w:r>
          </w:p>
        </w:tc>
      </w:tr>
      <w:tr>
        <w:trPr>
          <w:trHeight w:val="392" w:hRule="exact"/>
        </w:trPr>
        <w:tc>
          <w:tcPr>
            <w:tcW w:w="150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08" w:type="dxa"/>
            <w:vMerge/>
            <w:tcBorders>
              <w:left w:val="single" w:sz="9" w:space="0" w:color="D2D2D2"/>
              <w:right w:val="single" w:sz="4" w:space="0" w:color="000000"/>
            </w:tcBorders>
          </w:tcPr>
          <w:p>
            <w:pPr/>
          </w:p>
        </w:tc>
        <w:tc>
          <w:tcPr>
            <w:tcW w:w="1010" w:type="dxa"/>
            <w:vMerge/>
            <w:tcBorders>
              <w:left w:val="single" w:sz="4" w:space="0" w:color="000000"/>
              <w:right w:val="single" w:sz="4" w:space="0" w:color="000000"/>
            </w:tcBorders>
          </w:tcPr>
          <w:p>
            <w:pPr/>
          </w:p>
        </w:tc>
        <w:tc>
          <w:tcPr>
            <w:tcW w:w="1011" w:type="dxa"/>
            <w:vMerge/>
            <w:tcBorders>
              <w:left w:val="single" w:sz="4" w:space="0" w:color="000000"/>
              <w:right w:val="single" w:sz="4" w:space="0" w:color="000000"/>
            </w:tcBorders>
          </w:tcPr>
          <w:p>
            <w:pPr/>
          </w:p>
        </w:tc>
        <w:tc>
          <w:tcPr>
            <w:tcW w:w="1012" w:type="dxa"/>
            <w:vMerge/>
            <w:tcBorders>
              <w:left w:val="single" w:sz="4" w:space="0" w:color="000000"/>
              <w:right w:val="single" w:sz="4" w:space="0" w:color="000000"/>
            </w:tcBorders>
          </w:tcPr>
          <w:p>
            <w:pPr/>
          </w:p>
        </w:tc>
        <w:tc>
          <w:tcPr>
            <w:tcW w:w="1003" w:type="dxa"/>
            <w:vMerge/>
            <w:tcBorders>
              <w:left w:val="single" w:sz="4" w:space="0" w:color="000000"/>
              <w:right w:val="single" w:sz="4" w:space="0" w:color="000000"/>
            </w:tcBorders>
          </w:tcPr>
          <w:p>
            <w:pPr/>
          </w:p>
        </w:tc>
        <w:tc>
          <w:tcPr>
            <w:tcW w:w="1005" w:type="dxa"/>
            <w:vMerge/>
            <w:tcBorders>
              <w:left w:val="single" w:sz="4" w:space="0" w:color="000000"/>
              <w:right w:val="single" w:sz="4" w:space="0" w:color="000000"/>
            </w:tcBorders>
          </w:tcPr>
          <w:p>
            <w:pPr/>
          </w:p>
        </w:tc>
        <w:tc>
          <w:tcPr>
            <w:tcW w:w="1002" w:type="dxa"/>
            <w:vMerge/>
            <w:tcBorders>
              <w:left w:val="single" w:sz="4" w:space="0" w:color="000000"/>
              <w:right w:val="single" w:sz="4" w:space="0" w:color="000000"/>
            </w:tcBorders>
          </w:tcPr>
          <w:p>
            <w:pPr/>
          </w:p>
        </w:tc>
        <w:tc>
          <w:tcPr>
            <w:tcW w:w="1002" w:type="dxa"/>
            <w:vMerge/>
            <w:tcBorders>
              <w:left w:val="single" w:sz="4" w:space="0" w:color="000000"/>
              <w:right w:val="single" w:sz="4" w:space="0" w:color="000000"/>
            </w:tcBorders>
          </w:tcPr>
          <w:p>
            <w:pPr/>
          </w:p>
        </w:tc>
      </w:tr>
      <w:tr>
        <w:trPr>
          <w:trHeight w:val="161" w:hRule="exact"/>
        </w:trPr>
        <w:tc>
          <w:tcPr>
            <w:tcW w:w="1507" w:type="dxa"/>
            <w:tcBorders>
              <w:top w:val="nil" w:sz="6" w:space="0" w:color="auto"/>
              <w:left w:val="single" w:sz="4" w:space="0" w:color="000000"/>
              <w:bottom w:val="single" w:sz="4" w:space="0" w:color="000000"/>
              <w:right w:val="single" w:sz="4" w:space="0" w:color="000000"/>
            </w:tcBorders>
            <w:shd w:val="clear" w:color="auto" w:fill="D2D2D2"/>
          </w:tcPr>
          <w:p>
            <w:pPr/>
          </w:p>
        </w:tc>
        <w:tc>
          <w:tcPr>
            <w:tcW w:w="1008" w:type="dxa"/>
            <w:vMerge/>
            <w:tcBorders>
              <w:left w:val="single" w:sz="9" w:space="0" w:color="D2D2D2"/>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011" w:type="dxa"/>
            <w:vMerge/>
            <w:tcBorders>
              <w:left w:val="single" w:sz="4" w:space="0" w:color="000000"/>
              <w:bottom w:val="single" w:sz="4" w:space="0" w:color="000000"/>
              <w:right w:val="single" w:sz="4" w:space="0" w:color="000000"/>
            </w:tcBorders>
          </w:tcPr>
          <w:p>
            <w:pPr/>
          </w:p>
        </w:tc>
        <w:tc>
          <w:tcPr>
            <w:tcW w:w="1012" w:type="dxa"/>
            <w:vMerge/>
            <w:tcBorders>
              <w:left w:val="single" w:sz="4" w:space="0" w:color="000000"/>
              <w:bottom w:val="single" w:sz="4" w:space="0" w:color="000000"/>
              <w:right w:val="single" w:sz="4" w:space="0" w:color="000000"/>
            </w:tcBorders>
          </w:tcPr>
          <w:p>
            <w:pPr/>
          </w:p>
        </w:tc>
        <w:tc>
          <w:tcPr>
            <w:tcW w:w="1003" w:type="dxa"/>
            <w:vMerge/>
            <w:tcBorders>
              <w:left w:val="single" w:sz="4" w:space="0" w:color="000000"/>
              <w:bottom w:val="single" w:sz="4" w:space="0" w:color="000000"/>
              <w:right w:val="single" w:sz="4" w:space="0" w:color="000000"/>
            </w:tcBorders>
          </w:tcPr>
          <w:p>
            <w:pPr/>
          </w:p>
        </w:tc>
        <w:tc>
          <w:tcPr>
            <w:tcW w:w="1005" w:type="dxa"/>
            <w:vMerge/>
            <w:tcBorders>
              <w:left w:val="single" w:sz="4" w:space="0" w:color="000000"/>
              <w:bottom w:val="single" w:sz="4" w:space="0" w:color="000000"/>
              <w:right w:val="single" w:sz="4" w:space="0" w:color="000000"/>
            </w:tcBorders>
          </w:tcPr>
          <w:p>
            <w:pPr/>
          </w:p>
        </w:tc>
        <w:tc>
          <w:tcPr>
            <w:tcW w:w="1002" w:type="dxa"/>
            <w:vMerge/>
            <w:tcBorders>
              <w:left w:val="single" w:sz="4" w:space="0" w:color="000000"/>
              <w:bottom w:val="single" w:sz="4" w:space="0" w:color="000000"/>
              <w:right w:val="single" w:sz="4" w:space="0" w:color="000000"/>
            </w:tcBorders>
          </w:tcPr>
          <w:p>
            <w:pPr/>
          </w:p>
        </w:tc>
        <w:tc>
          <w:tcPr>
            <w:tcW w:w="1002" w:type="dxa"/>
            <w:vMerge/>
            <w:tcBorders>
              <w:left w:val="single" w:sz="4" w:space="0" w:color="000000"/>
              <w:bottom w:val="single" w:sz="4" w:space="0" w:color="000000"/>
              <w:right w:val="single" w:sz="4" w:space="0" w:color="000000"/>
            </w:tcBorders>
          </w:tcPr>
          <w:p>
            <w:pPr/>
          </w:p>
        </w:tc>
      </w:tr>
      <w:tr>
        <w:trPr>
          <w:trHeight w:val="714" w:hRule="exact"/>
        </w:trPr>
        <w:tc>
          <w:tcPr>
            <w:tcW w:w="1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5"/>
              <w:jc w:val="left"/>
              <w:rPr>
                <w:rFonts w:ascii="宋体" w:hAnsi="宋体" w:cs="宋体" w:eastAsia="宋体" w:hint="default"/>
                <w:sz w:val="18"/>
                <w:szCs w:val="18"/>
              </w:rPr>
            </w:pPr>
            <w:r>
              <w:rPr>
                <w:rFonts w:ascii="宋体" w:hAnsi="宋体" w:cs="宋体" w:eastAsia="宋体" w:hint="default"/>
                <w:sz w:val="18"/>
                <w:szCs w:val="18"/>
              </w:rPr>
              <w:t>归属于上市公司股 东的净利润</w:t>
            </w:r>
          </w:p>
        </w:tc>
        <w:tc>
          <w:tcPr>
            <w:tcW w:w="10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-85,683,115.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89</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-7,551,920.4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19,772,814.8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193,666,735.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22</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-101,952,74</w:t>
            </w:r>
          </w:p>
          <w:p>
            <w:pPr>
              <w:pStyle w:val="TableParagraph"/>
              <w:spacing w:line="240" w:lineRule="auto" w:before="106"/>
              <w:ind w:left="656" w:right="0"/>
              <w:jc w:val="left"/>
              <w:rPr>
                <w:rFonts w:ascii="Times New Roman" w:hAnsi="Times New Roman" w:cs="Times New Roman" w:eastAsia="Times New Roman" w:hint="default"/>
                <w:sz w:val="18"/>
                <w:szCs w:val="18"/>
              </w:rPr>
            </w:pPr>
            <w:r>
              <w:rPr>
                <w:rFonts w:ascii="Times New Roman"/>
                <w:sz w:val="18"/>
              </w:rPr>
              <w:t>0.85</w:t>
            </w:r>
          </w:p>
        </w:tc>
        <w:tc>
          <w:tcPr>
            <w:tcW w:w="1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-22,480,491.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81</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28,231,027.7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265,257,106.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54</w:t>
            </w:r>
          </w:p>
        </w:tc>
      </w:tr>
    </w:tbl>
    <w:p>
      <w:pPr>
        <w:pStyle w:val="BodyText"/>
        <w:spacing w:line="357" w:lineRule="auto" w:before="51"/>
        <w:ind w:left="514" w:right="1022" w:hanging="360"/>
        <w:jc w:val="left"/>
      </w:pPr>
      <w:r>
        <w:rPr/>
        <w:t>说明经营季节性（或周期性）发生的原因及波动风险 </w:t>
      </w:r>
      <w:r>
        <w:rPr>
          <w:spacing w:val="-2"/>
        </w:rPr>
        <w:t>由于公司目前的主要客户，包括政府机构、银行、国有大型企业等，这些客户大宗设备采购采取集中采购制度和预算管</w:t>
      </w:r>
    </w:p>
    <w:p>
      <w:pPr>
        <w:pStyle w:val="BodyText"/>
        <w:spacing w:line="224" w:lineRule="exact"/>
        <w:ind w:right="0"/>
        <w:jc w:val="left"/>
      </w:pPr>
      <w:r>
        <w:rPr/>
        <w:t>理制度，一般为下半年制定次年年度预算和固定资产投资计划，其审批通常在次年上半年，而设备采购招标一般则安排在次</w:t>
      </w:r>
    </w:p>
    <w:p>
      <w:pPr>
        <w:spacing w:after="0" w:line="224" w:lineRule="exact"/>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9" w:lineRule="auto" w:before="44"/>
        <w:ind w:right="1131"/>
        <w:jc w:val="both"/>
      </w:pPr>
      <w:r>
        <w:rPr/>
        <w:t>年年中或下半年。因此，本公司在每年上半年销售较少，至年中（一般从</w:t>
      </w:r>
      <w:r>
        <w:rPr>
          <w:spacing w:val="-45"/>
        </w:rPr>
        <w:t> </w:t>
      </w:r>
      <w:r>
        <w:rPr>
          <w:rFonts w:ascii="Times New Roman" w:hAnsi="Times New Roman" w:cs="Times New Roman" w:eastAsia="Times New Roman" w:hint="default"/>
        </w:rPr>
        <w:t>7</w:t>
      </w:r>
      <w:r>
        <w:rPr/>
        <w:t>、</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月份开始）销售订单开始明显增加，设备交 </w:t>
      </w:r>
      <w:r>
        <w:rPr>
          <w:spacing w:val="-2"/>
        </w:rPr>
        <w:t>货、安装、调试和验收则集中在下半年尤其是第四季度。该特点使得公司的销售具有较强的季节性变化特征，存在季节性波</w:t>
      </w:r>
      <w:r>
        <w:rPr>
          <w:spacing w:val="-66"/>
        </w:rPr>
        <w:t> </w:t>
      </w:r>
      <w:r>
        <w:rPr>
          <w:spacing w:val="-66"/>
        </w:rPr>
      </w:r>
      <w:r>
        <w:rPr/>
        <w:t>动的风险。</w:t>
      </w:r>
    </w:p>
    <w:p>
      <w:pPr>
        <w:spacing w:line="240" w:lineRule="auto" w:before="10"/>
        <w:rPr>
          <w:rFonts w:ascii="宋体" w:hAnsi="宋体" w:cs="宋体" w:eastAsia="宋体" w:hint="default"/>
          <w:sz w:val="22"/>
          <w:szCs w:val="22"/>
        </w:rPr>
      </w:pPr>
    </w:p>
    <w:p>
      <w:pPr>
        <w:pStyle w:val="Heading3"/>
        <w:spacing w:line="240" w:lineRule="auto"/>
        <w:ind w:right="0"/>
        <w:jc w:val="both"/>
        <w:rPr>
          <w:b w:val="0"/>
          <w:bCs w:val="0"/>
        </w:rPr>
      </w:pPr>
      <w:bookmarkStart w:name="（2）占公司营业收入或营业利润10%以上的行业、产品或地区情况" w:id="29"/>
      <w:bookmarkEnd w:id="29"/>
      <w:r>
        <w:rPr>
          <w:b w:val="0"/>
          <w:bCs w:val="0"/>
        </w:rPr>
      </w:r>
      <w:r>
        <w:rPr/>
        <w:t>（</w:t>
      </w:r>
      <w:r>
        <w:rPr>
          <w:rFonts w:ascii="Times New Roman" w:hAnsi="Times New Roman" w:cs="Times New Roman" w:eastAsia="Times New Roman" w:hint="default"/>
        </w:rPr>
        <w:t>2</w:t>
      </w:r>
      <w:r>
        <w:rPr/>
        <w:t>）占公司营业收入或营业利润</w:t>
      </w:r>
      <w:r>
        <w:rPr>
          <w:spacing w:val="-59"/>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348" w:lineRule="auto" w:before="44"/>
        <w:ind w:right="58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公司是否需要遵守特殊行业的披露要求 是</w:t>
      </w:r>
    </w:p>
    <w:p>
      <w:pPr>
        <w:pStyle w:val="BodyText"/>
        <w:spacing w:line="240" w:lineRule="auto" w:before="35"/>
        <w:ind w:right="5830"/>
        <w:jc w:val="left"/>
      </w:pPr>
      <w:r>
        <w:rPr/>
        <w:t>软件与信息技术服务业</w:t>
      </w:r>
    </w:p>
    <w:p>
      <w:pPr>
        <w:pStyle w:val="BodyText"/>
        <w:spacing w:line="240" w:lineRule="auto" w:before="116"/>
        <w:ind w:right="-19"/>
        <w:jc w:val="left"/>
      </w:pPr>
      <w:r>
        <w:rPr/>
        <w:t>公司需遵守《深圳证券交易所行业信息披露指引第</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上市公司从事软件与信息技术服务业务》的披露要求</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6"/>
        <w:ind w:left="-32" w:right="0"/>
        <w:jc w:val="left"/>
      </w:pPr>
      <w:r>
        <w:rPr/>
        <w:t>单位：元</w:t>
      </w:r>
    </w:p>
    <w:p>
      <w:pPr>
        <w:spacing w:after="0" w:line="240" w:lineRule="auto"/>
        <w:jc w:val="left"/>
        <w:sectPr>
          <w:type w:val="continuous"/>
          <w:pgSz w:w="11910" w:h="16840"/>
          <w:pgMar w:top="1060" w:bottom="1160" w:left="980" w:right="0"/>
          <w:cols w:num="2" w:equalWidth="0">
            <w:col w:w="9065" w:space="40"/>
            <w:col w:w="1825"/>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18" w:right="47" w:hanging="271"/>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11"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分客户所处行业</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信息安全行业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1,930,998,380.73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1,254,943,283.94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-9.24%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-0.29%</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单机和系统产品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922,576,104.96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371,580,009.99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-25.68%</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5.48%</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安全服务与集成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1,008,422,275.77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883,363,273.95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0.08%</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-3.08%</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690,765,302.33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439,435,368.28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26.67%</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-1.21%</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203,206,138.71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133,860,534.75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-51.98%</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-2.02%</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638,162,218.95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418,083,322.20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-25.41%</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-0.32%</w:t>
            </w:r>
          </w:p>
        </w:tc>
      </w:tr>
    </w:tbl>
    <w:p>
      <w:pPr>
        <w:pStyle w:val="BodyText"/>
        <w:spacing w:line="240" w:lineRule="auto" w:before="51"/>
        <w:ind w:right="1022"/>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 </w:t>
      </w:r>
      <w:r>
        <w:rPr/>
        <w:t>年按报告期末口径调整后的主营业务数据</w:t>
      </w:r>
    </w:p>
    <w:p>
      <w:pPr>
        <w:pStyle w:val="BodyText"/>
        <w:spacing w:line="240" w:lineRule="auto" w:before="103"/>
        <w:ind w:right="10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1022"/>
        <w:jc w:val="left"/>
        <w:rPr>
          <w:b w:val="0"/>
          <w:bCs w:val="0"/>
        </w:rPr>
      </w:pPr>
      <w:bookmarkStart w:name="（3）公司实物销售收入是否大于劳务收入" w:id="30"/>
      <w:bookmarkEnd w:id="30"/>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2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608"/>
        <w:gridCol w:w="1571"/>
        <w:gridCol w:w="1607"/>
        <w:gridCol w:w="1594"/>
        <w:gridCol w:w="1594"/>
        <w:gridCol w:w="1595"/>
      </w:tblGrid>
      <w:tr>
        <w:trPr>
          <w:trHeight w:val="402" w:hRule="exact"/>
        </w:trPr>
        <w:tc>
          <w:tcPr>
            <w:tcW w:w="1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316" w:lineRule="auto"/>
              <w:ind w:left="22" w:right="123"/>
              <w:jc w:val="left"/>
              <w:rPr>
                <w:rFonts w:ascii="宋体" w:hAnsi="宋体" w:cs="宋体" w:eastAsia="宋体" w:hint="default"/>
                <w:sz w:val="18"/>
                <w:szCs w:val="18"/>
              </w:rPr>
            </w:pPr>
            <w:r>
              <w:rPr>
                <w:rFonts w:ascii="宋体" w:hAnsi="宋体" w:cs="宋体" w:eastAsia="宋体" w:hint="default"/>
                <w:sz w:val="18"/>
                <w:szCs w:val="18"/>
              </w:rPr>
              <w:t>软件与信息技术服 务业</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人民币元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36" w:right="0"/>
              <w:jc w:val="left"/>
              <w:rPr>
                <w:rFonts w:ascii="Times New Roman" w:hAnsi="Times New Roman" w:cs="Times New Roman" w:eastAsia="Times New Roman" w:hint="default"/>
                <w:sz w:val="18"/>
                <w:szCs w:val="18"/>
              </w:rPr>
            </w:pPr>
            <w:r>
              <w:rPr>
                <w:rFonts w:ascii="Times New Roman"/>
                <w:sz w:val="18"/>
              </w:rPr>
              <w:t>922,576,104.96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1,092,606,824.73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-15.56%</w:t>
            </w:r>
          </w:p>
        </w:tc>
      </w:tr>
      <w:tr>
        <w:trPr>
          <w:trHeight w:val="402" w:hRule="exact"/>
        </w:trPr>
        <w:tc>
          <w:tcPr>
            <w:tcW w:w="1608" w:type="dxa"/>
            <w:vMerge/>
            <w:tcBorders>
              <w:left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人民币元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26" w:right="0"/>
              <w:jc w:val="left"/>
              <w:rPr>
                <w:rFonts w:ascii="Times New Roman" w:hAnsi="Times New Roman" w:cs="Times New Roman" w:eastAsia="Times New Roman" w:hint="default"/>
                <w:sz w:val="18"/>
                <w:szCs w:val="18"/>
              </w:rPr>
            </w:pPr>
            <w:r>
              <w:rPr>
                <w:rFonts w:ascii="Times New Roman"/>
                <w:sz w:val="18"/>
              </w:rPr>
              <w:t>997,438,162.1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1,112,565,364.08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-10.35%</w:t>
            </w:r>
          </w:p>
        </w:tc>
      </w:tr>
      <w:tr>
        <w:trPr>
          <w:trHeight w:val="403"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人民币元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36" w:right="0"/>
              <w:jc w:val="left"/>
              <w:rPr>
                <w:rFonts w:ascii="Times New Roman" w:hAnsi="Times New Roman" w:cs="Times New Roman" w:eastAsia="Times New Roman" w:hint="default"/>
                <w:sz w:val="18"/>
                <w:szCs w:val="18"/>
              </w:rPr>
            </w:pPr>
            <w:r>
              <w:rPr>
                <w:rFonts w:ascii="Times New Roman"/>
                <w:sz w:val="18"/>
              </w:rPr>
              <w:t>157,258,252.92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82,396,195.78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90.86%</w:t>
            </w:r>
          </w:p>
        </w:tc>
      </w:tr>
    </w:tbl>
    <w:p>
      <w:pPr>
        <w:pStyle w:val="BodyText"/>
        <w:spacing w:line="240" w:lineRule="auto" w:before="51"/>
        <w:ind w:right="0"/>
        <w:jc w:val="both"/>
      </w:pPr>
      <w:r>
        <w:rPr/>
        <w:t>相关数据同比发生变动</w:t>
      </w:r>
      <w:r>
        <w:rPr>
          <w:spacing w:val="-46"/>
        </w:rPr>
        <w:t> </w:t>
      </w:r>
      <w:r>
        <w:rPr>
          <w:rFonts w:ascii="Times New Roman" w:hAnsi="Times New Roman" w:cs="Times New Roman" w:eastAsia="Times New Roman" w:hint="default"/>
        </w:rPr>
        <w:t>30%</w:t>
      </w:r>
      <w:r>
        <w:rPr/>
        <w:t>以上的原因说明</w:t>
      </w:r>
    </w:p>
    <w:p>
      <w:pPr>
        <w:pStyle w:val="BodyText"/>
        <w:spacing w:line="240" w:lineRule="auto" w:before="102"/>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19" w:lineRule="auto" w:before="103"/>
        <w:ind w:right="1133"/>
        <w:jc w:val="both"/>
      </w:pPr>
      <w:r>
        <w:rPr/>
        <w:t>由于销售备货，公司库存商品量较去年有较大幅度的增长。（注</w:t>
      </w:r>
      <w:r>
        <w:rPr>
          <w:spacing w:val="-18"/>
        </w:rPr>
        <w:t> </w:t>
      </w:r>
      <w:r>
        <w:rPr/>
        <w:t>：公司按照销售金额而不是销售数量进行对比，主要原因</w:t>
      </w:r>
      <w:r>
        <w:rPr/>
        <w:t> </w:t>
      </w:r>
      <w:r>
        <w:rPr>
          <w:spacing w:val="-2"/>
        </w:rPr>
        <w:t>为：公司产品类型既有单机产品又有系统产品，两类产品价格差异很大；公司销售方式既有单产品销售又有多产品之间的任</w:t>
      </w:r>
      <w:r>
        <w:rPr>
          <w:spacing w:val="-66"/>
        </w:rPr>
        <w:t> </w:t>
      </w:r>
      <w:r>
        <w:rPr>
          <w:spacing w:val="-66"/>
        </w:rPr>
      </w:r>
      <w:r>
        <w:rPr/>
        <w:t>意组合销售，两种销售方式金额差异很大。）</w:t>
      </w:r>
    </w:p>
    <w:p>
      <w:pPr>
        <w:spacing w:after="0" w:line="319" w:lineRule="auto"/>
        <w:jc w:val="both"/>
        <w:sectPr>
          <w:type w:val="continuous"/>
          <w:pgSz w:w="11910" w:h="16840"/>
          <w:pgMar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1022"/>
        <w:jc w:val="left"/>
        <w:rPr>
          <w:b w:val="0"/>
          <w:bCs w:val="0"/>
        </w:rPr>
      </w:pPr>
      <w:bookmarkStart w:name="（4）公司已签订的重大销售合同截至本报告期的履行情况" w:id="31"/>
      <w:bookmarkEnd w:id="31"/>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1022"/>
        <w:jc w:val="left"/>
        <w:rPr>
          <w:b w:val="0"/>
          <w:bCs w:val="0"/>
        </w:rPr>
      </w:pPr>
      <w:bookmarkStart w:name="（5）营业成本构成" w:id="32"/>
      <w:bookmarkEnd w:id="32"/>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338" w:lineRule="auto" w:before="44"/>
        <w:ind w:right="-19"/>
        <w:jc w:val="left"/>
      </w:pPr>
      <w:r>
        <w:rPr/>
        <w:t>公司需遵守《深圳证券交易所行业信息披露指引第</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上市公司从事软件与信息技术服务业务》的披露要求 主营业务成本构成</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32" w:right="0"/>
        <w:jc w:val="left"/>
      </w:pPr>
      <w:r>
        <w:rPr/>
        <w:t>单位：元</w:t>
      </w:r>
    </w:p>
    <w:p>
      <w:pPr>
        <w:spacing w:after="0" w:line="240" w:lineRule="auto"/>
        <w:jc w:val="left"/>
        <w:sectPr>
          <w:type w:val="continuous"/>
          <w:pgSz w:w="11910" w:h="16840"/>
          <w:pgMar w:top="1060" w:bottom="1160" w:left="980" w:right="0"/>
          <w:cols w:num="2" w:equalWidth="0">
            <w:col w:w="9065" w:space="40"/>
            <w:col w:w="1825"/>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成本构成</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本报告期</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上年同期</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3"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1"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59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1,109,349,335.21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88.40%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1,261,531,234.70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91.24%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-12.06%</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人力成本</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33,089,098.78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29,628,264.32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11.68%</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2,651,165.90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3,656,224.27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-27.49%</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109,853,684.05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87,864,501.97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25.03%</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1,254,943,283.94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1,382,680,225.26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-9.24%</w:t>
            </w:r>
          </w:p>
        </w:tc>
      </w:tr>
    </w:tbl>
    <w:p>
      <w:pPr>
        <w:pStyle w:val="BodyText"/>
        <w:spacing w:line="240" w:lineRule="auto" w:before="51"/>
        <w:ind w:right="1022"/>
        <w:jc w:val="left"/>
      </w:pPr>
      <w:r>
        <w:rPr/>
        <w:t>行业分类</w:t>
      </w:r>
    </w:p>
    <w:p>
      <w:pPr>
        <w:pStyle w:val="BodyText"/>
        <w:spacing w:line="240" w:lineRule="auto" w:before="117"/>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信息安全行业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1,109,349,335.21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88.40%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1,261,531,234.70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91.24%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-12.06%</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信息安全行业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人力成本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33,089,098.78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29,628,264.32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11.68%</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信息安全行业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2,651,165.90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0.21%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3,656,224.27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-27.49%</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信息安全行业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109,853,684.05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87,864,501.97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25.03%</w:t>
            </w:r>
          </w:p>
        </w:tc>
      </w:tr>
      <w:tr>
        <w:trPr>
          <w:trHeight w:val="40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1,254,943,283.94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1,382,680,225.26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-9.24%</w:t>
            </w:r>
          </w:p>
        </w:tc>
      </w:tr>
    </w:tbl>
    <w:p>
      <w:pPr>
        <w:spacing w:line="240" w:lineRule="auto" w:before="2"/>
        <w:rPr>
          <w:rFonts w:ascii="宋体" w:hAnsi="宋体" w:cs="宋体" w:eastAsia="宋体" w:hint="default"/>
          <w:sz w:val="19"/>
          <w:szCs w:val="19"/>
        </w:rPr>
      </w:pPr>
    </w:p>
    <w:p>
      <w:pPr>
        <w:pStyle w:val="Heading3"/>
        <w:spacing w:line="240" w:lineRule="auto" w:before="35"/>
        <w:ind w:right="1022"/>
        <w:jc w:val="left"/>
        <w:rPr>
          <w:b w:val="0"/>
          <w:bCs w:val="0"/>
        </w:rPr>
      </w:pPr>
      <w:bookmarkStart w:name="（6）报告期内合并范围是否发生变动" w:id="33"/>
      <w:bookmarkEnd w:id="33"/>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2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3"/>
        <w:spacing w:line="240" w:lineRule="auto"/>
        <w:ind w:right="1022"/>
        <w:jc w:val="left"/>
        <w:rPr>
          <w:b w:val="0"/>
          <w:bCs w:val="0"/>
        </w:rPr>
      </w:pPr>
      <w:bookmarkStart w:name="（7）公司报告期内业务、产品或服务发生重大变化或调整有关情况" w:id="34"/>
      <w:bookmarkEnd w:id="34"/>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1022"/>
        <w:jc w:val="left"/>
        <w:rPr>
          <w:b w:val="0"/>
          <w:bCs w:val="0"/>
        </w:rPr>
      </w:pPr>
      <w:bookmarkStart w:name="（8）主要销售客户和主要供应商情况" w:id="35"/>
      <w:bookmarkEnd w:id="35"/>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22"/>
        <w:jc w:val="left"/>
      </w:pPr>
      <w:r>
        <w:rPr/>
        <w:t>公司主要销售客户情况</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678"/>
        <w:gridCol w:w="4890"/>
      </w:tblGrid>
      <w:tr>
        <w:trPr>
          <w:trHeight w:val="403"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4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782,744,787.48</w:t>
            </w:r>
          </w:p>
        </w:tc>
      </w:tr>
      <w:tr>
        <w:trPr>
          <w:trHeight w:val="403"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4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40.54%</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678"/>
        <w:gridCol w:w="4890"/>
      </w:tblGrid>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前五名客户销售额中关联方销售额占年度销售总额比例</w:t>
            </w:r>
          </w:p>
        </w:tc>
        <w:tc>
          <w:tcPr>
            <w:tcW w:w="4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24.37%</w:t>
            </w:r>
          </w:p>
        </w:tc>
      </w:tr>
    </w:tbl>
    <w:p>
      <w:pPr>
        <w:pStyle w:val="BodyText"/>
        <w:spacing w:line="240" w:lineRule="auto" w:before="51"/>
        <w:ind w:right="1022"/>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91"/>
        <w:gridCol w:w="3313"/>
        <w:gridCol w:w="2322"/>
        <w:gridCol w:w="3143"/>
      </w:tblGrid>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470,631,613.22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24.37%</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124,353,853.14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6.44%</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84,591,470.78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4.38%</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53,440,158.31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2.77%</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49,727,692.03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2.58%</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782,744,787.48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40.54%</w:t>
            </w:r>
          </w:p>
        </w:tc>
      </w:tr>
    </w:tbl>
    <w:p>
      <w:pPr>
        <w:pStyle w:val="BodyText"/>
        <w:spacing w:line="240" w:lineRule="auto" w:before="51"/>
        <w:ind w:right="1022"/>
        <w:jc w:val="left"/>
      </w:pPr>
      <w:r>
        <w:rPr/>
        <w:t>主要客户其他情况说明</w:t>
      </w:r>
    </w:p>
    <w:p>
      <w:pPr>
        <w:pStyle w:val="BodyText"/>
        <w:spacing w:line="348" w:lineRule="auto" w:before="117"/>
        <w:ind w:right="55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第一名与公司受同一实际控制人中国电科控制，是公司的关联方。 公司主要供应商情况</w:t>
      </w:r>
    </w:p>
    <w:tbl>
      <w:tblPr>
        <w:tblW w:w="0" w:type="auto"/>
        <w:jc w:val="left"/>
        <w:tblInd w:w="149" w:type="dxa"/>
        <w:tblLayout w:type="fixed"/>
        <w:tblCellMar>
          <w:top w:w="0" w:type="dxa"/>
          <w:left w:w="0" w:type="dxa"/>
          <w:bottom w:w="0" w:type="dxa"/>
          <w:right w:w="0" w:type="dxa"/>
        </w:tblCellMar>
        <w:tblLook w:val="01E0"/>
      </w:tblPr>
      <w:tblGrid>
        <w:gridCol w:w="4821"/>
        <w:gridCol w:w="4748"/>
      </w:tblGrid>
      <w:tr>
        <w:trPr>
          <w:trHeight w:val="402" w:hRule="exact"/>
        </w:trPr>
        <w:tc>
          <w:tcPr>
            <w:tcW w:w="4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4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326,651,303.77</w:t>
            </w:r>
          </w:p>
        </w:tc>
      </w:tr>
      <w:tr>
        <w:trPr>
          <w:trHeight w:val="402" w:hRule="exact"/>
        </w:trPr>
        <w:tc>
          <w:tcPr>
            <w:tcW w:w="4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4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26.15%</w:t>
            </w:r>
          </w:p>
        </w:tc>
      </w:tr>
      <w:tr>
        <w:trPr>
          <w:trHeight w:val="402" w:hRule="exact"/>
        </w:trPr>
        <w:tc>
          <w:tcPr>
            <w:tcW w:w="4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前五名供应商采购额中关联方采购额占年度采购总额比例</w:t>
            </w:r>
          </w:p>
        </w:tc>
        <w:tc>
          <w:tcPr>
            <w:tcW w:w="4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3.95%</w:t>
            </w:r>
          </w:p>
        </w:tc>
      </w:tr>
    </w:tbl>
    <w:p>
      <w:pPr>
        <w:pStyle w:val="BodyText"/>
        <w:spacing w:line="240" w:lineRule="auto" w:before="74"/>
        <w:ind w:right="1022"/>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0"/>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912"/>
        <w:gridCol w:w="3180"/>
        <w:gridCol w:w="2322"/>
        <w:gridCol w:w="3143"/>
      </w:tblGrid>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0"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1</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191,049,504.53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15.30%</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2</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49,361,252.06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3.95%</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3</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34,018,973.04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2.72%</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4</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30,600,094.83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2.45%</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5</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21,621,479.31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1.73%</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326,651,303.77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26.15%</w:t>
            </w:r>
          </w:p>
        </w:tc>
      </w:tr>
    </w:tbl>
    <w:p>
      <w:pPr>
        <w:pStyle w:val="BodyText"/>
        <w:spacing w:line="240" w:lineRule="auto" w:before="51"/>
        <w:ind w:right="1022"/>
        <w:jc w:val="left"/>
      </w:pPr>
      <w:r>
        <w:rPr/>
        <w:t>主要供应商其他情况说明</w:t>
      </w:r>
    </w:p>
    <w:p>
      <w:pPr>
        <w:pStyle w:val="BodyText"/>
        <w:spacing w:line="338" w:lineRule="auto" w:before="117"/>
        <w:ind w:right="57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第二名与公司受同一控股股东中国网安控制，是公司的关联方。</w:t>
      </w:r>
    </w:p>
    <w:p>
      <w:pPr>
        <w:spacing w:line="240" w:lineRule="auto" w:before="2"/>
        <w:rPr>
          <w:rFonts w:ascii="宋体" w:hAnsi="宋体" w:cs="宋体" w:eastAsia="宋体" w:hint="default"/>
          <w:sz w:val="21"/>
          <w:szCs w:val="21"/>
        </w:rPr>
      </w:pPr>
    </w:p>
    <w:p>
      <w:pPr>
        <w:pStyle w:val="Heading3"/>
        <w:spacing w:line="240" w:lineRule="auto"/>
        <w:ind w:right="1022"/>
        <w:jc w:val="left"/>
        <w:rPr>
          <w:b w:val="0"/>
          <w:bCs w:val="0"/>
        </w:rPr>
      </w:pPr>
      <w:bookmarkStart w:name="3、费用" w:id="36"/>
      <w:bookmarkEnd w:id="36"/>
      <w:r>
        <w:rPr>
          <w:b w:val="0"/>
          <w:bCs w:val="0"/>
        </w:rPr>
      </w:r>
      <w:r>
        <w:rPr>
          <w:rFonts w:ascii="Times New Roman" w:hAnsi="Times New Roman" w:cs="Times New Roman" w:eastAsia="Times New Roman" w:hint="default"/>
        </w:rPr>
        <w:t>3</w:t>
      </w:r>
      <w:r>
        <w:rPr/>
        <w:t>、费用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92"/>
        <w:gridCol w:w="1499"/>
        <w:gridCol w:w="1419"/>
        <w:gridCol w:w="1276"/>
        <w:gridCol w:w="3472"/>
      </w:tblGrid>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5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2"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3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4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231,582,582.64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215,335,122.70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7.55%</w:t>
            </w:r>
          </w:p>
        </w:tc>
        <w:tc>
          <w:tcPr>
            <w:tcW w:w="347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4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143,212,445.96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149,382,586.34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-4.13%</w:t>
            </w:r>
          </w:p>
        </w:tc>
        <w:tc>
          <w:tcPr>
            <w:tcW w:w="3472"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892" w:type="dxa"/>
            <w:tcBorders>
              <w:top w:val="single" w:sz="4" w:space="0" w:color="000000"/>
              <w:left w:val="single" w:sz="4" w:space="0" w:color="000000"/>
              <w:bottom w:val="nil" w:sz="6" w:space="0" w:color="auto"/>
              <w:right w:val="single" w:sz="4" w:space="0" w:color="000000"/>
            </w:tcBorders>
            <w:shd w:val="clear" w:color="auto" w:fill="D2D2D2"/>
          </w:tcPr>
          <w:p>
            <w:pPr/>
          </w:p>
        </w:tc>
        <w:tc>
          <w:tcPr>
            <w:tcW w:w="1499"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4" w:right="0"/>
              <w:jc w:val="left"/>
              <w:rPr>
                <w:rFonts w:ascii="Times New Roman" w:hAnsi="Times New Roman" w:cs="Times New Roman" w:eastAsia="Times New Roman" w:hint="default"/>
                <w:sz w:val="18"/>
                <w:szCs w:val="18"/>
              </w:rPr>
            </w:pPr>
            <w:r>
              <w:rPr>
                <w:rFonts w:ascii="Times New Roman"/>
                <w:sz w:val="18"/>
              </w:rPr>
              <w:t>-43,028,184.98</w:t>
            </w:r>
          </w:p>
        </w:tc>
        <w:tc>
          <w:tcPr>
            <w:tcW w:w="141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-12,193,769.19</w:t>
            </w:r>
          </w:p>
        </w:tc>
        <w:tc>
          <w:tcPr>
            <w:tcW w:w="127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38" w:right="0"/>
              <w:jc w:val="left"/>
              <w:rPr>
                <w:rFonts w:ascii="Times New Roman" w:hAnsi="Times New Roman" w:cs="Times New Roman" w:eastAsia="Times New Roman" w:hint="default"/>
                <w:sz w:val="18"/>
                <w:szCs w:val="18"/>
              </w:rPr>
            </w:pPr>
            <w:r>
              <w:rPr>
                <w:rFonts w:ascii="Times New Roman"/>
                <w:sz w:val="18"/>
              </w:rPr>
              <w:t>-252.87%</w:t>
            </w:r>
          </w:p>
        </w:tc>
        <w:tc>
          <w:tcPr>
            <w:tcW w:w="3472"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主要系本年公司使用闲置募集资金购买结 构性存款利息收入增加所致</w:t>
            </w:r>
          </w:p>
        </w:tc>
      </w:tr>
      <w:tr>
        <w:trPr>
          <w:trHeight w:val="392" w:hRule="exact"/>
        </w:trPr>
        <w:tc>
          <w:tcPr>
            <w:tcW w:w="18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499" w:type="dxa"/>
            <w:vMerge/>
            <w:tcBorders>
              <w:left w:val="single" w:sz="10" w:space="0" w:color="D2D2D2"/>
              <w:right w:val="single" w:sz="4" w:space="0" w:color="000000"/>
            </w:tcBorders>
          </w:tcPr>
          <w:p>
            <w:pPr/>
          </w:p>
        </w:tc>
        <w:tc>
          <w:tcPr>
            <w:tcW w:w="1419"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3472" w:type="dxa"/>
            <w:vMerge/>
            <w:tcBorders>
              <w:left w:val="single" w:sz="4" w:space="0" w:color="000000"/>
              <w:right w:val="single" w:sz="4" w:space="0" w:color="000000"/>
            </w:tcBorders>
          </w:tcPr>
          <w:p>
            <w:pPr/>
          </w:p>
        </w:tc>
      </w:tr>
      <w:tr>
        <w:trPr>
          <w:trHeight w:val="161" w:hRule="exact"/>
        </w:trPr>
        <w:tc>
          <w:tcPr>
            <w:tcW w:w="1892" w:type="dxa"/>
            <w:tcBorders>
              <w:top w:val="nil" w:sz="6" w:space="0" w:color="auto"/>
              <w:left w:val="single" w:sz="4" w:space="0" w:color="000000"/>
              <w:bottom w:val="single" w:sz="4" w:space="0" w:color="000000"/>
              <w:right w:val="single" w:sz="4" w:space="0" w:color="000000"/>
            </w:tcBorders>
            <w:shd w:val="clear" w:color="auto" w:fill="D2D2D2"/>
          </w:tcPr>
          <w:p>
            <w:pPr/>
          </w:p>
        </w:tc>
        <w:tc>
          <w:tcPr>
            <w:tcW w:w="1499" w:type="dxa"/>
            <w:vMerge/>
            <w:tcBorders>
              <w:left w:val="single" w:sz="10" w:space="0" w:color="D2D2D2"/>
              <w:bottom w:val="single" w:sz="4" w:space="0" w:color="000000"/>
              <w:right w:val="single" w:sz="4" w:space="0" w:color="000000"/>
            </w:tcBorders>
          </w:tcPr>
          <w:p>
            <w:pPr/>
          </w:p>
        </w:tc>
        <w:tc>
          <w:tcPr>
            <w:tcW w:w="1419" w:type="dxa"/>
            <w:vMerge/>
            <w:tcBorders>
              <w:left w:val="single" w:sz="4" w:space="0" w:color="000000"/>
              <w:bottom w:val="single" w:sz="4" w:space="0" w:color="000000"/>
              <w:right w:val="single" w:sz="4" w:space="0" w:color="000000"/>
            </w:tcBorders>
          </w:tcPr>
          <w:p>
            <w:pPr/>
          </w:p>
        </w:tc>
        <w:tc>
          <w:tcPr>
            <w:tcW w:w="1276" w:type="dxa"/>
            <w:vMerge/>
            <w:tcBorders>
              <w:left w:val="single" w:sz="4" w:space="0" w:color="000000"/>
              <w:bottom w:val="single" w:sz="4" w:space="0" w:color="000000"/>
              <w:right w:val="single" w:sz="4" w:space="0" w:color="000000"/>
            </w:tcBorders>
          </w:tcPr>
          <w:p>
            <w:pPr/>
          </w:p>
        </w:tc>
        <w:tc>
          <w:tcPr>
            <w:tcW w:w="347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1918"/>
        <w:gridCol w:w="1487"/>
        <w:gridCol w:w="1419"/>
        <w:gridCol w:w="1276"/>
        <w:gridCol w:w="3472"/>
      </w:tblGrid>
      <w:tr>
        <w:trPr>
          <w:trHeight w:val="402" w:hRule="exact"/>
        </w:trPr>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29" w:right="0"/>
              <w:jc w:val="left"/>
              <w:rPr>
                <w:rFonts w:ascii="Times New Roman" w:hAnsi="Times New Roman" w:cs="Times New Roman" w:eastAsia="Times New Roman" w:hint="default"/>
                <w:sz w:val="18"/>
                <w:szCs w:val="18"/>
              </w:rPr>
            </w:pPr>
            <w:r>
              <w:rPr>
                <w:rFonts w:ascii="Times New Roman"/>
                <w:sz w:val="18"/>
              </w:rPr>
              <w:t>192,665,350.81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0" w:right="0"/>
              <w:jc w:val="left"/>
              <w:rPr>
                <w:rFonts w:ascii="Times New Roman" w:hAnsi="Times New Roman" w:cs="Times New Roman" w:eastAsia="Times New Roman" w:hint="default"/>
                <w:sz w:val="18"/>
                <w:szCs w:val="18"/>
              </w:rPr>
            </w:pPr>
            <w:r>
              <w:rPr>
                <w:rFonts w:ascii="Times New Roman"/>
                <w:sz w:val="18"/>
              </w:rPr>
              <w:t>180,844,148.08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8" w:right="0"/>
              <w:jc w:val="left"/>
              <w:rPr>
                <w:rFonts w:ascii="Times New Roman" w:hAnsi="Times New Roman" w:cs="Times New Roman" w:eastAsia="Times New Roman" w:hint="default"/>
                <w:sz w:val="18"/>
                <w:szCs w:val="18"/>
              </w:rPr>
            </w:pPr>
            <w:r>
              <w:rPr>
                <w:rFonts w:ascii="Times New Roman"/>
                <w:sz w:val="18"/>
              </w:rPr>
              <w:t>6.54%</w:t>
            </w:r>
          </w:p>
        </w:tc>
        <w:tc>
          <w:tcPr>
            <w:tcW w:w="347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1022"/>
        <w:jc w:val="left"/>
        <w:rPr>
          <w:b w:val="0"/>
          <w:bCs w:val="0"/>
        </w:rPr>
      </w:pPr>
      <w:bookmarkStart w:name="4、研发投入" w:id="37"/>
      <w:bookmarkEnd w:id="37"/>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7" w:lineRule="auto" w:before="102"/>
        <w:ind w:right="1022" w:firstLine="360"/>
        <w:jc w:val="left"/>
      </w:pPr>
      <w:r>
        <w:rPr>
          <w:rFonts w:ascii="Times New Roman" w:hAnsi="Times New Roman" w:cs="Times New Roman" w:eastAsia="Times New Roman" w:hint="default"/>
          <w:spacing w:val="-4"/>
        </w:rPr>
        <w:t>2018</w:t>
      </w:r>
      <w:r>
        <w:rPr>
          <w:spacing w:val="-4"/>
        </w:rPr>
        <w:t>年，公司积极响应市场需求，开拓新产品，大力发展基础平台、高端安全芯片和整机产品，同时开展安全运营服务。</w:t>
      </w:r>
      <w:r>
        <w:rPr/>
        <w:t> </w:t>
      </w:r>
      <w:r>
        <w:rPr>
          <w:spacing w:val="-2"/>
        </w:rPr>
        <w:t>全年共开展产品研发项目</w:t>
      </w:r>
      <w:r>
        <w:rPr>
          <w:rFonts w:ascii="Times New Roman" w:hAnsi="Times New Roman" w:cs="Times New Roman" w:eastAsia="Times New Roman" w:hint="default"/>
          <w:spacing w:val="-2"/>
        </w:rPr>
        <w:t>73</w:t>
      </w:r>
      <w:r>
        <w:rPr>
          <w:spacing w:val="-2"/>
        </w:rPr>
        <w:t>个，包括安全芯片、密码产品（含云密码产品）、信任服务产品、网络安全产品、安全态势感知</w:t>
      </w:r>
      <w:r>
        <w:rPr>
          <w:spacing w:val="-70"/>
        </w:rPr>
        <w:t> </w:t>
      </w:r>
      <w:r>
        <w:rPr>
          <w:spacing w:val="-70"/>
        </w:rPr>
      </w:r>
      <w:r>
        <w:rPr>
          <w:spacing w:val="-2"/>
        </w:rPr>
        <w:t>产品、移动互联网安全产品、安全通信产品、安全保密产品、安全应用产品等，为提升公司市场竞争力、形成新的经济增长</w:t>
      </w:r>
      <w:r>
        <w:rPr>
          <w:spacing w:val="-68"/>
        </w:rPr>
        <w:t> </w:t>
      </w:r>
      <w:r>
        <w:rPr>
          <w:spacing w:val="-68"/>
        </w:rPr>
      </w:r>
      <w:r>
        <w:rPr/>
        <w:t>点，做出了积极贡献。</w:t>
      </w:r>
    </w:p>
    <w:p>
      <w:pPr>
        <w:pStyle w:val="BodyText"/>
        <w:spacing w:line="240" w:lineRule="auto" w:before="67"/>
        <w:ind w:right="1022"/>
        <w:jc w:val="left"/>
      </w:pPr>
      <w:r>
        <w:rPr/>
        <w:t>公司研发投入情况</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54"/>
        <w:gridCol w:w="2139"/>
        <w:gridCol w:w="2073"/>
        <w:gridCol w:w="2392"/>
      </w:tblGrid>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0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变动比例</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871</w:t>
            </w:r>
          </w:p>
        </w:tc>
        <w:tc>
          <w:tcPr>
            <w:tcW w:w="2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864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0.81%</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41.92%</w:t>
            </w:r>
          </w:p>
        </w:tc>
        <w:tc>
          <w:tcPr>
            <w:tcW w:w="2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41.38%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0.54%</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240,663,931.93</w:t>
            </w:r>
          </w:p>
        </w:tc>
        <w:tc>
          <w:tcPr>
            <w:tcW w:w="2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232,906,316.14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3.33%</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12.46%</w:t>
            </w:r>
          </w:p>
        </w:tc>
        <w:tc>
          <w:tcPr>
            <w:tcW w:w="2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1.56%</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研发投入资本化的金额（元）</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47,998,581.12</w:t>
            </w:r>
          </w:p>
        </w:tc>
        <w:tc>
          <w:tcPr>
            <w:tcW w:w="2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52,062,168.06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-7.81%</w:t>
            </w: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资本化研发投入占研发投入的比例</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19.94%</w:t>
            </w:r>
          </w:p>
        </w:tc>
        <w:tc>
          <w:tcPr>
            <w:tcW w:w="2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22.35%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-2.41%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pStyle w:val="BodyText"/>
        <w:spacing w:line="240" w:lineRule="auto" w:before="51"/>
        <w:ind w:right="-19"/>
        <w:jc w:val="left"/>
      </w:pPr>
      <w:r>
        <w:rPr/>
        <w:t>研发投入总额占营业收入的比重较上年发生显著变化的原因</w:t>
      </w:r>
    </w:p>
    <w:p>
      <w:pPr>
        <w:pStyle w:val="BodyText"/>
        <w:spacing w:line="340" w:lineRule="auto" w:before="116"/>
        <w:ind w:right="49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研发投入资本化率大幅变动的原因及其合理性说明</w:t>
      </w:r>
    </w:p>
    <w:p>
      <w:pPr>
        <w:pStyle w:val="BodyText"/>
        <w:spacing w:line="240" w:lineRule="auto" w:before="40"/>
        <w:ind w:right="58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19"/>
        <w:jc w:val="left"/>
      </w:pPr>
      <w:r>
        <w:rPr/>
        <w:t>公司需遵守《深圳证券交易所行业信息披露指引第</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上市公司从事软件与信息技术服务业务》的披露要求</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pStyle w:val="BodyText"/>
        <w:spacing w:line="240" w:lineRule="auto"/>
        <w:ind w:left="-32" w:right="0"/>
        <w:jc w:val="left"/>
      </w:pPr>
      <w:r>
        <w:rPr/>
        <w:t>单位：元</w:t>
      </w:r>
    </w:p>
    <w:p>
      <w:pPr>
        <w:spacing w:after="0" w:line="240" w:lineRule="auto"/>
        <w:jc w:val="left"/>
        <w:sectPr>
          <w:type w:val="continuous"/>
          <w:pgSz w:w="11910" w:h="16840"/>
          <w:pgMar w:top="1060" w:bottom="1160" w:left="980" w:right="0"/>
          <w:cols w:num="2" w:equalWidth="0">
            <w:col w:w="9065" w:space="40"/>
            <w:col w:w="1825"/>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702"/>
        <w:gridCol w:w="1560"/>
        <w:gridCol w:w="3915"/>
        <w:gridCol w:w="2392"/>
      </w:tblGrid>
      <w:tr>
        <w:trPr>
          <w:trHeight w:val="402"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5"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3" w:right="0"/>
              <w:jc w:val="left"/>
              <w:rPr>
                <w:rFonts w:ascii="宋体" w:hAnsi="宋体" w:cs="宋体" w:eastAsia="宋体" w:hint="default"/>
                <w:sz w:val="18"/>
                <w:szCs w:val="18"/>
              </w:rPr>
            </w:pPr>
            <w:r>
              <w:rPr>
                <w:rFonts w:ascii="宋体" w:hAnsi="宋体" w:cs="宋体" w:eastAsia="宋体" w:hint="default"/>
                <w:sz w:val="18"/>
                <w:szCs w:val="18"/>
              </w:rPr>
              <w:t>研发资本化金额</w:t>
            </w:r>
          </w:p>
        </w:tc>
        <w:tc>
          <w:tcPr>
            <w:tcW w:w="3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42" w:right="0"/>
              <w:jc w:val="left"/>
              <w:rPr>
                <w:rFonts w:ascii="宋体" w:hAnsi="宋体" w:cs="宋体" w:eastAsia="宋体" w:hint="default"/>
                <w:sz w:val="18"/>
                <w:szCs w:val="18"/>
              </w:rPr>
            </w:pPr>
            <w:r>
              <w:rPr>
                <w:rFonts w:ascii="宋体" w:hAnsi="宋体" w:cs="宋体" w:eastAsia="宋体" w:hint="default"/>
                <w:sz w:val="18"/>
                <w:szCs w:val="18"/>
              </w:rPr>
              <w:t>相关项目的基本情况</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实施进度</w:t>
            </w:r>
          </w:p>
        </w:tc>
      </w:tr>
      <w:tr>
        <w:trPr>
          <w:trHeight w:val="1338"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协同工作平台</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5,837,442.93</w:t>
            </w:r>
          </w:p>
        </w:tc>
        <w:tc>
          <w:tcPr>
            <w:tcW w:w="391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项目产品包含协同办公平台、数据资产平台、沟 通交流平台，是企业、机构实现数字化高效运转 </w:t>
            </w:r>
            <w:r>
              <w:rPr>
                <w:rFonts w:ascii="宋体" w:hAnsi="宋体" w:cs="宋体" w:eastAsia="宋体" w:hint="default"/>
                <w:spacing w:val="-1"/>
                <w:sz w:val="18"/>
                <w:szCs w:val="18"/>
              </w:rPr>
              <w:t>的关键。提供适用于内部网</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专用网办公和工作网</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z w:val="18"/>
                <w:szCs w:val="18"/>
              </w:rPr>
              <w:t> </w:t>
            </w:r>
            <w:r>
              <w:rPr>
                <w:rFonts w:ascii="宋体" w:hAnsi="宋体" w:cs="宋体" w:eastAsia="宋体" w:hint="default"/>
                <w:sz w:val="18"/>
                <w:szCs w:val="18"/>
              </w:rPr>
              <w:t>互联网移动办公两种不同场景的解决方案。</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22" w:right="68"/>
              <w:jc w:val="both"/>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年基础版本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正在开 发中，计划</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月完成 该版本。</w:t>
            </w:r>
          </w:p>
        </w:tc>
      </w:tr>
      <w:tr>
        <w:trPr>
          <w:trHeight w:val="1650"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2" w:right="47"/>
              <w:jc w:val="left"/>
              <w:rPr>
                <w:rFonts w:ascii="宋体" w:hAnsi="宋体" w:cs="宋体" w:eastAsia="宋体" w:hint="default"/>
                <w:sz w:val="18"/>
                <w:szCs w:val="18"/>
              </w:rPr>
            </w:pPr>
            <w:r>
              <w:rPr>
                <w:rFonts w:ascii="宋体" w:hAnsi="宋体" w:cs="宋体" w:eastAsia="宋体" w:hint="default"/>
                <w:sz w:val="18"/>
                <w:szCs w:val="18"/>
              </w:rPr>
              <w:t>安全智能移动终端及 应用服务产业化项目</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5,826,623.08</w:t>
            </w:r>
          </w:p>
        </w:tc>
        <w:tc>
          <w:tcPr>
            <w:tcW w:w="3915"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1"/>
              <w:ind w:left="22" w:right="24"/>
              <w:jc w:val="left"/>
              <w:rPr>
                <w:rFonts w:ascii="宋体" w:hAnsi="宋体" w:cs="宋体" w:eastAsia="宋体" w:hint="default"/>
                <w:sz w:val="18"/>
                <w:szCs w:val="18"/>
              </w:rPr>
            </w:pPr>
            <w:r>
              <w:rPr>
                <w:rFonts w:ascii="宋体" w:hAnsi="宋体" w:cs="宋体" w:eastAsia="宋体" w:hint="default"/>
                <w:sz w:val="18"/>
                <w:szCs w:val="18"/>
              </w:rPr>
              <w:t>项目针对安全智能终端、</w:t>
            </w:r>
            <w:r>
              <w:rPr>
                <w:rFonts w:ascii="Times New Roman" w:hAnsi="Times New Roman" w:cs="Times New Roman" w:eastAsia="Times New Roman" w:hint="default"/>
                <w:sz w:val="18"/>
                <w:szCs w:val="18"/>
              </w:rPr>
              <w:t>TF</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卡、移动互联网安全 增值服务进行安全系统</w:t>
            </w:r>
            <w:r>
              <w:rPr>
                <w:rFonts w:ascii="Times New Roman" w:hAnsi="Times New Roman" w:cs="Times New Roman" w:eastAsia="Times New Roman" w:hint="default"/>
                <w:sz w:val="18"/>
                <w:szCs w:val="18"/>
              </w:rPr>
              <w:t>/</w:t>
            </w:r>
            <w:r>
              <w:rPr>
                <w:rFonts w:ascii="宋体" w:hAnsi="宋体" w:cs="宋体" w:eastAsia="宋体" w:hint="default"/>
                <w:sz w:val="18"/>
                <w:szCs w:val="18"/>
              </w:rPr>
              <w:t>软件设计，旨在推出高品 质系列化安全移动终端及应用服务产品，形成覆 盖</w:t>
            </w:r>
            <w:r>
              <w:rPr>
                <w:rFonts w:ascii="Times New Roman" w:hAnsi="Times New Roman" w:cs="Times New Roman" w:eastAsia="Times New Roman" w:hint="default"/>
                <w:sz w:val="18"/>
                <w:szCs w:val="18"/>
              </w:rPr>
              <w:t>"</w:t>
            </w:r>
            <w:r>
              <w:rPr>
                <w:rFonts w:ascii="宋体" w:hAnsi="宋体" w:cs="宋体" w:eastAsia="宋体" w:hint="default"/>
                <w:sz w:val="18"/>
                <w:szCs w:val="18"/>
              </w:rPr>
              <w:t>终端</w:t>
            </w:r>
            <w:r>
              <w:rPr>
                <w:rFonts w:ascii="Times New Roman" w:hAnsi="Times New Roman" w:cs="Times New Roman" w:eastAsia="Times New Roman" w:hint="default"/>
                <w:sz w:val="18"/>
                <w:szCs w:val="18"/>
              </w:rPr>
              <w:t>-</w:t>
            </w:r>
            <w:r>
              <w:rPr>
                <w:rFonts w:ascii="宋体" w:hAnsi="宋体" w:cs="宋体" w:eastAsia="宋体" w:hint="default"/>
                <w:sz w:val="18"/>
                <w:szCs w:val="18"/>
              </w:rPr>
              <w:t>系统</w:t>
            </w:r>
            <w:r>
              <w:rPr>
                <w:rFonts w:ascii="Times New Roman" w:hAnsi="Times New Roman" w:cs="Times New Roman" w:eastAsia="Times New Roman" w:hint="default"/>
                <w:sz w:val="18"/>
                <w:szCs w:val="18"/>
              </w:rPr>
              <w:t>-</w:t>
            </w:r>
            <w:r>
              <w:rPr>
                <w:rFonts w:ascii="宋体" w:hAnsi="宋体" w:cs="宋体" w:eastAsia="宋体" w:hint="default"/>
                <w:sz w:val="18"/>
                <w:szCs w:val="18"/>
              </w:rPr>
              <w:t>应用与服务</w:t>
            </w:r>
            <w:r>
              <w:rPr>
                <w:rFonts w:ascii="Times New Roman" w:hAnsi="Times New Roman" w:cs="Times New Roman" w:eastAsia="Times New Roman" w:hint="default"/>
                <w:sz w:val="18"/>
                <w:szCs w:val="18"/>
              </w:rPr>
              <w:t>-</w:t>
            </w:r>
            <w:r>
              <w:rPr>
                <w:rFonts w:ascii="宋体" w:hAnsi="宋体" w:cs="宋体" w:eastAsia="宋体" w:hint="default"/>
                <w:sz w:val="18"/>
                <w:szCs w:val="18"/>
              </w:rPr>
              <w:t>运营</w:t>
            </w:r>
            <w:r>
              <w:rPr>
                <w:rFonts w:ascii="Times New Roman" w:hAnsi="Times New Roman" w:cs="Times New Roman" w:eastAsia="Times New Roman" w:hint="default"/>
                <w:sz w:val="18"/>
                <w:szCs w:val="18"/>
              </w:rPr>
              <w:t>"</w:t>
            </w:r>
            <w:r>
              <w:rPr>
                <w:rFonts w:ascii="宋体" w:hAnsi="宋体" w:cs="宋体" w:eastAsia="宋体" w:hint="default"/>
                <w:sz w:val="18"/>
                <w:szCs w:val="18"/>
              </w:rPr>
              <w:t>自主可控的产业 链体系。</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2" w:lineRule="auto"/>
              <w:ind w:left="22" w:right="20"/>
              <w:jc w:val="both"/>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年完成</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迭代开发， 系统通过商密检测，获得型号 资质；尊御安全手机完成多款 手机的适配开发。</w:t>
            </w:r>
          </w:p>
        </w:tc>
      </w:tr>
      <w:tr>
        <w:trPr>
          <w:trHeight w:val="196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综合监管系统</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3,906,438.76</w:t>
            </w:r>
          </w:p>
        </w:tc>
        <w:tc>
          <w:tcPr>
            <w:tcW w:w="391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11"/>
              <w:jc w:val="left"/>
              <w:rPr>
                <w:rFonts w:ascii="宋体" w:hAnsi="宋体" w:cs="宋体" w:eastAsia="宋体" w:hint="default"/>
                <w:sz w:val="18"/>
                <w:szCs w:val="18"/>
              </w:rPr>
            </w:pPr>
            <w:r>
              <w:rPr>
                <w:rFonts w:ascii="宋体" w:hAnsi="宋体" w:cs="宋体" w:eastAsia="宋体" w:hint="default"/>
                <w:sz w:val="18"/>
                <w:szCs w:val="18"/>
              </w:rPr>
              <w:t>更名为网络安全态势感知系统，是集</w:t>
            </w:r>
            <w:r>
              <w:rPr>
                <w:rFonts w:ascii="Times New Roman" w:hAnsi="Times New Roman" w:cs="Times New Roman" w:eastAsia="Times New Roman" w:hint="default"/>
                <w:sz w:val="18"/>
                <w:szCs w:val="18"/>
              </w:rPr>
              <w:t>"</w:t>
            </w:r>
            <w:r>
              <w:rPr>
                <w:rFonts w:ascii="宋体" w:hAnsi="宋体" w:cs="宋体" w:eastAsia="宋体" w:hint="default"/>
                <w:sz w:val="18"/>
                <w:szCs w:val="18"/>
              </w:rPr>
              <w:t>监</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防</w:t>
            </w:r>
            <w:r>
              <w:rPr>
                <w:rFonts w:ascii="Times New Roman" w:hAnsi="Times New Roman" w:cs="Times New Roman" w:eastAsia="Times New Roman" w:hint="default"/>
                <w:sz w:val="18"/>
                <w:szCs w:val="18"/>
              </w:rPr>
              <w:t>"</w:t>
            </w:r>
            <w:r>
              <w:rPr>
                <w:rFonts w:ascii="宋体" w:hAnsi="宋体" w:cs="宋体" w:eastAsia="宋体" w:hint="default"/>
                <w:sz w:val="18"/>
                <w:szCs w:val="18"/>
              </w:rPr>
              <w:t>、 </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控</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评</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为一体的网络安全态势感知产品，实现</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整体安全态势的掌控、安全风险的预防、安全事 件的处置和安全策略的调整、追溯安全威胁来源 等，提升对全网各类设备的综合运行监管和动态 安全管控能力。</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02" w:lineRule="auto"/>
              <w:ind w:left="22" w:right="67"/>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年完成了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V3.0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版本的开 发工作。</w:t>
            </w:r>
          </w:p>
        </w:tc>
      </w:tr>
    </w:tbl>
    <w:p>
      <w:pPr>
        <w:spacing w:after="0" w:line="302"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p>
      <w:pPr>
        <w:pStyle w:val="BodyText"/>
        <w:spacing w:line="240" w:lineRule="auto"/>
        <w:ind w:left="0" w:right="1140"/>
        <w:jc w:val="right"/>
      </w:pPr>
      <w:r>
        <w:rPr/>
        <w:pict>
          <v:shape style="position:absolute;margin-left:56.459999pt;margin-top:-108.968277pt;width:479.2pt;height:531.25pt;mso-position-horizontal-relative:page;mso-position-vertical-relative:paragraph;z-index:1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02"/>
                    <w:gridCol w:w="1560"/>
                    <w:gridCol w:w="3915"/>
                    <w:gridCol w:w="2392"/>
                  </w:tblGrid>
                  <w:tr>
                    <w:trPr>
                      <w:trHeight w:val="196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22" w:right="47"/>
                          <w:jc w:val="left"/>
                          <w:rPr>
                            <w:rFonts w:ascii="宋体" w:hAnsi="宋体" w:cs="宋体" w:eastAsia="宋体" w:hint="default"/>
                            <w:sz w:val="18"/>
                            <w:szCs w:val="18"/>
                          </w:rPr>
                        </w:pPr>
                        <w:r>
                          <w:rPr>
                            <w:rFonts w:ascii="宋体" w:hAnsi="宋体" w:cs="宋体" w:eastAsia="宋体" w:hint="default"/>
                            <w:sz w:val="18"/>
                            <w:szCs w:val="18"/>
                          </w:rPr>
                          <w:t>检察机关大数据分析 系统</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3,620,205.70</w:t>
                        </w:r>
                      </w:p>
                    </w:tc>
                    <w:tc>
                      <w:tcPr>
                        <w:tcW w:w="391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0"/>
                          <w:jc w:val="both"/>
                          <w:rPr>
                            <w:rFonts w:ascii="宋体" w:hAnsi="宋体" w:cs="宋体" w:eastAsia="宋体" w:hint="default"/>
                            <w:sz w:val="18"/>
                            <w:szCs w:val="18"/>
                          </w:rPr>
                        </w:pPr>
                        <w:r>
                          <w:rPr>
                            <w:rFonts w:ascii="宋体" w:hAnsi="宋体" w:cs="宋体" w:eastAsia="宋体" w:hint="default"/>
                            <w:sz w:val="18"/>
                            <w:szCs w:val="18"/>
                          </w:rPr>
                          <w:t>更名为：智慧检察业务系统。项目产品包括检察 大数据智能分析系统、智慧未检大数据平台、律 师接待系统，实现辅助办案、犯罪预防、检察监 督、法制宣传、智慧决策的个性化、多元化创新 应用，全面提高检察官的办案质效，实现检察工 作智能化。</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02" w:lineRule="auto"/>
                          <w:ind w:left="22" w:right="73"/>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年完成了检察大数据的 </w:t>
                        </w:r>
                        <w:r>
                          <w:rPr>
                            <w:rFonts w:ascii="Times New Roman" w:hAnsi="Times New Roman" w:cs="Times New Roman" w:eastAsia="Times New Roman" w:hint="default"/>
                            <w:sz w:val="18"/>
                            <w:szCs w:val="18"/>
                          </w:rPr>
                          <w:t>V4.3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版本、律师接待</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版 本开发。</w:t>
                        </w:r>
                      </w:p>
                    </w:tc>
                  </w:tr>
                  <w:tr>
                    <w:trPr>
                      <w:trHeight w:val="1650"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2" w:right="47"/>
                          <w:jc w:val="left"/>
                          <w:rPr>
                            <w:rFonts w:ascii="宋体" w:hAnsi="宋体" w:cs="宋体" w:eastAsia="宋体" w:hint="default"/>
                            <w:sz w:val="18"/>
                            <w:szCs w:val="18"/>
                          </w:rPr>
                        </w:pPr>
                        <w:r>
                          <w:rPr>
                            <w:rFonts w:ascii="宋体" w:hAnsi="宋体" w:cs="宋体" w:eastAsia="宋体" w:hint="default"/>
                            <w:sz w:val="18"/>
                            <w:szCs w:val="18"/>
                          </w:rPr>
                          <w:t>涉案财物信息管理平 台</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1,824,920.20</w:t>
                        </w:r>
                      </w:p>
                    </w:tc>
                    <w:tc>
                      <w:tcPr>
                        <w:tcW w:w="391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0"/>
                          <w:jc w:val="both"/>
                          <w:rPr>
                            <w:rFonts w:ascii="宋体" w:hAnsi="宋体" w:cs="宋体" w:eastAsia="宋体" w:hint="default"/>
                            <w:sz w:val="18"/>
                            <w:szCs w:val="18"/>
                          </w:rPr>
                        </w:pPr>
                        <w:r>
                          <w:rPr>
                            <w:rFonts w:ascii="宋体" w:hAnsi="宋体" w:cs="宋体" w:eastAsia="宋体" w:hint="default"/>
                            <w:sz w:val="18"/>
                            <w:szCs w:val="18"/>
                          </w:rPr>
                          <w:t>项目对涉案财物的高效采集、信息共享、实时监 管和智能分析统计，适用于政法委、公检法、纪 委监察委等多个行业。该产品已完成管理软件与 密集柜、二维码打印机、盘库仪、通道门、大屏 等设备的整合对接。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2" w:lineRule="auto"/>
                          <w:ind w:left="22"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年，结合物联网、</w:t>
                        </w:r>
                        <w:r>
                          <w:rPr>
                            <w:rFonts w:ascii="Times New Roman" w:hAnsi="Times New Roman" w:cs="Times New Roman" w:eastAsia="Times New Roman" w:hint="default"/>
                            <w:sz w:val="18"/>
                            <w:szCs w:val="18"/>
                          </w:rPr>
                          <w:t>RFID</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安防等相关技术，融合相关硬 件设备，形成软硬一体化整体 解决方案。</w:t>
                        </w:r>
                      </w:p>
                    </w:tc>
                  </w:tr>
                  <w:tr>
                    <w:trPr>
                      <w:trHeight w:val="1650"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保密防护监管系统</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1,770,641.96</w:t>
                        </w:r>
                      </w:p>
                    </w:tc>
                    <w:tc>
                      <w:tcPr>
                        <w:tcW w:w="391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0"/>
                          <w:jc w:val="both"/>
                          <w:rPr>
                            <w:rFonts w:ascii="宋体" w:hAnsi="宋体" w:cs="宋体" w:eastAsia="宋体" w:hint="default"/>
                            <w:sz w:val="18"/>
                            <w:szCs w:val="18"/>
                          </w:rPr>
                        </w:pPr>
                        <w:r>
                          <w:rPr>
                            <w:rFonts w:ascii="宋体" w:hAnsi="宋体" w:cs="宋体" w:eastAsia="宋体" w:hint="default"/>
                            <w:sz w:val="18"/>
                            <w:szCs w:val="18"/>
                          </w:rPr>
                          <w:t>项目以保密大数据中心为核心，按照纵深监测防 护和分层技术架构，形成覆盖省（市）电子政务 网络和互联网的保密防护监管体系，增强网络窃 密泄密发现处置能力，提升保密防护监管业务水 平和管理效能。</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0" w:lineRule="auto" w:before="128"/>
                          <w:ind w:left="22" w:right="20"/>
                          <w:jc w:val="both"/>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年完成</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版本开发， </w:t>
                        </w:r>
                        <w:r>
                          <w:rPr>
                            <w:rFonts w:ascii="宋体" w:hAnsi="宋体" w:cs="宋体" w:eastAsia="宋体" w:hint="default"/>
                            <w:spacing w:val="-5"/>
                            <w:sz w:val="18"/>
                            <w:szCs w:val="18"/>
                          </w:rPr>
                          <w:t>正在进行迭代开发，计划</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月推出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V2.0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版本。</w:t>
                        </w:r>
                      </w:p>
                    </w:tc>
                  </w:tr>
                  <w:tr>
                    <w:trPr>
                      <w:trHeight w:val="1338"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高端主机密码机</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1,740,934.80</w:t>
                        </w:r>
                      </w:p>
                    </w:tc>
                    <w:tc>
                      <w:tcPr>
                        <w:tcW w:w="391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高端主机密码机实现性价比和安全性提升，为重 点客户大批量部署并稳定运行，推出渠道版低成 本设备实现市场突破，通过</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FIPS</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认证以实现产品 国际化推广。</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年完成高端金融数据密 码机研制，高端服务器密码机 完成系统测试，签名验签服务 器进入系统测试验证阶段。</w:t>
                        </w:r>
                      </w:p>
                    </w:tc>
                  </w:tr>
                  <w:tr>
                    <w:trPr>
                      <w:trHeight w:val="1338"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云服务器密码机</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1,581,057.09</w:t>
                        </w:r>
                      </w:p>
                    </w:tc>
                    <w:tc>
                      <w:tcPr>
                        <w:tcW w:w="391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100"/>
                          <w:jc w:val="left"/>
                          <w:rPr>
                            <w:rFonts w:ascii="宋体" w:hAnsi="宋体" w:cs="宋体" w:eastAsia="宋体" w:hint="default"/>
                            <w:sz w:val="18"/>
                            <w:szCs w:val="18"/>
                          </w:rPr>
                        </w:pPr>
                        <w:r>
                          <w:rPr>
                            <w:rFonts w:ascii="宋体" w:hAnsi="宋体" w:cs="宋体" w:eastAsia="宋体" w:hint="default"/>
                            <w:sz w:val="18"/>
                            <w:szCs w:val="18"/>
                          </w:rPr>
                          <w:t>云密码机实现集群化和对多种密码设备的虚拟 </w:t>
                        </w:r>
                        <w:r>
                          <w:rPr>
                            <w:rFonts w:ascii="宋体" w:hAnsi="宋体" w:cs="宋体" w:eastAsia="宋体" w:hint="default"/>
                            <w:spacing w:val="-5"/>
                            <w:sz w:val="18"/>
                            <w:szCs w:val="18"/>
                          </w:rPr>
                          <w:t>化，实现</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PaaS</w:t>
                        </w:r>
                        <w:r>
                          <w:rPr>
                            <w:rFonts w:ascii="宋体" w:hAnsi="宋体" w:cs="宋体" w:eastAsia="宋体" w:hint="default"/>
                            <w:sz w:val="18"/>
                            <w:szCs w:val="18"/>
                          </w:rPr>
                          <w:t>（平台即服务）和其他云服务形式 并融合云管平台和密管系统形成一体化的密码资 源池和密码云。</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196" w:lineRule="exact" w:before="128"/>
                          <w:ind w:left="-123"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09" w:lineRule="exact"/>
                          <w:ind w:left="22" w:right="-26"/>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年完成标准型版本开发。</w:t>
                        </w:r>
                      </w:p>
                    </w:tc>
                  </w:tr>
                  <w:tr>
                    <w:trPr>
                      <w:trHeight w:val="227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统一认证平台</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1,401,756.93</w:t>
                        </w:r>
                      </w:p>
                    </w:tc>
                    <w:tc>
                      <w:tcPr>
                        <w:tcW w:w="3915" w:type="dxa"/>
                        <w:tcBorders>
                          <w:top w:val="single" w:sz="4" w:space="0" w:color="000000"/>
                          <w:left w:val="single" w:sz="4" w:space="0" w:color="000000"/>
                          <w:bottom w:val="single" w:sz="4" w:space="0" w:color="000000"/>
                          <w:right w:val="single" w:sz="9" w:space="0" w:color="FFFFFF"/>
                        </w:tcBorders>
                      </w:tcPr>
                      <w:p>
                        <w:pPr>
                          <w:pStyle w:val="TableParagraph"/>
                          <w:spacing w:line="314" w:lineRule="auto" w:before="51"/>
                          <w:ind w:left="22" w:right="25"/>
                          <w:jc w:val="left"/>
                          <w:rPr>
                            <w:rFonts w:ascii="宋体" w:hAnsi="宋体" w:cs="宋体" w:eastAsia="宋体" w:hint="default"/>
                            <w:sz w:val="18"/>
                            <w:szCs w:val="18"/>
                          </w:rPr>
                        </w:pPr>
                        <w:r>
                          <w:rPr>
                            <w:rFonts w:ascii="宋体" w:hAnsi="宋体" w:cs="宋体" w:eastAsia="宋体" w:hint="default"/>
                            <w:sz w:val="18"/>
                            <w:szCs w:val="18"/>
                          </w:rPr>
                          <w:t>项目主要面向企业公有云和私有云、电子政务外 网、</w:t>
                        </w:r>
                        <w:r>
                          <w:rPr>
                            <w:rFonts w:ascii="Times New Roman" w:hAnsi="Times New Roman" w:cs="Times New Roman" w:eastAsia="Times New Roman" w:hint="default"/>
                            <w:sz w:val="18"/>
                            <w:szCs w:val="18"/>
                          </w:rPr>
                          <w:t>"</w:t>
                        </w:r>
                        <w:r>
                          <w:rPr>
                            <w:rFonts w:ascii="宋体" w:hAnsi="宋体" w:cs="宋体" w:eastAsia="宋体" w:hint="default"/>
                            <w:sz w:val="18"/>
                            <w:szCs w:val="18"/>
                          </w:rPr>
                          <w:t>互联网</w:t>
                        </w:r>
                        <w:r>
                          <w:rPr>
                            <w:rFonts w:ascii="Times New Roman" w:hAnsi="Times New Roman" w:cs="Times New Roman" w:eastAsia="Times New Roman" w:hint="default"/>
                            <w:sz w:val="18"/>
                            <w:szCs w:val="18"/>
                          </w:rPr>
                          <w:t>+"</w:t>
                        </w:r>
                        <w:r>
                          <w:rPr>
                            <w:rFonts w:ascii="宋体" w:hAnsi="宋体" w:cs="宋体" w:eastAsia="宋体" w:hint="default"/>
                            <w:sz w:val="18"/>
                            <w:szCs w:val="18"/>
                          </w:rPr>
                          <w:t>等业务场景，基于商密应用核心技 术，实现强身份认证，安全性高，支持多种国际 通用算法和商密算法，用户身份管理方式灵活， 认证模式多样，支持证书、用户名口令、短信等 同时，提供多种应用接入接口和认证接口，便于 应用系统安全集成。</w:t>
                        </w:r>
                      </w:p>
                    </w:tc>
                    <w:tc>
                      <w:tcPr>
                        <w:tcW w:w="2392"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3"/>
                            <w:szCs w:val="23"/>
                          </w:rPr>
                        </w:pPr>
                      </w:p>
                      <w:p>
                        <w:pPr>
                          <w:pStyle w:val="TableParagraph"/>
                          <w:spacing w:line="300" w:lineRule="atLeast"/>
                          <w:ind w:left="16" w:right="152"/>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年完成产品原型开发联 调。</w:t>
                        </w:r>
                      </w:p>
                      <w:p>
                        <w:pPr>
                          <w:pStyle w:val="TableParagraph"/>
                          <w:spacing w:line="155" w:lineRule="exact"/>
                          <w:ind w:left="-130"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20,488,559.67</w:t>
                        </w:r>
                      </w:p>
                    </w:tc>
                    <w:tc>
                      <w:tcPr>
                        <w:tcW w:w="3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新一代</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VPN</w:t>
                        </w:r>
                        <w:r>
                          <w:rPr>
                            <w:rFonts w:ascii="宋体" w:hAnsi="宋体" w:cs="宋体" w:eastAsia="宋体" w:hint="default"/>
                            <w:sz w:val="18"/>
                            <w:szCs w:val="18"/>
                          </w:rPr>
                          <w:t>、卫士通安全网关等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个项目</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按计划开展中</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spacing w:line="872" w:lineRule="exact"/>
        <w:ind w:left="7336" w:right="0" w:firstLine="0"/>
        <w:rPr>
          <w:rFonts w:ascii="宋体" w:hAnsi="宋体" w:cs="宋体" w:eastAsia="宋体" w:hint="default"/>
          <w:sz w:val="20"/>
          <w:szCs w:val="20"/>
        </w:rPr>
      </w:pPr>
      <w:r>
        <w:rPr>
          <w:rFonts w:ascii="宋体" w:hAnsi="宋体" w:cs="宋体" w:eastAsia="宋体" w:hint="default"/>
          <w:position w:val="-16"/>
          <w:sz w:val="20"/>
          <w:szCs w:val="20"/>
        </w:rPr>
        <w:pict>
          <v:group style="width:119.1pt;height:43.65pt;mso-position-horizontal-relative:char;mso-position-vertical-relative:line" coordorigin="0,0" coordsize="2382,873">
            <v:group style="position:absolute;left:0;top:0;width:2382;height:469" coordorigin="0,0" coordsize="2382,469">
              <v:shape style="position:absolute;left:0;top:0;width:2382;height:469" coordorigin="0,0" coordsize="2382,469" path="m0,468l2382,468,2382,0,0,0,0,468xe" filled="true" fillcolor="#ffffff" stroked="false">
                <v:path arrowok="t"/>
                <v:fill type="solid"/>
              </v:shape>
            </v:group>
            <v:group style="position:absolute;left:11;top:468;width:2;height:393" coordorigin="11,468" coordsize="2,393">
              <v:shape style="position:absolute;left:11;top:468;width:2;height:393" coordorigin="11,468" coordsize="0,393" path="m11,468l11,861e" filled="false" stroked="true" strokeweight="1.140pt" strokecolor="#ffffff">
                <v:path arrowok="t"/>
              </v:shape>
            </v:group>
            <v:group style="position:absolute;left:23;top:468;width:2337;height:393" coordorigin="23,468" coordsize="2337,393">
              <v:shape style="position:absolute;left:23;top:468;width:2337;height:393" coordorigin="23,468" coordsize="2337,393" path="m23,861l2359,861,2359,468,23,468,23,861xe" filled="true" fillcolor="#ffffff" stroked="false">
                <v:path arrowok="t"/>
                <v:fill type="solid"/>
              </v:shape>
            </v:group>
          </v:group>
        </w:pict>
      </w:r>
      <w:r>
        <w:rPr>
          <w:rFonts w:ascii="宋体" w:hAnsi="宋体" w:cs="宋体" w:eastAsia="宋体" w:hint="default"/>
          <w:position w:val="-16"/>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2"/>
          <w:szCs w:val="22"/>
        </w:rPr>
      </w:pPr>
    </w:p>
    <w:p>
      <w:pPr>
        <w:spacing w:line="1131" w:lineRule="exact"/>
        <w:ind w:left="7336" w:right="0" w:firstLine="0"/>
        <w:rPr>
          <w:rFonts w:ascii="宋体" w:hAnsi="宋体" w:cs="宋体" w:eastAsia="宋体" w:hint="default"/>
          <w:sz w:val="20"/>
          <w:szCs w:val="20"/>
        </w:rPr>
      </w:pPr>
      <w:r>
        <w:rPr>
          <w:rFonts w:ascii="宋体" w:hAnsi="宋体" w:cs="宋体" w:eastAsia="宋体" w:hint="default"/>
          <w:position w:val="-22"/>
          <w:sz w:val="20"/>
          <w:szCs w:val="20"/>
        </w:rPr>
        <w:pict>
          <v:group style="width:119.1pt;height:56.6pt;mso-position-horizontal-relative:char;mso-position-vertical-relative:line" coordorigin="0,0" coordsize="2382,1132">
            <v:group style="position:absolute;left:0;top:352;width:2382;height:780" coordorigin="0,352" coordsize="2382,780">
              <v:shape style="position:absolute;left:0;top:352;width:2382;height:780" coordorigin="0,352" coordsize="2382,780" path="m0,1132l2382,1132,2382,352,0,352,0,1132xe" filled="true" fillcolor="#ffffff" stroked="false">
                <v:path arrowok="t"/>
                <v:fill type="solid"/>
              </v:shape>
            </v:group>
            <v:group style="position:absolute;left:23;top:0;width:2337;height:352" coordorigin="23,0" coordsize="2337,352">
              <v:shape style="position:absolute;left:23;top:0;width:2337;height:352" coordorigin="23,0" coordsize="2337,352" path="m23,352l2359,352,2359,0,23,0,23,352xe" filled="true" fillcolor="#ffffff" stroked="false">
                <v:path arrowok="t"/>
                <v:fill type="solid"/>
              </v:shape>
            </v:group>
          </v:group>
        </w:pict>
      </w:r>
      <w:r>
        <w:rPr>
          <w:rFonts w:ascii="宋体" w:hAnsi="宋体" w:cs="宋体" w:eastAsia="宋体" w:hint="default"/>
          <w:position w:val="-22"/>
          <w:sz w:val="20"/>
          <w:szCs w:val="20"/>
        </w:rPr>
      </w:r>
    </w:p>
    <w:p>
      <w:pPr>
        <w:spacing w:line="240" w:lineRule="auto" w:before="9"/>
        <w:rPr>
          <w:rFonts w:ascii="宋体" w:hAnsi="宋体" w:cs="宋体" w:eastAsia="宋体" w:hint="default"/>
          <w:sz w:val="27"/>
          <w:szCs w:val="27"/>
        </w:rPr>
      </w:pPr>
    </w:p>
    <w:p>
      <w:pPr>
        <w:pStyle w:val="Heading4"/>
        <w:spacing w:line="266" w:lineRule="auto" w:before="35"/>
        <w:ind w:right="1118" w:firstLine="420"/>
        <w:jc w:val="left"/>
      </w:pPr>
      <w:r>
        <w:rPr/>
        <w:t>公司规定研究开发项目的支出应当区分研究阶段支出与开发阶段支出。研究阶段成果因存在不确定 </w:t>
      </w:r>
      <w:r>
        <w:rPr>
          <w:spacing w:val="-1"/>
        </w:rPr>
        <w:t>性，无法证明未来是否有经济效益，研究阶段的内部相关支出，于发生时计入当期损益，即发生时计入公</w:t>
      </w:r>
      <w:r>
        <w:rPr>
          <w:spacing w:val="-86"/>
        </w:rPr>
        <w:t> </w:t>
      </w:r>
      <w:r>
        <w:rPr>
          <w:spacing w:val="-86"/>
        </w:rPr>
      </w:r>
      <w:r>
        <w:rPr>
          <w:spacing w:val="-2"/>
        </w:rPr>
        <w:t>司</w:t>
      </w:r>
      <w:r>
        <w:rPr>
          <w:rFonts w:ascii="Times New Roman" w:hAnsi="Times New Roman" w:cs="Times New Roman" w:eastAsia="Times New Roman" w:hint="default"/>
          <w:spacing w:val="-2"/>
        </w:rPr>
        <w:t>“</w:t>
      </w:r>
      <w:r>
        <w:rPr>
          <w:spacing w:val="-2"/>
        </w:rPr>
        <w:t>研发支出</w:t>
      </w:r>
      <w:r>
        <w:rPr>
          <w:rFonts w:ascii="Times New Roman" w:hAnsi="Times New Roman" w:cs="Times New Roman" w:eastAsia="Times New Roman" w:hint="default"/>
          <w:spacing w:val="-2"/>
        </w:rPr>
        <w:t>—</w:t>
      </w:r>
      <w:r>
        <w:rPr>
          <w:spacing w:val="-2"/>
        </w:rPr>
        <w:t>费用化支出</w:t>
      </w:r>
      <w:r>
        <w:rPr>
          <w:rFonts w:ascii="Times New Roman" w:hAnsi="Times New Roman" w:cs="Times New Roman" w:eastAsia="Times New Roman" w:hint="default"/>
          <w:spacing w:val="-2"/>
        </w:rPr>
        <w:t>”</w:t>
      </w:r>
      <w:r>
        <w:rPr>
          <w:spacing w:val="-2"/>
        </w:rPr>
        <w:t>，于期末转入管理费用。开发阶段符合资本化条件的，费用发生时计入公司</w:t>
      </w:r>
      <w:r>
        <w:rPr>
          <w:rFonts w:ascii="Times New Roman" w:hAnsi="Times New Roman" w:cs="Times New Roman" w:eastAsia="Times New Roman" w:hint="default"/>
          <w:spacing w:val="-2"/>
        </w:rPr>
        <w:t>“</w:t>
      </w:r>
      <w:r>
        <w:rPr>
          <w:spacing w:val="-2"/>
        </w:rPr>
        <w:t>研</w:t>
      </w:r>
      <w:r>
        <w:rPr/>
        <w:t> 发支出</w:t>
      </w:r>
      <w:r>
        <w:rPr>
          <w:rFonts w:ascii="Times New Roman" w:hAnsi="Times New Roman" w:cs="Times New Roman" w:eastAsia="Times New Roman" w:hint="default"/>
        </w:rPr>
        <w:t>—</w:t>
      </w:r>
      <w:r>
        <w:rPr/>
        <w:t>资本化支出</w:t>
      </w:r>
      <w:r>
        <w:rPr>
          <w:rFonts w:ascii="Times New Roman" w:hAnsi="Times New Roman" w:cs="Times New Roman" w:eastAsia="Times New Roman" w:hint="default"/>
        </w:rPr>
        <w:t>”</w:t>
      </w:r>
      <w:r>
        <w:rPr/>
        <w:t>，于期末转入资产类科目</w:t>
      </w:r>
      <w:r>
        <w:rPr>
          <w:rFonts w:ascii="Times New Roman" w:hAnsi="Times New Roman" w:cs="Times New Roman" w:eastAsia="Times New Roman" w:hint="default"/>
        </w:rPr>
        <w:t>“</w:t>
      </w:r>
      <w:r>
        <w:rPr/>
        <w:t>开发支出</w:t>
      </w:r>
      <w:r>
        <w:rPr>
          <w:rFonts w:ascii="Times New Roman" w:hAnsi="Times New Roman" w:cs="Times New Roman" w:eastAsia="Times New Roman" w:hint="default"/>
        </w:rPr>
        <w:t>”</w:t>
      </w:r>
      <w:r>
        <w:rPr/>
        <w:t>；否则，应计入当期损益。</w:t>
      </w:r>
    </w:p>
    <w:p>
      <w:pPr>
        <w:pStyle w:val="Heading4"/>
        <w:spacing w:line="273" w:lineRule="auto" w:before="0"/>
        <w:ind w:right="1131" w:firstLine="420"/>
        <w:jc w:val="both"/>
      </w:pPr>
      <w:r>
        <w:rPr>
          <w:spacing w:val="-1"/>
        </w:rPr>
        <w:t>研发费用资本化的条件包括：①完成该无形资产以使其能够使用或出售在技术上具有可行性。②具有</w:t>
      </w:r>
      <w:r>
        <w:rPr/>
        <w:t> </w:t>
      </w:r>
      <w:r>
        <w:rPr>
          <w:spacing w:val="-1"/>
        </w:rPr>
        <w:t>完成该无形资产并使用或出售的意图。③无形资产产生经济利益的方式，包括能够证明运用该无形资产生</w:t>
      </w:r>
      <w:r>
        <w:rPr>
          <w:spacing w:val="-81"/>
        </w:rPr>
        <w:t> </w:t>
      </w:r>
      <w:r>
        <w:rPr>
          <w:spacing w:val="-81"/>
        </w:rPr>
      </w:r>
      <w:r>
        <w:rPr>
          <w:spacing w:val="-1"/>
        </w:rPr>
        <w:t>产的产品存在市场或无形资产自身存在市场；无形资产将在内部使用的，应当证明其有用性。无形资产是</w:t>
      </w:r>
      <w:r>
        <w:rPr>
          <w:spacing w:val="-83"/>
        </w:rPr>
        <w:t> </w:t>
      </w:r>
      <w:r>
        <w:rPr>
          <w:spacing w:val="-83"/>
        </w:rPr>
      </w:r>
      <w:r>
        <w:rPr>
          <w:spacing w:val="-1"/>
        </w:rPr>
        <w:t>否能够为企业带来经济利益，应当对运用该无形资产生产产品的市场情况进行可靠预计，以证明所生产的</w:t>
      </w:r>
      <w:r>
        <w:rPr>
          <w:spacing w:val="-81"/>
        </w:rPr>
        <w:t> </w:t>
      </w:r>
      <w:r>
        <w:rPr>
          <w:spacing w:val="-81"/>
        </w:rPr>
      </w:r>
      <w:r>
        <w:rPr>
          <w:spacing w:val="-1"/>
        </w:rPr>
        <w:t>产品存在市场并能够带来经济利益，或能够证明市场上存在对该无形资产的需求。④有足够的技术、财务</w:t>
      </w:r>
      <w:r>
        <w:rPr>
          <w:spacing w:val="-83"/>
        </w:rPr>
        <w:t> </w:t>
      </w:r>
      <w:r>
        <w:rPr>
          <w:spacing w:val="-83"/>
        </w:rPr>
      </w:r>
      <w:r>
        <w:rPr>
          <w:spacing w:val="-1"/>
        </w:rPr>
        <w:t>资源和其他资源支持，以完成该无形资产的开发，并有能力使用或出售该无形资产。⑤资本化项目阶段应</w:t>
      </w:r>
    </w:p>
    <w:p>
      <w:pPr>
        <w:spacing w:after="0" w:line="273"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307" w:lineRule="auto" w:before="35"/>
        <w:ind w:left="574" w:right="1092" w:hanging="420"/>
        <w:jc w:val="left"/>
      </w:pPr>
      <w:r>
        <w:rPr/>
        <w:t>选择新的、投入较大的研发项目，具有较为确定的收益期间，有较长的生命周期。 公司研发管理部门根据上述要求，将符合研发费用资本化的项目通知财务部门开始资本化账务处理，</w:t>
      </w:r>
    </w:p>
    <w:p>
      <w:pPr>
        <w:pStyle w:val="Heading4"/>
        <w:spacing w:line="252" w:lineRule="exact" w:before="0"/>
        <w:ind w:right="1022"/>
        <w:jc w:val="left"/>
      </w:pPr>
      <w:r>
        <w:rPr/>
        <w:t>项目开发阶段结束，形成产品，且形成的产品存在市场或内部可使用，能够为企业带来经济效益时，财务</w:t>
      </w:r>
    </w:p>
    <w:p>
      <w:pPr>
        <w:pStyle w:val="Heading4"/>
        <w:spacing w:line="240" w:lineRule="auto" w:before="38"/>
        <w:ind w:right="1022"/>
        <w:jc w:val="left"/>
      </w:pPr>
      <w:r>
        <w:rPr/>
        <w:t>部将其开发支出转入无形资产，并对无形资产需要提供的材料齐套性进行确认。</w:t>
      </w:r>
    </w:p>
    <w:p>
      <w:pPr>
        <w:spacing w:line="240" w:lineRule="auto" w:before="10"/>
        <w:rPr>
          <w:rFonts w:ascii="宋体" w:hAnsi="宋体" w:cs="宋体" w:eastAsia="宋体" w:hint="default"/>
          <w:sz w:val="25"/>
          <w:szCs w:val="25"/>
        </w:rPr>
      </w:pPr>
    </w:p>
    <w:p>
      <w:pPr>
        <w:pStyle w:val="Heading3"/>
        <w:spacing w:line="240" w:lineRule="auto"/>
        <w:ind w:right="1022"/>
        <w:jc w:val="left"/>
        <w:rPr>
          <w:b w:val="0"/>
          <w:bCs w:val="0"/>
        </w:rPr>
      </w:pPr>
      <w:bookmarkStart w:name="5、现金流" w:id="38"/>
      <w:bookmarkEnd w:id="38"/>
      <w:r>
        <w:rPr>
          <w:b w:val="0"/>
          <w:bCs w:val="0"/>
        </w:rPr>
      </w:r>
      <w:r>
        <w:rPr>
          <w:rFonts w:ascii="Times New Roman" w:hAnsi="Times New Roman" w:cs="Times New Roman" w:eastAsia="Times New Roman" w:hint="default"/>
        </w:rPr>
        <w:t>5</w:t>
      </w:r>
      <w:r>
        <w:rPr/>
        <w:t>、现金流</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813"/>
        <w:gridCol w:w="1961"/>
        <w:gridCol w:w="2392"/>
        <w:gridCol w:w="2392"/>
      </w:tblGrid>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196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2,127,530,560.06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2,034,669,359.32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4.56%</w:t>
            </w: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196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2,094,661,602.57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2,085,733,385.90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0.43%</w:t>
            </w: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96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32,868,957.49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-51,064,026.58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164.37%</w:t>
            </w: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196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202,535.56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1,434,983.00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-85.89%</w:t>
            </w: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196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162,205,012.36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182,195,135.60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-10.97%</w:t>
            </w: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196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-162,002,476.80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-180,760,152.60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10.38%</w:t>
            </w: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196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250,000,000.00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2,765,881,890.50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-90.96%</w:t>
            </w: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196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57,625,057.11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1,187,158,136.76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-95.15%</w:t>
            </w: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196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192,374,942.89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1,578,723,753.74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-87.81%</w:t>
            </w: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196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63,241,423.58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1,346,899,574.56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-95.30%</w:t>
            </w:r>
          </w:p>
        </w:tc>
      </w:tr>
    </w:tbl>
    <w:p>
      <w:pPr>
        <w:pStyle w:val="BodyText"/>
        <w:spacing w:line="240" w:lineRule="auto" w:before="51"/>
        <w:ind w:right="1022"/>
        <w:jc w:val="left"/>
      </w:pPr>
      <w:r>
        <w:rPr/>
        <w:t>相关数据同比发生重大变动的主要影响因素说明</w:t>
      </w:r>
    </w:p>
    <w:p>
      <w:pPr>
        <w:pStyle w:val="BodyText"/>
        <w:spacing w:line="240" w:lineRule="auto" w:before="117"/>
        <w:ind w:right="10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1"/>
        <w:ind w:right="1115"/>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8"/>
        </w:rPr>
        <w:t> </w:t>
      </w:r>
      <w:r>
        <w:rPr/>
        <w:t>经营活动产生的现金流量净额比上年增长</w:t>
      </w:r>
      <w:r>
        <w:rPr>
          <w:rFonts w:ascii="Times New Roman" w:hAnsi="Times New Roman" w:cs="Times New Roman" w:eastAsia="Times New Roman" w:hint="default"/>
        </w:rPr>
        <w:t>164.37%</w:t>
      </w:r>
      <w:r>
        <w:rPr/>
        <w:t>，主要系本年度销售回款增加，以及收到的政府补助、结构性存款利息 收入增加。</w:t>
      </w:r>
    </w:p>
    <w:p>
      <w:pPr>
        <w:pStyle w:val="BodyText"/>
        <w:spacing w:line="240" w:lineRule="auto" w:before="31"/>
        <w:ind w:right="1022"/>
        <w:jc w:val="left"/>
      </w:pPr>
      <w:r>
        <w:rPr>
          <w:rFonts w:ascii="Times New Roman" w:hAnsi="Times New Roman" w:cs="Times New Roman" w:eastAsia="Times New Roman" w:hint="default"/>
        </w:rPr>
        <w:t>2.</w:t>
      </w:r>
      <w:r>
        <w:rPr/>
        <w:t>筹资活动产生的现金流量净额比上年减少</w:t>
      </w:r>
      <w:r>
        <w:rPr>
          <w:rFonts w:ascii="Times New Roman" w:hAnsi="Times New Roman" w:cs="Times New Roman" w:eastAsia="Times New Roman" w:hint="default"/>
        </w:rPr>
        <w:t>87.81%</w:t>
      </w:r>
      <w:r>
        <w:rPr/>
        <w:t>，主要系上年公司非公开发行股票取得募集资金所致。</w:t>
      </w:r>
    </w:p>
    <w:p>
      <w:pPr>
        <w:pStyle w:val="BodyText"/>
        <w:spacing w:line="300" w:lineRule="auto" w:before="63"/>
        <w:ind w:right="1173"/>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24"/>
        </w:rPr>
        <w:t> </w:t>
      </w:r>
      <w:r>
        <w:rPr/>
        <w:t>现金及现金等价物净增加额比上年减少</w:t>
      </w:r>
      <w:r>
        <w:rPr>
          <w:rFonts w:ascii="Times New Roman" w:hAnsi="Times New Roman" w:cs="Times New Roman" w:eastAsia="Times New Roman" w:hint="default"/>
        </w:rPr>
        <w:t>95.30%</w:t>
      </w:r>
      <w:r>
        <w:rPr/>
        <w:t>，主要系上年公司非公开发行股票取得募集资金，筹资活动现金流入大幅 增加。</w:t>
      </w:r>
    </w:p>
    <w:p>
      <w:pPr>
        <w:spacing w:line="240" w:lineRule="auto" w:before="0"/>
        <w:rPr>
          <w:rFonts w:ascii="宋体" w:hAnsi="宋体" w:cs="宋体" w:eastAsia="宋体" w:hint="default"/>
          <w:sz w:val="18"/>
          <w:szCs w:val="18"/>
        </w:rPr>
      </w:pPr>
    </w:p>
    <w:p>
      <w:pPr>
        <w:pStyle w:val="BodyText"/>
        <w:spacing w:line="240" w:lineRule="auto" w:before="148"/>
        <w:ind w:right="1022"/>
        <w:jc w:val="left"/>
      </w:pPr>
      <w:r>
        <w:rPr/>
        <w:t>报告期内公司经营活动产生的现金净流量与本年度净利润存在重大差异的原因说明</w:t>
      </w:r>
    </w:p>
    <w:p>
      <w:pPr>
        <w:pStyle w:val="BodyText"/>
        <w:spacing w:line="338" w:lineRule="auto" w:before="117"/>
        <w:ind w:right="157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本年度经营活动产生的现金净流量与净利润存在较大差异，主要系公司大量采购备货，对应销售项目尚未回款所致。</w:t>
      </w:r>
    </w:p>
    <w:p>
      <w:pPr>
        <w:spacing w:line="240" w:lineRule="auto" w:before="4"/>
        <w:rPr>
          <w:rFonts w:ascii="宋体" w:hAnsi="宋体" w:cs="宋体" w:eastAsia="宋体" w:hint="default"/>
          <w:sz w:val="19"/>
          <w:szCs w:val="19"/>
        </w:rPr>
      </w:pPr>
    </w:p>
    <w:p>
      <w:pPr>
        <w:pStyle w:val="Heading2"/>
        <w:spacing w:line="240" w:lineRule="auto"/>
        <w:ind w:right="1022"/>
        <w:jc w:val="left"/>
        <w:rPr>
          <w:b w:val="0"/>
          <w:bCs w:val="0"/>
        </w:rPr>
      </w:pPr>
      <w:bookmarkStart w:name="三、非主营业务分析" w:id="39"/>
      <w:bookmarkEnd w:id="39"/>
      <w:r>
        <w:rPr>
          <w:b w:val="0"/>
          <w:bCs w:val="0"/>
        </w:rPr>
      </w:r>
      <w:r>
        <w:rPr/>
        <w:t>三、非主营业务分析</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0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12"/>
        <w:gridCol w:w="1171"/>
        <w:gridCol w:w="1702"/>
        <w:gridCol w:w="3543"/>
        <w:gridCol w:w="1631"/>
      </w:tblGrid>
      <w:tr>
        <w:trPr>
          <w:trHeight w:val="402" w:hRule="exact"/>
        </w:trPr>
        <w:tc>
          <w:tcPr>
            <w:tcW w:w="15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4"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35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形成原因说明</w:t>
            </w:r>
          </w:p>
        </w:tc>
        <w:tc>
          <w:tcPr>
            <w:tcW w:w="16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9"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161" w:hRule="exact"/>
        </w:trPr>
        <w:tc>
          <w:tcPr>
            <w:tcW w:w="15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171"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6" w:right="0"/>
              <w:jc w:val="left"/>
              <w:rPr>
                <w:rFonts w:ascii="Times New Roman" w:hAnsi="Times New Roman" w:cs="Times New Roman" w:eastAsia="Times New Roman" w:hint="default"/>
                <w:sz w:val="18"/>
                <w:szCs w:val="18"/>
              </w:rPr>
            </w:pPr>
            <w:r>
              <w:rPr>
                <w:rFonts w:ascii="Times New Roman"/>
                <w:sz w:val="18"/>
              </w:rPr>
              <w:t>-3,988,314.96</w:t>
            </w:r>
          </w:p>
        </w:tc>
        <w:tc>
          <w:tcPr>
            <w:tcW w:w="170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-3.11%</w:t>
            </w:r>
          </w:p>
        </w:tc>
        <w:tc>
          <w:tcPr>
            <w:tcW w:w="3543"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88"/>
              <w:jc w:val="left"/>
              <w:rPr>
                <w:rFonts w:ascii="宋体" w:hAnsi="宋体" w:cs="宋体" w:eastAsia="宋体" w:hint="default"/>
                <w:sz w:val="18"/>
                <w:szCs w:val="18"/>
              </w:rPr>
            </w:pPr>
            <w:r>
              <w:rPr>
                <w:rFonts w:ascii="宋体" w:hAnsi="宋体" w:cs="宋体" w:eastAsia="宋体" w:hint="default"/>
                <w:sz w:val="18"/>
                <w:szCs w:val="18"/>
              </w:rPr>
              <w:t>主要系对成都摩宝网络科技有限公司的长期 股权投资按权益法确认的投资收益</w:t>
            </w:r>
          </w:p>
        </w:tc>
        <w:tc>
          <w:tcPr>
            <w:tcW w:w="1631"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92" w:hRule="exact"/>
        </w:trPr>
        <w:tc>
          <w:tcPr>
            <w:tcW w:w="15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171" w:type="dxa"/>
            <w:vMerge/>
            <w:tcBorders>
              <w:left w:val="single" w:sz="9" w:space="0" w:color="D2D2D2"/>
              <w:right w:val="single" w:sz="4" w:space="0" w:color="000000"/>
            </w:tcBorders>
          </w:tcPr>
          <w:p>
            <w:pPr/>
          </w:p>
        </w:tc>
        <w:tc>
          <w:tcPr>
            <w:tcW w:w="1702" w:type="dxa"/>
            <w:vMerge/>
            <w:tcBorders>
              <w:left w:val="single" w:sz="4" w:space="0" w:color="000000"/>
              <w:right w:val="single" w:sz="4" w:space="0" w:color="000000"/>
            </w:tcBorders>
          </w:tcPr>
          <w:p>
            <w:pPr/>
          </w:p>
        </w:tc>
        <w:tc>
          <w:tcPr>
            <w:tcW w:w="3543" w:type="dxa"/>
            <w:vMerge/>
            <w:tcBorders>
              <w:left w:val="single" w:sz="4" w:space="0" w:color="000000"/>
              <w:right w:val="single" w:sz="4" w:space="0" w:color="000000"/>
            </w:tcBorders>
          </w:tcPr>
          <w:p>
            <w:pPr/>
          </w:p>
        </w:tc>
        <w:tc>
          <w:tcPr>
            <w:tcW w:w="1631" w:type="dxa"/>
            <w:vMerge/>
            <w:tcBorders>
              <w:left w:val="single" w:sz="4" w:space="0" w:color="000000"/>
              <w:right w:val="single" w:sz="4" w:space="0" w:color="000000"/>
            </w:tcBorders>
          </w:tcPr>
          <w:p>
            <w:pPr/>
          </w:p>
        </w:tc>
      </w:tr>
      <w:tr>
        <w:trPr>
          <w:trHeight w:val="161" w:hRule="exact"/>
        </w:trPr>
        <w:tc>
          <w:tcPr>
            <w:tcW w:w="15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171" w:type="dxa"/>
            <w:vMerge/>
            <w:tcBorders>
              <w:left w:val="single" w:sz="9" w:space="0" w:color="D2D2D2"/>
              <w:bottom w:val="single" w:sz="4" w:space="0" w:color="000000"/>
              <w:right w:val="single" w:sz="4" w:space="0" w:color="000000"/>
            </w:tcBorders>
          </w:tcPr>
          <w:p>
            <w:pPr/>
          </w:p>
        </w:tc>
        <w:tc>
          <w:tcPr>
            <w:tcW w:w="1702" w:type="dxa"/>
            <w:vMerge/>
            <w:tcBorders>
              <w:left w:val="single" w:sz="4" w:space="0" w:color="000000"/>
              <w:bottom w:val="single" w:sz="4" w:space="0" w:color="000000"/>
              <w:right w:val="single" w:sz="4" w:space="0" w:color="000000"/>
            </w:tcBorders>
          </w:tcPr>
          <w:p>
            <w:pPr/>
          </w:p>
        </w:tc>
        <w:tc>
          <w:tcPr>
            <w:tcW w:w="3543" w:type="dxa"/>
            <w:vMerge/>
            <w:tcBorders>
              <w:left w:val="single" w:sz="4" w:space="0" w:color="000000"/>
              <w:bottom w:val="single" w:sz="4" w:space="0" w:color="000000"/>
              <w:right w:val="single" w:sz="4" w:space="0" w:color="000000"/>
            </w:tcBorders>
          </w:tcPr>
          <w:p>
            <w:pPr/>
          </w:p>
        </w:tc>
        <w:tc>
          <w:tcPr>
            <w:tcW w:w="1631" w:type="dxa"/>
            <w:vMerge/>
            <w:tcBorders>
              <w:left w:val="single" w:sz="4" w:space="0" w:color="000000"/>
              <w:bottom w:val="single" w:sz="4" w:space="0" w:color="000000"/>
              <w:right w:val="single" w:sz="4" w:space="0" w:color="000000"/>
            </w:tcBorders>
          </w:tcPr>
          <w:p>
            <w:pPr/>
          </w:p>
        </w:tc>
      </w:tr>
      <w:tr>
        <w:trPr>
          <w:trHeight w:val="402" w:hRule="exact"/>
        </w:trPr>
        <w:tc>
          <w:tcPr>
            <w:tcW w:w="1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公允价值变动损益</w:t>
            </w:r>
          </w:p>
        </w:tc>
        <w:tc>
          <w:tcPr>
            <w:tcW w:w="1171" w:type="dxa"/>
            <w:tcBorders>
              <w:top w:val="single" w:sz="4" w:space="0" w:color="000000"/>
              <w:left w:val="single" w:sz="13" w:space="0" w:color="D2D2D2"/>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543" w:type="dxa"/>
            <w:tcBorders>
              <w:top w:val="single" w:sz="4" w:space="0" w:color="000000"/>
              <w:left w:val="single" w:sz="4" w:space="0" w:color="000000"/>
              <w:bottom w:val="single" w:sz="4" w:space="0" w:color="000000"/>
              <w:right w:val="single" w:sz="4" w:space="0" w:color="000000"/>
            </w:tcBorders>
          </w:tcPr>
          <w:p>
            <w:pPr/>
          </w:p>
        </w:tc>
        <w:tc>
          <w:tcPr>
            <w:tcW w:w="163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23"/>
        <w:gridCol w:w="1171"/>
        <w:gridCol w:w="1702"/>
        <w:gridCol w:w="3543"/>
        <w:gridCol w:w="1631"/>
      </w:tblGrid>
      <w:tr>
        <w:trPr>
          <w:trHeight w:val="714"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90,896,965.86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70.78%</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8"/>
              <w:jc w:val="left"/>
              <w:rPr>
                <w:rFonts w:ascii="宋体" w:hAnsi="宋体" w:cs="宋体" w:eastAsia="宋体" w:hint="default"/>
                <w:sz w:val="18"/>
                <w:szCs w:val="18"/>
              </w:rPr>
            </w:pPr>
            <w:r>
              <w:rPr>
                <w:rFonts w:ascii="宋体" w:hAnsi="宋体" w:cs="宋体" w:eastAsia="宋体" w:hint="default"/>
                <w:sz w:val="18"/>
                <w:szCs w:val="18"/>
              </w:rPr>
              <w:t>系公司根据会计准则对应收款项、存货计提 的减值及坏账准备</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23,655,268.73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18.42%</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主要系政策性市场政府补助收入</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570,346.37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0.44%</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主要系低耗品报废损失</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2"/>
        <w:rPr>
          <w:rFonts w:ascii="宋体" w:hAnsi="宋体" w:cs="宋体" w:eastAsia="宋体" w:hint="default"/>
          <w:sz w:val="18"/>
          <w:szCs w:val="18"/>
        </w:rPr>
      </w:pPr>
    </w:p>
    <w:p>
      <w:pPr>
        <w:pStyle w:val="Heading2"/>
        <w:spacing w:line="240" w:lineRule="auto" w:before="26"/>
        <w:ind w:right="1022"/>
        <w:jc w:val="left"/>
        <w:rPr>
          <w:b w:val="0"/>
          <w:bCs w:val="0"/>
        </w:rPr>
      </w:pPr>
      <w:bookmarkStart w:name="四、资产及负债状况分析" w:id="40"/>
      <w:bookmarkEnd w:id="40"/>
      <w:r>
        <w:rPr>
          <w:b w:val="0"/>
          <w:bCs w:val="0"/>
        </w:rPr>
      </w:r>
      <w:r>
        <w:rPr/>
        <w:t>四、资产及负债状况分析</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22"/>
        <w:jc w:val="left"/>
        <w:rPr>
          <w:b w:val="0"/>
          <w:bCs w:val="0"/>
        </w:rPr>
      </w:pPr>
      <w:bookmarkStart w:name="1、资产构成重大变动情况" w:id="41"/>
      <w:bookmarkEnd w:id="41"/>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6"/>
        <w:gridCol w:w="1479"/>
        <w:gridCol w:w="760"/>
        <w:gridCol w:w="1367"/>
        <w:gridCol w:w="892"/>
        <w:gridCol w:w="798"/>
        <w:gridCol w:w="2918"/>
      </w:tblGrid>
      <w:tr>
        <w:trPr>
          <w:trHeight w:val="385"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223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291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78" w:hRule="exact"/>
        </w:trPr>
        <w:tc>
          <w:tcPr>
            <w:tcW w:w="1346" w:type="dxa"/>
            <w:vMerge w:val="restart"/>
            <w:tcBorders>
              <w:top w:val="nil" w:sz="6" w:space="0" w:color="auto"/>
              <w:left w:val="single" w:sz="4" w:space="0" w:color="000000"/>
              <w:right w:val="single" w:sz="4" w:space="0" w:color="000000"/>
            </w:tcBorders>
            <w:shd w:val="clear" w:color="auto" w:fill="D2D2D2"/>
          </w:tcPr>
          <w:p>
            <w:pPr/>
          </w:p>
        </w:tc>
        <w:tc>
          <w:tcPr>
            <w:tcW w:w="1479" w:type="dxa"/>
            <w:tcBorders>
              <w:top w:val="single" w:sz="4" w:space="0" w:color="000000"/>
              <w:left w:val="single" w:sz="4" w:space="0" w:color="000000"/>
              <w:bottom w:val="nil" w:sz="6" w:space="0" w:color="auto"/>
              <w:right w:val="single" w:sz="4" w:space="0" w:color="000000"/>
            </w:tcBorders>
            <w:shd w:val="clear" w:color="auto" w:fill="D2D2D2"/>
          </w:tcPr>
          <w:p>
            <w:pPr/>
          </w:p>
        </w:tc>
        <w:tc>
          <w:tcPr>
            <w:tcW w:w="76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68"/>
              <w:ind w:left="104" w:right="103"/>
              <w:jc w:val="left"/>
              <w:rPr>
                <w:rFonts w:ascii="宋体" w:hAnsi="宋体" w:cs="宋体" w:eastAsia="宋体" w:hint="default"/>
                <w:sz w:val="18"/>
                <w:szCs w:val="18"/>
              </w:rPr>
            </w:pPr>
            <w:r>
              <w:rPr>
                <w:rFonts w:ascii="宋体" w:hAnsi="宋体" w:cs="宋体" w:eastAsia="宋体" w:hint="default"/>
                <w:sz w:val="18"/>
                <w:szCs w:val="18"/>
              </w:rPr>
              <w:t>占总资 产比例</w:t>
            </w:r>
          </w:p>
        </w:tc>
        <w:tc>
          <w:tcPr>
            <w:tcW w:w="1367" w:type="dxa"/>
            <w:tcBorders>
              <w:top w:val="single" w:sz="4" w:space="0" w:color="000000"/>
              <w:left w:val="single" w:sz="4" w:space="0" w:color="000000"/>
              <w:bottom w:val="nil" w:sz="6" w:space="0" w:color="auto"/>
              <w:right w:val="single" w:sz="4" w:space="0" w:color="000000"/>
            </w:tcBorders>
            <w:shd w:val="clear" w:color="auto" w:fill="D2D2D2"/>
          </w:tcPr>
          <w:p>
            <w:pPr/>
          </w:p>
        </w:tc>
        <w:tc>
          <w:tcPr>
            <w:tcW w:w="89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68"/>
              <w:ind w:left="260" w:right="79"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9"/>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9"/>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1"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47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60" w:type="dxa"/>
            <w:vMerge/>
            <w:tcBorders>
              <w:left w:val="single" w:sz="4" w:space="0" w:color="000000"/>
              <w:right w:val="single" w:sz="4" w:space="0" w:color="000000"/>
            </w:tcBorders>
            <w:shd w:val="clear" w:color="auto" w:fill="D2D2D2"/>
          </w:tcPr>
          <w:p>
            <w:pPr/>
          </w:p>
        </w:tc>
        <w:tc>
          <w:tcPr>
            <w:tcW w:w="136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92"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2918"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346" w:type="dxa"/>
            <w:vMerge w:val="restart"/>
            <w:tcBorders>
              <w:top w:val="nil" w:sz="6" w:space="0" w:color="auto"/>
              <w:left w:val="single" w:sz="4" w:space="0" w:color="000000"/>
              <w:right w:val="single" w:sz="4" w:space="0" w:color="000000"/>
            </w:tcBorders>
            <w:shd w:val="clear" w:color="auto" w:fill="D2D2D2"/>
          </w:tcPr>
          <w:p>
            <w:pPr/>
          </w:p>
        </w:tc>
        <w:tc>
          <w:tcPr>
            <w:tcW w:w="1479" w:type="dxa"/>
            <w:vMerge/>
            <w:tcBorders>
              <w:left w:val="single" w:sz="4" w:space="0" w:color="000000"/>
              <w:bottom w:val="nil" w:sz="6" w:space="0" w:color="auto"/>
              <w:right w:val="single" w:sz="4" w:space="0" w:color="000000"/>
            </w:tcBorders>
            <w:shd w:val="clear" w:color="auto" w:fill="D2D2D2"/>
          </w:tcPr>
          <w:p>
            <w:pPr/>
          </w:p>
        </w:tc>
        <w:tc>
          <w:tcPr>
            <w:tcW w:w="760" w:type="dxa"/>
            <w:vMerge/>
            <w:tcBorders>
              <w:left w:val="single" w:sz="4" w:space="0" w:color="000000"/>
              <w:right w:val="single" w:sz="4" w:space="0" w:color="000000"/>
            </w:tcBorders>
            <w:shd w:val="clear" w:color="auto" w:fill="D2D2D2"/>
          </w:tcPr>
          <w:p>
            <w:pPr/>
          </w:p>
        </w:tc>
        <w:tc>
          <w:tcPr>
            <w:tcW w:w="1367" w:type="dxa"/>
            <w:vMerge/>
            <w:tcBorders>
              <w:left w:val="single" w:sz="4" w:space="0" w:color="000000"/>
              <w:bottom w:val="nil" w:sz="6" w:space="0" w:color="auto"/>
              <w:right w:val="single" w:sz="4" w:space="0" w:color="000000"/>
            </w:tcBorders>
            <w:shd w:val="clear" w:color="auto" w:fill="D2D2D2"/>
          </w:tcPr>
          <w:p>
            <w:pPr/>
          </w:p>
        </w:tc>
        <w:tc>
          <w:tcPr>
            <w:tcW w:w="892"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
        </w:tc>
        <w:tc>
          <w:tcPr>
            <w:tcW w:w="2918"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46" w:type="dxa"/>
            <w:vMerge/>
            <w:tcBorders>
              <w:left w:val="single" w:sz="4" w:space="0" w:color="000000"/>
              <w:bottom w:val="single" w:sz="4" w:space="0" w:color="000000"/>
              <w:right w:val="single" w:sz="4" w:space="0" w:color="000000"/>
            </w:tcBorders>
            <w:shd w:val="clear" w:color="auto" w:fill="D2D2D2"/>
          </w:tcPr>
          <w:p>
            <w:pPr/>
          </w:p>
        </w:tc>
        <w:tc>
          <w:tcPr>
            <w:tcW w:w="1479" w:type="dxa"/>
            <w:tcBorders>
              <w:top w:val="nil" w:sz="6" w:space="0" w:color="auto"/>
              <w:left w:val="single" w:sz="4" w:space="0" w:color="000000"/>
              <w:bottom w:val="single" w:sz="4" w:space="0" w:color="000000"/>
              <w:right w:val="single" w:sz="4" w:space="0" w:color="000000"/>
            </w:tcBorders>
            <w:shd w:val="clear" w:color="auto" w:fill="D2D2D2"/>
          </w:tcPr>
          <w:p>
            <w:pPr/>
          </w:p>
        </w:tc>
        <w:tc>
          <w:tcPr>
            <w:tcW w:w="760"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nil" w:sz="6" w:space="0" w:color="auto"/>
              <w:left w:val="single" w:sz="4" w:space="0" w:color="000000"/>
              <w:bottom w:val="single" w:sz="4" w:space="0" w:color="000000"/>
              <w:right w:val="single" w:sz="4" w:space="0" w:color="000000"/>
            </w:tcBorders>
            <w:shd w:val="clear" w:color="auto" w:fill="D2D2D2"/>
          </w:tcPr>
          <w:p>
            <w:pPr/>
          </w:p>
        </w:tc>
        <w:tc>
          <w:tcPr>
            <w:tcW w:w="892"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291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4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1,945,556,008.67</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1,880,682,005.51</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32.69%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-1.41%</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无重大变动</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4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1,722,557,405.12</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1,616,093,944.20</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28.09%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-0.40%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无重大变动</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4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309,816,827.24</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210,971,320.45</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1.31%</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无重大变动</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479" w:type="dxa"/>
            <w:tcBorders>
              <w:top w:val="single" w:sz="4" w:space="0" w:color="000000"/>
              <w:left w:val="single" w:sz="13" w:space="0" w:color="D2D2D2"/>
              <w:bottom w:val="single" w:sz="4" w:space="0" w:color="000000"/>
              <w:right w:val="single" w:sz="4" w:space="0" w:color="000000"/>
            </w:tcBorders>
          </w:tcPr>
          <w:p>
            <w:pPr/>
          </w:p>
        </w:tc>
        <w:tc>
          <w:tcPr>
            <w:tcW w:w="760"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4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31,418,091.71</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26,606,406.67</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0.46%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无重大变动</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4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263,195,958.75</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265,655,093.62</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-0.39%</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无重大变动</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4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1,174,009,876.86</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1,161,798,540.00</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20.19%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-1.32%</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无重大变动</w:t>
            </w:r>
          </w:p>
        </w:tc>
      </w:tr>
      <w:tr>
        <w:trPr>
          <w:trHeight w:val="161"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479"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4" w:right="0"/>
              <w:jc w:val="left"/>
              <w:rPr>
                <w:rFonts w:ascii="Times New Roman" w:hAnsi="Times New Roman" w:cs="Times New Roman" w:eastAsia="Times New Roman" w:hint="default"/>
                <w:sz w:val="18"/>
                <w:szCs w:val="18"/>
              </w:rPr>
            </w:pPr>
            <w:r>
              <w:rPr>
                <w:rFonts w:ascii="Times New Roman"/>
                <w:sz w:val="18"/>
              </w:rPr>
              <w:t>250,000,000.00</w:t>
            </w:r>
          </w:p>
        </w:tc>
        <w:tc>
          <w:tcPr>
            <w:tcW w:w="76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2" w:right="0"/>
              <w:jc w:val="left"/>
              <w:rPr>
                <w:rFonts w:ascii="Times New Roman" w:hAnsi="Times New Roman" w:cs="Times New Roman" w:eastAsia="Times New Roman" w:hint="default"/>
                <w:sz w:val="18"/>
                <w:szCs w:val="18"/>
              </w:rPr>
            </w:pPr>
            <w:r>
              <w:rPr>
                <w:rFonts w:ascii="Times New Roman"/>
                <w:sz w:val="18"/>
              </w:rPr>
              <w:t>4.02%</w:t>
            </w:r>
          </w:p>
        </w:tc>
        <w:tc>
          <w:tcPr>
            <w:tcW w:w="1367" w:type="dxa"/>
            <w:vMerge w:val="restart"/>
            <w:tcBorders>
              <w:top w:val="single" w:sz="4" w:space="0" w:color="000000"/>
              <w:left w:val="single" w:sz="4" w:space="0" w:color="000000"/>
              <w:right w:val="single" w:sz="4" w:space="0" w:color="000000"/>
            </w:tcBorders>
          </w:tcPr>
          <w:p>
            <w:pPr/>
          </w:p>
        </w:tc>
        <w:tc>
          <w:tcPr>
            <w:tcW w:w="892"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9" w:right="0"/>
              <w:jc w:val="left"/>
              <w:rPr>
                <w:rFonts w:ascii="Times New Roman" w:hAnsi="Times New Roman" w:cs="Times New Roman" w:eastAsia="Times New Roman" w:hint="default"/>
                <w:sz w:val="18"/>
                <w:szCs w:val="18"/>
              </w:rPr>
            </w:pPr>
            <w:r>
              <w:rPr>
                <w:rFonts w:ascii="Times New Roman"/>
                <w:sz w:val="18"/>
              </w:rPr>
              <w:t>4.02%</w:t>
            </w:r>
          </w:p>
        </w:tc>
        <w:tc>
          <w:tcPr>
            <w:tcW w:w="2918"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183"/>
              <w:jc w:val="left"/>
              <w:rPr>
                <w:rFonts w:ascii="宋体" w:hAnsi="宋体" w:cs="宋体" w:eastAsia="宋体" w:hint="default"/>
                <w:sz w:val="18"/>
                <w:szCs w:val="18"/>
              </w:rPr>
            </w:pPr>
            <w:r>
              <w:rPr>
                <w:rFonts w:ascii="宋体" w:hAnsi="宋体" w:cs="宋体" w:eastAsia="宋体" w:hint="default"/>
                <w:sz w:val="18"/>
                <w:szCs w:val="18"/>
              </w:rPr>
              <w:t>系公司年末未到期的中电科财务公 司贷款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w:t>
            </w:r>
          </w:p>
        </w:tc>
      </w:tr>
      <w:tr>
        <w:trPr>
          <w:trHeight w:val="392" w:hRule="exact"/>
        </w:trPr>
        <w:tc>
          <w:tcPr>
            <w:tcW w:w="13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479" w:type="dxa"/>
            <w:vMerge/>
            <w:tcBorders>
              <w:left w:val="single" w:sz="9" w:space="0" w:color="D2D2D2"/>
              <w:right w:val="single" w:sz="4" w:space="0" w:color="000000"/>
            </w:tcBorders>
          </w:tcPr>
          <w:p>
            <w:pPr/>
          </w:p>
        </w:tc>
        <w:tc>
          <w:tcPr>
            <w:tcW w:w="760"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892"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479" w:type="dxa"/>
            <w:vMerge/>
            <w:tcBorders>
              <w:left w:val="single" w:sz="9" w:space="0" w:color="D2D2D2"/>
              <w:bottom w:val="single" w:sz="4" w:space="0" w:color="000000"/>
              <w:right w:val="single" w:sz="4" w:space="0" w:color="000000"/>
            </w:tcBorders>
          </w:tcPr>
          <w:p>
            <w:pPr/>
          </w:p>
        </w:tc>
        <w:tc>
          <w:tcPr>
            <w:tcW w:w="760"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892"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479" w:type="dxa"/>
            <w:tcBorders>
              <w:top w:val="single" w:sz="4" w:space="0" w:color="000000"/>
              <w:left w:val="single" w:sz="13" w:space="0" w:color="D2D2D2"/>
              <w:bottom w:val="single" w:sz="4" w:space="0" w:color="000000"/>
              <w:right w:val="single" w:sz="4" w:space="0" w:color="000000"/>
            </w:tcBorders>
          </w:tcPr>
          <w:p>
            <w:pPr/>
          </w:p>
        </w:tc>
        <w:tc>
          <w:tcPr>
            <w:tcW w:w="760"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892"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无重大变动</w:t>
            </w:r>
          </w:p>
        </w:tc>
      </w:tr>
    </w:tbl>
    <w:p>
      <w:pPr>
        <w:spacing w:line="240" w:lineRule="auto" w:before="2"/>
        <w:rPr>
          <w:rFonts w:ascii="宋体" w:hAnsi="宋体" w:cs="宋体" w:eastAsia="宋体" w:hint="default"/>
          <w:sz w:val="19"/>
          <w:szCs w:val="19"/>
        </w:rPr>
      </w:pPr>
    </w:p>
    <w:p>
      <w:pPr>
        <w:pStyle w:val="Heading3"/>
        <w:spacing w:line="240" w:lineRule="auto" w:before="35"/>
        <w:ind w:right="1022"/>
        <w:jc w:val="left"/>
        <w:rPr>
          <w:b w:val="0"/>
          <w:bCs w:val="0"/>
        </w:rPr>
      </w:pPr>
      <w:bookmarkStart w:name="2、以公允价值计量的资产和负债" w:id="42"/>
      <w:bookmarkEnd w:id="42"/>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1022"/>
        <w:jc w:val="left"/>
        <w:rPr>
          <w:b w:val="0"/>
          <w:bCs w:val="0"/>
        </w:rPr>
      </w:pPr>
      <w:bookmarkStart w:name="3、截至报告期末的资产权利受限情况" w:id="43"/>
      <w:bookmarkEnd w:id="43"/>
      <w:r>
        <w:rPr>
          <w:b w:val="0"/>
          <w:bCs w:val="0"/>
        </w:rPr>
      </w: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9"/>
        <w:rPr>
          <w:rFonts w:ascii="宋体" w:hAnsi="宋体" w:cs="宋体" w:eastAsia="宋体" w:hint="default"/>
          <w:b/>
          <w:bCs/>
          <w:sz w:val="25"/>
          <w:szCs w:val="25"/>
        </w:rPr>
      </w:pPr>
    </w:p>
    <w:tbl>
      <w:tblPr>
        <w:tblW w:w="0" w:type="auto"/>
        <w:jc w:val="left"/>
        <w:tblInd w:w="139" w:type="dxa"/>
        <w:tblLayout w:type="fixed"/>
        <w:tblCellMar>
          <w:top w:w="0" w:type="dxa"/>
          <w:left w:w="0" w:type="dxa"/>
          <w:bottom w:w="0" w:type="dxa"/>
          <w:right w:w="0" w:type="dxa"/>
        </w:tblCellMar>
        <w:tblLook w:val="01E0"/>
      </w:tblPr>
      <w:tblGrid>
        <w:gridCol w:w="1712"/>
        <w:gridCol w:w="1560"/>
        <w:gridCol w:w="6387"/>
      </w:tblGrid>
      <w:tr>
        <w:trPr>
          <w:trHeight w:val="342" w:hRule="exact"/>
        </w:trPr>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余额</w:t>
            </w:r>
          </w:p>
        </w:tc>
        <w:tc>
          <w:tcPr>
            <w:tcW w:w="6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342" w:hRule="exact"/>
        </w:trPr>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货币资金</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14,257,418.30</w:t>
            </w:r>
          </w:p>
        </w:tc>
        <w:tc>
          <w:tcPr>
            <w:tcW w:w="6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 w:right="0"/>
              <w:jc w:val="left"/>
              <w:rPr>
                <w:rFonts w:ascii="宋体" w:hAnsi="宋体" w:cs="宋体" w:eastAsia="宋体" w:hint="default"/>
                <w:sz w:val="18"/>
                <w:szCs w:val="18"/>
              </w:rPr>
            </w:pPr>
            <w:r>
              <w:rPr>
                <w:rFonts w:ascii="宋体" w:hAnsi="宋体" w:cs="宋体" w:eastAsia="宋体" w:hint="default"/>
                <w:sz w:val="18"/>
                <w:szCs w:val="18"/>
              </w:rPr>
              <w:t>银行保函、汇票存出保证金</w:t>
            </w:r>
          </w:p>
        </w:tc>
      </w:tr>
      <w:tr>
        <w:trPr>
          <w:trHeight w:val="966" w:hRule="exact"/>
        </w:trPr>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在建工程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7"/>
              <w:ind w:right="3"/>
              <w:jc w:val="right"/>
              <w:rPr>
                <w:rFonts w:ascii="Times New Roman" w:hAnsi="Times New Roman" w:cs="Times New Roman" w:eastAsia="Times New Roman" w:hint="default"/>
                <w:sz w:val="18"/>
                <w:szCs w:val="18"/>
              </w:rPr>
            </w:pPr>
            <w:r>
              <w:rPr>
                <w:rFonts w:ascii="Times New Roman"/>
                <w:spacing w:val="-1"/>
                <w:sz w:val="18"/>
              </w:rPr>
              <w:t>1,163,097,398.37</w:t>
            </w:r>
          </w:p>
        </w:tc>
        <w:tc>
          <w:tcPr>
            <w:tcW w:w="638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21"/>
              <w:ind w:left="5" w:right="68"/>
              <w:jc w:val="both"/>
              <w:rPr>
                <w:rFonts w:ascii="宋体" w:hAnsi="宋体" w:cs="宋体" w:eastAsia="宋体" w:hint="default"/>
                <w:sz w:val="18"/>
                <w:szCs w:val="18"/>
              </w:rPr>
            </w:pPr>
            <w:r>
              <w:rPr>
                <w:rFonts w:ascii="宋体" w:hAnsi="宋体" w:cs="宋体" w:eastAsia="宋体" w:hint="default"/>
                <w:sz w:val="18"/>
                <w:szCs w:val="18"/>
              </w:rPr>
              <w:t>因涉诉被法院查封，详细情况请见公司于</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7</w:t>
            </w:r>
            <w:r>
              <w:rPr>
                <w:rFonts w:ascii="宋体" w:hAnsi="宋体" w:cs="宋体" w:eastAsia="宋体" w:hint="default"/>
                <w:sz w:val="18"/>
                <w:szCs w:val="18"/>
              </w:rPr>
              <w:t>日在《证券时报》、《中国 证券报》及巨潮资讯网披露的《成都卫士通信息产业股份有限公司关于重大诉讼 的公告》（公告编号</w:t>
            </w:r>
            <w:r>
              <w:rPr>
                <w:rFonts w:ascii="Times New Roman" w:hAnsi="Times New Roman" w:cs="Times New Roman" w:eastAsia="Times New Roman" w:hint="default"/>
                <w:sz w:val="18"/>
                <w:szCs w:val="18"/>
              </w:rPr>
              <w:t>:2018-25)</w:t>
            </w:r>
            <w:r>
              <w:rPr>
                <w:rFonts w:ascii="宋体" w:hAnsi="宋体" w:cs="宋体" w:eastAsia="宋体" w:hint="default"/>
                <w:sz w:val="18"/>
                <w:szCs w:val="18"/>
              </w:rPr>
              <w:t>。</w:t>
            </w:r>
          </w:p>
        </w:tc>
      </w:tr>
      <w:tr>
        <w:trPr>
          <w:trHeight w:val="344" w:hRule="exact"/>
        </w:trPr>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1,177,354,816.67</w:t>
            </w:r>
          </w:p>
        </w:tc>
        <w:tc>
          <w:tcPr>
            <w:tcW w:w="638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9"/>
        <w:rPr>
          <w:rFonts w:ascii="宋体" w:hAnsi="宋体" w:cs="宋体" w:eastAsia="宋体" w:hint="default"/>
          <w:b/>
          <w:bCs/>
          <w:sz w:val="23"/>
          <w:szCs w:val="23"/>
        </w:rPr>
      </w:pPr>
    </w:p>
    <w:p>
      <w:pPr>
        <w:pStyle w:val="Heading2"/>
        <w:spacing w:line="240" w:lineRule="auto" w:before="26"/>
        <w:ind w:right="1022"/>
        <w:jc w:val="left"/>
        <w:rPr>
          <w:b w:val="0"/>
          <w:bCs w:val="0"/>
        </w:rPr>
      </w:pPr>
      <w:bookmarkStart w:name="五、投资状况分析" w:id="44"/>
      <w:bookmarkEnd w:id="44"/>
      <w:r>
        <w:rPr>
          <w:b w:val="0"/>
          <w:bCs w:val="0"/>
        </w:rPr>
      </w:r>
      <w:r>
        <w:rPr/>
        <w:t>五、投资状况分析</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22"/>
        <w:jc w:val="left"/>
        <w:rPr>
          <w:b w:val="0"/>
          <w:bCs w:val="0"/>
        </w:rPr>
      </w:pPr>
      <w:bookmarkStart w:name="1、总体情况" w:id="45"/>
      <w:bookmarkEnd w:id="45"/>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90"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2,800,000.00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221.43%</w:t>
            </w:r>
          </w:p>
        </w:tc>
      </w:tr>
    </w:tbl>
    <w:p>
      <w:pPr>
        <w:spacing w:line="240" w:lineRule="auto" w:before="2"/>
        <w:rPr>
          <w:rFonts w:ascii="宋体" w:hAnsi="宋体" w:cs="宋体" w:eastAsia="宋体" w:hint="default"/>
          <w:sz w:val="19"/>
          <w:szCs w:val="19"/>
        </w:rPr>
      </w:pPr>
    </w:p>
    <w:p>
      <w:pPr>
        <w:pStyle w:val="Heading3"/>
        <w:spacing w:line="240" w:lineRule="auto" w:before="35"/>
        <w:ind w:right="1022"/>
        <w:jc w:val="left"/>
        <w:rPr>
          <w:b w:val="0"/>
          <w:bCs w:val="0"/>
        </w:rPr>
      </w:pPr>
      <w:bookmarkStart w:name="2、报告期内获取的重大的股权投资情况" w:id="46"/>
      <w:bookmarkEnd w:id="46"/>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1022"/>
        <w:jc w:val="left"/>
        <w:rPr>
          <w:b w:val="0"/>
          <w:bCs w:val="0"/>
        </w:rPr>
      </w:pPr>
      <w:bookmarkStart w:name="3、报告期内正在进行的重大的非股权投资情况" w:id="47"/>
      <w:bookmarkEnd w:id="47"/>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1022"/>
        <w:jc w:val="left"/>
        <w:rPr>
          <w:b w:val="0"/>
          <w:bCs w:val="0"/>
        </w:rPr>
      </w:pPr>
      <w:bookmarkStart w:name="4、以公允价值计量的金融资产" w:id="48"/>
      <w:bookmarkEnd w:id="48"/>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1022"/>
        <w:jc w:val="left"/>
        <w:rPr>
          <w:b w:val="0"/>
          <w:bCs w:val="0"/>
        </w:rPr>
      </w:pPr>
      <w:bookmarkStart w:name="5、募集资金使用情况" w:id="49"/>
      <w:bookmarkEnd w:id="49"/>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1022"/>
        <w:jc w:val="left"/>
        <w:rPr>
          <w:b w:val="0"/>
          <w:bCs w:val="0"/>
        </w:rPr>
      </w:pPr>
      <w:bookmarkStart w:name="（1）募集资金总体使用情况" w:id="50"/>
      <w:bookmarkEnd w:id="50"/>
      <w:r>
        <w:rPr>
          <w:b w:val="0"/>
          <w:bCs w:val="0"/>
        </w:rPr>
      </w: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10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单位：万元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867"/>
        <w:gridCol w:w="863"/>
        <w:gridCol w:w="877"/>
        <w:gridCol w:w="870"/>
        <w:gridCol w:w="870"/>
        <w:gridCol w:w="869"/>
        <w:gridCol w:w="870"/>
        <w:gridCol w:w="870"/>
        <w:gridCol w:w="870"/>
        <w:gridCol w:w="870"/>
        <w:gridCol w:w="869"/>
      </w:tblGrid>
      <w:tr>
        <w:trPr>
          <w:trHeight w:val="1338"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8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53" w:right="72"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9" w:right="68"/>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9" w:right="69"/>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8" w:right="68"/>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 w:right="68"/>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8" w:right="68"/>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1026" w:hRule="exact"/>
        </w:trPr>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08"/>
              <w:jc w:val="left"/>
              <w:rPr>
                <w:rFonts w:ascii="宋体" w:hAnsi="宋体" w:cs="宋体" w:eastAsia="宋体" w:hint="default"/>
                <w:sz w:val="18"/>
                <w:szCs w:val="18"/>
              </w:rPr>
            </w:pPr>
            <w:r>
              <w:rPr>
                <w:rFonts w:ascii="宋体" w:hAnsi="宋体" w:cs="宋体" w:eastAsia="宋体" w:hint="default"/>
                <w:sz w:val="18"/>
                <w:szCs w:val="18"/>
              </w:rPr>
              <w:t>非公开发 行股票</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266,233.17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z w:val="18"/>
              </w:rPr>
              <w:t>35,889.12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183,543.93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82,689.24</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5"/>
              <w:jc w:val="both"/>
              <w:rPr>
                <w:rFonts w:ascii="宋体" w:hAnsi="宋体" w:cs="宋体" w:eastAsia="宋体" w:hint="default"/>
                <w:sz w:val="18"/>
                <w:szCs w:val="18"/>
              </w:rPr>
            </w:pPr>
            <w:r>
              <w:rPr>
                <w:rFonts w:ascii="宋体" w:hAnsi="宋体" w:cs="宋体" w:eastAsia="宋体" w:hint="default"/>
                <w:sz w:val="18"/>
                <w:szCs w:val="18"/>
              </w:rPr>
              <w:t>存放于募 集资金专 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266,233.17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center"/>
              <w:rPr>
                <w:rFonts w:ascii="Times New Roman" w:hAnsi="Times New Roman" w:cs="Times New Roman" w:eastAsia="Times New Roman" w:hint="default"/>
                <w:sz w:val="18"/>
                <w:szCs w:val="18"/>
              </w:rPr>
            </w:pPr>
            <w:r>
              <w:rPr>
                <w:rFonts w:ascii="Times New Roman"/>
                <w:sz w:val="18"/>
              </w:rPr>
              <w:t>35,889.12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183,543.93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82,689.24</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65"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402" w:hRule="exact"/>
        </w:trPr>
        <w:tc>
          <w:tcPr>
            <w:tcW w:w="9565"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本报告期内，非公开发行股票募集资金投资项目共使用募集资金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35,889.12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bl>
    <w:p>
      <w:pPr>
        <w:spacing w:line="240" w:lineRule="auto" w:before="3"/>
        <w:rPr>
          <w:rFonts w:ascii="宋体" w:hAnsi="宋体" w:cs="宋体" w:eastAsia="宋体" w:hint="default"/>
          <w:sz w:val="19"/>
          <w:szCs w:val="19"/>
        </w:rPr>
      </w:pPr>
    </w:p>
    <w:p>
      <w:pPr>
        <w:pStyle w:val="Heading3"/>
        <w:spacing w:line="240" w:lineRule="auto" w:before="35"/>
        <w:ind w:right="1022"/>
        <w:jc w:val="left"/>
        <w:rPr>
          <w:b w:val="0"/>
          <w:bCs w:val="0"/>
        </w:rPr>
      </w:pPr>
      <w:bookmarkStart w:name="（2）募集资金承诺项目情况" w:id="51"/>
      <w:bookmarkEnd w:id="51"/>
      <w:r>
        <w:rPr>
          <w:b w:val="0"/>
          <w:bCs w:val="0"/>
        </w:rPr>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left="0" w:right="1130"/>
        <w:jc w:val="right"/>
      </w:pPr>
      <w:r>
        <w:rPr/>
        <w:t>单位：万元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770"/>
        <w:gridCol w:w="779"/>
        <w:gridCol w:w="780"/>
        <w:gridCol w:w="780"/>
        <w:gridCol w:w="779"/>
        <w:gridCol w:w="780"/>
        <w:gridCol w:w="780"/>
        <w:gridCol w:w="780"/>
        <w:gridCol w:w="780"/>
        <w:gridCol w:w="780"/>
        <w:gridCol w:w="780"/>
      </w:tblGrid>
      <w:tr>
        <w:trPr>
          <w:trHeight w:val="1338"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520" w:right="69" w:hanging="451"/>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2"/>
              <w:ind w:left="24"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是否已变 更项目 </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 变更</w:t>
            </w:r>
            <w:r>
              <w:rPr>
                <w:rFonts w:ascii="Times New Roman" w:hAnsi="Times New Roman" w:cs="Times New Roman" w:eastAsia="Times New Roman" w:hint="default"/>
                <w:sz w:val="18"/>
                <w:szCs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24" w:right="24"/>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38" w:lineRule="auto"/>
              <w:ind w:left="24" w:right="24"/>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 </w:t>
            </w:r>
            <w:r>
              <w:rPr>
                <w:rFonts w:ascii="Times New Roman" w:hAnsi="Times New Roman" w:cs="Times New Roman" w:eastAsia="Times New Roman" w:hint="default"/>
                <w:sz w:val="18"/>
                <w:szCs w:val="18"/>
              </w:rPr>
              <w:t>(1)</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4" w:right="23"/>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25" w:right="23"/>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2"/>
              <w:ind w:left="25"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25" w:right="23"/>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25" w:right="23"/>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 w:right="23"/>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25" w:right="23"/>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402"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7"/>
              <w:jc w:val="both"/>
              <w:rPr>
                <w:rFonts w:ascii="宋体" w:hAnsi="宋体" w:cs="宋体" w:eastAsia="宋体" w:hint="default"/>
                <w:sz w:val="18"/>
                <w:szCs w:val="18"/>
              </w:rPr>
            </w:pPr>
            <w:r>
              <w:rPr>
                <w:rFonts w:ascii="宋体" w:hAnsi="宋体" w:cs="宋体" w:eastAsia="宋体" w:hint="default"/>
                <w:sz w:val="18"/>
                <w:szCs w:val="18"/>
              </w:rPr>
              <w:t>新型商用密码系列产 品产业化及国际化项 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65,580.17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65,580.17</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14,445.92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52,319.62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79.78%</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7"/>
              <w:jc w:val="left"/>
              <w:rPr>
                <w:rFonts w:ascii="宋体" w:hAnsi="宋体" w:cs="宋体" w:eastAsia="宋体" w:hint="default"/>
                <w:sz w:val="18"/>
                <w:szCs w:val="18"/>
              </w:rPr>
            </w:pPr>
            <w:r>
              <w:rPr>
                <w:rFonts w:ascii="宋体" w:hAnsi="宋体" w:cs="宋体" w:eastAsia="宋体" w:hint="default"/>
                <w:sz w:val="18"/>
                <w:szCs w:val="18"/>
              </w:rPr>
              <w:t>安全智能移动终端及 应用服务产业化项目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59,350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59,350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9,668.81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46,690.36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78.67%</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7"/>
              <w:jc w:val="left"/>
              <w:rPr>
                <w:rFonts w:ascii="宋体" w:hAnsi="宋体" w:cs="宋体" w:eastAsia="宋体" w:hint="default"/>
                <w:sz w:val="18"/>
                <w:szCs w:val="18"/>
              </w:rPr>
            </w:pPr>
            <w:r>
              <w:rPr>
                <w:rFonts w:ascii="宋体" w:hAnsi="宋体" w:cs="宋体" w:eastAsia="宋体" w:hint="default"/>
                <w:sz w:val="18"/>
                <w:szCs w:val="18"/>
              </w:rPr>
              <w:t>国产自主高安全专用 终端项目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32,228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32,228</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3,554.39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23,060.16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71.55%</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7"/>
              <w:jc w:val="both"/>
              <w:rPr>
                <w:rFonts w:ascii="宋体" w:hAnsi="宋体" w:cs="宋体" w:eastAsia="宋体" w:hint="default"/>
                <w:sz w:val="18"/>
                <w:szCs w:val="18"/>
              </w:rPr>
            </w:pPr>
            <w:r>
              <w:rPr>
                <w:rFonts w:ascii="宋体" w:hAnsi="宋体" w:cs="宋体" w:eastAsia="宋体" w:hint="default"/>
                <w:sz w:val="18"/>
                <w:szCs w:val="18"/>
              </w:rPr>
              <w:t>面向工业控制系统和 物联网的系列安全芯 片项目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51,250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51,250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1,029.2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18,716.94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36.52%</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7"/>
              <w:jc w:val="left"/>
              <w:rPr>
                <w:rFonts w:ascii="宋体" w:hAnsi="宋体" w:cs="宋体" w:eastAsia="宋体" w:hint="default"/>
                <w:sz w:val="18"/>
                <w:szCs w:val="18"/>
              </w:rPr>
            </w:pPr>
            <w:r>
              <w:rPr>
                <w:rFonts w:ascii="宋体" w:hAnsi="宋体" w:cs="宋体" w:eastAsia="宋体" w:hint="default"/>
                <w:sz w:val="18"/>
                <w:szCs w:val="18"/>
              </w:rPr>
              <w:t>行业安全解决方案创 新中心项目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57,825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57,825</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7,190.8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42,756.85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73.94%</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2" w:hRule="exact"/>
        </w:trPr>
        <w:tc>
          <w:tcPr>
            <w:tcW w:w="1770" w:type="dxa"/>
            <w:tcBorders>
              <w:top w:val="single" w:sz="4" w:space="0" w:color="000000"/>
              <w:left w:val="single" w:sz="4" w:space="0" w:color="000000"/>
              <w:bottom w:val="nil" w:sz="6" w:space="0" w:color="auto"/>
              <w:right w:val="single" w:sz="4" w:space="0" w:color="000000"/>
            </w:tcBorders>
            <w:shd w:val="clear" w:color="auto" w:fill="D2D2D2"/>
          </w:tcPr>
          <w:p>
            <w:pPr/>
          </w:p>
        </w:tc>
        <w:tc>
          <w:tcPr>
            <w:tcW w:w="779"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vMerge w:val="restart"/>
            <w:tcBorders>
              <w:top w:val="single" w:sz="4" w:space="0" w:color="000000"/>
              <w:left w:val="single" w:sz="9" w:space="0" w:color="D2D2D2"/>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266,233.1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266,233.1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779"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5" w:right="0"/>
              <w:jc w:val="left"/>
              <w:rPr>
                <w:rFonts w:ascii="Times New Roman" w:hAnsi="Times New Roman" w:cs="Times New Roman" w:eastAsia="Times New Roman" w:hint="default"/>
                <w:sz w:val="18"/>
                <w:szCs w:val="18"/>
              </w:rPr>
            </w:pPr>
            <w:r>
              <w:rPr>
                <w:rFonts w:ascii="Times New Roman"/>
                <w:sz w:val="18"/>
              </w:rPr>
              <w:t>35,889.12</w:t>
            </w:r>
          </w:p>
        </w:tc>
        <w:tc>
          <w:tcPr>
            <w:tcW w:w="780" w:type="dxa"/>
            <w:vMerge w:val="restart"/>
            <w:tcBorders>
              <w:top w:val="single" w:sz="4" w:space="0" w:color="000000"/>
              <w:left w:val="single" w:sz="4" w:space="0" w:color="000000"/>
              <w:right w:val="single" w:sz="10" w:space="0" w:color="D2D2D2"/>
            </w:tcBorders>
          </w:tcPr>
          <w:p>
            <w:pPr>
              <w:pStyle w:val="TableParagraph"/>
              <w:spacing w:line="240" w:lineRule="auto" w:before="92"/>
              <w:ind w:right="12"/>
              <w:jc w:val="right"/>
              <w:rPr>
                <w:rFonts w:ascii="Times New Roman" w:hAnsi="Times New Roman" w:cs="Times New Roman" w:eastAsia="Times New Roman" w:hint="default"/>
                <w:sz w:val="18"/>
                <w:szCs w:val="18"/>
              </w:rPr>
            </w:pPr>
            <w:r>
              <w:rPr>
                <w:rFonts w:ascii="Times New Roman"/>
                <w:sz w:val="18"/>
              </w:rPr>
              <w:t>183,543.9</w:t>
            </w:r>
          </w:p>
          <w:p>
            <w:pPr>
              <w:pStyle w:val="TableParagraph"/>
              <w:spacing w:line="240" w:lineRule="auto" w:before="105"/>
              <w:ind w:right="13"/>
              <w:jc w:val="right"/>
              <w:rPr>
                <w:rFonts w:ascii="Times New Roman" w:hAnsi="Times New Roman" w:cs="Times New Roman" w:eastAsia="Times New Roman" w:hint="default"/>
                <w:sz w:val="18"/>
                <w:szCs w:val="18"/>
              </w:rPr>
            </w:pPr>
            <w:r>
              <w:rPr>
                <w:rFonts w:ascii="Times New Roman"/>
                <w:sz w:val="18"/>
              </w:rPr>
              <w:t>3</w:t>
            </w: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vMerge w:val="restart"/>
            <w:tcBorders>
              <w:top w:val="single" w:sz="4" w:space="0" w:color="000000"/>
              <w:left w:val="single" w:sz="9" w:space="0" w:color="D2D2D2"/>
              <w:right w:val="single" w:sz="10" w:space="0" w:color="D2D2D2"/>
            </w:tcBorders>
          </w:tcPr>
          <w:p>
            <w:pP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7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vMerge/>
            <w:tcBorders>
              <w:left w:val="single" w:sz="9" w:space="0" w:color="D2D2D2"/>
              <w:right w:val="single" w:sz="4" w:space="0" w:color="000000"/>
            </w:tcBorders>
          </w:tcPr>
          <w:p>
            <w:pPr/>
          </w:p>
        </w:tc>
        <w:tc>
          <w:tcPr>
            <w:tcW w:w="780"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c>
          <w:tcPr>
            <w:tcW w:w="780" w:type="dxa"/>
            <w:vMerge/>
            <w:tcBorders>
              <w:left w:val="single" w:sz="4" w:space="0" w:color="000000"/>
              <w:right w:val="single" w:sz="10" w:space="0" w:color="D2D2D2"/>
            </w:tcBorders>
          </w:tcPr>
          <w:p>
            <w:pPr/>
          </w:p>
        </w:tc>
        <w:tc>
          <w:tcPr>
            <w:tcW w:w="7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vMerge/>
            <w:tcBorders>
              <w:left w:val="single" w:sz="9" w:space="0" w:color="D2D2D2"/>
              <w:right w:val="single" w:sz="10" w:space="0" w:color="D2D2D2"/>
            </w:tcBorders>
          </w:tcPr>
          <w:p>
            <w:pPr/>
          </w:p>
        </w:tc>
        <w:tc>
          <w:tcPr>
            <w:tcW w:w="7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167" w:hRule="exact"/>
        </w:trPr>
        <w:tc>
          <w:tcPr>
            <w:tcW w:w="1770"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 w:type="dxa"/>
            <w:vMerge/>
            <w:tcBorders>
              <w:left w:val="single" w:sz="9" w:space="0" w:color="D2D2D2"/>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79"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10" w:space="0" w:color="D2D2D2"/>
            </w:tcBorders>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 w:type="dxa"/>
            <w:vMerge/>
            <w:tcBorders>
              <w:left w:val="single" w:sz="9" w:space="0" w:color="D2D2D2"/>
              <w:bottom w:val="single" w:sz="4" w:space="0" w:color="000000"/>
              <w:right w:val="single" w:sz="10" w:space="0" w:color="D2D2D2"/>
            </w:tcBorders>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6"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1770" w:type="dxa"/>
            <w:tcBorders>
              <w:top w:val="single" w:sz="4" w:space="0" w:color="000000"/>
              <w:left w:val="single" w:sz="4" w:space="0" w:color="000000"/>
              <w:bottom w:val="nil" w:sz="6" w:space="0" w:color="auto"/>
              <w:right w:val="single" w:sz="4" w:space="0" w:color="000000"/>
            </w:tcBorders>
            <w:shd w:val="clear" w:color="auto" w:fill="D2D2D2"/>
          </w:tcPr>
          <w:p>
            <w:pPr/>
          </w:p>
        </w:tc>
        <w:tc>
          <w:tcPr>
            <w:tcW w:w="779"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vMerge w:val="restart"/>
            <w:tcBorders>
              <w:top w:val="single" w:sz="4" w:space="0" w:color="000000"/>
              <w:left w:val="single" w:sz="9" w:space="0" w:color="D2D2D2"/>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266,233.1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266,233.1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779"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5" w:right="0"/>
              <w:jc w:val="left"/>
              <w:rPr>
                <w:rFonts w:ascii="Times New Roman" w:hAnsi="Times New Roman" w:cs="Times New Roman" w:eastAsia="Times New Roman" w:hint="default"/>
                <w:sz w:val="18"/>
                <w:szCs w:val="18"/>
              </w:rPr>
            </w:pPr>
            <w:r>
              <w:rPr>
                <w:rFonts w:ascii="Times New Roman"/>
                <w:sz w:val="18"/>
              </w:rPr>
              <w:t>35,889.12</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183,543.9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r>
        <w:trPr>
          <w:trHeight w:val="391" w:hRule="exact"/>
        </w:trPr>
        <w:tc>
          <w:tcPr>
            <w:tcW w:w="17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vMerge/>
            <w:tcBorders>
              <w:left w:val="single" w:sz="9" w:space="0" w:color="D2D2D2"/>
              <w:right w:val="single" w:sz="4" w:space="0" w:color="000000"/>
            </w:tcBorders>
          </w:tcPr>
          <w:p>
            <w:pPr/>
          </w:p>
        </w:tc>
        <w:tc>
          <w:tcPr>
            <w:tcW w:w="780"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161" w:hRule="exact"/>
        </w:trPr>
        <w:tc>
          <w:tcPr>
            <w:tcW w:w="1770"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 w:type="dxa"/>
            <w:vMerge/>
            <w:tcBorders>
              <w:left w:val="single" w:sz="9" w:space="0" w:color="D2D2D2"/>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79"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17"/>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798"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17"/>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798"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22" w:right="22"/>
              <w:jc w:val="left"/>
              <w:rPr>
                <w:rFonts w:ascii="宋体" w:hAnsi="宋体" w:cs="宋体" w:eastAsia="宋体" w:hint="default"/>
                <w:sz w:val="18"/>
                <w:szCs w:val="18"/>
              </w:rPr>
            </w:pPr>
            <w:r>
              <w:rPr>
                <w:rFonts w:ascii="宋体" w:hAnsi="宋体" w:cs="宋体" w:eastAsia="宋体" w:hint="default"/>
                <w:spacing w:val="-9"/>
                <w:sz w:val="18"/>
                <w:szCs w:val="18"/>
              </w:rPr>
              <w:t>超募资金的金额、用途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及使用进展情况</w:t>
            </w:r>
          </w:p>
        </w:tc>
        <w:tc>
          <w:tcPr>
            <w:tcW w:w="7798"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gridSpan w:val="10"/>
            <w:tcBorders>
              <w:top w:val="single" w:sz="4" w:space="0" w:color="000000"/>
              <w:left w:val="single" w:sz="9" w:space="0" w:color="D2D2D2"/>
              <w:bottom w:val="single" w:sz="4" w:space="0" w:color="000000"/>
              <w:right w:val="single" w:sz="4" w:space="0" w:color="000000"/>
            </w:tcBorders>
          </w:tcPr>
          <w:p>
            <w:pPr/>
          </w:p>
        </w:tc>
      </w:tr>
      <w:tr>
        <w:trPr>
          <w:trHeight w:val="252" w:hRule="exact"/>
        </w:trPr>
        <w:tc>
          <w:tcPr>
            <w:tcW w:w="1770" w:type="dxa"/>
            <w:tcBorders>
              <w:top w:val="single" w:sz="4" w:space="0" w:color="000000"/>
              <w:left w:val="single" w:sz="4" w:space="0" w:color="000000"/>
              <w:bottom w:val="nil" w:sz="6" w:space="0" w:color="auto"/>
              <w:right w:val="single" w:sz="4" w:space="0" w:color="000000"/>
            </w:tcBorders>
            <w:shd w:val="clear" w:color="auto" w:fill="D2D2D2"/>
          </w:tcPr>
          <w:p>
            <w:pPr/>
          </w:p>
        </w:tc>
        <w:tc>
          <w:tcPr>
            <w:tcW w:w="7798" w:type="dxa"/>
            <w:gridSpan w:val="10"/>
            <w:vMerge w:val="restart"/>
            <w:tcBorders>
              <w:top w:val="single" w:sz="4" w:space="0" w:color="000000"/>
              <w:left w:val="single" w:sz="9" w:space="0" w:color="D2D2D2"/>
              <w:right w:val="single" w:sz="4" w:space="0" w:color="000000"/>
            </w:tcBorders>
          </w:tcPr>
          <w:p>
            <w:pPr>
              <w:pStyle w:val="TableParagraph"/>
              <w:spacing w:line="240" w:lineRule="auto" w:before="52"/>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50" w:hRule="exact"/>
        </w:trPr>
        <w:tc>
          <w:tcPr>
            <w:tcW w:w="177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798" w:type="dxa"/>
            <w:gridSpan w:val="10"/>
            <w:vMerge/>
            <w:tcBorders>
              <w:left w:val="single" w:sz="9" w:space="0" w:color="D2D2D2"/>
              <w:bottom w:val="single" w:sz="4" w:space="0" w:color="000000"/>
              <w:right w:val="single" w:sz="4" w:space="0" w:color="000000"/>
            </w:tcBorders>
          </w:tcPr>
          <w:p>
            <w:pPr/>
          </w:p>
        </w:tc>
      </w:tr>
      <w:tr>
        <w:trPr>
          <w:trHeight w:val="402" w:hRule="exact"/>
        </w:trPr>
        <w:tc>
          <w:tcPr>
            <w:tcW w:w="1770" w:type="dxa"/>
            <w:vMerge/>
            <w:tcBorders>
              <w:left w:val="single" w:sz="4" w:space="0" w:color="000000"/>
              <w:right w:val="single" w:sz="4" w:space="0" w:color="000000"/>
            </w:tcBorders>
            <w:shd w:val="clear" w:color="auto" w:fill="D2D2D2"/>
          </w:tcPr>
          <w:p>
            <w:pPr/>
          </w:p>
        </w:tc>
        <w:tc>
          <w:tcPr>
            <w:tcW w:w="7798" w:type="dxa"/>
            <w:gridSpan w:val="10"/>
            <w:tcBorders>
              <w:top w:val="single" w:sz="4" w:space="0" w:color="000000"/>
              <w:left w:val="single" w:sz="9" w:space="0" w:color="D2D2D2"/>
              <w:bottom w:val="single" w:sz="4" w:space="0" w:color="000000"/>
              <w:right w:val="single" w:sz="4" w:space="0" w:color="000000"/>
            </w:tcBorders>
          </w:tcPr>
          <w:p>
            <w:pPr/>
          </w:p>
        </w:tc>
      </w:tr>
      <w:tr>
        <w:trPr>
          <w:trHeight w:val="151" w:hRule="exact"/>
        </w:trPr>
        <w:tc>
          <w:tcPr>
            <w:tcW w:w="1770" w:type="dxa"/>
            <w:vMerge/>
            <w:tcBorders>
              <w:left w:val="single" w:sz="4" w:space="0" w:color="000000"/>
              <w:bottom w:val="nil" w:sz="6" w:space="0" w:color="auto"/>
              <w:right w:val="single" w:sz="4" w:space="0" w:color="000000"/>
            </w:tcBorders>
            <w:shd w:val="clear" w:color="auto" w:fill="D2D2D2"/>
          </w:tcPr>
          <w:p>
            <w:pPr/>
          </w:p>
        </w:tc>
        <w:tc>
          <w:tcPr>
            <w:tcW w:w="7798" w:type="dxa"/>
            <w:gridSpan w:val="10"/>
            <w:vMerge w:val="restart"/>
            <w:tcBorders>
              <w:top w:val="single" w:sz="4" w:space="0" w:color="000000"/>
              <w:left w:val="single" w:sz="9" w:space="0" w:color="D2D2D2"/>
              <w:right w:val="single" w:sz="4" w:space="0" w:color="000000"/>
            </w:tcBorders>
          </w:tcPr>
          <w:p>
            <w:pPr/>
          </w:p>
        </w:tc>
      </w:tr>
      <w:tr>
        <w:trPr>
          <w:trHeight w:val="251" w:hRule="exact"/>
        </w:trPr>
        <w:tc>
          <w:tcPr>
            <w:tcW w:w="1770"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8" w:type="dxa"/>
            <w:gridSpan w:val="10"/>
            <w:vMerge/>
            <w:tcBorders>
              <w:left w:val="single" w:sz="9" w:space="0" w:color="D2D2D2"/>
              <w:bottom w:val="single" w:sz="4" w:space="0" w:color="000000"/>
              <w:right w:val="single" w:sz="4" w:space="0" w:color="000000"/>
            </w:tcBorders>
          </w:tcPr>
          <w:p>
            <w:pPr/>
          </w:p>
        </w:tc>
      </w:tr>
      <w:tr>
        <w:trPr>
          <w:trHeight w:val="252" w:hRule="exact"/>
        </w:trPr>
        <w:tc>
          <w:tcPr>
            <w:tcW w:w="1770" w:type="dxa"/>
            <w:tcBorders>
              <w:top w:val="single" w:sz="4" w:space="0" w:color="000000"/>
              <w:left w:val="single" w:sz="4" w:space="0" w:color="000000"/>
              <w:bottom w:val="nil" w:sz="6" w:space="0" w:color="auto"/>
              <w:right w:val="single" w:sz="4" w:space="0" w:color="000000"/>
            </w:tcBorders>
            <w:shd w:val="clear" w:color="auto" w:fill="D2D2D2"/>
          </w:tcPr>
          <w:p>
            <w:pPr/>
          </w:p>
        </w:tc>
        <w:tc>
          <w:tcPr>
            <w:tcW w:w="7798" w:type="dxa"/>
            <w:gridSpan w:val="10"/>
            <w:vMerge w:val="restart"/>
            <w:tcBorders>
              <w:top w:val="single" w:sz="4" w:space="0" w:color="000000"/>
              <w:left w:val="single" w:sz="9" w:space="0" w:color="D2D2D2"/>
              <w:right w:val="single" w:sz="4" w:space="0" w:color="000000"/>
            </w:tcBorders>
          </w:tcPr>
          <w:p>
            <w:pPr>
              <w:pStyle w:val="TableParagraph"/>
              <w:spacing w:line="240" w:lineRule="auto" w:before="52"/>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50" w:hRule="exact"/>
        </w:trPr>
        <w:tc>
          <w:tcPr>
            <w:tcW w:w="177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7798" w:type="dxa"/>
            <w:gridSpan w:val="10"/>
            <w:vMerge/>
            <w:tcBorders>
              <w:left w:val="single" w:sz="9" w:space="0" w:color="D2D2D2"/>
              <w:bottom w:val="single" w:sz="4" w:space="0" w:color="000000"/>
              <w:right w:val="single" w:sz="4" w:space="0" w:color="000000"/>
            </w:tcBorders>
          </w:tcPr>
          <w:p>
            <w:pPr/>
          </w:p>
        </w:tc>
      </w:tr>
      <w:tr>
        <w:trPr>
          <w:trHeight w:val="402" w:hRule="exact"/>
        </w:trPr>
        <w:tc>
          <w:tcPr>
            <w:tcW w:w="1770" w:type="dxa"/>
            <w:vMerge/>
            <w:tcBorders>
              <w:left w:val="single" w:sz="4" w:space="0" w:color="000000"/>
              <w:right w:val="single" w:sz="4" w:space="0" w:color="000000"/>
            </w:tcBorders>
            <w:shd w:val="clear" w:color="auto" w:fill="D2D2D2"/>
          </w:tcPr>
          <w:p>
            <w:pPr/>
          </w:p>
        </w:tc>
        <w:tc>
          <w:tcPr>
            <w:tcW w:w="7798" w:type="dxa"/>
            <w:gridSpan w:val="10"/>
            <w:tcBorders>
              <w:top w:val="single" w:sz="4" w:space="0" w:color="000000"/>
              <w:left w:val="single" w:sz="9" w:space="0" w:color="D2D2D2"/>
              <w:bottom w:val="single" w:sz="4" w:space="0" w:color="000000"/>
              <w:right w:val="single" w:sz="4" w:space="0" w:color="000000"/>
            </w:tcBorders>
          </w:tcPr>
          <w:p>
            <w:pPr/>
          </w:p>
        </w:tc>
      </w:tr>
      <w:tr>
        <w:trPr>
          <w:trHeight w:val="151" w:hRule="exact"/>
        </w:trPr>
        <w:tc>
          <w:tcPr>
            <w:tcW w:w="1770" w:type="dxa"/>
            <w:vMerge/>
            <w:tcBorders>
              <w:left w:val="single" w:sz="4" w:space="0" w:color="000000"/>
              <w:bottom w:val="nil" w:sz="6" w:space="0" w:color="auto"/>
              <w:right w:val="single" w:sz="4" w:space="0" w:color="000000"/>
            </w:tcBorders>
            <w:shd w:val="clear" w:color="auto" w:fill="D2D2D2"/>
          </w:tcPr>
          <w:p>
            <w:pPr/>
          </w:p>
        </w:tc>
        <w:tc>
          <w:tcPr>
            <w:tcW w:w="7798" w:type="dxa"/>
            <w:gridSpan w:val="10"/>
            <w:vMerge w:val="restart"/>
            <w:tcBorders>
              <w:top w:val="single" w:sz="4" w:space="0" w:color="000000"/>
              <w:left w:val="single" w:sz="9" w:space="0" w:color="D2D2D2"/>
              <w:right w:val="single" w:sz="4" w:space="0" w:color="000000"/>
            </w:tcBorders>
          </w:tcPr>
          <w:p>
            <w:pPr/>
          </w:p>
        </w:tc>
      </w:tr>
      <w:tr>
        <w:trPr>
          <w:trHeight w:val="251" w:hRule="exact"/>
        </w:trPr>
        <w:tc>
          <w:tcPr>
            <w:tcW w:w="1770"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8" w:type="dxa"/>
            <w:gridSpan w:val="10"/>
            <w:vMerge/>
            <w:tcBorders>
              <w:left w:val="single" w:sz="9" w:space="0" w:color="D2D2D2"/>
              <w:bottom w:val="single" w:sz="4" w:space="0" w:color="000000"/>
              <w:right w:val="single" w:sz="4" w:space="0" w:color="000000"/>
            </w:tcBorders>
          </w:tcPr>
          <w:p>
            <w:pPr/>
          </w:p>
        </w:tc>
      </w:tr>
      <w:tr>
        <w:trPr>
          <w:trHeight w:val="403"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募集资金投资项目先</w:t>
            </w:r>
          </w:p>
        </w:tc>
        <w:tc>
          <w:tcPr>
            <w:tcW w:w="7798"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16" w:right="0"/>
              <w:jc w:val="left"/>
              <w:rPr>
                <w:rFonts w:ascii="宋体" w:hAnsi="宋体" w:cs="宋体" w:eastAsia="宋体" w:hint="default"/>
                <w:sz w:val="18"/>
                <w:szCs w:val="18"/>
              </w:rPr>
            </w:pPr>
            <w:r>
              <w:rPr>
                <w:rFonts w:ascii="宋体" w:hAnsi="宋体" w:cs="宋体" w:eastAsia="宋体" w:hint="default"/>
                <w:sz w:val="18"/>
                <w:szCs w:val="18"/>
              </w:rPr>
              <w:t>适用</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9"/>
          <w:szCs w:val="29"/>
        </w:rPr>
      </w:pPr>
    </w:p>
    <w:p>
      <w:pPr>
        <w:pStyle w:val="BodyText"/>
        <w:spacing w:line="240" w:lineRule="auto" w:before="44"/>
        <w:ind w:left="0" w:right="1140"/>
        <w:jc w:val="right"/>
      </w:pPr>
      <w:r>
        <w:rPr/>
        <w:pict>
          <v:shape style="position:absolute;margin-left:56.459999pt;margin-top:-.848296pt;width:479.2pt;height:266pt;mso-position-horizontal-relative:page;mso-position-vertical-relative:paragraph;z-index:12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70"/>
                    <w:gridCol w:w="7798"/>
                  </w:tblGrid>
                  <w:tr>
                    <w:trPr>
                      <w:trHeight w:val="1962" w:hRule="exact"/>
                    </w:trPr>
                    <w:tc>
                      <w:tcPr>
                        <w:tcW w:w="1770" w:type="dxa"/>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期投入及置换情况</w:t>
                        </w:r>
                      </w:p>
                    </w:tc>
                    <w:tc>
                      <w:tcPr>
                        <w:tcW w:w="7798" w:type="dxa"/>
                        <w:tcBorders>
                          <w:top w:val="single" w:sz="4" w:space="0" w:color="000000"/>
                          <w:left w:val="single" w:sz="4" w:space="0" w:color="000000"/>
                          <w:bottom w:val="single" w:sz="4" w:space="0" w:color="FFFFFF"/>
                          <w:right w:val="single" w:sz="4" w:space="0" w:color="000000"/>
                        </w:tcBorders>
                      </w:tcPr>
                      <w:p>
                        <w:pPr>
                          <w:pStyle w:val="TableParagraph"/>
                          <w:spacing w:line="316" w:lineRule="auto" w:before="51"/>
                          <w:ind w:left="22" w:right="30"/>
                          <w:jc w:val="left"/>
                          <w:rPr>
                            <w:rFonts w:ascii="宋体" w:hAnsi="宋体" w:cs="宋体" w:eastAsia="宋体" w:hint="default"/>
                            <w:sz w:val="18"/>
                            <w:szCs w:val="18"/>
                          </w:rPr>
                        </w:pPr>
                        <w:r>
                          <w:rPr>
                            <w:rFonts w:ascii="宋体" w:hAnsi="宋体" w:cs="宋体" w:eastAsia="宋体" w:hint="default"/>
                            <w:spacing w:val="-7"/>
                            <w:sz w:val="18"/>
                            <w:szCs w:val="18"/>
                          </w:rPr>
                          <w:t>根据《非公开发行股票预案（修订稿）》，为了确保五个募投项目的顺利实施，公司募集资金到位前</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z w:val="18"/>
                            <w:szCs w:val="18"/>
                          </w:rPr>
                          <w:t>以自筹资金实际预先投入</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114,230.29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万元，在本次非公开发行股票募集资金到位后，以募集资金置</w:t>
                        </w:r>
                      </w:p>
                      <w:p>
                        <w:pPr>
                          <w:pStyle w:val="TableParagraph"/>
                          <w:spacing w:line="307" w:lineRule="auto"/>
                          <w:ind w:left="22" w:right="20"/>
                          <w:jc w:val="left"/>
                          <w:rPr>
                            <w:rFonts w:ascii="宋体" w:hAnsi="宋体" w:cs="宋体" w:eastAsia="宋体" w:hint="default"/>
                            <w:sz w:val="18"/>
                            <w:szCs w:val="18"/>
                          </w:rPr>
                        </w:pPr>
                        <w:r>
                          <w:rPr>
                            <w:rFonts w:ascii="宋体" w:hAnsi="宋体" w:cs="宋体" w:eastAsia="宋体" w:hint="default"/>
                            <w:sz w:val="18"/>
                            <w:szCs w:val="18"/>
                          </w:rPr>
                          <w:t>换预先投入自筹资金</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114,230.29</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万元。</w:t>
                        </w:r>
                        <w:r>
                          <w:rPr>
                            <w:rFonts w:ascii="Times New Roman" w:hAnsi="Times New Roman" w:cs="Times New Roman" w:eastAsia="Times New Roman" w:hint="default"/>
                            <w:spacing w:val="-3"/>
                            <w:sz w:val="18"/>
                            <w:szCs w:val="18"/>
                          </w:rPr>
                          <w:t>2017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日，公司召开第六届董事会第二十五次会议 第六届监事会第二十二次会议审议通过了《关于使用募集资金置换预先投入募投项目自筹资金的议 </w:t>
                        </w:r>
                        <w:r>
                          <w:rPr>
                            <w:rFonts w:ascii="宋体" w:hAnsi="宋体" w:cs="宋体" w:eastAsia="宋体" w:hint="default"/>
                            <w:spacing w:val="-5"/>
                            <w:sz w:val="18"/>
                            <w:szCs w:val="18"/>
                          </w:rPr>
                          <w:t>案》，同意公司以募集资金置换预先已投入募投项目自筹资金</w:t>
                        </w:r>
                        <w:r>
                          <w:rPr>
                            <w:rFonts w:ascii="宋体" w:hAnsi="宋体" w:cs="宋体" w:eastAsia="宋体" w:hint="default"/>
                            <w:spacing w:val="-41"/>
                            <w:sz w:val="18"/>
                            <w:szCs w:val="18"/>
                          </w:rPr>
                          <w:t> </w:t>
                        </w:r>
                        <w:r>
                          <w:rPr>
                            <w:rFonts w:ascii="Times New Roman" w:hAnsi="Times New Roman" w:cs="Times New Roman" w:eastAsia="Times New Roman" w:hint="default"/>
                            <w:spacing w:val="-1"/>
                            <w:sz w:val="18"/>
                            <w:szCs w:val="18"/>
                          </w:rPr>
                          <w:t>114,230.29</w:t>
                        </w:r>
                        <w:r>
                          <w:rPr>
                            <w:rFonts w:ascii="Times New Roman" w:hAnsi="Times New Roman" w:cs="Times New Roman" w:eastAsia="Times New Roman" w:hint="default"/>
                            <w:spacing w:val="6"/>
                            <w:sz w:val="18"/>
                            <w:szCs w:val="18"/>
                          </w:rPr>
                          <w:t> </w:t>
                        </w:r>
                        <w:r>
                          <w:rPr>
                            <w:rFonts w:ascii="宋体" w:hAnsi="宋体" w:cs="宋体" w:eastAsia="宋体" w:hint="default"/>
                            <w:spacing w:val="-4"/>
                            <w:sz w:val="18"/>
                            <w:szCs w:val="18"/>
                          </w:rPr>
                          <w:t>万元。独立董事对该议案发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表了同意的独立意见。</w:t>
                        </w:r>
                      </w:p>
                    </w:tc>
                  </w:tr>
                  <w:tr>
                    <w:trPr>
                      <w:trHeight w:val="402" w:hRule="exact"/>
                    </w:trPr>
                    <w:tc>
                      <w:tcPr>
                        <w:tcW w:w="1770"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7"/>
                          <w:ind w:left="22" w:right="117"/>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798"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bottom w:val="single" w:sz="4" w:space="0" w:color="FFFFFF"/>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FFFFFF"/>
                          <w:right w:val="single" w:sz="4" w:space="0" w:color="000000"/>
                        </w:tcBorders>
                      </w:tcPr>
                      <w:p>
                        <w:pPr/>
                      </w:p>
                    </w:tc>
                  </w:tr>
                  <w:tr>
                    <w:trPr>
                      <w:trHeight w:val="402" w:hRule="exact"/>
                    </w:trPr>
                    <w:tc>
                      <w:tcPr>
                        <w:tcW w:w="1770"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7"/>
                          <w:ind w:left="22" w:right="117"/>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798"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年非公开发行股票募集资金未使用的部分存放于标的公司募集资金专户中。</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15"/>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r>
        <w:rPr/>
        <w:t>，</w:t>
      </w:r>
    </w:p>
    <w:p>
      <w:pPr>
        <w:spacing w:line="240" w:lineRule="auto" w:before="4"/>
        <w:rPr>
          <w:rFonts w:ascii="宋体" w:hAnsi="宋体" w:cs="宋体" w:eastAsia="宋体" w:hint="default"/>
          <w:sz w:val="26"/>
          <w:szCs w:val="26"/>
        </w:rPr>
      </w:pPr>
    </w:p>
    <w:p>
      <w:pPr>
        <w:pStyle w:val="BodyText"/>
        <w:spacing w:line="240" w:lineRule="auto" w:before="44"/>
        <w:ind w:left="0" w:right="1139"/>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Heading3"/>
        <w:spacing w:line="240" w:lineRule="auto" w:before="35"/>
        <w:ind w:right="1022"/>
        <w:jc w:val="left"/>
        <w:rPr>
          <w:b w:val="0"/>
          <w:bCs w:val="0"/>
        </w:rPr>
      </w:pPr>
      <w:bookmarkStart w:name="（3）募集资金变更项目情况" w:id="52"/>
      <w:bookmarkEnd w:id="52"/>
      <w:r>
        <w:rPr>
          <w:b w:val="0"/>
          <w:bCs w:val="0"/>
        </w:rPr>
      </w: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73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公司报告期不存在募集资金变更项目情况。</w:t>
      </w:r>
    </w:p>
    <w:p>
      <w:pPr>
        <w:spacing w:line="240" w:lineRule="auto" w:before="3"/>
        <w:rPr>
          <w:rFonts w:ascii="宋体" w:hAnsi="宋体" w:cs="宋体" w:eastAsia="宋体" w:hint="default"/>
          <w:sz w:val="19"/>
          <w:szCs w:val="19"/>
        </w:rPr>
      </w:pPr>
    </w:p>
    <w:p>
      <w:pPr>
        <w:pStyle w:val="Heading2"/>
        <w:spacing w:line="240" w:lineRule="auto"/>
        <w:ind w:right="1022"/>
        <w:jc w:val="left"/>
        <w:rPr>
          <w:b w:val="0"/>
          <w:bCs w:val="0"/>
        </w:rPr>
      </w:pPr>
      <w:bookmarkStart w:name="六、重大资产和股权出售" w:id="53"/>
      <w:bookmarkEnd w:id="53"/>
      <w:r>
        <w:rPr>
          <w:b w:val="0"/>
          <w:bCs w:val="0"/>
        </w:rPr>
      </w:r>
      <w:r>
        <w:rPr/>
        <w:t>六、重大资产和股权出售</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022"/>
        <w:jc w:val="left"/>
        <w:rPr>
          <w:b w:val="0"/>
          <w:bCs w:val="0"/>
        </w:rPr>
      </w:pPr>
      <w:bookmarkStart w:name="1、出售重大资产情况" w:id="54"/>
      <w:bookmarkEnd w:id="54"/>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84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公司报告期未出售重大资产。</w:t>
      </w:r>
    </w:p>
    <w:p>
      <w:pPr>
        <w:spacing w:line="240" w:lineRule="auto" w:before="2"/>
        <w:rPr>
          <w:rFonts w:ascii="宋体" w:hAnsi="宋体" w:cs="宋体" w:eastAsia="宋体" w:hint="default"/>
          <w:sz w:val="21"/>
          <w:szCs w:val="21"/>
        </w:rPr>
      </w:pPr>
    </w:p>
    <w:p>
      <w:pPr>
        <w:pStyle w:val="Heading3"/>
        <w:spacing w:line="240" w:lineRule="auto"/>
        <w:ind w:right="1022"/>
        <w:jc w:val="left"/>
        <w:rPr>
          <w:b w:val="0"/>
          <w:bCs w:val="0"/>
        </w:rPr>
      </w:pPr>
      <w:bookmarkStart w:name="2、出售重大股权情况" w:id="55"/>
      <w:bookmarkEnd w:id="55"/>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022"/>
        <w:jc w:val="left"/>
        <w:rPr>
          <w:b w:val="0"/>
          <w:bCs w:val="0"/>
        </w:rPr>
      </w:pPr>
      <w:bookmarkStart w:name="七、主要控股参股公司分析" w:id="56"/>
      <w:bookmarkEnd w:id="56"/>
      <w:r>
        <w:rPr>
          <w:b w:val="0"/>
          <w:bCs w:val="0"/>
        </w:rPr>
      </w:r>
      <w:r>
        <w:rPr/>
        <w:t>七、主要控股参股公司分析</w:t>
      </w:r>
      <w:r>
        <w:rPr>
          <w:b w:val="0"/>
          <w:bCs w:val="0"/>
        </w:rPr>
      </w:r>
    </w:p>
    <w:p>
      <w:pPr>
        <w:spacing w:line="240" w:lineRule="auto" w:before="2"/>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240" w:lineRule="auto" w:before="44"/>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right="-20"/>
        <w:jc w:val="left"/>
      </w:pPr>
      <w:r>
        <w:rPr/>
        <w:t>主要子公司及对公司净利润影响达</w:t>
      </w:r>
      <w:r>
        <w:rPr>
          <w:spacing w:val="-46"/>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53" w:right="0"/>
        <w:jc w:val="left"/>
      </w:pPr>
      <w:r>
        <w:rPr/>
        <w:t>单位：元</w:t>
      </w:r>
    </w:p>
    <w:p>
      <w:pPr>
        <w:spacing w:after="0" w:line="240" w:lineRule="auto"/>
        <w:jc w:val="left"/>
        <w:sectPr>
          <w:type w:val="continuous"/>
          <w:pgSz w:w="11910" w:h="16840"/>
          <w:pgMar w:top="1060" w:bottom="1160" w:left="980" w:right="0"/>
          <w:cols w:num="2" w:equalWidth="0">
            <w:col w:w="4849" w:space="4070"/>
            <w:col w:w="2011"/>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276"/>
        <w:gridCol w:w="852"/>
        <w:gridCol w:w="1168"/>
        <w:gridCol w:w="1046"/>
        <w:gridCol w:w="1045"/>
        <w:gridCol w:w="1045"/>
        <w:gridCol w:w="1046"/>
        <w:gridCol w:w="1045"/>
        <w:gridCol w:w="1046"/>
      </w:tblGrid>
      <w:tr>
        <w:trPr>
          <w:trHeight w:val="402"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72"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1"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57"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7"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8"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5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57"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7"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1027"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61"/>
              <w:jc w:val="both"/>
              <w:rPr>
                <w:rFonts w:ascii="宋体" w:hAnsi="宋体" w:cs="宋体" w:eastAsia="宋体" w:hint="default"/>
                <w:sz w:val="18"/>
                <w:szCs w:val="18"/>
              </w:rPr>
            </w:pPr>
            <w:r>
              <w:rPr>
                <w:rFonts w:ascii="宋体" w:hAnsi="宋体" w:cs="宋体" w:eastAsia="宋体" w:hint="default"/>
                <w:sz w:val="18"/>
                <w:szCs w:val="18"/>
              </w:rPr>
              <w:t>成都卫士通信 息安全技术有 限公司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53"/>
              <w:jc w:val="both"/>
              <w:rPr>
                <w:rFonts w:ascii="宋体" w:hAnsi="宋体" w:cs="宋体" w:eastAsia="宋体" w:hint="default"/>
                <w:sz w:val="18"/>
                <w:szCs w:val="18"/>
              </w:rPr>
            </w:pPr>
            <w:r>
              <w:rPr>
                <w:rFonts w:ascii="宋体" w:hAnsi="宋体" w:cs="宋体" w:eastAsia="宋体" w:hint="default"/>
                <w:sz w:val="18"/>
                <w:szCs w:val="18"/>
              </w:rPr>
              <w:t>信息安全产品 开发、销售、 集成及服务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100,000,000.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1,175,010,15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6.54</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260,485,124.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887,382,291.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23</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46,663,911.2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42,659,402.8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276"/>
        <w:gridCol w:w="852"/>
        <w:gridCol w:w="1168"/>
        <w:gridCol w:w="1046"/>
        <w:gridCol w:w="1045"/>
        <w:gridCol w:w="1045"/>
        <w:gridCol w:w="1046"/>
        <w:gridCol w:w="1045"/>
        <w:gridCol w:w="1046"/>
      </w:tblGrid>
      <w:tr>
        <w:trPr>
          <w:trHeight w:val="1026"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四川卫士通信 息安全平台技 术有限公司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3"/>
              <w:jc w:val="both"/>
              <w:rPr>
                <w:rFonts w:ascii="宋体" w:hAnsi="宋体" w:cs="宋体" w:eastAsia="宋体" w:hint="default"/>
                <w:sz w:val="18"/>
                <w:szCs w:val="18"/>
              </w:rPr>
            </w:pPr>
            <w:r>
              <w:rPr>
                <w:rFonts w:ascii="宋体" w:hAnsi="宋体" w:cs="宋体" w:eastAsia="宋体" w:hint="default"/>
                <w:sz w:val="18"/>
                <w:szCs w:val="18"/>
              </w:rPr>
              <w:t>信息安全产品 开发、销售、 集成及服务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10,000,000.0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397,161,676.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22</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297,092,237.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236,802,513.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43</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79,380,080.5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69,815,902.0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w:t>
            </w:r>
          </w:p>
        </w:tc>
      </w:tr>
      <w:tr>
        <w:trPr>
          <w:trHeight w:val="1026"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成都三零盛安 信息系统有限 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3"/>
              <w:jc w:val="both"/>
              <w:rPr>
                <w:rFonts w:ascii="宋体" w:hAnsi="宋体" w:cs="宋体" w:eastAsia="宋体" w:hint="default"/>
                <w:sz w:val="18"/>
                <w:szCs w:val="18"/>
              </w:rPr>
            </w:pPr>
            <w:r>
              <w:rPr>
                <w:rFonts w:ascii="宋体" w:hAnsi="宋体" w:cs="宋体" w:eastAsia="宋体" w:hint="default"/>
                <w:sz w:val="18"/>
                <w:szCs w:val="18"/>
              </w:rPr>
              <w:t>信息安全产品 开发、销售、 集成及服务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98,120,000.0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618,832,153.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53</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284,490,856.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275,903,787.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78</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01" w:right="0"/>
              <w:jc w:val="left"/>
              <w:rPr>
                <w:rFonts w:ascii="Times New Roman" w:hAnsi="Times New Roman" w:cs="Times New Roman" w:eastAsia="Times New Roman" w:hint="default"/>
                <w:sz w:val="18"/>
                <w:szCs w:val="18"/>
              </w:rPr>
            </w:pPr>
            <w:r>
              <w:rPr>
                <w:rFonts w:ascii="Times New Roman"/>
                <w:sz w:val="18"/>
              </w:rPr>
              <w:t>579,637.13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02" w:right="0"/>
              <w:jc w:val="left"/>
              <w:rPr>
                <w:rFonts w:ascii="Times New Roman" w:hAnsi="Times New Roman" w:cs="Times New Roman" w:eastAsia="Times New Roman" w:hint="default"/>
                <w:sz w:val="18"/>
                <w:szCs w:val="18"/>
              </w:rPr>
            </w:pPr>
            <w:r>
              <w:rPr>
                <w:rFonts w:ascii="Times New Roman"/>
                <w:sz w:val="18"/>
              </w:rPr>
              <w:t>824,773.05</w:t>
            </w:r>
          </w:p>
        </w:tc>
      </w:tr>
      <w:tr>
        <w:trPr>
          <w:trHeight w:val="1026"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成都三零瑞通 移动通信有限 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3"/>
              <w:jc w:val="both"/>
              <w:rPr>
                <w:rFonts w:ascii="宋体" w:hAnsi="宋体" w:cs="宋体" w:eastAsia="宋体" w:hint="default"/>
                <w:sz w:val="18"/>
                <w:szCs w:val="18"/>
              </w:rPr>
            </w:pPr>
            <w:r>
              <w:rPr>
                <w:rFonts w:ascii="宋体" w:hAnsi="宋体" w:cs="宋体" w:eastAsia="宋体" w:hint="default"/>
                <w:sz w:val="18"/>
                <w:szCs w:val="18"/>
              </w:rPr>
              <w:t>信息安全产品 开发、销售、 集成及服务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58,400,000.0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768,979,277.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304,482,879.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452,902,054.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01</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36,063,491.3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38,686,364.4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w:t>
            </w:r>
          </w:p>
        </w:tc>
      </w:tr>
      <w:tr>
        <w:trPr>
          <w:trHeight w:val="1026"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61"/>
              <w:jc w:val="left"/>
              <w:rPr>
                <w:rFonts w:ascii="宋体" w:hAnsi="宋体" w:cs="宋体" w:eastAsia="宋体" w:hint="default"/>
                <w:sz w:val="18"/>
                <w:szCs w:val="18"/>
              </w:rPr>
            </w:pPr>
            <w:r>
              <w:rPr>
                <w:rFonts w:ascii="宋体" w:hAnsi="宋体" w:cs="宋体" w:eastAsia="宋体" w:hint="default"/>
                <w:sz w:val="18"/>
                <w:szCs w:val="18"/>
              </w:rPr>
              <w:t>成都三零嘉微 电子有限公司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3"/>
              <w:jc w:val="both"/>
              <w:rPr>
                <w:rFonts w:ascii="宋体" w:hAnsi="宋体" w:cs="宋体" w:eastAsia="宋体" w:hint="default"/>
                <w:sz w:val="18"/>
                <w:szCs w:val="18"/>
              </w:rPr>
            </w:pPr>
            <w:r>
              <w:rPr>
                <w:rFonts w:ascii="宋体" w:hAnsi="宋体" w:cs="宋体" w:eastAsia="宋体" w:hint="default"/>
                <w:sz w:val="18"/>
                <w:szCs w:val="18"/>
              </w:rPr>
              <w:t>信息安全产品 开发、销售、 集成及服务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25,458,000.0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328,474,910.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98</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239,543,675.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183,457,048.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26</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41,104,001.4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36,119,118.3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w:t>
            </w:r>
          </w:p>
        </w:tc>
      </w:tr>
      <w:tr>
        <w:trPr>
          <w:trHeight w:val="1026"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
              <w:jc w:val="left"/>
              <w:rPr>
                <w:rFonts w:ascii="宋体" w:hAnsi="宋体" w:cs="宋体" w:eastAsia="宋体" w:hint="default"/>
                <w:sz w:val="18"/>
                <w:szCs w:val="18"/>
              </w:rPr>
            </w:pPr>
            <w:r>
              <w:rPr>
                <w:rFonts w:ascii="宋体" w:hAnsi="宋体" w:cs="宋体" w:eastAsia="宋体" w:hint="default"/>
                <w:sz w:val="18"/>
                <w:szCs w:val="18"/>
              </w:rPr>
              <w:t>中电科（北京） 网络信息安全 有限公司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3"/>
              <w:jc w:val="both"/>
              <w:rPr>
                <w:rFonts w:ascii="宋体" w:hAnsi="宋体" w:cs="宋体" w:eastAsia="宋体" w:hint="default"/>
                <w:sz w:val="18"/>
                <w:szCs w:val="18"/>
              </w:rPr>
            </w:pPr>
            <w:r>
              <w:rPr>
                <w:rFonts w:ascii="宋体" w:hAnsi="宋体" w:cs="宋体" w:eastAsia="宋体" w:hint="default"/>
                <w:sz w:val="18"/>
                <w:szCs w:val="18"/>
              </w:rPr>
              <w:t>信息安全产品 开发、销售、 集成及服务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200,000,000.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2,822,140,14</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5.17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2,715,657,98</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1.39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174,430,030.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78</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-45,853,885.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-37,180,872.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94</w:t>
            </w:r>
          </w:p>
        </w:tc>
      </w:tr>
      <w:tr>
        <w:trPr>
          <w:trHeight w:val="1026"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
              <w:jc w:val="left"/>
              <w:rPr>
                <w:rFonts w:ascii="宋体" w:hAnsi="宋体" w:cs="宋体" w:eastAsia="宋体" w:hint="default"/>
                <w:sz w:val="18"/>
                <w:szCs w:val="18"/>
              </w:rPr>
            </w:pPr>
            <w:r>
              <w:rPr>
                <w:rFonts w:ascii="宋体" w:hAnsi="宋体" w:cs="宋体" w:eastAsia="宋体" w:hint="default"/>
                <w:sz w:val="18"/>
                <w:szCs w:val="18"/>
              </w:rPr>
              <w:t>中电科（天津） 网络信息安全 有限公司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3"/>
              <w:jc w:val="both"/>
              <w:rPr>
                <w:rFonts w:ascii="宋体" w:hAnsi="宋体" w:cs="宋体" w:eastAsia="宋体" w:hint="default"/>
                <w:sz w:val="18"/>
                <w:szCs w:val="18"/>
              </w:rPr>
            </w:pPr>
            <w:r>
              <w:rPr>
                <w:rFonts w:ascii="宋体" w:hAnsi="宋体" w:cs="宋体" w:eastAsia="宋体" w:hint="default"/>
                <w:sz w:val="18"/>
                <w:szCs w:val="18"/>
              </w:rPr>
              <w:t>信息安全产品 开发、销售、 集成及服务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10,000,000.0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4,115,330.62</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-15,153,732.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8,352,528.15</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-16,929,418.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-16,899,418.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43</w:t>
            </w:r>
          </w:p>
        </w:tc>
      </w:tr>
    </w:tbl>
    <w:p>
      <w:pPr>
        <w:pStyle w:val="BodyText"/>
        <w:spacing w:line="240" w:lineRule="auto" w:before="51"/>
        <w:ind w:right="1022"/>
        <w:jc w:val="left"/>
      </w:pPr>
      <w:r>
        <w:rPr/>
        <w:t>报告期内取得和处置子公司的情况</w:t>
      </w:r>
    </w:p>
    <w:p>
      <w:pPr>
        <w:pStyle w:val="BodyText"/>
        <w:spacing w:line="338" w:lineRule="auto" w:before="117"/>
        <w:ind w:right="85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主要控股参股公司情况说明</w:t>
      </w:r>
    </w:p>
    <w:p>
      <w:pPr>
        <w:spacing w:line="240" w:lineRule="auto" w:before="6"/>
        <w:rPr>
          <w:rFonts w:ascii="宋体" w:hAnsi="宋体" w:cs="宋体" w:eastAsia="宋体" w:hint="default"/>
          <w:sz w:val="19"/>
          <w:szCs w:val="19"/>
        </w:rPr>
      </w:pPr>
    </w:p>
    <w:p>
      <w:pPr>
        <w:pStyle w:val="Heading2"/>
        <w:spacing w:line="240" w:lineRule="auto"/>
        <w:ind w:right="1022"/>
        <w:jc w:val="left"/>
        <w:rPr>
          <w:b w:val="0"/>
          <w:bCs w:val="0"/>
        </w:rPr>
      </w:pPr>
      <w:bookmarkStart w:name="八、公司控制的结构化主体情况" w:id="57"/>
      <w:bookmarkEnd w:id="57"/>
      <w:r>
        <w:rPr>
          <w:b w:val="0"/>
          <w:bCs w:val="0"/>
        </w:rPr>
      </w:r>
      <w:r>
        <w:rPr/>
        <w:t>八、公司控制的结构化主体情况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0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022"/>
        <w:jc w:val="left"/>
        <w:rPr>
          <w:b w:val="0"/>
          <w:bCs w:val="0"/>
        </w:rPr>
      </w:pPr>
      <w:bookmarkStart w:name="九、公司未来发展的展望" w:id="58"/>
      <w:bookmarkEnd w:id="58"/>
      <w:r>
        <w:rPr>
          <w:b w:val="0"/>
          <w:bCs w:val="0"/>
        </w:rPr>
      </w:r>
      <w:r>
        <w:rPr/>
        <w:t>九、公司未来发展的展望</w:t>
      </w:r>
      <w:r>
        <w:rPr>
          <w:b w:val="0"/>
          <w:bCs w:val="0"/>
        </w:rPr>
      </w:r>
    </w:p>
    <w:p>
      <w:pPr>
        <w:spacing w:line="240" w:lineRule="auto" w:before="6"/>
        <w:rPr>
          <w:rFonts w:ascii="宋体" w:hAnsi="宋体" w:cs="宋体" w:eastAsia="宋体" w:hint="default"/>
          <w:b/>
          <w:bCs/>
          <w:sz w:val="26"/>
          <w:szCs w:val="26"/>
        </w:rPr>
      </w:pPr>
    </w:p>
    <w:p>
      <w:pPr>
        <w:pStyle w:val="Heading5"/>
        <w:spacing w:line="240" w:lineRule="auto"/>
        <w:ind w:left="515" w:right="1022"/>
        <w:jc w:val="left"/>
        <w:rPr>
          <w:b w:val="0"/>
          <w:bCs w:val="0"/>
        </w:rPr>
      </w:pPr>
      <w:r>
        <w:rPr/>
        <w:t>（一）行业格局和趋势</w:t>
      </w:r>
      <w:r>
        <w:rPr>
          <w:b w:val="0"/>
          <w:bCs w:val="0"/>
        </w:rPr>
      </w:r>
    </w:p>
    <w:p>
      <w:pPr>
        <w:pStyle w:val="BodyText"/>
        <w:spacing w:line="240" w:lineRule="auto" w:before="76"/>
        <w:ind w:left="514" w:right="1022"/>
        <w:jc w:val="left"/>
      </w:pPr>
      <w:r>
        <w:rPr>
          <w:rFonts w:ascii="Times New Roman" w:hAnsi="Times New Roman" w:cs="Times New Roman" w:eastAsia="Times New Roman" w:hint="default"/>
        </w:rPr>
        <w:t>1</w:t>
      </w:r>
      <w:r>
        <w:rPr/>
        <w:t>、网络安全政策法规密集出台，将进一步驱动市场需求</w:t>
      </w:r>
    </w:p>
    <w:p>
      <w:pPr>
        <w:pStyle w:val="BodyText"/>
        <w:spacing w:line="307" w:lineRule="auto" w:before="63"/>
        <w:ind w:right="1131" w:firstLine="360"/>
        <w:jc w:val="both"/>
      </w:pPr>
      <w:r>
        <w:rPr>
          <w:rFonts w:ascii="Times New Roman" w:hAnsi="Times New Roman" w:cs="Times New Roman" w:eastAsia="Times New Roman" w:hint="default"/>
          <w:spacing w:val="-1"/>
        </w:rPr>
        <w:t>2018</w:t>
      </w:r>
      <w:r>
        <w:rPr>
          <w:spacing w:val="-1"/>
        </w:rPr>
        <w:t>年，多个国家及地区出台网络安全政策法规，欧盟出台了《通用数据保护条例》（</w:t>
      </w:r>
      <w:r>
        <w:rPr>
          <w:rFonts w:ascii="Times New Roman" w:hAnsi="Times New Roman" w:cs="Times New Roman" w:eastAsia="Times New Roman" w:hint="default"/>
          <w:spacing w:val="-1"/>
        </w:rPr>
        <w:t>GDPR</w:t>
      </w:r>
      <w:r>
        <w:rPr>
          <w:spacing w:val="-1"/>
        </w:rPr>
        <w:t>），目标是保护欧盟公民</w:t>
      </w:r>
      <w:r>
        <w:rPr/>
        <w:t> </w:t>
      </w:r>
      <w:r>
        <w:rPr>
          <w:spacing w:val="-2"/>
        </w:rPr>
        <w:t>免受隐私和数据泄露的影响，同时重塑欧盟组织机构处理隐私和数据保护的方式。美国发布《国家网络战略》，战略主要是</w:t>
      </w:r>
      <w:r>
        <w:rPr>
          <w:spacing w:val="-66"/>
        </w:rPr>
        <w:t> </w:t>
      </w:r>
      <w:r>
        <w:rPr>
          <w:spacing w:val="-66"/>
        </w:rPr>
      </w:r>
      <w:r>
        <w:rPr/>
        <w:t>建立在</w:t>
      </w:r>
      <w:r>
        <w:rPr>
          <w:rFonts w:ascii="Times New Roman" w:hAnsi="Times New Roman" w:cs="Times New Roman" w:eastAsia="Times New Roman" w:hint="default"/>
        </w:rPr>
        <w:t>“</w:t>
      </w:r>
      <w:r>
        <w:rPr/>
        <w:t>保护联邦政府与关键基础设施网络安全</w:t>
      </w:r>
      <w:r>
        <w:rPr>
          <w:rFonts w:ascii="Times New Roman" w:hAnsi="Times New Roman" w:cs="Times New Roman" w:eastAsia="Times New Roman" w:hint="default"/>
        </w:rPr>
        <w:t>”</w:t>
      </w:r>
      <w:r>
        <w:rPr/>
        <w:t>的第</w:t>
      </w:r>
      <w:r>
        <w:rPr>
          <w:rFonts w:ascii="Times New Roman" w:hAnsi="Times New Roman" w:cs="Times New Roman" w:eastAsia="Times New Roman" w:hint="default"/>
        </w:rPr>
        <w:t>13800</w:t>
      </w:r>
      <w:r>
        <w:rPr/>
        <w:t>总统令基础上，并回应了</w:t>
      </w:r>
      <w:r>
        <w:rPr>
          <w:rFonts w:ascii="Times New Roman" w:hAnsi="Times New Roman" w:cs="Times New Roman" w:eastAsia="Times New Roman" w:hint="default"/>
        </w:rPr>
        <w:t>2017</w:t>
      </w:r>
      <w:r>
        <w:rPr/>
        <w:t>年底颁布的</w:t>
      </w:r>
      <w:r>
        <w:rPr>
          <w:rFonts w:ascii="Times New Roman" w:hAnsi="Times New Roman" w:cs="Times New Roman" w:eastAsia="Times New Roman" w:hint="default"/>
        </w:rPr>
        <w:t>“</w:t>
      </w:r>
      <w:r>
        <w:rPr/>
        <w:t>国家安全战略</w:t>
      </w:r>
      <w:r>
        <w:rPr>
          <w:rFonts w:ascii="Times New Roman" w:hAnsi="Times New Roman" w:cs="Times New Roman" w:eastAsia="Times New Roman" w:hint="default"/>
        </w:rPr>
        <w:t>”</w:t>
      </w:r>
      <w:r>
        <w:rPr/>
        <w:t>，凸显 了网络安全在美国国家安全的重要地位。</w:t>
      </w:r>
    </w:p>
    <w:p>
      <w:pPr>
        <w:pStyle w:val="BodyText"/>
        <w:spacing w:line="240" w:lineRule="auto" w:before="26"/>
        <w:ind w:left="514" w:right="1022"/>
        <w:jc w:val="left"/>
      </w:pPr>
      <w:r>
        <w:rPr>
          <w:rFonts w:ascii="Times New Roman" w:hAnsi="Times New Roman" w:cs="Times New Roman" w:eastAsia="Times New Roman" w:hint="default"/>
        </w:rPr>
        <w:t>2</w:t>
      </w:r>
      <w:r>
        <w:rPr/>
        <w:t>、国内外网络安全市场稳步增长，中国网络安全市场向服务化转型</w:t>
      </w:r>
    </w:p>
    <w:p>
      <w:pPr>
        <w:pStyle w:val="BodyText"/>
        <w:spacing w:line="307" w:lineRule="auto" w:before="63"/>
        <w:ind w:right="1129" w:firstLine="360"/>
        <w:jc w:val="both"/>
      </w:pPr>
      <w:r>
        <w:rPr>
          <w:rFonts w:ascii="Times New Roman" w:hAnsi="Times New Roman" w:cs="Times New Roman" w:eastAsia="Times New Roman" w:hint="default"/>
        </w:rPr>
        <w:t>2018</w:t>
      </w:r>
      <w:r>
        <w:rPr/>
        <w:t>年，全球许多企业都遭遇了重大信息泄漏事件，未来几年随着</w:t>
      </w:r>
      <w:r>
        <w:rPr>
          <w:rFonts w:ascii="Times New Roman" w:hAnsi="Times New Roman" w:cs="Times New Roman" w:eastAsia="Times New Roman" w:hint="default"/>
        </w:rPr>
        <w:t>5G</w:t>
      </w:r>
      <w:r>
        <w:rPr/>
        <w:t>、物联网等新技术全面普及，各国对个人信息的 </w:t>
      </w:r>
      <w:r>
        <w:rPr>
          <w:spacing w:val="-4"/>
        </w:rPr>
        <w:t>保护及监管将达到前所未有的高度。据赛迪顾问预测，全球网络安全市场依然会保持稳定上涨的趋势，到</w:t>
      </w:r>
      <w:r>
        <w:rPr>
          <w:rFonts w:ascii="Times New Roman" w:hAnsi="Times New Roman" w:cs="Times New Roman" w:eastAsia="Times New Roman" w:hint="default"/>
          <w:spacing w:val="-4"/>
        </w:rPr>
        <w:t>2021</w:t>
      </w:r>
      <w:r>
        <w:rPr>
          <w:spacing w:val="-4"/>
        </w:rPr>
        <w:t>年将达到</w:t>
      </w:r>
      <w:r>
        <w:rPr>
          <w:rFonts w:ascii="Times New Roman" w:hAnsi="Times New Roman" w:cs="Times New Roman" w:eastAsia="Times New Roman" w:hint="default"/>
          <w:spacing w:val="-4"/>
        </w:rPr>
        <w:t>1648.9</w:t>
      </w:r>
      <w:r>
        <w:rPr>
          <w:rFonts w:ascii="Times New Roman" w:hAnsi="Times New Roman" w:cs="Times New Roman" w:eastAsia="Times New Roman" w:hint="default"/>
          <w:spacing w:val="-21"/>
        </w:rPr>
        <w:t> </w:t>
      </w:r>
      <w:r>
        <w:rPr>
          <w:spacing w:val="-2"/>
        </w:rPr>
        <w:t>亿美元。随着网络安全政策法规持续完善优化，网络安全市场规范性逐步提升。未来三年，随着数字经济的发展，物联网建</w:t>
      </w:r>
      <w:r>
        <w:rPr>
          <w:spacing w:val="-66"/>
        </w:rPr>
        <w:t> </w:t>
      </w:r>
      <w:r>
        <w:rPr>
          <w:spacing w:val="-66"/>
        </w:rPr>
      </w:r>
      <w:r>
        <w:rPr/>
        <w:t>设的逐步推进，网络安全市场的投入将持续增加。</w:t>
      </w:r>
    </w:p>
    <w:p>
      <w:pPr>
        <w:pStyle w:val="BodyText"/>
        <w:spacing w:line="300" w:lineRule="auto" w:before="26"/>
        <w:ind w:right="1131" w:firstLine="360"/>
        <w:jc w:val="both"/>
      </w:pPr>
      <w:r>
        <w:rPr>
          <w:spacing w:val="-1"/>
        </w:rPr>
        <w:t>另据赛迪顾问报告数据显示，</w:t>
      </w:r>
      <w:r>
        <w:rPr>
          <w:rFonts w:ascii="Times New Roman" w:hAnsi="Times New Roman" w:cs="Times New Roman" w:eastAsia="Times New Roman" w:hint="default"/>
          <w:spacing w:val="-1"/>
        </w:rPr>
        <w:t>2017</w:t>
      </w:r>
      <w:r>
        <w:rPr>
          <w:spacing w:val="-1"/>
        </w:rPr>
        <w:t>年，中国网络信息安全市场达到</w:t>
      </w:r>
      <w:r>
        <w:rPr>
          <w:rFonts w:ascii="Times New Roman" w:hAnsi="Times New Roman" w:cs="Times New Roman" w:eastAsia="Times New Roman" w:hint="default"/>
          <w:spacing w:val="-1"/>
        </w:rPr>
        <w:t>409.6</w:t>
      </w:r>
      <w:r>
        <w:rPr>
          <w:spacing w:val="-1"/>
        </w:rPr>
        <w:t>亿元，同比增长</w:t>
      </w:r>
      <w:r>
        <w:rPr>
          <w:rFonts w:ascii="Times New Roman" w:hAnsi="Times New Roman" w:cs="Times New Roman" w:eastAsia="Times New Roman" w:hint="default"/>
          <w:spacing w:val="-1"/>
        </w:rPr>
        <w:t>21.8%</w:t>
      </w:r>
      <w:r>
        <w:rPr>
          <w:spacing w:val="-1"/>
        </w:rPr>
        <w:t>。我国网络信息安全市场</w:t>
      </w:r>
      <w:r>
        <w:rPr/>
        <w:t> 仍是以硬件为主，安全硬件、软件、服务的市场规模分别为</w:t>
      </w:r>
      <w:r>
        <w:rPr>
          <w:rFonts w:ascii="Times New Roman" w:hAnsi="Times New Roman" w:cs="Times New Roman" w:eastAsia="Times New Roman" w:hint="default"/>
        </w:rPr>
        <w:t>205.2</w:t>
      </w:r>
      <w:r>
        <w:rPr/>
        <w:t>亿元、</w:t>
      </w:r>
      <w:r>
        <w:rPr>
          <w:rFonts w:ascii="Times New Roman" w:hAnsi="Times New Roman" w:cs="Times New Roman" w:eastAsia="Times New Roman" w:hint="default"/>
        </w:rPr>
        <w:t>158.5</w:t>
      </w:r>
      <w:r>
        <w:rPr/>
        <w:t>亿元和</w:t>
      </w:r>
      <w:r>
        <w:rPr>
          <w:rFonts w:ascii="Times New Roman" w:hAnsi="Times New Roman" w:cs="Times New Roman" w:eastAsia="Times New Roman" w:hint="default"/>
        </w:rPr>
        <w:t>45.9</w:t>
      </w:r>
      <w:r>
        <w:rPr/>
        <w:t>亿元。多年来，国际上安全服务连 </w:t>
      </w:r>
      <w:r>
        <w:rPr>
          <w:spacing w:val="-2"/>
        </w:rPr>
        <w:t>续占据安全市场的六成份额，而我国服务市场占比仅一成。近年来，随着网络安全事件频发和政策标准落地，应急服务、合</w:t>
      </w:r>
    </w:p>
    <w:p>
      <w:pPr>
        <w:spacing w:after="0" w:line="300"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both"/>
      </w:pPr>
      <w:r>
        <w:rPr/>
        <w:t>规服务等服务市场发展态势逐步向好，为提升安全服务的价值认知、开辟服务市场空间起到一定助益作用。</w:t>
      </w:r>
    </w:p>
    <w:p>
      <w:pPr>
        <w:pStyle w:val="BodyText"/>
        <w:spacing w:line="240" w:lineRule="auto" w:before="76"/>
        <w:ind w:left="514" w:right="1022"/>
        <w:jc w:val="left"/>
      </w:pPr>
      <w:r>
        <w:rPr>
          <w:rFonts w:ascii="Times New Roman" w:hAnsi="Times New Roman" w:cs="Times New Roman" w:eastAsia="Times New Roman" w:hint="default"/>
        </w:rPr>
        <w:t>3</w:t>
      </w:r>
      <w:r>
        <w:rPr/>
        <w:t>、网络攻击态势依然严峻，关键信息基础设施面临的安全威胁不容乐观，数据安全保障的严峻性日益增高</w:t>
      </w:r>
    </w:p>
    <w:p>
      <w:pPr>
        <w:pStyle w:val="BodyText"/>
        <w:spacing w:line="304" w:lineRule="auto" w:before="63"/>
        <w:ind w:right="1129" w:firstLine="360"/>
        <w:jc w:val="both"/>
      </w:pPr>
      <w:r>
        <w:rPr>
          <w:rFonts w:ascii="Times New Roman" w:hAnsi="Times New Roman" w:cs="Times New Roman" w:eastAsia="Times New Roman" w:hint="default"/>
          <w:spacing w:val="-2"/>
        </w:rPr>
        <w:t>2018</w:t>
      </w:r>
      <w:r>
        <w:rPr>
          <w:spacing w:val="-2"/>
        </w:rPr>
        <w:t>年，全球关键信息基础设施面临的安全威胁依然严峻，据《</w:t>
      </w:r>
      <w:r>
        <w:rPr>
          <w:rFonts w:ascii="Times New Roman" w:hAnsi="Times New Roman" w:cs="Times New Roman" w:eastAsia="Times New Roman" w:hint="default"/>
          <w:spacing w:val="-2"/>
        </w:rPr>
        <w:t>2018</w:t>
      </w:r>
      <w:r>
        <w:rPr>
          <w:spacing w:val="-2"/>
        </w:rPr>
        <w:t>上半年中国政企机构网络安全形势分析报告》数据</w:t>
      </w:r>
      <w:r>
        <w:rPr/>
        <w:t> </w:t>
      </w:r>
      <w:r>
        <w:rPr>
          <w:spacing w:val="-1"/>
        </w:rPr>
        <w:t>显示，仅</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-6</w:t>
      </w:r>
      <w:r>
        <w:rPr>
          <w:spacing w:val="-1"/>
        </w:rPr>
        <w:t>月，我国医疗卫生领域遭受典型网络攻击次数最多，达</w:t>
      </w:r>
      <w:r>
        <w:rPr>
          <w:rFonts w:ascii="Times New Roman" w:hAnsi="Times New Roman" w:cs="Times New Roman" w:eastAsia="Times New Roman" w:hint="default"/>
          <w:spacing w:val="-1"/>
        </w:rPr>
        <w:t>13141</w:t>
      </w:r>
      <w:r>
        <w:rPr>
          <w:spacing w:val="-1"/>
        </w:rPr>
        <w:t>次，其次是能源领域，达</w:t>
      </w:r>
      <w:r>
        <w:rPr>
          <w:rFonts w:ascii="Times New Roman" w:hAnsi="Times New Roman" w:cs="Times New Roman" w:eastAsia="Times New Roman" w:hint="default"/>
          <w:spacing w:val="-1"/>
        </w:rPr>
        <w:t>7550</w:t>
      </w:r>
      <w:r>
        <w:rPr>
          <w:spacing w:val="-1"/>
        </w:rPr>
        <w:t>次，交通领</w:t>
      </w:r>
      <w:r>
        <w:rPr>
          <w:spacing w:val="-82"/>
        </w:rPr>
        <w:t> </w:t>
      </w:r>
      <w:r>
        <w:rPr>
          <w:spacing w:val="-82"/>
        </w:rPr>
      </w:r>
      <w:r>
        <w:rPr>
          <w:spacing w:val="-2"/>
        </w:rPr>
        <w:t>域</w:t>
      </w:r>
      <w:r>
        <w:rPr>
          <w:rFonts w:ascii="Times New Roman" w:hAnsi="Times New Roman" w:cs="Times New Roman" w:eastAsia="Times New Roman" w:hint="default"/>
          <w:spacing w:val="-2"/>
        </w:rPr>
        <w:t>2220</w:t>
      </w:r>
      <w:r>
        <w:rPr>
          <w:spacing w:val="-2"/>
        </w:rPr>
        <w:t>次，教育领域</w:t>
      </w:r>
      <w:r>
        <w:rPr>
          <w:rFonts w:ascii="Times New Roman" w:hAnsi="Times New Roman" w:cs="Times New Roman" w:eastAsia="Times New Roman" w:hint="default"/>
          <w:spacing w:val="-2"/>
        </w:rPr>
        <w:t>1291</w:t>
      </w:r>
      <w:r>
        <w:rPr>
          <w:spacing w:val="-2"/>
        </w:rPr>
        <w:t>次，金融领域</w:t>
      </w:r>
      <w:r>
        <w:rPr>
          <w:rFonts w:ascii="Times New Roman" w:hAnsi="Times New Roman" w:cs="Times New Roman" w:eastAsia="Times New Roman" w:hint="default"/>
          <w:spacing w:val="-2"/>
        </w:rPr>
        <w:t>955</w:t>
      </w:r>
      <w:r>
        <w:rPr>
          <w:spacing w:val="-2"/>
        </w:rPr>
        <w:t>次，工控领域</w:t>
      </w:r>
      <w:r>
        <w:rPr>
          <w:rFonts w:ascii="Times New Roman" w:hAnsi="Times New Roman" w:cs="Times New Roman" w:eastAsia="Times New Roman" w:hint="default"/>
          <w:spacing w:val="-2"/>
        </w:rPr>
        <w:t>479</w:t>
      </w:r>
      <w:r>
        <w:rPr>
          <w:spacing w:val="-2"/>
        </w:rPr>
        <w:t>次。未来，政府、工业、金融、电信、能源、交通、医疗、教育</w:t>
      </w:r>
      <w:r>
        <w:rPr>
          <w:spacing w:val="-56"/>
        </w:rPr>
        <w:t> </w:t>
      </w:r>
      <w:r>
        <w:rPr>
          <w:spacing w:val="-56"/>
        </w:rPr>
      </w:r>
      <w:r>
        <w:rPr>
          <w:spacing w:val="-2"/>
        </w:rPr>
        <w:t>等领域网络安全投入意愿将进一步增强，特别是工业、医疗领域网络安全保障需求增长突出，网络威胁监测预警、网络安全</w:t>
      </w:r>
      <w:r>
        <w:rPr>
          <w:spacing w:val="-66"/>
        </w:rPr>
        <w:t> </w:t>
      </w:r>
      <w:r>
        <w:rPr>
          <w:spacing w:val="-66"/>
        </w:rPr>
      </w:r>
      <w:r>
        <w:rPr/>
        <w:t>态势感知、网络数据和用户信息保护、突发事件应急响应以及安全合规等方面需求迫切。</w:t>
      </w:r>
    </w:p>
    <w:p>
      <w:pPr>
        <w:pStyle w:val="BodyText"/>
        <w:spacing w:line="309" w:lineRule="auto" w:before="28"/>
        <w:ind w:right="1130" w:firstLine="360"/>
        <w:jc w:val="both"/>
      </w:pPr>
      <w:r>
        <w:rPr>
          <w:rFonts w:ascii="Times New Roman" w:hAnsi="Times New Roman" w:cs="Times New Roman" w:eastAsia="Times New Roman" w:hint="default"/>
          <w:spacing w:val="-2"/>
        </w:rPr>
        <w:t>2018</w:t>
      </w:r>
      <w:r>
        <w:rPr>
          <w:spacing w:val="-2"/>
        </w:rPr>
        <w:t>年，数据泄露事件的数量和规模呈增长态势。据统计，</w:t>
      </w:r>
      <w:r>
        <w:rPr>
          <w:rFonts w:ascii="Times New Roman" w:hAnsi="Times New Roman" w:cs="Times New Roman" w:eastAsia="Times New Roman" w:hint="default"/>
          <w:spacing w:val="-2"/>
        </w:rPr>
        <w:t>2017</w:t>
      </w:r>
      <w:r>
        <w:rPr>
          <w:spacing w:val="-2"/>
        </w:rPr>
        <w:t>年数据泄露事件达</w:t>
      </w:r>
      <w:r>
        <w:rPr>
          <w:rFonts w:ascii="Times New Roman" w:hAnsi="Times New Roman" w:cs="Times New Roman" w:eastAsia="Times New Roman" w:hint="default"/>
          <w:spacing w:val="-2"/>
        </w:rPr>
        <w:t>26</w:t>
      </w:r>
      <w:r>
        <w:rPr>
          <w:spacing w:val="-2"/>
        </w:rPr>
        <w:t>亿个，是</w:t>
      </w:r>
      <w:r>
        <w:rPr>
          <w:rFonts w:ascii="Times New Roman" w:hAnsi="Times New Roman" w:cs="Times New Roman" w:eastAsia="Times New Roman" w:hint="default"/>
          <w:spacing w:val="-2"/>
        </w:rPr>
        <w:t>2016</w:t>
      </w:r>
      <w:r>
        <w:rPr>
          <w:spacing w:val="-2"/>
        </w:rPr>
        <w:t>年的近两倍，而</w:t>
      </w:r>
      <w:r>
        <w:rPr>
          <w:rFonts w:ascii="Times New Roman" w:hAnsi="Times New Roman" w:cs="Times New Roman" w:eastAsia="Times New Roman" w:hint="default"/>
          <w:spacing w:val="-2"/>
        </w:rPr>
        <w:t>2018</w:t>
      </w:r>
      <w:r>
        <w:rPr>
          <w:rFonts w:ascii="Times New Roman" w:hAnsi="Times New Roman" w:cs="Times New Roman" w:eastAsia="Times New Roman" w:hint="default"/>
        </w:rPr>
        <w:t> </w:t>
      </w:r>
      <w:r>
        <w:rPr>
          <w:spacing w:val="-2"/>
        </w:rPr>
        <w:t>年前半年的泄露数据数量已超过</w:t>
      </w:r>
      <w:r>
        <w:rPr>
          <w:rFonts w:ascii="Times New Roman" w:hAnsi="Times New Roman" w:cs="Times New Roman" w:eastAsia="Times New Roman" w:hint="default"/>
          <w:spacing w:val="-2"/>
        </w:rPr>
        <w:t>2017</w:t>
      </w:r>
      <w:r>
        <w:rPr>
          <w:spacing w:val="-2"/>
        </w:rPr>
        <w:t>年全年的泄露数据总量。这些数据泄露事件对个人信息、企业经营、产业经济、社会稳</w:t>
      </w:r>
      <w:r>
        <w:rPr>
          <w:spacing w:val="-61"/>
        </w:rPr>
        <w:t> </w:t>
      </w:r>
      <w:r>
        <w:rPr>
          <w:spacing w:val="-61"/>
        </w:rPr>
      </w:r>
      <w:r>
        <w:rPr>
          <w:spacing w:val="-2"/>
        </w:rPr>
        <w:t>定、国家安全等都产生了破坏性影响。数据安全问题不仅量级上呈增长态势，其严重程度也从之前的隐私信息泄露问题发展</w:t>
      </w:r>
      <w:r>
        <w:rPr>
          <w:spacing w:val="-66"/>
        </w:rPr>
        <w:t> </w:t>
      </w:r>
      <w:r>
        <w:rPr>
          <w:spacing w:val="-66"/>
        </w:rPr>
      </w:r>
      <w:r>
        <w:rPr>
          <w:spacing w:val="-2"/>
        </w:rPr>
        <w:t>为事关经济安全、民生安全、国家安全的重大问题。随着政务信息共享、国家大数据战略的推进、数字经济与传统经济的深</w:t>
      </w:r>
      <w:r>
        <w:rPr>
          <w:spacing w:val="-66"/>
        </w:rPr>
        <w:t> </w:t>
      </w:r>
      <w:r>
        <w:rPr>
          <w:spacing w:val="-66"/>
        </w:rPr>
      </w:r>
      <w:r>
        <w:rPr/>
        <w:t>度融合，数据安全已成为国家安全的生命线，数据的重要性前所未有，其受到的风险挑战也日趋严峻。</w:t>
      </w:r>
    </w:p>
    <w:p>
      <w:pPr>
        <w:pStyle w:val="BodyText"/>
        <w:spacing w:line="316" w:lineRule="auto" w:before="24"/>
        <w:ind w:left="514" w:right="1022" w:firstLine="1"/>
        <w:jc w:val="left"/>
      </w:pPr>
      <w:r>
        <w:rPr>
          <w:rFonts w:ascii="宋体" w:hAnsi="宋体" w:cs="宋体" w:eastAsia="宋体" w:hint="default"/>
          <w:b/>
          <w:bCs/>
        </w:rPr>
        <w:t>（二）公司发展战略</w:t>
      </w:r>
      <w:r>
        <w:rPr>
          <w:rFonts w:ascii="宋体" w:hAnsi="宋体" w:cs="宋体" w:eastAsia="宋体" w:hint="default"/>
          <w:b/>
          <w:bCs/>
          <w:w w:val="99"/>
        </w:rPr>
        <w:t> </w:t>
      </w:r>
      <w:r>
        <w:rPr>
          <w:spacing w:val="-2"/>
        </w:rPr>
        <w:t>全面贯彻党的十九大精神和习近平总书记系列重要讲话精神，聚焦网络安全，服务科技强国、网络强国、数字中国、智</w:t>
      </w:r>
    </w:p>
    <w:p>
      <w:pPr>
        <w:pStyle w:val="BodyText"/>
        <w:spacing w:line="316" w:lineRule="auto" w:before="19"/>
        <w:ind w:right="1132"/>
        <w:jc w:val="both"/>
      </w:pPr>
      <w:r>
        <w:rPr>
          <w:spacing w:val="-2"/>
        </w:rPr>
        <w:t>慧社会等国家重大战略，以保障网络空间安全为目标，着力打造以密码技术为核心的新网络安全技术与产品体系，构筑以全</w:t>
      </w:r>
      <w:r>
        <w:rPr>
          <w:spacing w:val="-66"/>
        </w:rPr>
        <w:t> </w:t>
      </w:r>
      <w:r>
        <w:rPr>
          <w:spacing w:val="-66"/>
        </w:rPr>
      </w:r>
      <w:r>
        <w:rPr>
          <w:spacing w:val="-2"/>
        </w:rPr>
        <w:t>球化营销服务平台为支撑的新网络安全服务体系，通过产业和资本双轮驱动促进企业规模化发展和高质量发展，打造世界一</w:t>
      </w:r>
      <w:r>
        <w:rPr>
          <w:spacing w:val="-64"/>
        </w:rPr>
        <w:t> </w:t>
      </w:r>
      <w:r>
        <w:rPr>
          <w:spacing w:val="-64"/>
        </w:rPr>
      </w:r>
      <w:r>
        <w:rPr/>
        <w:t>流的网络安全服务能力和体系，成为国内领先、国际知名的网络安全综合服务提供商。</w:t>
      </w:r>
    </w:p>
    <w:p>
      <w:pPr>
        <w:pStyle w:val="BodyText"/>
        <w:spacing w:line="307" w:lineRule="auto" w:before="19"/>
        <w:ind w:right="1131" w:firstLine="360"/>
        <w:jc w:val="both"/>
      </w:pPr>
      <w:r>
        <w:rPr>
          <w:spacing w:val="-2"/>
        </w:rPr>
        <w:t>公司本着强化能力、优化业务、深化管理、创新发展的总体思路，以创新驱动、打造平台、融合发展为发展战略，继续</w:t>
      </w:r>
      <w:r>
        <w:rPr/>
        <w:t> 坚持以网络信息安全为核心领域，持续构建以密码技术为核心的网络安全技术能力</w:t>
      </w:r>
      <w:r>
        <w:rPr>
          <w:rFonts w:ascii="Times New Roman" w:hAnsi="Times New Roman" w:cs="Times New Roman" w:eastAsia="Times New Roman" w:hint="default"/>
        </w:rPr>
        <w:t>,</w:t>
      </w:r>
      <w:r>
        <w:rPr>
          <w:rFonts w:ascii="Times New Roman" w:hAnsi="Times New Roman" w:cs="Times New Roman" w:eastAsia="Times New Roman" w:hint="default"/>
          <w:spacing w:val="9"/>
        </w:rPr>
        <w:t> </w:t>
      </w:r>
      <w:r>
        <w:rPr/>
        <w:t>进一步强化以业务为中心，建设主业突 出、管理高效、适应市场化运作需求、可持续发展的现代化企业</w:t>
      </w:r>
      <w:r>
        <w:rPr>
          <w:rFonts w:ascii="Times New Roman" w:hAnsi="Times New Roman" w:cs="Times New Roman" w:eastAsia="Times New Roman" w:hint="default"/>
        </w:rPr>
        <w:t>,</w:t>
      </w:r>
      <w:r>
        <w:rPr>
          <w:rFonts w:ascii="Times New Roman" w:hAnsi="Times New Roman" w:cs="Times New Roman" w:eastAsia="Times New Roman" w:hint="default"/>
          <w:spacing w:val="9"/>
        </w:rPr>
        <w:t> </w:t>
      </w:r>
      <w:r>
        <w:rPr/>
        <w:t>从安全集成商和系统集成商向网络安全综合服务提供商转 变。</w:t>
      </w:r>
    </w:p>
    <w:p>
      <w:pPr>
        <w:pStyle w:val="BodyText"/>
        <w:spacing w:line="300" w:lineRule="auto" w:before="26"/>
        <w:ind w:left="514" w:right="1032"/>
        <w:jc w:val="left"/>
      </w:pPr>
      <w:r>
        <w:rPr>
          <w:rFonts w:ascii="Times New Roman" w:hAnsi="Times New Roman" w:cs="Times New Roman" w:eastAsia="Times New Roman" w:hint="default"/>
        </w:rPr>
        <w:t>1</w:t>
      </w:r>
      <w:r>
        <w:rPr/>
        <w:t>、深耕传统电子政务市场，推动政务外网建设 加强政府业务市场策划能力和顶层示范工程建设，充分发挥政府市场品牌影响力、行业策划牵引力、顶层项目辐射力、</w:t>
      </w:r>
    </w:p>
    <w:p>
      <w:pPr>
        <w:pStyle w:val="BodyText"/>
        <w:spacing w:line="240" w:lineRule="auto" w:before="31"/>
        <w:ind w:right="0"/>
        <w:jc w:val="both"/>
      </w:pPr>
      <w:r>
        <w:rPr/>
        <w:t>系统总体能力、方案支撑能力，引导政府业务发展方向，形成顶层示范工程和影响力，辐射全国政府行业市场。围绕互联网</w:t>
      </w:r>
    </w:p>
    <w:p>
      <w:pPr>
        <w:pStyle w:val="BodyText"/>
        <w:spacing w:line="300" w:lineRule="auto" w:before="76"/>
        <w:ind w:right="1133"/>
        <w:jc w:val="both"/>
      </w:pPr>
      <w:r>
        <w:rPr>
          <w:rFonts w:ascii="Times New Roman" w:hAnsi="Times New Roman" w:cs="Times New Roman" w:eastAsia="Times New Roman" w:hint="default"/>
          <w:spacing w:val="-1"/>
        </w:rPr>
        <w:t>+</w:t>
      </w:r>
      <w:r>
        <w:rPr>
          <w:spacing w:val="-1"/>
        </w:rPr>
        <w:t>政务服务、全国在线政务服务平台建设，布局商用密码、网络安全产品、网络安全服务等业务，通过参与国家及各地政务</w:t>
      </w:r>
      <w:r>
        <w:rPr>
          <w:spacing w:val="-45"/>
        </w:rPr>
        <w:t> </w:t>
      </w:r>
      <w:r>
        <w:rPr>
          <w:spacing w:val="-45"/>
        </w:rPr>
      </w:r>
      <w:r>
        <w:rPr/>
        <w:t>信息系统整合共享数据安全规划及安全防护体系建设，形成政务数据安全方面的业务体系。</w:t>
      </w:r>
    </w:p>
    <w:p>
      <w:pPr>
        <w:pStyle w:val="BodyText"/>
        <w:spacing w:line="300" w:lineRule="auto" w:before="31"/>
        <w:ind w:left="514" w:right="1022"/>
        <w:jc w:val="left"/>
      </w:pPr>
      <w:r>
        <w:rPr>
          <w:rFonts w:ascii="Times New Roman" w:hAnsi="Times New Roman" w:cs="Times New Roman" w:eastAsia="Times New Roman" w:hint="default"/>
        </w:rPr>
        <w:t>2</w:t>
      </w:r>
      <w:r>
        <w:rPr/>
        <w:t>、强化商用密码领跑能力，巩固商密领域行业优势 </w:t>
      </w:r>
      <w:r>
        <w:rPr>
          <w:spacing w:val="-2"/>
        </w:rPr>
        <w:t>紧密围绕商用密码技术、网络安全、终端安全、数据安全、应用安全、内容安全和管理安全，努力构建技术先进、功能</w:t>
      </w:r>
    </w:p>
    <w:p>
      <w:pPr>
        <w:pStyle w:val="BodyText"/>
        <w:spacing w:line="309" w:lineRule="auto" w:before="31"/>
        <w:ind w:right="1022"/>
        <w:jc w:val="left"/>
      </w:pPr>
      <w:r>
        <w:rPr/>
        <w:t>完善、种类丰富的齐套产品线。强化商用密码与信息系统的深度融合，打造高安全密码云服务，积极拓展</w:t>
      </w:r>
      <w:r>
        <w:rPr>
          <w:rFonts w:ascii="Times New Roman" w:hAnsi="Times New Roman" w:cs="Times New Roman" w:eastAsia="Times New Roman" w:hint="default"/>
        </w:rPr>
        <w:t>5G</w:t>
      </w:r>
      <w:r>
        <w:rPr/>
        <w:t>与物联网、工 </w:t>
      </w:r>
      <w:r>
        <w:rPr>
          <w:spacing w:val="-2"/>
        </w:rPr>
        <w:t>业控制、公共视频监控、融合通信等领域的密码应用，努力开拓国际市场，成为金融、交通、电信运营商等重要市场的商用</w:t>
      </w:r>
      <w:r>
        <w:rPr>
          <w:spacing w:val="-68"/>
        </w:rPr>
        <w:t> </w:t>
      </w:r>
      <w:r>
        <w:rPr>
          <w:spacing w:val="-68"/>
        </w:rPr>
      </w:r>
      <w:r>
        <w:rPr/>
        <w:t>密码产品第一品牌。</w:t>
      </w:r>
    </w:p>
    <w:p>
      <w:pPr>
        <w:pStyle w:val="BodyText"/>
        <w:spacing w:line="316" w:lineRule="auto" w:before="24"/>
        <w:ind w:left="514" w:right="1022"/>
        <w:jc w:val="left"/>
      </w:pPr>
      <w:r>
        <w:rPr>
          <w:rFonts w:ascii="宋体" w:hAnsi="宋体" w:cs="宋体" w:eastAsia="宋体" w:hint="default"/>
        </w:rPr>
        <w:t>3</w:t>
      </w:r>
      <w:r>
        <w:rPr/>
        <w:t>、加快推进移动互联网安全业务，积极拓展安全运维服务 </w:t>
      </w:r>
      <w:r>
        <w:rPr>
          <w:spacing w:val="-2"/>
        </w:rPr>
        <w:t>与终端厂商、运营商合作，面向行业应用、基于安全手机及公司核心安全产品，打造安全移动办公解决方案，为行业及</w:t>
      </w:r>
    </w:p>
    <w:p>
      <w:pPr>
        <w:pStyle w:val="BodyText"/>
        <w:spacing w:line="300" w:lineRule="auto" w:before="19"/>
        <w:ind w:right="1148"/>
        <w:jc w:val="both"/>
      </w:pPr>
      <w:r>
        <w:rPr/>
        <w:t>企业用户提供安全移动办公平台，并重点在电子政务外网、纪检监察、政法、大型企业等行业推广应用。围绕</w:t>
      </w:r>
      <w:r>
        <w:rPr>
          <w:rFonts w:ascii="Times New Roman" w:hAnsi="Times New Roman" w:cs="Times New Roman" w:eastAsia="Times New Roman" w:hint="default"/>
        </w:rPr>
        <w:t>“</w:t>
      </w:r>
      <w:r>
        <w:rPr/>
        <w:t>整体安全、 全面保障、专业服务</w:t>
      </w:r>
      <w:r>
        <w:rPr>
          <w:rFonts w:ascii="Times New Roman" w:hAnsi="Times New Roman" w:cs="Times New Roman" w:eastAsia="Times New Roman" w:hint="default"/>
        </w:rPr>
        <w:t>”</w:t>
      </w:r>
      <w:r>
        <w:rPr/>
        <w:t>的总体目标，以国家政策标准规范为指导，以态势感知与监测预警和安全运营两大平台为支撑，为用 户提供持续有效的网络安全整体保障服务。</w:t>
      </w:r>
    </w:p>
    <w:p>
      <w:pPr>
        <w:pStyle w:val="BodyText"/>
        <w:spacing w:line="312" w:lineRule="auto" w:before="31"/>
        <w:ind w:right="1130" w:firstLine="360"/>
        <w:jc w:val="both"/>
      </w:pPr>
      <w:r>
        <w:rPr>
          <w:spacing w:val="-2"/>
        </w:rPr>
        <w:t>未来，卫士通公司将依托长期以来在政府、军工、金融等优势行业的积累和能力，聚焦网络安全主业，不断提升核心技</w:t>
      </w:r>
      <w:r>
        <w:rPr/>
        <w:t> </w:t>
      </w:r>
      <w:r>
        <w:rPr>
          <w:spacing w:val="-2"/>
        </w:rPr>
        <w:t>术能力和自身产品效力，继续保持行业领先地位。在国家商用密码创新发展政策指引下，与产业伙伴一起，持续开展商用密</w:t>
      </w:r>
      <w:r>
        <w:rPr>
          <w:spacing w:val="-66"/>
        </w:rPr>
        <w:t> </w:t>
      </w:r>
      <w:r>
        <w:rPr>
          <w:spacing w:val="-66"/>
        </w:rPr>
      </w:r>
      <w:r>
        <w:rPr/>
        <w:t>码技术创新和应用创新，围绕金融、能源、互联网</w:t>
      </w:r>
      <w:r>
        <w:rPr>
          <w:rFonts w:ascii="Times New Roman" w:hAnsi="Times New Roman" w:cs="Times New Roman" w:eastAsia="Times New Roman" w:hint="default"/>
        </w:rPr>
        <w:t>+</w:t>
      </w:r>
      <w:r>
        <w:rPr/>
        <w:t>政务服务、央企、智慧城市、物联网等重点行业或领域，持续构建以密 码技术为核心的网络安全体系，更好服务于网络强国、数字中国、智慧社会等国家重大战略。</w:t>
      </w:r>
    </w:p>
    <w:p>
      <w:pPr>
        <w:pStyle w:val="Heading5"/>
        <w:spacing w:line="240" w:lineRule="auto" w:before="23"/>
        <w:ind w:left="515" w:right="1022"/>
        <w:jc w:val="left"/>
        <w:rPr>
          <w:b w:val="0"/>
          <w:bCs w:val="0"/>
        </w:rPr>
      </w:pPr>
      <w:r>
        <w:rPr/>
        <w:t>（三）经营计划</w:t>
      </w:r>
      <w:r>
        <w:rPr>
          <w:b w:val="0"/>
          <w:bCs w:val="0"/>
        </w:rPr>
      </w:r>
    </w:p>
    <w:p>
      <w:pPr>
        <w:pStyle w:val="BodyText"/>
        <w:spacing w:line="300" w:lineRule="auto" w:before="76"/>
        <w:ind w:right="1131" w:firstLine="360"/>
        <w:jc w:val="both"/>
      </w:pPr>
      <w:r>
        <w:rPr>
          <w:rFonts w:ascii="Times New Roman" w:hAnsi="Times New Roman" w:cs="Times New Roman" w:eastAsia="Times New Roman" w:hint="default"/>
          <w:spacing w:val="-2"/>
        </w:rPr>
        <w:t>2019</w:t>
      </w:r>
      <w:r>
        <w:rPr>
          <w:spacing w:val="-2"/>
        </w:rPr>
        <w:t>年，公司将牢牢抓住建设网络强国，发展网信事业的历史机遇，集中精力聚焦网络安全主业，进一步发挥公司在密</w:t>
      </w:r>
      <w:r>
        <w:rPr/>
        <w:t> 码和网络安全领域的积累和优势，不断提升核心技术能力和市场竞争力。</w:t>
      </w:r>
      <w:r>
        <w:rPr>
          <w:rFonts w:ascii="Times New Roman" w:hAnsi="Times New Roman" w:cs="Times New Roman" w:eastAsia="Times New Roman" w:hint="default"/>
        </w:rPr>
        <w:t>2019</w:t>
      </w:r>
      <w:r>
        <w:rPr/>
        <w:t>年具体经营计划如下：</w:t>
      </w:r>
    </w:p>
    <w:p>
      <w:pPr>
        <w:pStyle w:val="BodyText"/>
        <w:spacing w:line="240" w:lineRule="auto" w:before="13"/>
        <w:ind w:left="514" w:right="1022"/>
        <w:jc w:val="left"/>
      </w:pPr>
      <w:r>
        <w:rPr>
          <w:rFonts w:ascii="Times New Roman" w:hAnsi="Times New Roman" w:cs="Times New Roman" w:eastAsia="Times New Roman" w:hint="default"/>
        </w:rPr>
        <w:t>1</w:t>
      </w:r>
      <w:r>
        <w:rPr/>
        <w:t>、落地十三五规划目标，发挥规划的指引作用</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9" w:lineRule="auto" w:before="44"/>
        <w:ind w:right="1032" w:firstLine="360"/>
        <w:jc w:val="left"/>
      </w:pPr>
      <w:r>
        <w:rPr>
          <w:spacing w:val="-2"/>
        </w:rPr>
        <w:t>落实公司</w:t>
      </w:r>
      <w:r>
        <w:rPr>
          <w:rFonts w:ascii="Times New Roman" w:hAnsi="Times New Roman" w:cs="Times New Roman" w:eastAsia="Times New Roman" w:hint="default"/>
          <w:spacing w:val="-2"/>
        </w:rPr>
        <w:t>“</w:t>
      </w:r>
      <w:r>
        <w:rPr>
          <w:spacing w:val="-2"/>
        </w:rPr>
        <w:t>十三五</w:t>
      </w:r>
      <w:r>
        <w:rPr>
          <w:rFonts w:ascii="Times New Roman" w:hAnsi="Times New Roman" w:cs="Times New Roman" w:eastAsia="Times New Roman" w:hint="default"/>
          <w:spacing w:val="-2"/>
        </w:rPr>
        <w:t>”</w:t>
      </w:r>
      <w:r>
        <w:rPr>
          <w:spacing w:val="-2"/>
        </w:rPr>
        <w:t>规划目标的落地，明确公司年度工作目标，以创新驱动、打造平台、融合发展的指导思想，促进公司</w:t>
      </w:r>
      <w:r>
        <w:rPr/>
        <w:t> 转型和创新发展。一是通过科技创新实现技术领先，打造核心产品体系，通过商业模式创新构建新的业务模式和盈利模式， </w:t>
      </w:r>
      <w:r>
        <w:rPr>
          <w:spacing w:val="-2"/>
        </w:rPr>
        <w:t>通过管理创新建成有活力、高质量发展的企业实体。二是着力打造中国网安民营营销平台和在线安全服务运营平台，用好资</w:t>
      </w:r>
      <w:r>
        <w:rPr>
          <w:spacing w:val="-66"/>
        </w:rPr>
        <w:t> </w:t>
      </w:r>
      <w:r>
        <w:rPr>
          <w:spacing w:val="-66"/>
        </w:rPr>
      </w:r>
      <w:r>
        <w:rPr>
          <w:spacing w:val="-2"/>
        </w:rPr>
        <w:t>本平台、支撑资源整合。三是主动以安全融合信息系统，通过广泛合作，聚合</w:t>
      </w:r>
      <w:r>
        <w:rPr>
          <w:rFonts w:ascii="Times New Roman" w:hAnsi="Times New Roman" w:cs="Times New Roman" w:eastAsia="Times New Roman" w:hint="default"/>
          <w:spacing w:val="-2"/>
        </w:rPr>
        <w:t>IT</w:t>
      </w:r>
      <w:r>
        <w:rPr>
          <w:spacing w:val="-2"/>
        </w:rPr>
        <w:t>资源，延伸业务线，构建合作共赢的产业生</w:t>
      </w:r>
      <w:r>
        <w:rPr>
          <w:spacing w:val="-57"/>
        </w:rPr>
        <w:t> </w:t>
      </w:r>
      <w:r>
        <w:rPr>
          <w:spacing w:val="-57"/>
        </w:rPr>
      </w:r>
      <w:r>
        <w:rPr/>
        <w:t>态圈，实现公司从信息安全企业向网络安全企业的转型与融合发展。</w:t>
      </w:r>
    </w:p>
    <w:p>
      <w:pPr>
        <w:pStyle w:val="BodyText"/>
        <w:spacing w:line="309" w:lineRule="auto" w:before="24"/>
        <w:ind w:left="514" w:right="1022"/>
        <w:jc w:val="left"/>
      </w:pPr>
      <w:r>
        <w:rPr>
          <w:rFonts w:ascii="Times New Roman" w:hAnsi="Times New Roman" w:cs="Times New Roman" w:eastAsia="Times New Roman" w:hint="default"/>
        </w:rPr>
        <w:t>2</w:t>
      </w:r>
      <w:r>
        <w:rPr/>
        <w:t>、加强市场牵引和业务策划，驱动公司高质量发展 围绕市场一盘棋的市场工作思路，进一步强化全员服务市场、支撑市场的意识，提升市场顶层策划和整体运作能力。 </w:t>
      </w:r>
      <w:r>
        <w:rPr>
          <w:spacing w:val="-2"/>
        </w:rPr>
        <w:t>一是强化业务策划，加强政府业务、商密业务、央企整保、移动互联网安全等一批重点业务策划和整体推进，驱动公司</w:t>
      </w:r>
    </w:p>
    <w:p>
      <w:pPr>
        <w:pStyle w:val="BodyText"/>
        <w:spacing w:line="316" w:lineRule="auto" w:before="24"/>
        <w:ind w:left="514" w:right="1022" w:hanging="360"/>
        <w:jc w:val="left"/>
      </w:pPr>
      <w:r>
        <w:rPr/>
        <w:t>市场拓展、解决方案、产品等工作。 </w:t>
      </w:r>
      <w:r>
        <w:rPr>
          <w:spacing w:val="-2"/>
        </w:rPr>
        <w:t>二是加强行业营销部门与区域营销部门的协同，以行业市场为牵引，强化行业顶层策划，以面向行业应用的解决方案为</w:t>
      </w:r>
    </w:p>
    <w:p>
      <w:pPr>
        <w:pStyle w:val="BodyText"/>
        <w:spacing w:line="316" w:lineRule="auto" w:before="19"/>
        <w:ind w:left="514" w:right="1212" w:hanging="360"/>
        <w:jc w:val="left"/>
      </w:pPr>
      <w:r>
        <w:rPr/>
        <w:t>支撑，全面拓展政府、军工、金融、能源、政法、网信、经信等重要行业市场。 三是大力推进产业合作和渠道体系建设，一方面引入核心技术和产品以丰富公司解决方案能力和综合网络安全服务能</w:t>
      </w:r>
    </w:p>
    <w:p>
      <w:pPr>
        <w:pStyle w:val="BodyText"/>
        <w:spacing w:line="312" w:lineRule="auto" w:before="19"/>
        <w:ind w:left="514" w:right="1022" w:hanging="360"/>
        <w:jc w:val="left"/>
      </w:pPr>
      <w:r>
        <w:rPr/>
        <w:t>力，另一方面通过与合作伙伴、销售渠道广泛合作，提升公司自有产品的应用能力，从而促进公司自主产品销售。 </w:t>
      </w:r>
      <w:r>
        <w:rPr>
          <w:rFonts w:ascii="Times New Roman" w:hAnsi="Times New Roman" w:cs="Times New Roman" w:eastAsia="Times New Roman" w:hint="default"/>
        </w:rPr>
        <w:t>3</w:t>
      </w:r>
      <w:r>
        <w:rPr/>
        <w:t>、鼓励技术创新，集中资源打造精品 主动关注、支持、赋能新业务发展，快速响应、快速迭代，更好地适应“云物移大智”日新月异的时代需求。 </w:t>
      </w:r>
      <w:r>
        <w:rPr>
          <w:spacing w:val="-2"/>
        </w:rPr>
        <w:t>依托摩石实验室、研究院、国信卫士研究院等研究机构，开展密码算法、关键安全技术、基础软硬件等基础研究，构建</w:t>
      </w:r>
    </w:p>
    <w:p>
      <w:pPr>
        <w:pStyle w:val="BodyText"/>
        <w:spacing w:line="316" w:lineRule="auto" w:before="22"/>
        <w:ind w:right="1130"/>
        <w:jc w:val="both"/>
      </w:pPr>
      <w:r>
        <w:rPr>
          <w:spacing w:val="-2"/>
        </w:rPr>
        <w:t>网络安全领域的基础及关键技术能力；聚焦云安计算、大数据、移动互联网、物联网、智能制造、人工智能等领域的应用需</w:t>
      </w:r>
      <w:r>
        <w:rPr>
          <w:spacing w:val="-68"/>
        </w:rPr>
        <w:t> </w:t>
      </w:r>
      <w:r>
        <w:rPr>
          <w:spacing w:val="-68"/>
        </w:rPr>
      </w:r>
      <w:r>
        <w:rPr/>
        <w:t>求，不断提升密码技术应用能力，打造拳头产品，引领行业高端，彰显技术实力。</w:t>
      </w:r>
    </w:p>
    <w:p>
      <w:pPr>
        <w:pStyle w:val="BodyText"/>
        <w:spacing w:line="316" w:lineRule="auto" w:before="19"/>
        <w:ind w:right="1130" w:firstLine="360"/>
        <w:jc w:val="both"/>
      </w:pPr>
      <w:r>
        <w:rPr>
          <w:spacing w:val="-2"/>
        </w:rPr>
        <w:t>通过市场牵引和技术创新双轮驱动建设产品研发体系，关注客户需求，加快市场响应速度，缩短产品开发周期，降低开</w:t>
      </w:r>
      <w:r>
        <w:rPr/>
        <w:t> </w:t>
      </w:r>
      <w:r>
        <w:rPr>
          <w:spacing w:val="-2"/>
        </w:rPr>
        <w:t>发成本。实施精品计划，集中研发资源，重点打造商用密码、移动互联网安全、信任服务、安全服务等产品精品，提高公司</w:t>
      </w:r>
      <w:r>
        <w:rPr>
          <w:spacing w:val="-72"/>
        </w:rPr>
        <w:t> </w:t>
      </w:r>
      <w:r>
        <w:rPr>
          <w:spacing w:val="-72"/>
        </w:rPr>
      </w:r>
      <w:r>
        <w:rPr/>
        <w:t>精品的市场占有率。</w:t>
      </w:r>
    </w:p>
    <w:p>
      <w:pPr>
        <w:pStyle w:val="BodyText"/>
        <w:spacing w:line="300" w:lineRule="auto" w:before="19"/>
        <w:ind w:left="514" w:right="1022"/>
        <w:jc w:val="left"/>
      </w:pPr>
      <w:r>
        <w:rPr>
          <w:rFonts w:ascii="Times New Roman" w:hAnsi="Times New Roman" w:cs="Times New Roman" w:eastAsia="Times New Roman" w:hint="default"/>
        </w:rPr>
        <w:t>4</w:t>
      </w:r>
      <w:r>
        <w:rPr/>
        <w:t>、聚集产业资源，提升网络安全生态构建能力 </w:t>
      </w:r>
      <w:r>
        <w:rPr>
          <w:spacing w:val="-2"/>
        </w:rPr>
        <w:t>坚持目标导向，围绕业务和目标匹配相关资源。在内部，通过业务整合，优化资源配置，强化公司主要业务在网络安全</w:t>
      </w:r>
    </w:p>
    <w:p>
      <w:pPr>
        <w:pStyle w:val="BodyText"/>
        <w:spacing w:line="316" w:lineRule="auto" w:before="31"/>
        <w:ind w:right="1131"/>
        <w:jc w:val="both"/>
      </w:pPr>
      <w:r>
        <w:rPr>
          <w:spacing w:val="-2"/>
        </w:rPr>
        <w:t>产业的规模运作能力，关注公司品牌形象和影响力提升；在外部，增强网络安全产业的号召力和资源吸附力，主动开展与产</w:t>
      </w:r>
      <w:r>
        <w:rPr>
          <w:spacing w:val="-66"/>
        </w:rPr>
        <w:t> </w:t>
      </w:r>
      <w:r>
        <w:rPr>
          <w:spacing w:val="-66"/>
        </w:rPr>
      </w:r>
      <w:r>
        <w:rPr>
          <w:spacing w:val="-2"/>
        </w:rPr>
        <w:t>业链上下游企业合作，抱团共促网络安全产业发展、提升网络安全产业供给能力。通过产业与资本双轮驱动，促进公司高质</w:t>
      </w:r>
      <w:r>
        <w:rPr>
          <w:spacing w:val="-66"/>
        </w:rPr>
        <w:t> </w:t>
      </w:r>
      <w:r>
        <w:rPr>
          <w:spacing w:val="-66"/>
        </w:rPr>
      </w:r>
      <w:r>
        <w:rPr/>
        <w:t>量、高速度的发展。</w:t>
      </w:r>
    </w:p>
    <w:p>
      <w:pPr>
        <w:pStyle w:val="BodyText"/>
        <w:spacing w:line="300" w:lineRule="auto" w:before="19"/>
        <w:ind w:left="514" w:right="1022"/>
        <w:jc w:val="left"/>
      </w:pPr>
      <w:r>
        <w:rPr>
          <w:rFonts w:ascii="Times New Roman" w:hAnsi="Times New Roman" w:cs="Times New Roman" w:eastAsia="Times New Roman" w:hint="default"/>
        </w:rPr>
        <w:t>5</w:t>
      </w:r>
      <w:r>
        <w:rPr/>
        <w:t>、提质增效，防风险，控成本，提高公司运行效率 </w:t>
      </w:r>
      <w:r>
        <w:rPr>
          <w:spacing w:val="-2"/>
        </w:rPr>
        <w:t>加强企业的风险防控能力建设，从制度、管理、分析、预防、监督多个维度着手，全面提升企业风控能力，将风险防控</w:t>
      </w:r>
    </w:p>
    <w:p>
      <w:pPr>
        <w:pStyle w:val="BodyText"/>
        <w:spacing w:line="309" w:lineRule="auto" w:before="31"/>
        <w:ind w:right="1131"/>
        <w:jc w:val="both"/>
      </w:pPr>
      <w:r>
        <w:rPr>
          <w:spacing w:val="-2"/>
        </w:rPr>
        <w:t>工作从事后处理向事前布控转移，加强过程督查，主动发现漏洞及时堵漏并举一反三完善制度。加大全员成本控制意识，合</w:t>
      </w:r>
      <w:r>
        <w:rPr>
          <w:spacing w:val="-66"/>
        </w:rPr>
        <w:t> </w:t>
      </w:r>
      <w:r>
        <w:rPr>
          <w:spacing w:val="-66"/>
        </w:rPr>
      </w:r>
      <w:r>
        <w:rPr/>
        <w:t>理规划资源投入，坚持目标导向，做好投入产出分析，体现管理价值。进一步完善内部管理制度，职能管理部门遵循</w:t>
      </w:r>
      <w:r>
        <w:rPr>
          <w:rFonts w:ascii="Times New Roman" w:hAnsi="Times New Roman" w:cs="Times New Roman" w:eastAsia="Times New Roman" w:hint="default"/>
        </w:rPr>
        <w:t>“</w:t>
      </w:r>
      <w:r>
        <w:rPr/>
        <w:t>放、 管、服</w:t>
      </w:r>
      <w:r>
        <w:rPr>
          <w:rFonts w:ascii="Times New Roman" w:hAnsi="Times New Roman" w:cs="Times New Roman" w:eastAsia="Times New Roman" w:hint="default"/>
        </w:rPr>
        <w:t>”</w:t>
      </w:r>
      <w:r>
        <w:rPr/>
        <w:t>原则对制度流程进行优化，做好制度的执行和效能监察。</w:t>
      </w:r>
    </w:p>
    <w:p>
      <w:pPr>
        <w:pStyle w:val="BodyText"/>
        <w:spacing w:line="300" w:lineRule="auto" w:before="5"/>
        <w:ind w:left="514" w:right="1022"/>
        <w:jc w:val="left"/>
      </w:pPr>
      <w:r>
        <w:rPr>
          <w:rFonts w:ascii="Times New Roman" w:hAnsi="Times New Roman" w:cs="Times New Roman" w:eastAsia="Times New Roman" w:hint="default"/>
        </w:rPr>
        <w:t>6</w:t>
      </w:r>
      <w:r>
        <w:rPr/>
        <w:t>、优化人力资源结构，完善激励机制，创造企业源动力 </w:t>
      </w:r>
      <w:r>
        <w:rPr>
          <w:spacing w:val="-2"/>
        </w:rPr>
        <w:t>聚焦业务重心，优化人才布局，持续完善良好的人才引进培养及使用机制；完善激励模式，让人才有职权、有地位、有</w:t>
      </w:r>
    </w:p>
    <w:p>
      <w:pPr>
        <w:pStyle w:val="BodyText"/>
        <w:spacing w:line="309" w:lineRule="auto" w:before="31"/>
        <w:ind w:left="514" w:right="1152" w:hanging="360"/>
        <w:jc w:val="left"/>
      </w:pPr>
      <w:r>
        <w:rPr/>
        <w:t>保障、有激励，充分发挥各类人才的价值作用，为实现公司战略愿景提供坚实的人才保障和智力支持。 </w:t>
      </w:r>
      <w:r>
        <w:rPr>
          <w:rFonts w:ascii="Times New Roman" w:hAnsi="Times New Roman" w:cs="Times New Roman" w:eastAsia="Times New Roman" w:hint="default"/>
        </w:rPr>
        <w:t>7</w:t>
      </w:r>
      <w:r>
        <w:rPr/>
        <w:t>、全面提升政治站位，发挥党建引领作用，提升企业凝聚力 继续深入学习贯彻党的十九大精神，以</w:t>
      </w:r>
      <w:r>
        <w:rPr>
          <w:rFonts w:ascii="Times New Roman" w:hAnsi="Times New Roman" w:cs="Times New Roman" w:eastAsia="Times New Roman" w:hint="default"/>
        </w:rPr>
        <w:t>“</w:t>
      </w:r>
      <w:r>
        <w:rPr/>
        <w:t>新时代党的建设总要求</w:t>
      </w:r>
      <w:r>
        <w:rPr>
          <w:rFonts w:ascii="Times New Roman" w:hAnsi="Times New Roman" w:cs="Times New Roman" w:eastAsia="Times New Roman" w:hint="default"/>
        </w:rPr>
        <w:t>”</w:t>
      </w:r>
      <w:r>
        <w:rPr/>
        <w:t>为纲领，坚持党的领导和加强党的建设，落实党委</w:t>
      </w:r>
      <w:r>
        <w:rPr>
          <w:rFonts w:ascii="Times New Roman" w:hAnsi="Times New Roman" w:cs="Times New Roman" w:eastAsia="Times New Roman" w:hint="default"/>
        </w:rPr>
        <w:t>“</w:t>
      </w:r>
      <w:r>
        <w:rPr/>
        <w:t>把</w:t>
      </w:r>
    </w:p>
    <w:p>
      <w:pPr>
        <w:pStyle w:val="BodyText"/>
        <w:spacing w:line="300" w:lineRule="auto" w:before="5"/>
        <w:ind w:right="1089"/>
        <w:jc w:val="both"/>
      </w:pPr>
      <w:r>
        <w:rPr/>
        <w:t>方向、管大局、保落实</w:t>
      </w:r>
      <w:r>
        <w:rPr>
          <w:rFonts w:ascii="Times New Roman" w:hAnsi="Times New Roman" w:cs="Times New Roman" w:eastAsia="Times New Roman" w:hint="default"/>
        </w:rPr>
        <w:t>”</w:t>
      </w:r>
      <w:r>
        <w:rPr/>
        <w:t>的根本要求，加快构建改革发展与党建一体化推进工作格局，为公司改革发展提供坚强有力的政治 </w:t>
      </w:r>
      <w:r>
        <w:rPr>
          <w:spacing w:val="-2"/>
        </w:rPr>
        <w:t>保证和组织保证。深入学习贯彻</w:t>
      </w:r>
      <w:r>
        <w:rPr>
          <w:rFonts w:ascii="Times New Roman" w:hAnsi="Times New Roman" w:cs="Times New Roman" w:eastAsia="Times New Roman" w:hint="default"/>
          <w:spacing w:val="-2"/>
        </w:rPr>
        <w:t>“</w:t>
      </w:r>
      <w:r>
        <w:rPr>
          <w:spacing w:val="-2"/>
        </w:rPr>
        <w:t>新云湖会议</w:t>
      </w:r>
      <w:r>
        <w:rPr>
          <w:rFonts w:ascii="Times New Roman" w:hAnsi="Times New Roman" w:cs="Times New Roman" w:eastAsia="Times New Roman" w:hint="default"/>
          <w:spacing w:val="-2"/>
        </w:rPr>
        <w:t>”</w:t>
      </w:r>
      <w:r>
        <w:rPr>
          <w:spacing w:val="-2"/>
        </w:rPr>
        <w:t>精神、认真对标中国电科新时代党建工作体系要求，明确任务清单，牢记卫士</w:t>
      </w:r>
      <w:r>
        <w:rPr>
          <w:spacing w:val="-44"/>
        </w:rPr>
        <w:t> </w:t>
      </w:r>
      <w:r>
        <w:rPr>
          <w:spacing w:val="-44"/>
        </w:rPr>
      </w:r>
      <w:r>
        <w:rPr/>
        <w:t>通成立之初就有着</w:t>
      </w:r>
      <w:r>
        <w:rPr>
          <w:rFonts w:ascii="Times New Roman" w:hAnsi="Times New Roman" w:cs="Times New Roman" w:eastAsia="Times New Roman" w:hint="default"/>
        </w:rPr>
        <w:t>“</w:t>
      </w:r>
      <w:r>
        <w:rPr/>
        <w:t>志存高远</w:t>
      </w:r>
      <w:r>
        <w:rPr>
          <w:rFonts w:ascii="Times New Roman" w:hAnsi="Times New Roman" w:cs="Times New Roman" w:eastAsia="Times New Roman" w:hint="default"/>
        </w:rPr>
        <w:t>”</w:t>
      </w:r>
      <w:r>
        <w:rPr/>
        <w:t>的基因，强化责任意识和担当意识，发挥</w:t>
      </w:r>
      <w:r>
        <w:rPr>
          <w:rFonts w:ascii="Times New Roman" w:hAnsi="Times New Roman" w:cs="Times New Roman" w:eastAsia="Times New Roman" w:hint="default"/>
        </w:rPr>
        <w:t>“</w:t>
      </w:r>
      <w:r>
        <w:rPr/>
        <w:t>团队尊重</w:t>
      </w:r>
      <w:r>
        <w:rPr>
          <w:rFonts w:ascii="Times New Roman" w:hAnsi="Times New Roman" w:cs="Times New Roman" w:eastAsia="Times New Roman" w:hint="default"/>
        </w:rPr>
        <w:t>”</w:t>
      </w:r>
      <w:r>
        <w:rPr/>
        <w:t>的核心价值观，真心实意听取员工意见， 发自内心地关心员工的困难，真正把员工活力激发起来，提升卫士通全体员工的凝聚力和向心力。</w:t>
      </w:r>
    </w:p>
    <w:p>
      <w:pPr>
        <w:pStyle w:val="BodyText"/>
        <w:spacing w:line="300" w:lineRule="auto" w:before="32"/>
        <w:ind w:left="514" w:right="1032"/>
        <w:jc w:val="left"/>
      </w:pPr>
      <w:r>
        <w:rPr>
          <w:rFonts w:ascii="Times New Roman" w:hAnsi="Times New Roman" w:cs="Times New Roman" w:eastAsia="Times New Roman" w:hint="default"/>
        </w:rPr>
        <w:t>8</w:t>
      </w:r>
      <w:r>
        <w:rPr/>
        <w:t>、持续关注安全保密，强化质量管理工作 安全保密是公司管理的重中之重，安全保密是公司业务的基础，狠抓保密工作责任落实，加大保密责任落实监管力度，</w:t>
      </w:r>
    </w:p>
    <w:p>
      <w:pPr>
        <w:pStyle w:val="BodyText"/>
        <w:spacing w:line="316" w:lineRule="auto" w:before="31"/>
        <w:ind w:right="1042"/>
        <w:jc w:val="both"/>
      </w:pPr>
      <w:r>
        <w:rPr>
          <w:spacing w:val="-4"/>
        </w:rPr>
        <w:t>强化责任追究制度，做到有责必履职、失职必追责。同时，构建公司全面质量管理战略，提升整体竞争能力与产品服务质量，</w:t>
      </w:r>
      <w:r>
        <w:rPr>
          <w:spacing w:val="-44"/>
        </w:rPr>
        <w:t> </w:t>
      </w:r>
      <w:r>
        <w:rPr>
          <w:spacing w:val="-44"/>
        </w:rPr>
      </w:r>
      <w:r>
        <w:rPr/>
        <w:t>使公司质量水平迈上新台阶。</w:t>
      </w:r>
    </w:p>
    <w:p>
      <w:pPr>
        <w:spacing w:after="0" w:line="316"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Heading5"/>
        <w:spacing w:line="240" w:lineRule="auto" w:before="44"/>
        <w:ind w:left="534" w:right="1022"/>
        <w:jc w:val="left"/>
        <w:rPr>
          <w:b w:val="0"/>
          <w:bCs w:val="0"/>
        </w:rPr>
      </w:pPr>
      <w:r>
        <w:rPr/>
        <w:t>（四）可能面对的风险</w:t>
      </w:r>
      <w:r>
        <w:rPr>
          <w:b w:val="0"/>
          <w:bCs w:val="0"/>
        </w:rPr>
      </w:r>
    </w:p>
    <w:p>
      <w:pPr>
        <w:pStyle w:val="BodyText"/>
        <w:spacing w:line="300" w:lineRule="auto" w:before="76"/>
        <w:ind w:left="514" w:right="1022"/>
        <w:jc w:val="left"/>
      </w:pPr>
      <w:r>
        <w:rPr>
          <w:rFonts w:ascii="Times New Roman" w:hAnsi="Times New Roman" w:cs="Times New Roman" w:eastAsia="Times New Roman" w:hint="default"/>
        </w:rPr>
        <w:t>1</w:t>
      </w:r>
      <w:r>
        <w:rPr/>
        <w:t>、市场竞争风险 </w:t>
      </w:r>
      <w:r>
        <w:rPr>
          <w:spacing w:val="-2"/>
        </w:rPr>
        <w:t>随着网络安全威胁的日益加剧，网络安全热度不断升温，传统的安全企业持续深耕、发展势头不减，互联网及</w:t>
      </w:r>
      <w:r>
        <w:rPr>
          <w:rFonts w:ascii="Times New Roman" w:hAnsi="Times New Roman" w:cs="Times New Roman" w:eastAsia="Times New Roman" w:hint="default"/>
          <w:spacing w:val="-2"/>
        </w:rPr>
        <w:t>IT</w:t>
      </w:r>
      <w:r>
        <w:rPr>
          <w:spacing w:val="-2"/>
        </w:rPr>
        <w:t>企业陆</w:t>
      </w:r>
    </w:p>
    <w:p>
      <w:pPr>
        <w:pStyle w:val="BodyText"/>
        <w:spacing w:line="319" w:lineRule="auto" w:before="13"/>
        <w:ind w:right="1133"/>
        <w:jc w:val="both"/>
      </w:pPr>
      <w:r>
        <w:rPr>
          <w:spacing w:val="-2"/>
        </w:rPr>
        <w:t>续向安全领域渗透，初创型企业不断在细分领域寻找突破点，市场竞争将更加激烈。公司将在不断提升自身核心竞争力的同</w:t>
      </w:r>
      <w:r>
        <w:rPr>
          <w:spacing w:val="-66"/>
        </w:rPr>
        <w:t> </w:t>
      </w:r>
      <w:r>
        <w:rPr>
          <w:spacing w:val="-66"/>
        </w:rPr>
      </w:r>
      <w:r>
        <w:rPr/>
        <w:t>时，加强技术交流与产品合作，以提升创新能力，增强市场竞争力。</w:t>
      </w:r>
    </w:p>
    <w:p>
      <w:pPr>
        <w:pStyle w:val="BodyText"/>
        <w:spacing w:line="300" w:lineRule="auto" w:before="17"/>
        <w:ind w:left="514" w:right="1022"/>
        <w:jc w:val="left"/>
      </w:pPr>
      <w:r>
        <w:rPr>
          <w:rFonts w:ascii="Times New Roman" w:hAnsi="Times New Roman" w:cs="Times New Roman" w:eastAsia="Times New Roman" w:hint="default"/>
        </w:rPr>
        <w:t>2</w:t>
      </w:r>
      <w:r>
        <w:rPr/>
        <w:t>、技术创新风险 </w:t>
      </w:r>
      <w:r>
        <w:rPr>
          <w:spacing w:val="-2"/>
        </w:rPr>
        <w:t>随着互联网在各领域各行业的渗透，网络安全也在不断扩大应用领域，物联网、云计算、大数据、人工智能等领域对网</w:t>
      </w:r>
    </w:p>
    <w:p>
      <w:pPr>
        <w:pStyle w:val="BodyText"/>
        <w:spacing w:line="309" w:lineRule="auto" w:before="31"/>
        <w:ind w:right="1133"/>
        <w:jc w:val="both"/>
      </w:pPr>
      <w:r>
        <w:rPr>
          <w:spacing w:val="-2"/>
        </w:rPr>
        <w:t>络安全提出了更多、更高的要求，倒逼网络安全企业不断创新。如果未来公司无法满足新技术、新应用、新模式的安全保障</w:t>
      </w:r>
      <w:r>
        <w:rPr>
          <w:spacing w:val="-66"/>
        </w:rPr>
        <w:t> </w:t>
      </w:r>
      <w:r>
        <w:rPr>
          <w:spacing w:val="-66"/>
        </w:rPr>
      </w:r>
      <w:r>
        <w:rPr/>
        <w:t>需求，将对卫士通业务发展造成不利影响。公司将把创新作为发展的核心理念和长期性要求，加强</w:t>
      </w:r>
      <w:r>
        <w:rPr>
          <w:rFonts w:ascii="Times New Roman" w:hAnsi="Times New Roman" w:cs="Times New Roman" w:eastAsia="Times New Roman" w:hint="default"/>
        </w:rPr>
        <w:t>5G</w:t>
      </w:r>
      <w:r>
        <w:rPr/>
        <w:t>密码应用体系、数字 货币与区块链、量子密码、物联网安全等的前瞻性研究，以保障公司的可持续发展。</w:t>
      </w:r>
    </w:p>
    <w:p>
      <w:pPr>
        <w:pStyle w:val="BodyText"/>
        <w:spacing w:line="300" w:lineRule="auto" w:before="24"/>
        <w:ind w:left="514" w:right="1022"/>
        <w:jc w:val="left"/>
      </w:pPr>
      <w:r>
        <w:rPr>
          <w:rFonts w:ascii="Times New Roman" w:hAnsi="Times New Roman" w:cs="Times New Roman" w:eastAsia="Times New Roman" w:hint="default"/>
        </w:rPr>
        <w:t>3</w:t>
      </w:r>
      <w:r>
        <w:rPr/>
        <w:t>、财务风险 </w:t>
      </w:r>
      <w:r>
        <w:rPr>
          <w:spacing w:val="-2"/>
        </w:rPr>
        <w:t>在应收账款方面，公司的主要客户虽然集中在信誉较好的党政、金融、电力等行业客户，客户有很强的履约能力，应收</w:t>
      </w:r>
    </w:p>
    <w:p>
      <w:pPr>
        <w:pStyle w:val="BodyText"/>
        <w:spacing w:line="316" w:lineRule="auto" w:before="31"/>
        <w:ind w:right="1131"/>
        <w:jc w:val="both"/>
      </w:pPr>
      <w:r>
        <w:rPr>
          <w:spacing w:val="-2"/>
        </w:rPr>
        <w:t>账款总体质量较好，整体违约概率较低，但是，报告期内应收账款有所增加，影响了公司的现金流状况、降低了资金使用效</w:t>
      </w:r>
      <w:r>
        <w:rPr>
          <w:spacing w:val="-66"/>
        </w:rPr>
        <w:t> </w:t>
      </w:r>
      <w:r>
        <w:rPr>
          <w:spacing w:val="-66"/>
        </w:rPr>
      </w:r>
      <w:r>
        <w:rPr>
          <w:spacing w:val="-2"/>
        </w:rPr>
        <w:t>率。公司将严格执行应收账款相关管理办法，通过加强对销售人员销售回款的考核、积极推进项目实施及验收等措施，降低</w:t>
      </w:r>
      <w:r>
        <w:rPr>
          <w:spacing w:val="-66"/>
        </w:rPr>
        <w:t> </w:t>
      </w:r>
      <w:r>
        <w:rPr>
          <w:spacing w:val="-66"/>
        </w:rPr>
      </w:r>
      <w:r>
        <w:rPr/>
        <w:t>应收账款规模，提高应收账款周转率。</w:t>
      </w:r>
    </w:p>
    <w:p>
      <w:pPr>
        <w:pStyle w:val="BodyText"/>
        <w:spacing w:line="300" w:lineRule="auto" w:before="19"/>
        <w:ind w:left="514" w:right="1022"/>
        <w:jc w:val="left"/>
      </w:pPr>
      <w:r>
        <w:rPr>
          <w:rFonts w:ascii="Times New Roman" w:hAnsi="Times New Roman" w:cs="Times New Roman" w:eastAsia="Times New Roman" w:hint="default"/>
        </w:rPr>
        <w:t>4</w:t>
      </w:r>
      <w:r>
        <w:rPr/>
        <w:t>、人才风险 </w:t>
      </w:r>
      <w:r>
        <w:rPr>
          <w:spacing w:val="-2"/>
        </w:rPr>
        <w:t>卫士通的快速成长依赖于技术、营销和管理等各类高素质人才。随着公司业务领域的不断拓展，公司对多样化人才的需</w:t>
      </w:r>
    </w:p>
    <w:p>
      <w:pPr>
        <w:pStyle w:val="BodyText"/>
        <w:spacing w:line="316" w:lineRule="auto" w:before="31"/>
        <w:ind w:right="1133"/>
        <w:jc w:val="both"/>
      </w:pPr>
      <w:r>
        <w:rPr>
          <w:spacing w:val="-2"/>
        </w:rPr>
        <w:t>求也与日俱增，高级专业技术人才、市场营销领军人才以及高素质管理人才不能满足日益发展的业务需要。公司将持续完善</w:t>
      </w:r>
      <w:r>
        <w:rPr>
          <w:spacing w:val="-66"/>
        </w:rPr>
        <w:t> </w:t>
      </w:r>
      <w:r>
        <w:rPr>
          <w:spacing w:val="-66"/>
        </w:rPr>
      </w:r>
      <w:r>
        <w:rPr/>
        <w:t>长效激励机制，保持现有管理团队及核心员工稳定的同时，吸引更多的高端人才加入，以保持和提升公司竞争力。</w:t>
      </w:r>
    </w:p>
    <w:p>
      <w:pPr>
        <w:spacing w:line="240" w:lineRule="auto" w:before="10"/>
        <w:rPr>
          <w:rFonts w:ascii="宋体" w:hAnsi="宋体" w:cs="宋体" w:eastAsia="宋体" w:hint="default"/>
          <w:sz w:val="20"/>
          <w:szCs w:val="20"/>
        </w:rPr>
      </w:pPr>
    </w:p>
    <w:p>
      <w:pPr>
        <w:pStyle w:val="Heading2"/>
        <w:spacing w:line="240" w:lineRule="auto"/>
        <w:ind w:right="0"/>
        <w:jc w:val="both"/>
        <w:rPr>
          <w:b w:val="0"/>
          <w:bCs w:val="0"/>
        </w:rPr>
      </w:pPr>
      <w:bookmarkStart w:name="十、接待调研、沟通、采访等活动" w:id="59"/>
      <w:bookmarkEnd w:id="59"/>
      <w:r>
        <w:rPr>
          <w:b w:val="0"/>
          <w:bCs w:val="0"/>
        </w:rPr>
      </w:r>
      <w:r>
        <w:rPr/>
        <w:t>十、接待调研、沟通、采访等活动</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both"/>
        <w:rPr>
          <w:b w:val="0"/>
          <w:bCs w:val="0"/>
        </w:rPr>
      </w:pPr>
      <w:bookmarkStart w:name="1、报告期内接待调研、沟通、采访等活动登记表" w:id="60"/>
      <w:bookmarkEnd w:id="60"/>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702"/>
        <w:gridCol w:w="1134"/>
        <w:gridCol w:w="1418"/>
        <w:gridCol w:w="5316"/>
      </w:tblGrid>
      <w:tr>
        <w:trPr>
          <w:trHeight w:val="401"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85" w:right="0"/>
              <w:jc w:val="left"/>
              <w:rPr>
                <w:rFonts w:ascii="宋体" w:hAnsi="宋体" w:cs="宋体" w:eastAsia="宋体" w:hint="default"/>
                <w:sz w:val="18"/>
                <w:szCs w:val="18"/>
              </w:rPr>
            </w:pPr>
            <w:r>
              <w:rPr>
                <w:rFonts w:ascii="宋体" w:hAnsi="宋体" w:cs="宋体" w:eastAsia="宋体" w:hint="default"/>
                <w:sz w:val="18"/>
                <w:szCs w:val="18"/>
              </w:rPr>
              <w:t>接待时间</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1"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3"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5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71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531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21"/>
              <w:jc w:val="left"/>
              <w:rPr>
                <w:rFonts w:ascii="Times New Roman" w:hAnsi="Times New Roman" w:cs="Times New Roman" w:eastAsia="Times New Roman" w:hint="default"/>
                <w:sz w:val="18"/>
                <w:szCs w:val="18"/>
              </w:rPr>
            </w:pPr>
            <w:r>
              <w:rPr>
                <w:rFonts w:ascii="宋体" w:hAnsi="宋体" w:cs="宋体" w:eastAsia="宋体" w:hint="default"/>
                <w:sz w:val="18"/>
                <w:szCs w:val="18"/>
              </w:rPr>
              <w:t>详见公司于</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日在巨潮资讯网上披露的投资者关系活动 </w:t>
            </w:r>
            <w:r>
              <w:rPr>
                <w:rFonts w:ascii="宋体" w:hAnsi="宋体" w:cs="宋体" w:eastAsia="宋体" w:hint="default"/>
                <w:spacing w:val="-5"/>
                <w:w w:val="99"/>
                <w:sz w:val="18"/>
                <w:szCs w:val="18"/>
              </w:rPr>
              <w:t>记录表。（</w:t>
            </w:r>
            <w:r>
              <w:rPr>
                <w:rFonts w:ascii="Times New Roman" w:hAnsi="Times New Roman" w:cs="Times New Roman" w:eastAsia="Times New Roman" w:hint="default"/>
                <w:spacing w:val="-5"/>
                <w:w w:val="99"/>
                <w:sz w:val="18"/>
                <w:szCs w:val="18"/>
              </w:rPr>
              <w:t>www.cninfo.com.cn)</w:t>
            </w:r>
          </w:p>
        </w:tc>
      </w:tr>
      <w:tr>
        <w:trPr>
          <w:trHeight w:val="71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531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63"/>
              <w:jc w:val="left"/>
              <w:rPr>
                <w:rFonts w:ascii="Times New Roman" w:hAnsi="Times New Roman" w:cs="Times New Roman" w:eastAsia="Times New Roman" w:hint="default"/>
                <w:sz w:val="18"/>
                <w:szCs w:val="18"/>
              </w:rPr>
            </w:pPr>
            <w:r>
              <w:rPr>
                <w:rFonts w:ascii="宋体" w:hAnsi="宋体" w:cs="宋体" w:eastAsia="宋体" w:hint="default"/>
                <w:sz w:val="18"/>
                <w:szCs w:val="18"/>
              </w:rPr>
              <w:t>详见公司于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日在巨潮资讯网上披露的投资者关系活 </w:t>
            </w:r>
            <w:r>
              <w:rPr>
                <w:rFonts w:ascii="宋体" w:hAnsi="宋体" w:cs="宋体" w:eastAsia="宋体" w:hint="default"/>
                <w:spacing w:val="-5"/>
                <w:w w:val="99"/>
                <w:sz w:val="18"/>
                <w:szCs w:val="18"/>
              </w:rPr>
              <w:t>动记录表。（</w:t>
            </w:r>
            <w:r>
              <w:rPr>
                <w:rFonts w:ascii="Times New Roman" w:hAnsi="Times New Roman" w:cs="Times New Roman" w:eastAsia="Times New Roman" w:hint="default"/>
                <w:spacing w:val="-5"/>
                <w:w w:val="99"/>
                <w:sz w:val="18"/>
                <w:szCs w:val="18"/>
              </w:rPr>
              <w:t>www.cninfo.com.cn)</w:t>
            </w:r>
          </w:p>
        </w:tc>
      </w:tr>
      <w:tr>
        <w:trPr>
          <w:trHeight w:val="71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531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20"/>
              <w:jc w:val="left"/>
              <w:rPr>
                <w:rFonts w:ascii="Times New Roman" w:hAnsi="Times New Roman" w:cs="Times New Roman" w:eastAsia="Times New Roman" w:hint="default"/>
                <w:sz w:val="18"/>
                <w:szCs w:val="18"/>
              </w:rPr>
            </w:pPr>
            <w:r>
              <w:rPr>
                <w:rFonts w:ascii="宋体" w:hAnsi="宋体" w:cs="宋体" w:eastAsia="宋体" w:hint="default"/>
                <w:sz w:val="18"/>
                <w:szCs w:val="18"/>
              </w:rPr>
              <w:t>详见公司于</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日在巨潮资讯网上披露的投资者关系活动 </w:t>
            </w:r>
            <w:r>
              <w:rPr>
                <w:rFonts w:ascii="宋体" w:hAnsi="宋体" w:cs="宋体" w:eastAsia="宋体" w:hint="default"/>
                <w:spacing w:val="-5"/>
                <w:w w:val="99"/>
                <w:sz w:val="18"/>
                <w:szCs w:val="18"/>
              </w:rPr>
              <w:t>记录表。（</w:t>
            </w:r>
            <w:r>
              <w:rPr>
                <w:rFonts w:ascii="Times New Roman" w:hAnsi="Times New Roman" w:cs="Times New Roman" w:eastAsia="Times New Roman" w:hint="default"/>
                <w:spacing w:val="-5"/>
                <w:w w:val="99"/>
                <w:sz w:val="18"/>
                <w:szCs w:val="18"/>
              </w:rPr>
              <w:t>www.cninfo.com.cn)</w:t>
            </w:r>
          </w:p>
        </w:tc>
      </w:tr>
      <w:tr>
        <w:trPr>
          <w:trHeight w:val="71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531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63"/>
              <w:jc w:val="left"/>
              <w:rPr>
                <w:rFonts w:ascii="Times New Roman" w:hAnsi="Times New Roman" w:cs="Times New Roman" w:eastAsia="Times New Roman" w:hint="default"/>
                <w:sz w:val="18"/>
                <w:szCs w:val="18"/>
              </w:rPr>
            </w:pPr>
            <w:r>
              <w:rPr>
                <w:rFonts w:ascii="宋体" w:hAnsi="宋体" w:cs="宋体" w:eastAsia="宋体" w:hint="default"/>
                <w:sz w:val="18"/>
                <w:szCs w:val="18"/>
              </w:rPr>
              <w:t>详见公司于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日在巨潮资讯网上披露的投资者关系活 </w:t>
            </w:r>
            <w:r>
              <w:rPr>
                <w:rFonts w:ascii="宋体" w:hAnsi="宋体" w:cs="宋体" w:eastAsia="宋体" w:hint="default"/>
                <w:spacing w:val="-5"/>
                <w:w w:val="99"/>
                <w:sz w:val="18"/>
                <w:szCs w:val="18"/>
              </w:rPr>
              <w:t>动记录表。（</w:t>
            </w:r>
            <w:r>
              <w:rPr>
                <w:rFonts w:ascii="Times New Roman" w:hAnsi="Times New Roman" w:cs="Times New Roman" w:eastAsia="Times New Roman" w:hint="default"/>
                <w:spacing w:val="-5"/>
                <w:w w:val="99"/>
                <w:sz w:val="18"/>
                <w:szCs w:val="18"/>
              </w:rPr>
              <w:t>www.cninfo.com.cn)</w:t>
            </w:r>
          </w:p>
        </w:tc>
      </w:tr>
      <w:tr>
        <w:trPr>
          <w:trHeight w:val="71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531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63"/>
              <w:jc w:val="left"/>
              <w:rPr>
                <w:rFonts w:ascii="Times New Roman" w:hAnsi="Times New Roman" w:cs="Times New Roman" w:eastAsia="Times New Roman" w:hint="default"/>
                <w:sz w:val="18"/>
                <w:szCs w:val="18"/>
              </w:rPr>
            </w:pPr>
            <w:r>
              <w:rPr>
                <w:rFonts w:ascii="宋体" w:hAnsi="宋体" w:cs="宋体" w:eastAsia="宋体" w:hint="default"/>
                <w:sz w:val="18"/>
                <w:szCs w:val="18"/>
              </w:rPr>
              <w:t>详见公司于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日在巨潮资讯网上披露的投资者关系活 </w:t>
            </w:r>
            <w:r>
              <w:rPr>
                <w:rFonts w:ascii="宋体" w:hAnsi="宋体" w:cs="宋体" w:eastAsia="宋体" w:hint="default"/>
                <w:spacing w:val="-5"/>
                <w:w w:val="99"/>
                <w:sz w:val="18"/>
                <w:szCs w:val="18"/>
              </w:rPr>
              <w:t>动记录表。（</w:t>
            </w:r>
            <w:r>
              <w:rPr>
                <w:rFonts w:ascii="Times New Roman" w:hAnsi="Times New Roman" w:cs="Times New Roman" w:eastAsia="Times New Roman" w:hint="default"/>
                <w:spacing w:val="-5"/>
                <w:w w:val="99"/>
                <w:sz w:val="18"/>
                <w:szCs w:val="18"/>
              </w:rPr>
              <w:t>www.cninfo.com.cn)</w:t>
            </w:r>
          </w:p>
        </w:tc>
      </w:tr>
    </w:tbl>
    <w:p>
      <w:pPr>
        <w:spacing w:after="0" w:line="30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3221"/>
        <w:jc w:val="center"/>
        <w:rPr>
          <w:b w:val="0"/>
          <w:bCs w:val="0"/>
        </w:rPr>
      </w:pPr>
      <w:bookmarkStart w:name="第五节 重要事项" w:id="61"/>
      <w:bookmarkEnd w:id="61"/>
      <w:r>
        <w:rPr>
          <w:b w:val="0"/>
          <w:bCs w:val="0"/>
        </w:rPr>
      </w:r>
      <w:bookmarkStart w:name="_bookmark3" w:id="62"/>
      <w:bookmarkEnd w:id="62"/>
      <w:r>
        <w:rPr>
          <w:b w:val="0"/>
          <w:bCs w:val="0"/>
        </w:rPr>
      </w:r>
      <w:r>
        <w:rPr/>
        <w:t>第五节</w:t>
      </w:r>
      <w:r>
        <w:rPr>
          <w:spacing w:val="-5"/>
        </w:rPr>
        <w:t> </w:t>
      </w:r>
      <w:r>
        <w:rPr/>
        <w:t>重要事项</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1022"/>
        <w:jc w:val="left"/>
        <w:rPr>
          <w:b w:val="0"/>
          <w:bCs w:val="0"/>
        </w:rPr>
      </w:pPr>
      <w:bookmarkStart w:name="一、公司普通股利润分配及资本公积金转增股本情况" w:id="63"/>
      <w:bookmarkEnd w:id="63"/>
      <w:r>
        <w:rPr>
          <w:b w:val="0"/>
          <w:bCs w:val="0"/>
        </w:rPr>
      </w:r>
      <w:r>
        <w:rPr/>
        <w:t>一、公司普通股利润分配及资本公积金转增股本情况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022"/>
        <w:jc w:val="left"/>
      </w:pPr>
      <w:r>
        <w:rPr/>
        <w:t>报告期内普通股利润分配政策，特别是现金分红政策的制定、执行或调整情况</w:t>
      </w:r>
    </w:p>
    <w:p>
      <w:pPr>
        <w:pStyle w:val="BodyText"/>
        <w:spacing w:line="338" w:lineRule="auto" w:before="117"/>
        <w:ind w:left="514" w:right="1022"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报告期内，公司严格执行利润分配相关政策，通过并实施了</w:t>
      </w:r>
      <w:r>
        <w:rPr>
          <w:rFonts w:ascii="Times New Roman" w:hAnsi="Times New Roman" w:cs="Times New Roman" w:eastAsia="Times New Roman" w:hint="default"/>
          <w:spacing w:val="-2"/>
        </w:rPr>
        <w:t>2017</w:t>
      </w:r>
      <w:r>
        <w:rPr>
          <w:spacing w:val="-2"/>
        </w:rPr>
        <w:t>年度利润分配方案；经公司第六届董事会第三十次会议</w:t>
      </w:r>
    </w:p>
    <w:p>
      <w:pPr>
        <w:pStyle w:val="BodyText"/>
        <w:spacing w:line="230" w:lineRule="exact"/>
        <w:ind w:right="1022"/>
        <w:jc w:val="left"/>
      </w:pPr>
      <w:r>
        <w:rPr/>
        <w:t>及</w:t>
      </w:r>
      <w:r>
        <w:rPr>
          <w:rFonts w:ascii="Times New Roman" w:hAnsi="Times New Roman" w:cs="Times New Roman" w:eastAsia="Times New Roman" w:hint="default"/>
        </w:rPr>
        <w:t>2017</w:t>
      </w:r>
      <w:r>
        <w:rPr/>
        <w:t>年度股东大会审议通过，公司制定并发布了《公司未来三年（</w:t>
      </w:r>
      <w:r>
        <w:rPr>
          <w:rFonts w:ascii="Times New Roman" w:hAnsi="Times New Roman" w:cs="Times New Roman" w:eastAsia="Times New Roman" w:hint="default"/>
        </w:rPr>
        <w:t>2018-2020</w:t>
      </w:r>
      <w:r>
        <w:rPr/>
        <w:t>年）股东回报规划》对公司未来三年的股利</w:t>
      </w:r>
    </w:p>
    <w:p>
      <w:pPr>
        <w:pStyle w:val="BodyText"/>
        <w:spacing w:line="316" w:lineRule="auto" w:before="63"/>
        <w:ind w:right="1022"/>
        <w:jc w:val="left"/>
      </w:pPr>
      <w:r>
        <w:rPr>
          <w:spacing w:val="-4"/>
        </w:rPr>
        <w:t>分配原则、分配方式、现金分红条件、分红比例等情况进行了明确阐述，对股东回报规划的制定周期和决策机制进行了规定，</w:t>
      </w:r>
      <w:r>
        <w:rPr>
          <w:spacing w:val="-46"/>
        </w:rPr>
        <w:t> </w:t>
      </w:r>
      <w:r>
        <w:rPr>
          <w:spacing w:val="-46"/>
        </w:rPr>
      </w:r>
      <w:r>
        <w:rPr/>
        <w:t>有利于提高公司利润分配政策透明度，推动公司建立科学、持续、稳定的分红决策和监督机制。</w:t>
      </w:r>
    </w:p>
    <w:tbl>
      <w:tblPr>
        <w:tblW w:w="0" w:type="auto"/>
        <w:jc w:val="left"/>
        <w:tblInd w:w="160" w:type="dxa"/>
        <w:tblLayout w:type="fixed"/>
        <w:tblCellMar>
          <w:top w:w="0" w:type="dxa"/>
          <w:left w:w="0" w:type="dxa"/>
          <w:bottom w:w="0" w:type="dxa"/>
          <w:right w:w="0" w:type="dxa"/>
        </w:tblCellMar>
        <w:tblLook w:val="01E0"/>
      </w:tblPr>
      <w:tblGrid>
        <w:gridCol w:w="5081"/>
        <w:gridCol w:w="4476"/>
      </w:tblGrid>
      <w:tr>
        <w:trPr>
          <w:trHeight w:val="397"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7"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47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47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47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47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9"/>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中小股东是否有充分表达意见和诉求的机会，其合法权益是否得 到了充分保护：</w:t>
            </w:r>
          </w:p>
        </w:tc>
        <w:tc>
          <w:tcPr>
            <w:tcW w:w="447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现金分红政策进行调整或变更的，条件及程序是否合规、透明：</w:t>
            </w:r>
          </w:p>
        </w:tc>
        <w:tc>
          <w:tcPr>
            <w:tcW w:w="447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338" w:lineRule="auto" w:before="59"/>
        <w:ind w:left="514" w:right="1022" w:hanging="360"/>
        <w:jc w:val="left"/>
      </w:pPr>
      <w:r>
        <w:rPr/>
        <w:t>公司近</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spacing w:val="-3"/>
        </w:rPr>
        <w:t>年（包括本报告期）的普通股股利分配方案（预案）、资本公积金转增股本方案（预案）情况</w:t>
      </w:r>
      <w:r>
        <w:rPr>
          <w:spacing w:val="-58"/>
        </w:rPr>
        <w:t> </w:t>
      </w:r>
      <w:r>
        <w:rPr>
          <w:spacing w:val="-58"/>
        </w:rPr>
      </w:r>
      <w:r>
        <w:rPr>
          <w:spacing w:val="-2"/>
        </w:rPr>
        <w:t>公司</w:t>
      </w:r>
      <w:r>
        <w:rPr>
          <w:rFonts w:ascii="Times New Roman" w:hAnsi="Times New Roman" w:cs="Times New Roman" w:eastAsia="Times New Roman" w:hint="default"/>
          <w:spacing w:val="-2"/>
        </w:rPr>
        <w:t>2018</w:t>
      </w:r>
      <w:r>
        <w:rPr>
          <w:spacing w:val="-2"/>
        </w:rPr>
        <w:t>年度利润分配和资本公积金转增股本方案：以董事会召开日总股本</w:t>
      </w:r>
      <w:r>
        <w:rPr>
          <w:rFonts w:ascii="Times New Roman" w:hAnsi="Times New Roman" w:cs="Times New Roman" w:eastAsia="Times New Roman" w:hint="default"/>
          <w:spacing w:val="-2"/>
        </w:rPr>
        <w:t>838,336,028</w:t>
      </w:r>
      <w:r>
        <w:rPr>
          <w:spacing w:val="-2"/>
        </w:rPr>
        <w:t>股为基数，向全体股东每</w:t>
      </w:r>
      <w:r>
        <w:rPr>
          <w:rFonts w:ascii="Times New Roman" w:hAnsi="Times New Roman" w:cs="Times New Roman" w:eastAsia="Times New Roman" w:hint="default"/>
          <w:spacing w:val="-2"/>
        </w:rPr>
        <w:t>10</w:t>
      </w:r>
      <w:r>
        <w:rPr>
          <w:spacing w:val="-2"/>
        </w:rPr>
        <w:t>股派</w:t>
      </w:r>
    </w:p>
    <w:p>
      <w:pPr>
        <w:pStyle w:val="BodyText"/>
        <w:spacing w:line="230" w:lineRule="exact"/>
        <w:ind w:right="1022"/>
        <w:jc w:val="left"/>
      </w:pPr>
      <w:r>
        <w:rPr/>
        <w:t>发现金红利</w:t>
      </w:r>
      <w:r>
        <w:rPr>
          <w:rFonts w:ascii="Times New Roman" w:hAnsi="Times New Roman" w:cs="Times New Roman" w:eastAsia="Times New Roman" w:hint="default"/>
        </w:rPr>
        <w:t>0.15</w:t>
      </w:r>
      <w:r>
        <w:rPr/>
        <w:t>元（含税），不以公积金转增股本。</w:t>
      </w:r>
    </w:p>
    <w:p>
      <w:pPr>
        <w:pStyle w:val="BodyText"/>
        <w:spacing w:line="300" w:lineRule="auto" w:before="63"/>
        <w:ind w:right="1022" w:firstLine="360"/>
        <w:jc w:val="left"/>
      </w:pPr>
      <w:r>
        <w:rPr>
          <w:spacing w:val="-2"/>
        </w:rPr>
        <w:t>公司</w:t>
      </w:r>
      <w:r>
        <w:rPr>
          <w:rFonts w:ascii="Times New Roman" w:hAnsi="Times New Roman" w:cs="Times New Roman" w:eastAsia="Times New Roman" w:hint="default"/>
          <w:spacing w:val="-2"/>
        </w:rPr>
        <w:t>2017</w:t>
      </w:r>
      <w:r>
        <w:rPr>
          <w:spacing w:val="-2"/>
        </w:rPr>
        <w:t>年度利润分配和资本公积金转增股本方案：以董事会召开日总股本</w:t>
      </w:r>
      <w:r>
        <w:rPr>
          <w:rFonts w:ascii="Times New Roman" w:hAnsi="Times New Roman" w:cs="Times New Roman" w:eastAsia="Times New Roman" w:hint="default"/>
          <w:spacing w:val="-2"/>
        </w:rPr>
        <w:t>838,336,028</w:t>
      </w:r>
      <w:r>
        <w:rPr>
          <w:spacing w:val="-2"/>
        </w:rPr>
        <w:t>股为基数，向全体股东每</w:t>
      </w:r>
      <w:r>
        <w:rPr>
          <w:rFonts w:ascii="Times New Roman" w:hAnsi="Times New Roman" w:cs="Times New Roman" w:eastAsia="Times New Roman" w:hint="default"/>
          <w:spacing w:val="-2"/>
        </w:rPr>
        <w:t>10</w:t>
      </w:r>
      <w:r>
        <w:rPr>
          <w:spacing w:val="-2"/>
        </w:rPr>
        <w:t>股派</w:t>
      </w:r>
      <w:r>
        <w:rPr/>
        <w:t> 发现金红利</w:t>
      </w:r>
      <w:r>
        <w:rPr>
          <w:rFonts w:ascii="Times New Roman" w:hAnsi="Times New Roman" w:cs="Times New Roman" w:eastAsia="Times New Roman" w:hint="default"/>
        </w:rPr>
        <w:t>0.5</w:t>
      </w:r>
      <w:r>
        <w:rPr/>
        <w:t>元（含税），不以公积金转增股本。</w:t>
      </w:r>
    </w:p>
    <w:p>
      <w:pPr>
        <w:pStyle w:val="BodyText"/>
        <w:spacing w:line="300" w:lineRule="auto" w:before="13"/>
        <w:ind w:right="1022" w:firstLine="360"/>
        <w:jc w:val="left"/>
      </w:pPr>
      <w:r>
        <w:rPr>
          <w:spacing w:val="-2"/>
        </w:rPr>
        <w:t>公司</w:t>
      </w:r>
      <w:r>
        <w:rPr>
          <w:rFonts w:ascii="Times New Roman" w:hAnsi="Times New Roman" w:cs="Times New Roman" w:eastAsia="Times New Roman" w:hint="default"/>
          <w:spacing w:val="-2"/>
        </w:rPr>
        <w:t>2016</w:t>
      </w:r>
      <w:r>
        <w:rPr>
          <w:spacing w:val="-2"/>
        </w:rPr>
        <w:t>年度利润分配和资本公积金转增股本方案：以董事会召开日总股本</w:t>
      </w:r>
      <w:r>
        <w:rPr>
          <w:rFonts w:ascii="Times New Roman" w:hAnsi="Times New Roman" w:cs="Times New Roman" w:eastAsia="Times New Roman" w:hint="default"/>
          <w:spacing w:val="-2"/>
        </w:rPr>
        <w:t>523,960,018</w:t>
      </w:r>
      <w:r>
        <w:rPr>
          <w:spacing w:val="-2"/>
        </w:rPr>
        <w:t>股为基数，向全体股东每</w:t>
      </w:r>
      <w:r>
        <w:rPr>
          <w:rFonts w:ascii="Times New Roman" w:hAnsi="Times New Roman" w:cs="Times New Roman" w:eastAsia="Times New Roman" w:hint="default"/>
          <w:spacing w:val="-2"/>
        </w:rPr>
        <w:t>10</w:t>
      </w:r>
      <w:r>
        <w:rPr>
          <w:spacing w:val="-2"/>
        </w:rPr>
        <w:t>股派</w:t>
      </w:r>
      <w:r>
        <w:rPr/>
        <w:t> 发现金红利</w:t>
      </w:r>
      <w:r>
        <w:rPr>
          <w:rFonts w:ascii="Times New Roman" w:hAnsi="Times New Roman" w:cs="Times New Roman" w:eastAsia="Times New Roman" w:hint="default"/>
        </w:rPr>
        <w:t>0.5</w:t>
      </w:r>
      <w:r>
        <w:rPr/>
        <w:t>元（含税）；同时，以资本公积金转增股本方式向全体股东每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6</w:t>
      </w:r>
      <w:r>
        <w:rPr/>
        <w:t>股。</w:t>
      </w:r>
    </w:p>
    <w:p>
      <w:pPr>
        <w:spacing w:line="240" w:lineRule="auto" w:before="7"/>
        <w:rPr>
          <w:rFonts w:ascii="宋体" w:hAnsi="宋体" w:cs="宋体" w:eastAsia="宋体" w:hint="default"/>
          <w:sz w:val="24"/>
          <w:szCs w:val="24"/>
        </w:rPr>
      </w:pPr>
    </w:p>
    <w:p>
      <w:pPr>
        <w:pStyle w:val="BodyText"/>
        <w:spacing w:line="240" w:lineRule="auto" w:before="44"/>
        <w:ind w:right="1022"/>
        <w:jc w:val="left"/>
      </w:pPr>
      <w:r>
        <w:rPr/>
        <w:t>公司近三年（包括本报告期）普通股现金分红情况表</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198"/>
        <w:gridCol w:w="1194"/>
        <w:gridCol w:w="1196"/>
        <w:gridCol w:w="1197"/>
        <w:gridCol w:w="1196"/>
        <w:gridCol w:w="1185"/>
        <w:gridCol w:w="1207"/>
        <w:gridCol w:w="1184"/>
      </w:tblGrid>
      <w:tr>
        <w:trPr>
          <w:trHeight w:val="161" w:hRule="exact"/>
        </w:trPr>
        <w:tc>
          <w:tcPr>
            <w:tcW w:w="1198" w:type="dxa"/>
            <w:vMerge w:val="restart"/>
            <w:tcBorders>
              <w:top w:val="single" w:sz="4" w:space="0" w:color="000000"/>
              <w:left w:val="single" w:sz="4" w:space="0" w:color="000000"/>
              <w:right w:val="single" w:sz="4" w:space="0" w:color="000000"/>
            </w:tcBorders>
            <w:shd w:val="clear" w:color="auto" w:fill="D2D2D2"/>
          </w:tcPr>
          <w:p>
            <w:pPr/>
          </w:p>
        </w:tc>
        <w:tc>
          <w:tcPr>
            <w:tcW w:w="1194" w:type="dxa"/>
            <w:vMerge w:val="restart"/>
            <w:tcBorders>
              <w:top w:val="single" w:sz="4" w:space="0" w:color="000000"/>
              <w:left w:val="single" w:sz="4" w:space="0" w:color="000000"/>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19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185"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7" w:type="dxa"/>
            <w:vMerge w:val="restart"/>
            <w:tcBorders>
              <w:top w:val="single" w:sz="4" w:space="0" w:color="000000"/>
              <w:left w:val="single" w:sz="4" w:space="0" w:color="000000"/>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6" w:lineRule="auto" w:before="76"/>
              <w:ind w:left="53" w:right="39"/>
              <w:jc w:val="center"/>
              <w:rPr>
                <w:rFonts w:ascii="宋体" w:hAnsi="宋体" w:cs="宋体" w:eastAsia="宋体" w:hint="default"/>
                <w:sz w:val="18"/>
                <w:szCs w:val="18"/>
              </w:rPr>
            </w:pPr>
            <w:r>
              <w:rPr>
                <w:rFonts w:ascii="宋体" w:hAnsi="宋体" w:cs="宋体" w:eastAsia="宋体" w:hint="default"/>
                <w:sz w:val="18"/>
                <w:szCs w:val="18"/>
              </w:rPr>
              <w:t>（含其他方 式）占合并报 表中归属于上 市公司普通股 股东的净利润 的比率</w:t>
            </w: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7"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2" w:right="52"/>
              <w:jc w:val="center"/>
              <w:rPr>
                <w:rFonts w:ascii="宋体" w:hAnsi="宋体" w:cs="宋体" w:eastAsia="宋体" w:hint="default"/>
                <w:sz w:val="18"/>
                <w:szCs w:val="18"/>
              </w:rPr>
            </w:pPr>
            <w:r>
              <w:rPr>
                <w:rFonts w:ascii="宋体" w:hAnsi="宋体" w:cs="宋体" w:eastAsia="宋体" w:hint="default"/>
                <w:sz w:val="18"/>
                <w:szCs w:val="18"/>
              </w:rPr>
              <w:t>现金分红金额 占合并报表中 归属于上市公 司普通股股东 的净利润的比 率</w:t>
            </w:r>
          </w:p>
        </w:tc>
        <w:tc>
          <w:tcPr>
            <w:tcW w:w="1196" w:type="dxa"/>
            <w:vMerge/>
            <w:tcBorders>
              <w:left w:val="single" w:sz="4" w:space="0" w:color="000000"/>
              <w:right w:val="single" w:sz="4" w:space="0" w:color="000000"/>
            </w:tcBorders>
            <w:shd w:val="clear" w:color="auto" w:fill="D2D2D2"/>
          </w:tcPr>
          <w:p>
            <w:pPr/>
          </w:p>
        </w:tc>
        <w:tc>
          <w:tcPr>
            <w:tcW w:w="118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3" w:right="39"/>
              <w:jc w:val="both"/>
              <w:rPr>
                <w:rFonts w:ascii="宋体" w:hAnsi="宋体" w:cs="宋体" w:eastAsia="宋体" w:hint="default"/>
                <w:sz w:val="18"/>
                <w:szCs w:val="18"/>
              </w:rPr>
            </w:pPr>
            <w:r>
              <w:rPr>
                <w:rFonts w:ascii="宋体" w:hAnsi="宋体" w:cs="宋体" w:eastAsia="宋体" w:hint="default"/>
                <w:sz w:val="18"/>
                <w:szCs w:val="18"/>
              </w:rPr>
              <w:t>以其他方式现 金分红金额占 合并报表中归 属于上市公司 普通股股东的 净利润的比例</w:t>
            </w:r>
          </w:p>
        </w:tc>
        <w:tc>
          <w:tcPr>
            <w:tcW w:w="120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3" w:right="50"/>
              <w:jc w:val="center"/>
              <w:rPr>
                <w:rFonts w:ascii="宋体" w:hAnsi="宋体" w:cs="宋体" w:eastAsia="宋体" w:hint="default"/>
                <w:sz w:val="18"/>
                <w:szCs w:val="18"/>
              </w:rPr>
            </w:pPr>
            <w:r>
              <w:rPr>
                <w:rFonts w:ascii="宋体" w:hAnsi="宋体" w:cs="宋体" w:eastAsia="宋体" w:hint="default"/>
                <w:sz w:val="18"/>
                <w:szCs w:val="18"/>
              </w:rPr>
              <w:t>分红年度合并 报表中归属于 上市公司普通 股股东的净利 润</w:t>
            </w:r>
          </w:p>
        </w:tc>
        <w:tc>
          <w:tcPr>
            <w:tcW w:w="1197"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以其他方式</w:t>
            </w:r>
          </w:p>
          <w:p>
            <w:pPr>
              <w:pStyle w:val="TableParagraph"/>
              <w:spacing w:line="319" w:lineRule="auto" w:before="76"/>
              <w:ind w:left="52" w:right="51"/>
              <w:jc w:val="center"/>
              <w:rPr>
                <w:rFonts w:ascii="宋体" w:hAnsi="宋体" w:cs="宋体" w:eastAsia="宋体" w:hint="default"/>
                <w:sz w:val="18"/>
                <w:szCs w:val="18"/>
              </w:rPr>
            </w:pPr>
            <w:r>
              <w:rPr>
                <w:rFonts w:ascii="宋体" w:hAnsi="宋体" w:cs="宋体" w:eastAsia="宋体" w:hint="default"/>
                <w:sz w:val="18"/>
                <w:szCs w:val="18"/>
              </w:rPr>
              <w:t>（如回购股 份）现金分红 的金额</w:t>
            </w: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bottom w:val="nil" w:sz="6" w:space="0" w:color="auto"/>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4" w:right="0"/>
              <w:jc w:val="left"/>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9" w:lineRule="auto" w:before="76"/>
              <w:ind w:left="424" w:right="141" w:hanging="270"/>
              <w:jc w:val="left"/>
              <w:rPr>
                <w:rFonts w:ascii="宋体" w:hAnsi="宋体" w:cs="宋体" w:eastAsia="宋体" w:hint="default"/>
                <w:sz w:val="18"/>
                <w:szCs w:val="18"/>
              </w:rPr>
            </w:pPr>
            <w:r>
              <w:rPr>
                <w:rFonts w:ascii="宋体" w:hAnsi="宋体" w:cs="宋体" w:eastAsia="宋体" w:hint="default"/>
                <w:sz w:val="18"/>
                <w:szCs w:val="18"/>
              </w:rPr>
              <w:t>（含其他方 式）</w:t>
            </w: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bottom w:val="nil" w:sz="6" w:space="0" w:color="auto"/>
              <w:right w:val="single" w:sz="4" w:space="0" w:color="000000"/>
            </w:tcBorders>
            <w:shd w:val="clear" w:color="auto" w:fill="D2D2D2"/>
          </w:tcPr>
          <w:p>
            <w:pPr/>
          </w:p>
        </w:tc>
        <w:tc>
          <w:tcPr>
            <w:tcW w:w="11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现金分红金额</w:t>
            </w:r>
          </w:p>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z w:val="18"/>
                <w:szCs w:val="18"/>
              </w:rPr>
              <w:t>（含税）</w:t>
            </w: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392" w:hRule="exact"/>
        </w:trPr>
        <w:tc>
          <w:tcPr>
            <w:tcW w:w="11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194"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val="restart"/>
            <w:tcBorders>
              <w:top w:val="nil" w:sz="6" w:space="0" w:color="auto"/>
              <w:left w:val="single" w:sz="4" w:space="0" w:color="000000"/>
              <w:right w:val="single" w:sz="4" w:space="0" w:color="000000"/>
            </w:tcBorders>
            <w:shd w:val="clear" w:color="auto" w:fill="D2D2D2"/>
          </w:tcPr>
          <w:p>
            <w:pPr/>
          </w:p>
        </w:tc>
        <w:tc>
          <w:tcPr>
            <w:tcW w:w="1194"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4" w:type="dxa"/>
            <w:vMerge w:val="restart"/>
            <w:tcBorders>
              <w:top w:val="nil" w:sz="6" w:space="0" w:color="auto"/>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bottom w:val="nil" w:sz="6" w:space="0" w:color="auto"/>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
        </w:tc>
        <w:tc>
          <w:tcPr>
            <w:tcW w:w="1197"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bottom w:val="nil" w:sz="6" w:space="0" w:color="auto"/>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61" w:hRule="exact"/>
        </w:trPr>
        <w:tc>
          <w:tcPr>
            <w:tcW w:w="1198" w:type="dxa"/>
            <w:vMerge/>
            <w:tcBorders>
              <w:left w:val="single" w:sz="4" w:space="0" w:color="000000"/>
              <w:bottom w:val="single" w:sz="4" w:space="0" w:color="000000"/>
              <w:right w:val="single" w:sz="4" w:space="0" w:color="000000"/>
            </w:tcBorders>
            <w:shd w:val="clear" w:color="auto" w:fill="D2D2D2"/>
          </w:tcPr>
          <w:p>
            <w:pPr/>
          </w:p>
        </w:tc>
        <w:tc>
          <w:tcPr>
            <w:tcW w:w="1194"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85"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7"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12,575,040.42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120,204,513.73</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10.46%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12,575,040.42</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10.46%</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41,916,801.40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169,054,901.59</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24.79%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41,916,801.40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24.79%</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26,198,000.90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155,751,257.66</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16.82%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26,198,000.90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16.82%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1022"/>
        <w:jc w:val="left"/>
      </w:pPr>
      <w:r>
        <w:rPr/>
        <w:t>公司报告期内盈利且母公司可供普通股股东分配利润为正但未提出普通股现金红利分配预案</w:t>
      </w:r>
    </w:p>
    <w:p>
      <w:pPr>
        <w:pStyle w:val="BodyText"/>
        <w:spacing w:line="240" w:lineRule="auto" w:before="116"/>
        <w:ind w:right="10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022"/>
        <w:jc w:val="left"/>
        <w:rPr>
          <w:b w:val="0"/>
          <w:bCs w:val="0"/>
        </w:rPr>
      </w:pPr>
      <w:bookmarkStart w:name="二、本报告期利润分配及资本公积金转增股本预案" w:id="64"/>
      <w:bookmarkEnd w:id="64"/>
      <w:r>
        <w:rPr>
          <w:b w:val="0"/>
          <w:bCs w:val="0"/>
        </w:rPr>
      </w:r>
      <w:r>
        <w:rPr/>
        <w:t>二、本报告期利润分配及资本公积金转增股本预案</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089"/>
        <w:gridCol w:w="5469"/>
      </w:tblGrid>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4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4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0.15</w:t>
            </w: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4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4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838,336,028</w:t>
            </w: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现金分红金额（元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4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12,575,040.42</w:t>
            </w: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以其他方式（如回购股份）现金分红金额（元）</w:t>
            </w:r>
          </w:p>
        </w:tc>
        <w:tc>
          <w:tcPr>
            <w:tcW w:w="54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现金分红总额（含其他方式</w:t>
            </w:r>
            <w:r>
              <w:rPr>
                <w:rFonts w:ascii="宋体" w:hAnsi="宋体" w:cs="宋体" w:eastAsia="宋体" w:hint="default"/>
                <w:spacing w:val="-90"/>
                <w:sz w:val="18"/>
                <w:szCs w:val="18"/>
              </w:rPr>
              <w:t>）</w:t>
            </w:r>
            <w:r>
              <w:rPr>
                <w:rFonts w:ascii="宋体" w:hAnsi="宋体" w:cs="宋体" w:eastAsia="宋体" w:hint="default"/>
                <w:sz w:val="18"/>
                <w:szCs w:val="18"/>
              </w:rPr>
              <w:t>（元）</w:t>
            </w:r>
          </w:p>
        </w:tc>
        <w:tc>
          <w:tcPr>
            <w:tcW w:w="54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12,575,040.42</w:t>
            </w: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4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156,621,931.96</w:t>
            </w:r>
          </w:p>
        </w:tc>
      </w:tr>
      <w:tr>
        <w:trPr>
          <w:trHeight w:val="407"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4"/>
                <w:sz w:val="18"/>
                <w:szCs w:val="18"/>
              </w:rPr>
              <w:t>现金分红总额（含其他方式）占利润分配总额的比例</w:t>
            </w:r>
          </w:p>
        </w:tc>
        <w:tc>
          <w:tcPr>
            <w:tcW w:w="54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100%</w:t>
            </w:r>
          </w:p>
        </w:tc>
      </w:tr>
      <w:tr>
        <w:trPr>
          <w:trHeight w:val="397"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2" w:hRule="exact"/>
        </w:trPr>
        <w:tc>
          <w:tcPr>
            <w:tcW w:w="95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2"/>
                <w:sz w:val="18"/>
                <w:szCs w:val="18"/>
              </w:rPr>
              <w:t>公司发展阶段不易区分但有重大资金支出安排的，进行利润分配时，现金分红在本次利润分配中所占比例最低应达到</w:t>
            </w:r>
            <w:r>
              <w:rPr>
                <w:rFonts w:ascii="宋体" w:hAnsi="宋体" w:cs="宋体" w:eastAsia="宋体" w:hint="default"/>
                <w:spacing w:val="-15"/>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p>
        </w:tc>
      </w:tr>
      <w:tr>
        <w:trPr>
          <w:trHeight w:val="40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77"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bl>
    <w:p>
      <w:pPr>
        <w:pStyle w:val="BodyText"/>
        <w:spacing w:line="240" w:lineRule="auto" w:before="51"/>
        <w:ind w:right="1022"/>
        <w:jc w:val="left"/>
        <w:rPr>
          <w:rFonts w:ascii="Times New Roman" w:hAnsi="Times New Roman" w:cs="Times New Roman" w:eastAsia="Times New Roman" w:hint="default"/>
        </w:rPr>
      </w:pPr>
      <w:r>
        <w:rPr>
          <w:spacing w:val="-9"/>
        </w:rPr>
        <w:t>经大华会计师事务所（特殊普通合伙）审计，</w:t>
      </w:r>
      <w:r>
        <w:rPr>
          <w:rFonts w:ascii="Times New Roman" w:hAnsi="Times New Roman" w:cs="Times New Roman" w:eastAsia="Times New Roman" w:hint="default"/>
          <w:spacing w:val="-9"/>
        </w:rPr>
        <w:t>2018 </w:t>
      </w:r>
      <w:r>
        <w:rPr/>
        <w:t>年度母公司实现净利润 </w:t>
      </w:r>
      <w:r>
        <w:rPr>
          <w:rFonts w:ascii="Times New Roman" w:hAnsi="Times New Roman" w:cs="Times New Roman" w:eastAsia="Times New Roman" w:hint="default"/>
        </w:rPr>
        <w:t>28,340,267.22 </w:t>
      </w:r>
      <w:r>
        <w:rPr>
          <w:spacing w:val="-7"/>
        </w:rPr>
        <w:t>元，提取的法定盈余公积</w:t>
      </w:r>
      <w:r>
        <w:rPr>
          <w:spacing w:val="-58"/>
        </w:rPr>
        <w:t> </w:t>
      </w:r>
      <w:r>
        <w:rPr>
          <w:rFonts w:ascii="Times New Roman" w:hAnsi="Times New Roman" w:cs="Times New Roman" w:eastAsia="Times New Roman" w:hint="default"/>
        </w:rPr>
        <w:t>2,834,026.72</w:t>
      </w:r>
    </w:p>
    <w:p>
      <w:pPr>
        <w:pStyle w:val="BodyText"/>
        <w:spacing w:line="240" w:lineRule="auto" w:before="63"/>
        <w:ind w:right="1022"/>
        <w:jc w:val="left"/>
      </w:pPr>
      <w:r>
        <w:rPr/>
        <w:t>元后，加上上年度未分配利润</w:t>
      </w:r>
      <w:r>
        <w:rPr>
          <w:spacing w:val="-49"/>
        </w:rPr>
        <w:t> </w:t>
      </w:r>
      <w:r>
        <w:rPr>
          <w:rFonts w:ascii="Times New Roman" w:hAnsi="Times New Roman" w:cs="Times New Roman" w:eastAsia="Times New Roman" w:hint="default"/>
        </w:rPr>
        <w:t>131,115,691.46</w:t>
      </w:r>
      <w:r>
        <w:rPr>
          <w:rFonts w:ascii="Times New Roman" w:hAnsi="Times New Roman" w:cs="Times New Roman" w:eastAsia="Times New Roman" w:hint="default"/>
          <w:spacing w:val="40"/>
        </w:rPr>
        <w:t> </w:t>
      </w:r>
      <w:r>
        <w:rPr/>
        <w:t>元，本年度可供分配的利润为</w:t>
      </w:r>
      <w:r>
        <w:rPr>
          <w:spacing w:val="-49"/>
        </w:rPr>
        <w:t> </w:t>
      </w:r>
      <w:r>
        <w:rPr>
          <w:rFonts w:ascii="Times New Roman" w:hAnsi="Times New Roman" w:cs="Times New Roman" w:eastAsia="Times New Roman" w:hint="default"/>
        </w:rPr>
        <w:t>156,621,931.96</w:t>
      </w:r>
      <w:r>
        <w:rPr>
          <w:rFonts w:ascii="Times New Roman" w:hAnsi="Times New Roman" w:cs="Times New Roman" w:eastAsia="Times New Roman" w:hint="default"/>
          <w:spacing w:val="-3"/>
        </w:rPr>
        <w:t> </w:t>
      </w:r>
      <w:r>
        <w:rPr/>
        <w:t>元。</w:t>
      </w:r>
    </w:p>
    <w:p>
      <w:pPr>
        <w:pStyle w:val="BodyText"/>
        <w:spacing w:line="240" w:lineRule="auto" w:before="103"/>
        <w:ind w:right="1022"/>
        <w:jc w:val="left"/>
      </w:pPr>
      <w:r>
        <w:rPr/>
        <w:t>根据公司实际情况，现就</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年度的利润分配提出如下方案：</w:t>
      </w:r>
    </w:p>
    <w:p>
      <w:pPr>
        <w:spacing w:line="240" w:lineRule="auto" w:before="4"/>
        <w:rPr>
          <w:rFonts w:ascii="宋体" w:hAnsi="宋体" w:cs="宋体" w:eastAsia="宋体" w:hint="default"/>
          <w:sz w:val="7"/>
          <w:szCs w:val="7"/>
        </w:rPr>
      </w:pPr>
    </w:p>
    <w:p>
      <w:pPr>
        <w:spacing w:line="714" w:lineRule="exact"/>
        <w:ind w:left="154" w:right="0" w:firstLine="0"/>
        <w:rPr>
          <w:rFonts w:ascii="宋体" w:hAnsi="宋体" w:cs="宋体" w:eastAsia="宋体" w:hint="default"/>
          <w:sz w:val="20"/>
          <w:szCs w:val="20"/>
        </w:rPr>
      </w:pPr>
      <w:r>
        <w:rPr>
          <w:rFonts w:ascii="宋体" w:hAnsi="宋体" w:cs="宋体" w:eastAsia="宋体" w:hint="default"/>
          <w:position w:val="-13"/>
          <w:sz w:val="20"/>
          <w:szCs w:val="20"/>
        </w:rPr>
        <w:pict>
          <v:shape style="width:478.45pt;height:35.7pt;mso-position-horizontal-relative:char;mso-position-vertical-relative:line" type="#_x0000_t202" filled="false" stroked="true" strokeweight=".48004pt" strokecolor="#000000">
            <w10:anchorlock/>
            <v:textbox inset="0,0,0,0">
              <w:txbxContent>
                <w:p>
                  <w:pPr>
                    <w:pStyle w:val="BodyText"/>
                    <w:spacing w:line="240" w:lineRule="auto" w:before="51"/>
                    <w:ind w:left="22" w:right="0"/>
                    <w:jc w:val="left"/>
                  </w:pPr>
                  <w:r>
                    <w:rPr/>
                    <w:t>以董事会召开日总股本</w:t>
                  </w:r>
                  <w:r>
                    <w:rPr>
                      <w:spacing w:val="-46"/>
                    </w:rPr>
                    <w:t> </w:t>
                  </w:r>
                  <w:r>
                    <w:rPr>
                      <w:rFonts w:ascii="Times New Roman" w:hAnsi="Times New Roman" w:cs="Times New Roman" w:eastAsia="Times New Roman" w:hint="default"/>
                    </w:rPr>
                    <w:t>838,336,028</w:t>
                  </w:r>
                  <w:r>
                    <w:rPr>
                      <w:rFonts w:ascii="Times New Roman" w:hAnsi="Times New Roman" w:cs="Times New Roman" w:eastAsia="Times New Roman" w:hint="default"/>
                      <w:spacing w:val="-1"/>
                    </w:rPr>
                    <w:t> </w:t>
                  </w:r>
                  <w:r>
                    <w:rPr/>
                    <w:t>股为基数，向全体股东每</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股派</w:t>
                  </w:r>
                  <w:r>
                    <w:rPr>
                      <w:spacing w:val="1"/>
                    </w:rPr>
                    <w:t>发</w:t>
                  </w:r>
                  <w:r>
                    <w:rPr/>
                    <w:t>现金红利</w:t>
                  </w:r>
                  <w:r>
                    <w:rPr>
                      <w:spacing w:val="-46"/>
                    </w:rPr>
                    <w:t> </w:t>
                  </w:r>
                  <w:r>
                    <w:rPr>
                      <w:rFonts w:ascii="Times New Roman" w:hAnsi="Times New Roman" w:cs="Times New Roman" w:eastAsia="Times New Roman" w:hint="default"/>
                    </w:rPr>
                    <w:t>0.15</w:t>
                  </w:r>
                  <w:r>
                    <w:rPr>
                      <w:rFonts w:ascii="Times New Roman" w:hAnsi="Times New Roman" w:cs="Times New Roman" w:eastAsia="Times New Roman" w:hint="default"/>
                      <w:spacing w:val="-1"/>
                    </w:rPr>
                    <w:t> </w:t>
                  </w:r>
                  <w:r>
                    <w:rPr/>
                    <w:t>元（含税</w:t>
                  </w:r>
                  <w:r>
                    <w:rPr>
                      <w:spacing w:val="-90"/>
                    </w:rPr>
                    <w:t>）</w:t>
                  </w:r>
                  <w:r>
                    <w:rPr/>
                    <w:t>，共计派发现金红利</w:t>
                  </w:r>
                </w:p>
                <w:p>
                  <w:pPr>
                    <w:pStyle w:val="BodyText"/>
                    <w:spacing w:line="240" w:lineRule="auto" w:before="64"/>
                    <w:ind w:left="22" w:right="0"/>
                    <w:jc w:val="left"/>
                  </w:pPr>
                  <w:r>
                    <w:rPr>
                      <w:rFonts w:ascii="Times New Roman" w:hAnsi="Times New Roman" w:cs="Times New Roman" w:eastAsia="Times New Roman" w:hint="default"/>
                    </w:rPr>
                    <w:t>12,575,040.42</w:t>
                  </w:r>
                  <w:r>
                    <w:rPr>
                      <w:rFonts w:ascii="Times New Roman" w:hAnsi="Times New Roman" w:cs="Times New Roman" w:eastAsia="Times New Roman" w:hint="default"/>
                      <w:spacing w:val="42"/>
                    </w:rPr>
                    <w:t> </w:t>
                  </w:r>
                  <w:r>
                    <w:rPr/>
                    <w:t>元。</w:t>
                  </w:r>
                </w:p>
              </w:txbxContent>
            </v:textbox>
          </v:shape>
        </w:pict>
      </w:r>
      <w:r>
        <w:rPr>
          <w:rFonts w:ascii="宋体" w:hAnsi="宋体" w:cs="宋体" w:eastAsia="宋体" w:hint="default"/>
          <w:position w:val="-13"/>
          <w:sz w:val="20"/>
          <w:szCs w:val="20"/>
        </w:rPr>
      </w:r>
    </w:p>
    <w:p>
      <w:pPr>
        <w:spacing w:line="240" w:lineRule="auto" w:before="7"/>
        <w:rPr>
          <w:rFonts w:ascii="宋体" w:hAnsi="宋体" w:cs="宋体" w:eastAsia="宋体" w:hint="default"/>
          <w:sz w:val="18"/>
          <w:szCs w:val="18"/>
        </w:rPr>
      </w:pPr>
    </w:p>
    <w:p>
      <w:pPr>
        <w:pStyle w:val="Heading2"/>
        <w:spacing w:line="240" w:lineRule="auto" w:before="26"/>
        <w:ind w:right="1022"/>
        <w:jc w:val="left"/>
        <w:rPr>
          <w:b w:val="0"/>
          <w:bCs w:val="0"/>
        </w:rPr>
      </w:pPr>
      <w:bookmarkStart w:name="三、承诺事项履行情况" w:id="65"/>
      <w:bookmarkEnd w:id="65"/>
      <w:r>
        <w:rPr>
          <w:b w:val="0"/>
          <w:bCs w:val="0"/>
        </w:rPr>
      </w:r>
      <w:r>
        <w:rPr/>
        <w:t>三、承诺事项履行情况</w:t>
      </w:r>
      <w:r>
        <w:rPr>
          <w:b w:val="0"/>
          <w:bCs w:val="0"/>
        </w:rPr>
      </w:r>
    </w:p>
    <w:p>
      <w:pPr>
        <w:spacing w:line="240" w:lineRule="auto" w:before="8"/>
        <w:rPr>
          <w:rFonts w:ascii="宋体" w:hAnsi="宋体" w:cs="宋体" w:eastAsia="宋体" w:hint="default"/>
          <w:b/>
          <w:bCs/>
          <w:sz w:val="24"/>
          <w:szCs w:val="24"/>
        </w:rPr>
      </w:pPr>
    </w:p>
    <w:p>
      <w:pPr>
        <w:pStyle w:val="Heading3"/>
        <w:spacing w:line="259" w:lineRule="auto"/>
        <w:ind w:right="1022"/>
        <w:jc w:val="left"/>
        <w:rPr>
          <w:b w:val="0"/>
          <w:bCs w:val="0"/>
        </w:rPr>
      </w:pPr>
      <w:bookmarkStart w:name="1、公司实际控制人、股东、关联方、收购人以及公司等承诺相关方在报告期内履行完毕及" w:id="66"/>
      <w:bookmarkEnd w:id="66"/>
      <w:r>
        <w:rPr>
          <w:b w:val="0"/>
          <w:bCs w:val="0"/>
        </w:rPr>
      </w: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74"/>
        </w:rPr>
        <w:t> </w:t>
      </w:r>
      <w:r>
        <w:rPr>
          <w:spacing w:val="-74"/>
        </w:rPr>
      </w:r>
      <w:r>
        <w:rPr/>
        <w:t>尚未履行完毕的承诺事项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0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1112"/>
        <w:gridCol w:w="1571"/>
        <w:gridCol w:w="850"/>
        <w:gridCol w:w="3829"/>
        <w:gridCol w:w="566"/>
        <w:gridCol w:w="522"/>
        <w:gridCol w:w="1108"/>
      </w:tblGrid>
      <w:tr>
        <w:trPr>
          <w:trHeight w:val="161" w:hRule="exact"/>
        </w:trPr>
        <w:tc>
          <w:tcPr>
            <w:tcW w:w="11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571" w:type="dxa"/>
            <w:tcBorders>
              <w:top w:val="single" w:sz="4" w:space="0" w:color="000000"/>
              <w:left w:val="single" w:sz="4" w:space="0" w:color="000000"/>
              <w:bottom w:val="nil" w:sz="6" w:space="0" w:color="auto"/>
              <w:right w:val="single" w:sz="4" w:space="0" w:color="000000"/>
            </w:tcBorders>
            <w:shd w:val="clear" w:color="auto" w:fill="D2D2D2"/>
          </w:tcPr>
          <w:p>
            <w:pPr/>
          </w:p>
        </w:tc>
        <w:tc>
          <w:tcPr>
            <w:tcW w:w="850"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9" w:type="dxa"/>
            <w:tcBorders>
              <w:top w:val="single" w:sz="4" w:space="0" w:color="000000"/>
              <w:left w:val="single" w:sz="4" w:space="0" w:color="000000"/>
              <w:bottom w:val="nil" w:sz="6" w:space="0" w:color="auto"/>
              <w:right w:val="single" w:sz="4" w:space="0" w:color="000000"/>
            </w:tcBorders>
            <w:shd w:val="clear" w:color="auto" w:fill="D2D2D2"/>
          </w:tcPr>
          <w:p>
            <w:pPr/>
          </w:p>
        </w:tc>
        <w:tc>
          <w:tcPr>
            <w:tcW w:w="56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98" w:right="96"/>
              <w:jc w:val="left"/>
              <w:rPr>
                <w:rFonts w:ascii="宋体" w:hAnsi="宋体" w:cs="宋体" w:eastAsia="宋体" w:hint="default"/>
                <w:sz w:val="18"/>
                <w:szCs w:val="18"/>
              </w:rPr>
            </w:pPr>
            <w:r>
              <w:rPr>
                <w:rFonts w:ascii="宋体" w:hAnsi="宋体" w:cs="宋体" w:eastAsia="宋体" w:hint="default"/>
                <w:sz w:val="18"/>
                <w:szCs w:val="18"/>
              </w:rPr>
              <w:t>承诺 时间</w:t>
            </w:r>
          </w:p>
        </w:tc>
        <w:tc>
          <w:tcPr>
            <w:tcW w:w="52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75" w:right="74"/>
              <w:jc w:val="left"/>
              <w:rPr>
                <w:rFonts w:ascii="宋体" w:hAnsi="宋体" w:cs="宋体" w:eastAsia="宋体" w:hint="default"/>
                <w:sz w:val="18"/>
                <w:szCs w:val="18"/>
              </w:rPr>
            </w:pPr>
            <w:r>
              <w:rPr>
                <w:rFonts w:ascii="宋体" w:hAnsi="宋体" w:cs="宋体" w:eastAsia="宋体" w:hint="default"/>
                <w:sz w:val="18"/>
                <w:szCs w:val="18"/>
              </w:rPr>
              <w:t>承诺 期限</w:t>
            </w:r>
          </w:p>
        </w:tc>
        <w:tc>
          <w:tcPr>
            <w:tcW w:w="11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88"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392" w:hRule="exact"/>
        </w:trPr>
        <w:tc>
          <w:tcPr>
            <w:tcW w:w="11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90" w:right="0"/>
              <w:jc w:val="left"/>
              <w:rPr>
                <w:rFonts w:ascii="宋体" w:hAnsi="宋体" w:cs="宋体" w:eastAsia="宋体" w:hint="default"/>
                <w:sz w:val="18"/>
                <w:szCs w:val="18"/>
              </w:rPr>
            </w:pPr>
            <w:r>
              <w:rPr>
                <w:rFonts w:ascii="宋体" w:hAnsi="宋体" w:cs="宋体" w:eastAsia="宋体" w:hint="default"/>
                <w:sz w:val="18"/>
                <w:szCs w:val="18"/>
              </w:rPr>
              <w:t>承诺事由</w:t>
            </w:r>
          </w:p>
        </w:tc>
        <w:tc>
          <w:tcPr>
            <w:tcW w:w="157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515"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85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59"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382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566" w:type="dxa"/>
            <w:vMerge/>
            <w:tcBorders>
              <w:left w:val="single" w:sz="4" w:space="0" w:color="000000"/>
              <w:right w:val="single" w:sz="4" w:space="0" w:color="000000"/>
            </w:tcBorders>
            <w:shd w:val="clear" w:color="auto" w:fill="D2D2D2"/>
          </w:tcPr>
          <w:p>
            <w:pPr/>
          </w:p>
        </w:tc>
        <w:tc>
          <w:tcPr>
            <w:tcW w:w="522" w:type="dxa"/>
            <w:vMerge/>
            <w:tcBorders>
              <w:left w:val="single" w:sz="4" w:space="0" w:color="000000"/>
              <w:right w:val="single" w:sz="4" w:space="0" w:color="000000"/>
            </w:tcBorders>
            <w:shd w:val="clear" w:color="auto" w:fill="D2D2D2"/>
          </w:tcPr>
          <w:p>
            <w:pPr/>
          </w:p>
        </w:tc>
        <w:tc>
          <w:tcPr>
            <w:tcW w:w="1108" w:type="dxa"/>
            <w:vMerge/>
            <w:tcBorders>
              <w:left w:val="single" w:sz="4" w:space="0" w:color="000000"/>
              <w:right w:val="single" w:sz="4" w:space="0" w:color="000000"/>
            </w:tcBorders>
            <w:shd w:val="clear" w:color="auto" w:fill="D2D2D2"/>
          </w:tcPr>
          <w:p>
            <w:pPr/>
          </w:p>
        </w:tc>
      </w:tr>
      <w:tr>
        <w:trPr>
          <w:trHeight w:val="161" w:hRule="exact"/>
        </w:trPr>
        <w:tc>
          <w:tcPr>
            <w:tcW w:w="11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571" w:type="dxa"/>
            <w:tcBorders>
              <w:top w:val="nil" w:sz="6" w:space="0" w:color="auto"/>
              <w:left w:val="single" w:sz="4" w:space="0" w:color="000000"/>
              <w:bottom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single" w:sz="4" w:space="0" w:color="000000"/>
              <w:right w:val="single" w:sz="4" w:space="0" w:color="000000"/>
            </w:tcBorders>
            <w:shd w:val="clear" w:color="auto" w:fill="D2D2D2"/>
          </w:tcPr>
          <w:p>
            <w:pPr/>
          </w:p>
        </w:tc>
        <w:tc>
          <w:tcPr>
            <w:tcW w:w="3829" w:type="dxa"/>
            <w:tcBorders>
              <w:top w:val="nil" w:sz="6" w:space="0" w:color="auto"/>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522" w:type="dxa"/>
            <w:vMerge/>
            <w:tcBorders>
              <w:left w:val="single" w:sz="4" w:space="0" w:color="000000"/>
              <w:bottom w:val="single" w:sz="4" w:space="0" w:color="000000"/>
              <w:right w:val="single" w:sz="4" w:space="0" w:color="000000"/>
            </w:tcBorders>
            <w:shd w:val="clear" w:color="auto" w:fill="D2D2D2"/>
          </w:tcPr>
          <w:p>
            <w:pPr/>
          </w:p>
        </w:tc>
        <w:tc>
          <w:tcPr>
            <w:tcW w:w="110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571" w:type="dxa"/>
            <w:tcBorders>
              <w:top w:val="single" w:sz="4" w:space="0" w:color="000000"/>
              <w:left w:val="single" w:sz="13" w:space="0" w:color="D2D2D2"/>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382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22"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8"/>
              <w:jc w:val="both"/>
              <w:rPr>
                <w:rFonts w:ascii="宋体" w:hAnsi="宋体" w:cs="宋体" w:eastAsia="宋体" w:hint="default"/>
                <w:sz w:val="18"/>
                <w:szCs w:val="18"/>
              </w:rPr>
            </w:pPr>
            <w:r>
              <w:rPr>
                <w:rFonts w:ascii="宋体" w:hAnsi="宋体" w:cs="宋体" w:eastAsia="宋体" w:hint="default"/>
                <w:sz w:val="18"/>
                <w:szCs w:val="18"/>
              </w:rPr>
              <w:t>收购报告书 或权益变动 报告书中所 作承诺</w:t>
            </w:r>
          </w:p>
        </w:tc>
        <w:tc>
          <w:tcPr>
            <w:tcW w:w="1571" w:type="dxa"/>
            <w:tcBorders>
              <w:top w:val="single" w:sz="4" w:space="0" w:color="000000"/>
              <w:left w:val="single" w:sz="13" w:space="0" w:color="D2D2D2"/>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382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22"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8"/>
              <w:jc w:val="left"/>
              <w:rPr>
                <w:rFonts w:ascii="宋体" w:hAnsi="宋体" w:cs="宋体" w:eastAsia="宋体" w:hint="default"/>
                <w:sz w:val="18"/>
                <w:szCs w:val="18"/>
              </w:rPr>
            </w:pPr>
            <w:r>
              <w:rPr>
                <w:rFonts w:ascii="宋体" w:hAnsi="宋体" w:cs="宋体" w:eastAsia="宋体" w:hint="default"/>
                <w:sz w:val="18"/>
                <w:szCs w:val="18"/>
              </w:rPr>
              <w:t>资产重组时 所作承诺</w:t>
            </w:r>
          </w:p>
        </w:tc>
        <w:tc>
          <w:tcPr>
            <w:tcW w:w="1571" w:type="dxa"/>
            <w:tcBorders>
              <w:top w:val="single" w:sz="4" w:space="0" w:color="000000"/>
              <w:left w:val="single" w:sz="13" w:space="0" w:color="D2D2D2"/>
              <w:bottom w:val="single" w:sz="4" w:space="0" w:color="000000"/>
              <w:right w:val="single" w:sz="4" w:space="0" w:color="000000"/>
            </w:tcBorders>
          </w:tcPr>
          <w:p>
            <w:pPr>
              <w:pStyle w:val="TableParagraph"/>
              <w:spacing w:line="316" w:lineRule="auto" w:before="71"/>
              <w:ind w:left="22" w:right="85"/>
              <w:jc w:val="left"/>
              <w:rPr>
                <w:rFonts w:ascii="宋体" w:hAnsi="宋体" w:cs="宋体" w:eastAsia="宋体" w:hint="default"/>
                <w:sz w:val="18"/>
                <w:szCs w:val="18"/>
              </w:rPr>
            </w:pPr>
            <w:r>
              <w:rPr>
                <w:rFonts w:ascii="宋体" w:hAnsi="宋体" w:cs="宋体" w:eastAsia="宋体" w:hint="default"/>
                <w:sz w:val="18"/>
                <w:szCs w:val="18"/>
              </w:rPr>
              <w:t>中国电子科技集团 有限公司、中国电</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95"/>
              <w:jc w:val="left"/>
              <w:rPr>
                <w:rFonts w:ascii="宋体" w:hAnsi="宋体" w:cs="宋体" w:eastAsia="宋体" w:hint="default"/>
                <w:sz w:val="18"/>
                <w:szCs w:val="18"/>
              </w:rPr>
            </w:pPr>
            <w:r>
              <w:rPr>
                <w:rFonts w:ascii="宋体" w:hAnsi="宋体" w:cs="宋体" w:eastAsia="宋体" w:hint="default"/>
                <w:sz w:val="18"/>
                <w:szCs w:val="18"/>
              </w:rPr>
              <w:t>关于避免 同业竞争</w:t>
            </w: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71"/>
              <w:ind w:left="23" w:right="13"/>
              <w:jc w:val="left"/>
              <w:rPr>
                <w:rFonts w:ascii="宋体" w:hAnsi="宋体" w:cs="宋体" w:eastAsia="宋体" w:hint="default"/>
                <w:sz w:val="18"/>
                <w:szCs w:val="18"/>
              </w:rPr>
            </w:pPr>
            <w:r>
              <w:rPr>
                <w:rFonts w:ascii="宋体" w:hAnsi="宋体" w:cs="宋体" w:eastAsia="宋体" w:hint="default"/>
                <w:sz w:val="18"/>
                <w:szCs w:val="18"/>
              </w:rPr>
              <w:t>中国电子科技网络信息安全有限公司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蜀祥创投 承诺：本公司保证本次卫士通重大资产重组后，</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2" w:right="0"/>
              <w:jc w:val="left"/>
              <w:rPr>
                <w:rFonts w:ascii="Times New Roman" w:hAnsi="Times New Roman" w:cs="Times New Roman" w:eastAsia="Times New Roman" w:hint="default"/>
                <w:sz w:val="18"/>
                <w:szCs w:val="18"/>
              </w:rPr>
            </w:pPr>
            <w:r>
              <w:rPr>
                <w:rFonts w:ascii="Times New Roman"/>
                <w:sz w:val="18"/>
              </w:rPr>
              <w:t>2013</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tc>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7"/>
              <w:jc w:val="left"/>
              <w:rPr>
                <w:rFonts w:ascii="宋体" w:hAnsi="宋体" w:cs="宋体" w:eastAsia="宋体" w:hint="default"/>
                <w:sz w:val="18"/>
                <w:szCs w:val="18"/>
              </w:rPr>
            </w:pPr>
            <w:r>
              <w:rPr>
                <w:rFonts w:ascii="宋体" w:hAnsi="宋体" w:cs="宋体" w:eastAsia="宋体" w:hint="default"/>
                <w:sz w:val="18"/>
                <w:szCs w:val="18"/>
              </w:rPr>
              <w:t>长期 有效</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23"/>
              <w:jc w:val="left"/>
              <w:rPr>
                <w:rFonts w:ascii="宋体" w:hAnsi="宋体" w:cs="宋体" w:eastAsia="宋体" w:hint="default"/>
                <w:sz w:val="18"/>
                <w:szCs w:val="18"/>
              </w:rPr>
            </w:pPr>
            <w:r>
              <w:rPr>
                <w:rFonts w:ascii="宋体" w:hAnsi="宋体" w:cs="宋体" w:eastAsia="宋体" w:hint="default"/>
                <w:sz w:val="18"/>
                <w:szCs w:val="18"/>
              </w:rPr>
              <w:t>截止本报告 </w:t>
            </w:r>
            <w:r>
              <w:rPr>
                <w:rFonts w:ascii="宋体" w:hAnsi="宋体" w:cs="宋体" w:eastAsia="宋体" w:hint="default"/>
                <w:spacing w:val="-5"/>
                <w:sz w:val="18"/>
                <w:szCs w:val="18"/>
              </w:rPr>
              <w:t>出具日，承诺</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134"/>
        <w:gridCol w:w="1560"/>
        <w:gridCol w:w="850"/>
        <w:gridCol w:w="3829"/>
        <w:gridCol w:w="566"/>
        <w:gridCol w:w="522"/>
        <w:gridCol w:w="1110"/>
      </w:tblGrid>
      <w:tr>
        <w:trPr>
          <w:trHeight w:val="13740" w:hRule="exact"/>
        </w:trPr>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85"/>
              <w:jc w:val="both"/>
              <w:rPr>
                <w:rFonts w:ascii="宋体" w:hAnsi="宋体" w:cs="宋体" w:eastAsia="宋体" w:hint="default"/>
                <w:sz w:val="18"/>
                <w:szCs w:val="18"/>
              </w:rPr>
            </w:pPr>
            <w:r>
              <w:rPr>
                <w:rFonts w:ascii="宋体" w:hAnsi="宋体" w:cs="宋体" w:eastAsia="宋体" w:hint="default"/>
                <w:sz w:val="18"/>
                <w:szCs w:val="18"/>
              </w:rPr>
              <w:t>子科技网络信息安 全有限公司、四川 发展投资有限公司</w:t>
            </w:r>
          </w:p>
          <w:p>
            <w:pPr>
              <w:pStyle w:val="TableParagraph"/>
              <w:spacing w:line="240" w:lineRule="auto" w:before="20"/>
              <w:ind w:left="22" w:right="0"/>
              <w:jc w:val="both"/>
              <w:rPr>
                <w:rFonts w:ascii="宋体" w:hAnsi="宋体" w:cs="宋体" w:eastAsia="宋体" w:hint="default"/>
                <w:sz w:val="18"/>
                <w:szCs w:val="18"/>
              </w:rPr>
            </w:pPr>
            <w:r>
              <w:rPr>
                <w:rFonts w:ascii="宋体" w:hAnsi="宋体" w:cs="宋体" w:eastAsia="宋体" w:hint="default"/>
                <w:sz w:val="18"/>
                <w:szCs w:val="18"/>
              </w:rPr>
              <w:t>（蜀祥创投）</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95"/>
              <w:jc w:val="both"/>
              <w:rPr>
                <w:rFonts w:ascii="宋体" w:hAnsi="宋体" w:cs="宋体" w:eastAsia="宋体" w:hint="default"/>
                <w:sz w:val="18"/>
                <w:szCs w:val="18"/>
              </w:rPr>
            </w:pPr>
            <w:r>
              <w:rPr>
                <w:rFonts w:ascii="宋体" w:hAnsi="宋体" w:cs="宋体" w:eastAsia="宋体" w:hint="default"/>
                <w:sz w:val="18"/>
                <w:szCs w:val="18"/>
              </w:rPr>
              <w:t>和规范关 联交易的 承诺</w:t>
            </w: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
              <w:ind w:left="23" w:right="13"/>
              <w:jc w:val="left"/>
              <w:rPr>
                <w:rFonts w:ascii="宋体" w:hAnsi="宋体" w:cs="宋体" w:eastAsia="宋体" w:hint="default"/>
                <w:sz w:val="18"/>
                <w:szCs w:val="18"/>
              </w:rPr>
            </w:pPr>
            <w:r>
              <w:rPr>
                <w:rFonts w:ascii="宋体" w:hAnsi="宋体" w:cs="宋体" w:eastAsia="宋体" w:hint="default"/>
                <w:sz w:val="18"/>
                <w:szCs w:val="18"/>
              </w:rPr>
              <w:t>除持有卫士通的股份外，本公司不直接或间接地 从事任何与卫士通及其下属子公司营业执照上 所列明经营范围内的业务存在竞争的业务活动。 本公司作为卫士通股东的事实改变之前，除持有 卫士通的股份外，本公司将不会直接或间接地以 </w:t>
            </w:r>
            <w:r>
              <w:rPr>
                <w:rFonts w:ascii="宋体" w:hAnsi="宋体" w:cs="宋体" w:eastAsia="宋体" w:hint="default"/>
                <w:spacing w:val="-4"/>
                <w:sz w:val="18"/>
                <w:szCs w:val="18"/>
              </w:rPr>
              <w:t>任何方式</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包括但不限于独自经营，合资经营或拥</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有其他公司或企业的股票或权益〉从事与卫士通</w:t>
            </w:r>
            <w:r>
              <w:rPr>
                <w:rFonts w:ascii="宋体" w:hAnsi="宋体" w:cs="宋体" w:eastAsia="宋体" w:hint="default"/>
                <w:sz w:val="18"/>
                <w:szCs w:val="18"/>
              </w:rPr>
              <w:t> 及其下属子公司的业务有竞争或可能构成竞争 的业务或活动。 中国网安：本公司保证尽量避 免和减少目前和将来与卫士通之间发生不必要 的关联交易。对于无法避免或者有合理原因而发 生的关联交易，将与卫士通签订书面协议，遵循 公正、公开、公平的原则，关联交易的定价原则 上应遵循市场化原则，不偏离独立第三方的标 准，对于难以比较市场价格或定价受到限制的关 联交易，应通过合同明确有关成本和利润的标 准，并按照有关法律法规、规范性文件以及卫士 通《公司章程》的规定，履行卫士通股东大会或 董事会批准决策程序和信息披露义务，保证不通 过关联交易损害卫士通及其他股东的合法权益。 中国电子科技网络信息安全有限公司有关规范 关联交易的承诺，将同样适用于中国电子科技网 络信息安全有限公司控制的下属单位。中国电子 科技网络信息安全有限公司将在合法权限范围 内促成中国电子科技网络信息安全有限公司控 制的下属单位履行规范与卫士通之间已经存在 或可能发生的关联交易的义务。中国电子科技网 络信息安全有限公司在本次交易完成后，将维护 卫士通的独立性，保证卫士通人员独立、资产独 立、财务独立、机构独立、业务独立。中国电科 承诺：本集团是中中国电子科技网络信息安全有 限公司、成都卫士通信息产业股份有限公司、成 都三零盛安信息系统有限公司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三零盛 </w:t>
            </w:r>
            <w:r>
              <w:rPr>
                <w:rFonts w:ascii="宋体" w:hAnsi="宋体" w:cs="宋体" w:eastAsia="宋体" w:hint="default"/>
                <w:spacing w:val="-1"/>
                <w:sz w:val="18"/>
                <w:szCs w:val="18"/>
              </w:rPr>
              <w:t>安</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、成都三零瑞通移动通信有限公司</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以下简称</w:t>
            </w:r>
            <w:r>
              <w:rPr>
                <w:rFonts w:ascii="宋体" w:hAnsi="宋体" w:cs="宋体" w:eastAsia="宋体" w:hint="default"/>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三零瑞通</w:t>
            </w:r>
            <w:r>
              <w:rPr>
                <w:rFonts w:ascii="Times New Roman" w:hAnsi="Times New Roman" w:cs="Times New Roman" w:eastAsia="Times New Roman" w:hint="default"/>
                <w:sz w:val="18"/>
                <w:szCs w:val="18"/>
              </w:rPr>
              <w:t>")</w:t>
            </w:r>
            <w:r>
              <w:rPr>
                <w:rFonts w:ascii="宋体" w:hAnsi="宋体" w:cs="宋体" w:eastAsia="宋体" w:hint="default"/>
                <w:sz w:val="18"/>
                <w:szCs w:val="18"/>
              </w:rPr>
              <w:t>及成都三零嘉微电子有限公司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以下 </w:t>
            </w:r>
            <w:r>
              <w:rPr>
                <w:rFonts w:ascii="宋体" w:hAnsi="宋体" w:cs="宋体" w:eastAsia="宋体" w:hint="default"/>
                <w:spacing w:val="-2"/>
                <w:sz w:val="18"/>
                <w:szCs w:val="18"/>
              </w:rPr>
              <w:t>简称</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三零嘉微</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的实际控制人，本集团直接或间</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接持有的上述五家法人单位的产权权属合法清 晰。为维护卫士通及其他股东的合法权益，本集</w:t>
            </w:r>
            <w:r>
              <w:rPr>
                <w:rFonts w:ascii="宋体" w:hAnsi="宋体" w:cs="宋体" w:eastAsia="宋体" w:hint="default"/>
                <w:sz w:val="18"/>
                <w:szCs w:val="18"/>
              </w:rPr>
              <w:t> 团出具此承诺。</w:t>
            </w:r>
            <w:r>
              <w:rPr>
                <w:rFonts w:ascii="Times New Roman" w:hAnsi="Times New Roman" w:cs="Times New Roman" w:eastAsia="Times New Roman" w:hint="default"/>
                <w:sz w:val="18"/>
                <w:szCs w:val="18"/>
              </w:rPr>
              <w:t>1</w:t>
            </w:r>
            <w:r>
              <w:rPr>
                <w:rFonts w:ascii="宋体" w:hAnsi="宋体" w:cs="宋体" w:eastAsia="宋体" w:hint="default"/>
                <w:sz w:val="18"/>
                <w:szCs w:val="18"/>
              </w:rPr>
              <w:t>、本着保护卫士通全体股东利 </w:t>
            </w:r>
            <w:r>
              <w:rPr>
                <w:rFonts w:ascii="宋体" w:hAnsi="宋体" w:cs="宋体" w:eastAsia="宋体" w:hint="default"/>
                <w:spacing w:val="-3"/>
                <w:sz w:val="18"/>
                <w:szCs w:val="18"/>
              </w:rPr>
              <w:t>益的原则，将公允地对待各被投资企业</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单位，不</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会利用国有资产管理者地位，做出不利于卫士通</w:t>
            </w:r>
            <w:r>
              <w:rPr>
                <w:rFonts w:ascii="宋体" w:hAnsi="宋体" w:cs="宋体" w:eastAsia="宋体" w:hint="default"/>
                <w:sz w:val="18"/>
                <w:szCs w:val="18"/>
              </w:rPr>
              <w:t> 而有利于其它企业</w:t>
            </w:r>
            <w:r>
              <w:rPr>
                <w:rFonts w:ascii="Times New Roman" w:hAnsi="Times New Roman" w:cs="Times New Roman" w:eastAsia="Times New Roman" w:hint="default"/>
                <w:sz w:val="18"/>
                <w:szCs w:val="18"/>
              </w:rPr>
              <w:t>/</w:t>
            </w:r>
            <w:r>
              <w:rPr>
                <w:rFonts w:ascii="宋体" w:hAnsi="宋体" w:cs="宋体" w:eastAsia="宋体" w:hint="default"/>
                <w:sz w:val="18"/>
                <w:szCs w:val="18"/>
              </w:rPr>
              <w:t>单位的业务安排或决定</w:t>
            </w:r>
            <w:r>
              <w:rPr>
                <w:rFonts w:ascii="Times New Roman" w:hAnsi="Times New Roman" w:cs="Times New Roman" w:eastAsia="Times New Roman" w:hint="default"/>
                <w:sz w:val="18"/>
                <w:szCs w:val="18"/>
              </w:rPr>
              <w:t>;</w:t>
            </w:r>
            <w:r>
              <w:rPr>
                <w:rFonts w:ascii="宋体" w:hAnsi="宋体" w:cs="宋体" w:eastAsia="宋体" w:hint="default"/>
                <w:sz w:val="18"/>
                <w:szCs w:val="18"/>
              </w:rPr>
              <w:t>如因 直接干预有关下属单位的具体生产经营活动而 导致同业竞争，并致使卫士通受到损失的，将承</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22"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3"/>
              <w:jc w:val="left"/>
              <w:rPr>
                <w:rFonts w:ascii="宋体" w:hAnsi="宋体" w:cs="宋体" w:eastAsia="宋体" w:hint="default"/>
                <w:sz w:val="18"/>
                <w:szCs w:val="18"/>
              </w:rPr>
            </w:pPr>
            <w:r>
              <w:rPr>
                <w:rFonts w:ascii="宋体" w:hAnsi="宋体" w:cs="宋体" w:eastAsia="宋体" w:hint="default"/>
                <w:sz w:val="18"/>
                <w:szCs w:val="18"/>
              </w:rPr>
              <w:t>人严格履行 了上述承诺。</w:t>
            </w:r>
          </w:p>
        </w:tc>
      </w:tr>
    </w:tbl>
    <w:p>
      <w:pPr>
        <w:spacing w:after="0" w:line="319"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83.363007pt;margin-top:72.47998pt;width:70.1pt;height:329.7pt;mso-position-horizontal-relative:page;mso-position-vertical-relative:page;z-index:-100343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18"/>
                    <w:ind w:left="0" w:right="0" w:firstLine="539"/>
                    <w:jc w:val="left"/>
                  </w:pPr>
                  <w:r>
                    <w:rPr/>
                    <w:t>则，</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5"/>
                    <w:rPr>
                      <w:rFonts w:ascii="Times New Roman" w:hAnsi="Times New Roman" w:cs="Times New Roman" w:eastAsia="Times New Roman" w:hint="default"/>
                      <w:sz w:val="17"/>
                      <w:szCs w:val="17"/>
                    </w:rPr>
                  </w:pPr>
                </w:p>
                <w:p>
                  <w:pPr>
                    <w:pStyle w:val="BodyText"/>
                    <w:spacing w:line="240" w:lineRule="auto"/>
                    <w:ind w:left="0" w:right="0"/>
                    <w:jc w:val="left"/>
                  </w:pPr>
                  <w:r>
                    <w:rPr/>
                    <w:t>业务独立。</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134"/>
        <w:gridCol w:w="1560"/>
        <w:gridCol w:w="850"/>
        <w:gridCol w:w="3829"/>
        <w:gridCol w:w="566"/>
        <w:gridCol w:w="522"/>
        <w:gridCol w:w="1108"/>
      </w:tblGrid>
      <w:tr>
        <w:trPr>
          <w:trHeight w:val="322" w:hRule="exact"/>
        </w:trPr>
        <w:tc>
          <w:tcPr>
            <w:tcW w:w="1134" w:type="dxa"/>
            <w:vMerge w:val="restart"/>
            <w:tcBorders>
              <w:top w:val="single" w:sz="4" w:space="0" w:color="000000"/>
              <w:left w:val="single" w:sz="4" w:space="0" w:color="000000"/>
              <w:right w:val="single" w:sz="4" w:space="0" w:color="000000"/>
            </w:tcBorders>
            <w:shd w:val="clear" w:color="auto" w:fill="D2D2D2"/>
          </w:tcPr>
          <w:p>
            <w:pPr/>
          </w:p>
        </w:tc>
        <w:tc>
          <w:tcPr>
            <w:tcW w:w="1560" w:type="dxa"/>
            <w:vMerge w:val="restart"/>
            <w:tcBorders>
              <w:top w:val="single" w:sz="4" w:space="0" w:color="000000"/>
              <w:left w:val="single" w:sz="4" w:space="0" w:color="000000"/>
              <w:right w:val="single" w:sz="4" w:space="0" w:color="000000"/>
            </w:tcBorders>
          </w:tcPr>
          <w:p>
            <w:pPr/>
          </w:p>
        </w:tc>
        <w:tc>
          <w:tcPr>
            <w:tcW w:w="850" w:type="dxa"/>
            <w:vMerge w:val="restart"/>
            <w:tcBorders>
              <w:top w:val="single" w:sz="4" w:space="0" w:color="000000"/>
              <w:left w:val="single" w:sz="4" w:space="0" w:color="000000"/>
              <w:right w:val="single" w:sz="4" w:space="0" w:color="000000"/>
            </w:tcBorders>
          </w:tcPr>
          <w:p>
            <w:pPr/>
          </w:p>
        </w:tc>
        <w:tc>
          <w:tcPr>
            <w:tcW w:w="382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担相关责任。</w:t>
            </w:r>
            <w:r>
              <w:rPr>
                <w:rFonts w:ascii="Times New Roman" w:hAnsi="Times New Roman" w:cs="Times New Roman" w:eastAsia="Times New Roman" w:hint="default"/>
                <w:sz w:val="18"/>
                <w:szCs w:val="18"/>
              </w:rPr>
              <w:t>2</w:t>
            </w:r>
            <w:r>
              <w:rPr>
                <w:rFonts w:ascii="宋体" w:hAnsi="宋体" w:cs="宋体" w:eastAsia="宋体" w:hint="default"/>
                <w:sz w:val="18"/>
                <w:szCs w:val="18"/>
              </w:rPr>
              <w:t>、尽量避免和减少目前和将来与</w:t>
            </w:r>
          </w:p>
        </w:tc>
        <w:tc>
          <w:tcPr>
            <w:tcW w:w="566" w:type="dxa"/>
            <w:vMerge w:val="restart"/>
            <w:tcBorders>
              <w:top w:val="single" w:sz="4" w:space="0" w:color="000000"/>
              <w:left w:val="single" w:sz="4" w:space="0" w:color="000000"/>
              <w:right w:val="single" w:sz="4" w:space="0" w:color="000000"/>
            </w:tcBorders>
          </w:tcPr>
          <w:p>
            <w:pPr>
              <w:pStyle w:val="TableParagraph"/>
              <w:spacing w:line="6593"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31"/>
                <w:sz w:val="20"/>
                <w:szCs w:val="20"/>
              </w:rPr>
              <w:pict>
                <v:group style="width:27.85pt;height:329.7pt;mso-position-horizontal-relative:char;mso-position-vertical-relative:line" coordorigin="0,0" coordsize="557,6594">
                  <v:group style="position:absolute;left:0;top:0;width:557;height:6594" coordorigin="0,0" coordsize="557,6594">
                    <v:shape style="position:absolute;left:0;top:0;width:557;height:6594" coordorigin="0,0" coordsize="557,6594" path="m0,6593l557,6593,557,0,0,0,0,6593xe" filled="true" fillcolor="#ffffff" stroked="false">
                      <v:path arrowok="t"/>
                      <v:fill type="solid"/>
                    </v:shape>
                  </v:group>
                </v:group>
              </w:pict>
            </w:r>
            <w:r>
              <w:rPr>
                <w:rFonts w:ascii="Times New Roman" w:hAnsi="Times New Roman" w:cs="Times New Roman" w:eastAsia="Times New Roman" w:hint="default"/>
                <w:position w:val="-131"/>
                <w:sz w:val="20"/>
                <w:szCs w:val="20"/>
              </w:rPr>
            </w:r>
          </w:p>
        </w:tc>
        <w:tc>
          <w:tcPr>
            <w:tcW w:w="522"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07" w:hRule="exact"/>
        </w:trPr>
        <w:tc>
          <w:tcPr>
            <w:tcW w:w="1134"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卫士通之间发生不必要的关联交易。对于无法避</w:t>
            </w:r>
          </w:p>
        </w:tc>
        <w:tc>
          <w:tcPr>
            <w:tcW w:w="566" w:type="dxa"/>
            <w:vMerge/>
            <w:tcBorders>
              <w:left w:val="single" w:sz="4" w:space="0" w:color="000000"/>
              <w:right w:val="single" w:sz="4" w:space="0" w:color="000000"/>
            </w:tcBorders>
          </w:tcPr>
          <w:p>
            <w:pPr/>
          </w:p>
        </w:tc>
        <w:tc>
          <w:tcPr>
            <w:tcW w:w="522"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免或者有合理原因而发生的关联交易，将与卫士</w:t>
            </w:r>
          </w:p>
        </w:tc>
        <w:tc>
          <w:tcPr>
            <w:tcW w:w="566" w:type="dxa"/>
            <w:vMerge/>
            <w:tcBorders>
              <w:left w:val="single" w:sz="4" w:space="0" w:color="000000"/>
              <w:right w:val="single" w:sz="4" w:space="0" w:color="000000"/>
            </w:tcBorders>
          </w:tcPr>
          <w:p>
            <w:pPr/>
          </w:p>
        </w:tc>
        <w:tc>
          <w:tcPr>
            <w:tcW w:w="522"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5"/>
                <w:sz w:val="18"/>
                <w:szCs w:val="18"/>
              </w:rPr>
              <w:t>通签订书面协议，遵循公正、公开、公平的原</w:t>
            </w:r>
          </w:p>
        </w:tc>
        <w:tc>
          <w:tcPr>
            <w:tcW w:w="566" w:type="dxa"/>
            <w:vMerge/>
            <w:tcBorders>
              <w:left w:val="single" w:sz="4" w:space="0" w:color="000000"/>
              <w:right w:val="single" w:sz="4" w:space="0" w:color="000000"/>
            </w:tcBorders>
          </w:tcPr>
          <w:p>
            <w:pPr/>
          </w:p>
        </w:tc>
        <w:tc>
          <w:tcPr>
            <w:tcW w:w="522"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关联交易的定价原则上应遵循市场化原则，不偏</w:t>
            </w:r>
          </w:p>
        </w:tc>
        <w:tc>
          <w:tcPr>
            <w:tcW w:w="566" w:type="dxa"/>
            <w:vMerge/>
            <w:tcBorders>
              <w:left w:val="single" w:sz="4" w:space="0" w:color="000000"/>
              <w:right w:val="single" w:sz="4" w:space="0" w:color="000000"/>
            </w:tcBorders>
          </w:tcPr>
          <w:p>
            <w:pPr/>
          </w:p>
        </w:tc>
        <w:tc>
          <w:tcPr>
            <w:tcW w:w="522"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离独立第三方的标准，对于难以比较市场价格或</w:t>
            </w:r>
          </w:p>
        </w:tc>
        <w:tc>
          <w:tcPr>
            <w:tcW w:w="566" w:type="dxa"/>
            <w:vMerge/>
            <w:tcBorders>
              <w:left w:val="single" w:sz="4" w:space="0" w:color="000000"/>
              <w:right w:val="single" w:sz="4" w:space="0" w:color="000000"/>
            </w:tcBorders>
          </w:tcPr>
          <w:p>
            <w:pPr/>
          </w:p>
        </w:tc>
        <w:tc>
          <w:tcPr>
            <w:tcW w:w="522"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定价受到限制的关联交易，应通过合同明确有关</w:t>
            </w:r>
          </w:p>
        </w:tc>
        <w:tc>
          <w:tcPr>
            <w:tcW w:w="566" w:type="dxa"/>
            <w:vMerge/>
            <w:tcBorders>
              <w:left w:val="single" w:sz="4" w:space="0" w:color="000000"/>
              <w:right w:val="single" w:sz="4" w:space="0" w:color="000000"/>
            </w:tcBorders>
          </w:tcPr>
          <w:p>
            <w:pPr/>
          </w:p>
        </w:tc>
        <w:tc>
          <w:tcPr>
            <w:tcW w:w="522"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成本和利润的标准，并按照有关法律法规、规范</w:t>
            </w:r>
          </w:p>
        </w:tc>
        <w:tc>
          <w:tcPr>
            <w:tcW w:w="566" w:type="dxa"/>
            <w:vMerge/>
            <w:tcBorders>
              <w:left w:val="single" w:sz="4" w:space="0" w:color="000000"/>
              <w:right w:val="single" w:sz="4" w:space="0" w:color="000000"/>
            </w:tcBorders>
          </w:tcPr>
          <w:p>
            <w:pPr/>
          </w:p>
        </w:tc>
        <w:tc>
          <w:tcPr>
            <w:tcW w:w="522"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性文件以及卫士通《公司章程》的规定，履行卫</w:t>
            </w:r>
          </w:p>
        </w:tc>
        <w:tc>
          <w:tcPr>
            <w:tcW w:w="566" w:type="dxa"/>
            <w:vMerge/>
            <w:tcBorders>
              <w:left w:val="single" w:sz="4" w:space="0" w:color="000000"/>
              <w:right w:val="single" w:sz="4" w:space="0" w:color="000000"/>
            </w:tcBorders>
          </w:tcPr>
          <w:p>
            <w:pPr/>
          </w:p>
        </w:tc>
        <w:tc>
          <w:tcPr>
            <w:tcW w:w="522"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士通股东大会或董事会批准决策程序和信息披</w:t>
            </w:r>
          </w:p>
        </w:tc>
        <w:tc>
          <w:tcPr>
            <w:tcW w:w="566" w:type="dxa"/>
            <w:vMerge/>
            <w:tcBorders>
              <w:left w:val="single" w:sz="4" w:space="0" w:color="000000"/>
              <w:right w:val="single" w:sz="4" w:space="0" w:color="000000"/>
            </w:tcBorders>
          </w:tcPr>
          <w:p>
            <w:pPr/>
          </w:p>
        </w:tc>
        <w:tc>
          <w:tcPr>
            <w:tcW w:w="522"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露义务，保证不通过关联交易损害卫士通及其他</w:t>
            </w:r>
          </w:p>
        </w:tc>
        <w:tc>
          <w:tcPr>
            <w:tcW w:w="566" w:type="dxa"/>
            <w:vMerge/>
            <w:tcBorders>
              <w:left w:val="single" w:sz="4" w:space="0" w:color="000000"/>
              <w:right w:val="single" w:sz="4" w:space="0" w:color="000000"/>
            </w:tcBorders>
          </w:tcPr>
          <w:p>
            <w:pPr/>
          </w:p>
        </w:tc>
        <w:tc>
          <w:tcPr>
            <w:tcW w:w="522"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股东的合法权益。本集团有关规范关联交易的承</w:t>
            </w:r>
          </w:p>
        </w:tc>
        <w:tc>
          <w:tcPr>
            <w:tcW w:w="566" w:type="dxa"/>
            <w:vMerge/>
            <w:tcBorders>
              <w:left w:val="single" w:sz="4" w:space="0" w:color="000000"/>
              <w:right w:val="single" w:sz="4" w:space="0" w:color="000000"/>
            </w:tcBorders>
          </w:tcPr>
          <w:p>
            <w:pPr/>
          </w:p>
        </w:tc>
        <w:tc>
          <w:tcPr>
            <w:tcW w:w="522"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诺，将同样适用于本集团控制的下属单位。本集</w:t>
            </w:r>
          </w:p>
        </w:tc>
        <w:tc>
          <w:tcPr>
            <w:tcW w:w="566" w:type="dxa"/>
            <w:vMerge/>
            <w:tcBorders>
              <w:left w:val="single" w:sz="4" w:space="0" w:color="000000"/>
              <w:right w:val="single" w:sz="4" w:space="0" w:color="000000"/>
            </w:tcBorders>
          </w:tcPr>
          <w:p>
            <w:pPr/>
          </w:p>
        </w:tc>
        <w:tc>
          <w:tcPr>
            <w:tcW w:w="522"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团将在合法权限范围内促成本集团控制的下属</w:t>
            </w:r>
          </w:p>
        </w:tc>
        <w:tc>
          <w:tcPr>
            <w:tcW w:w="566" w:type="dxa"/>
            <w:vMerge/>
            <w:tcBorders>
              <w:left w:val="single" w:sz="4" w:space="0" w:color="000000"/>
              <w:right w:val="single" w:sz="4" w:space="0" w:color="000000"/>
            </w:tcBorders>
          </w:tcPr>
          <w:p>
            <w:pPr/>
          </w:p>
        </w:tc>
        <w:tc>
          <w:tcPr>
            <w:tcW w:w="522"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单位履行规范与卫士通之间已经存在或可能发</w:t>
            </w:r>
          </w:p>
        </w:tc>
        <w:tc>
          <w:tcPr>
            <w:tcW w:w="566" w:type="dxa"/>
            <w:vMerge/>
            <w:tcBorders>
              <w:left w:val="single" w:sz="4" w:space="0" w:color="000000"/>
              <w:right w:val="single" w:sz="4" w:space="0" w:color="000000"/>
            </w:tcBorders>
          </w:tcPr>
          <w:p>
            <w:pPr/>
          </w:p>
        </w:tc>
        <w:tc>
          <w:tcPr>
            <w:tcW w:w="522"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生的关联交易的义务。本集团在本次交易完成</w:t>
            </w:r>
          </w:p>
        </w:tc>
        <w:tc>
          <w:tcPr>
            <w:tcW w:w="566" w:type="dxa"/>
            <w:vMerge/>
            <w:tcBorders>
              <w:left w:val="single" w:sz="4" w:space="0" w:color="000000"/>
              <w:right w:val="single" w:sz="4" w:space="0" w:color="000000"/>
            </w:tcBorders>
          </w:tcPr>
          <w:p>
            <w:pPr/>
          </w:p>
        </w:tc>
        <w:tc>
          <w:tcPr>
            <w:tcW w:w="522"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后，将维护卫士通的独立性，保证卫士通人员独</w:t>
            </w:r>
          </w:p>
        </w:tc>
        <w:tc>
          <w:tcPr>
            <w:tcW w:w="566" w:type="dxa"/>
            <w:vMerge/>
            <w:tcBorders>
              <w:left w:val="single" w:sz="4" w:space="0" w:color="000000"/>
              <w:right w:val="single" w:sz="4" w:space="0" w:color="000000"/>
            </w:tcBorders>
          </w:tcPr>
          <w:p>
            <w:pPr/>
          </w:p>
        </w:tc>
        <w:tc>
          <w:tcPr>
            <w:tcW w:w="522"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5"/>
                <w:sz w:val="18"/>
                <w:szCs w:val="18"/>
              </w:rPr>
              <w:t>立、资产独立、财务独立、机构独立、</w:t>
            </w:r>
          </w:p>
        </w:tc>
        <w:tc>
          <w:tcPr>
            <w:tcW w:w="566" w:type="dxa"/>
            <w:vMerge/>
            <w:tcBorders>
              <w:left w:val="single" w:sz="4" w:space="0" w:color="000000"/>
              <w:right w:val="single" w:sz="4" w:space="0" w:color="000000"/>
            </w:tcBorders>
          </w:tcPr>
          <w:p>
            <w:pPr/>
          </w:p>
        </w:tc>
        <w:tc>
          <w:tcPr>
            <w:tcW w:w="522"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1134"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、自本说明出具之日起，赔偿卫士通因本集团</w:t>
            </w:r>
          </w:p>
        </w:tc>
        <w:tc>
          <w:tcPr>
            <w:tcW w:w="566" w:type="dxa"/>
            <w:vMerge/>
            <w:tcBorders>
              <w:left w:val="single" w:sz="4" w:space="0" w:color="000000"/>
              <w:right w:val="single" w:sz="4" w:space="0" w:color="000000"/>
            </w:tcBorders>
          </w:tcPr>
          <w:p>
            <w:pPr/>
          </w:p>
        </w:tc>
        <w:tc>
          <w:tcPr>
            <w:tcW w:w="522"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8" w:hRule="exact"/>
        </w:trPr>
        <w:tc>
          <w:tcPr>
            <w:tcW w:w="1134"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违反本说明任何条款而遭受或产生的任何损失</w:t>
            </w:r>
          </w:p>
        </w:tc>
        <w:tc>
          <w:tcPr>
            <w:tcW w:w="566" w:type="dxa"/>
            <w:vMerge/>
            <w:tcBorders>
              <w:left w:val="single" w:sz="4" w:space="0" w:color="000000"/>
              <w:right w:val="single" w:sz="4" w:space="0" w:color="000000"/>
            </w:tcBorders>
          </w:tcPr>
          <w:p>
            <w:pPr/>
          </w:p>
        </w:tc>
        <w:tc>
          <w:tcPr>
            <w:tcW w:w="522"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57" w:hRule="exact"/>
        </w:trPr>
        <w:tc>
          <w:tcPr>
            <w:tcW w:w="1134" w:type="dxa"/>
            <w:vMerge/>
            <w:tcBorders>
              <w:left w:val="single" w:sz="4" w:space="0" w:color="000000"/>
              <w:bottom w:val="single" w:sz="4" w:space="0" w:color="000000"/>
              <w:right w:val="single" w:sz="4" w:space="0" w:color="000000"/>
            </w:tcBorders>
            <w:shd w:val="clear" w:color="auto" w:fill="D2D2D2"/>
          </w:tcPr>
          <w:p>
            <w:pPr/>
          </w:p>
        </w:tc>
        <w:tc>
          <w:tcPr>
            <w:tcW w:w="1560"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382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或开支。</w:t>
            </w:r>
          </w:p>
        </w:tc>
        <w:tc>
          <w:tcPr>
            <w:tcW w:w="566" w:type="dxa"/>
            <w:vMerge/>
            <w:tcBorders>
              <w:left w:val="single" w:sz="4" w:space="0" w:color="000000"/>
              <w:bottom w:val="single" w:sz="4" w:space="0" w:color="000000"/>
              <w:right w:val="single" w:sz="4" w:space="0" w:color="000000"/>
            </w:tcBorders>
          </w:tcPr>
          <w:p>
            <w:pPr/>
          </w:p>
        </w:tc>
        <w:tc>
          <w:tcPr>
            <w:tcW w:w="522"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r>
        <w:trPr>
          <w:trHeight w:val="357" w:hRule="exact"/>
        </w:trPr>
        <w:tc>
          <w:tcPr>
            <w:tcW w:w="113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60"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382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中国电科承诺将公允地对待各被投资企业，不会</w:t>
            </w:r>
          </w:p>
        </w:tc>
        <w:tc>
          <w:tcPr>
            <w:tcW w:w="566" w:type="dxa"/>
            <w:tcBorders>
              <w:top w:val="single" w:sz="4" w:space="0" w:color="000000"/>
              <w:left w:val="single" w:sz="4" w:space="0" w:color="000000"/>
              <w:bottom w:val="nil" w:sz="6" w:space="0" w:color="auto"/>
              <w:right w:val="single" w:sz="4" w:space="0" w:color="000000"/>
            </w:tcBorders>
          </w:tcPr>
          <w:p>
            <w:pPr/>
          </w:p>
        </w:tc>
        <w:tc>
          <w:tcPr>
            <w:tcW w:w="52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作为</w:t>
            </w:r>
          </w:p>
        </w:tc>
        <w:tc>
          <w:tcPr>
            <w:tcW w:w="1108" w:type="dxa"/>
            <w:tcBorders>
              <w:top w:val="single" w:sz="4" w:space="0" w:color="000000"/>
              <w:left w:val="single" w:sz="4" w:space="0" w:color="000000"/>
              <w:bottom w:val="nil" w:sz="6" w:space="0" w:color="auto"/>
              <w:right w:val="single" w:sz="4" w:space="0" w:color="000000"/>
            </w:tcBorders>
          </w:tcPr>
          <w:p>
            <w:pPr/>
          </w:p>
        </w:tc>
      </w:tr>
      <w:tr>
        <w:trPr>
          <w:trHeight w:val="1249" w:hRule="exact"/>
        </w:trPr>
        <w:tc>
          <w:tcPr>
            <w:tcW w:w="1134" w:type="dxa"/>
            <w:tcBorders>
              <w:top w:val="nil" w:sz="6" w:space="0" w:color="auto"/>
              <w:left w:val="single" w:sz="4" w:space="0" w:color="000000"/>
              <w:bottom w:val="nil" w:sz="6" w:space="0" w:color="auto"/>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6"/>
              <w:ind w:left="22" w:right="85"/>
              <w:jc w:val="left"/>
              <w:rPr>
                <w:rFonts w:ascii="宋体" w:hAnsi="宋体" w:cs="宋体" w:eastAsia="宋体" w:hint="default"/>
                <w:sz w:val="18"/>
                <w:szCs w:val="18"/>
              </w:rPr>
            </w:pPr>
            <w:r>
              <w:rPr>
                <w:rFonts w:ascii="宋体" w:hAnsi="宋体" w:cs="宋体" w:eastAsia="宋体" w:hint="default"/>
                <w:sz w:val="18"/>
                <w:szCs w:val="18"/>
              </w:rPr>
              <w:t>中国电子科技集团 有限公司</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2" w:right="95"/>
              <w:jc w:val="both"/>
              <w:rPr>
                <w:rFonts w:ascii="宋体" w:hAnsi="宋体" w:cs="宋体" w:eastAsia="宋体" w:hint="default"/>
                <w:sz w:val="18"/>
                <w:szCs w:val="18"/>
              </w:rPr>
            </w:pPr>
            <w:r>
              <w:rPr>
                <w:rFonts w:ascii="宋体" w:hAnsi="宋体" w:cs="宋体" w:eastAsia="宋体" w:hint="default"/>
                <w:sz w:val="18"/>
                <w:szCs w:val="18"/>
              </w:rPr>
              <w:t>避免同行 业竞争的 承诺</w:t>
            </w: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22"/>
              <w:jc w:val="left"/>
              <w:rPr>
                <w:rFonts w:ascii="宋体" w:hAnsi="宋体" w:cs="宋体" w:eastAsia="宋体" w:hint="default"/>
                <w:sz w:val="18"/>
                <w:szCs w:val="18"/>
              </w:rPr>
            </w:pPr>
            <w:r>
              <w:rPr>
                <w:rFonts w:ascii="宋体" w:hAnsi="宋体" w:cs="宋体" w:eastAsia="宋体" w:hint="default"/>
                <w:spacing w:val="-1"/>
                <w:sz w:val="18"/>
                <w:szCs w:val="18"/>
              </w:rPr>
              <w:t>利用管理地位获得的信息，作出任何不利于卫士</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1"/>
                <w:sz w:val="18"/>
                <w:szCs w:val="18"/>
              </w:rPr>
              <w:t>通而有利于其他企业的决定或判断；若因中国电</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子科技集团有限公司直接干预有关企业的具体 </w:t>
            </w:r>
            <w:r>
              <w:rPr>
                <w:rFonts w:ascii="宋体" w:hAnsi="宋体" w:cs="宋体" w:eastAsia="宋体" w:hint="default"/>
                <w:spacing w:val="-1"/>
                <w:sz w:val="18"/>
                <w:szCs w:val="18"/>
              </w:rPr>
              <w:t>生产经营活动而导致同业竞争，并使卫士通受到</w:t>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sz w:val="18"/>
              </w:rPr>
              <w:t>2008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2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27"/>
              <w:jc w:val="both"/>
              <w:rPr>
                <w:rFonts w:ascii="宋体" w:hAnsi="宋体" w:cs="宋体" w:eastAsia="宋体" w:hint="default"/>
                <w:sz w:val="18"/>
                <w:szCs w:val="18"/>
              </w:rPr>
            </w:pPr>
            <w:r>
              <w:rPr>
                <w:rFonts w:ascii="宋体" w:hAnsi="宋体" w:cs="宋体" w:eastAsia="宋体" w:hint="default"/>
                <w:sz w:val="18"/>
                <w:szCs w:val="18"/>
              </w:rPr>
              <w:t>卫士 通实 际控 制人</w:t>
            </w:r>
          </w:p>
        </w:tc>
        <w:tc>
          <w:tcPr>
            <w:tcW w:w="1108"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5"/>
              <w:jc w:val="left"/>
              <w:rPr>
                <w:rFonts w:ascii="宋体" w:hAnsi="宋体" w:cs="宋体" w:eastAsia="宋体" w:hint="default"/>
                <w:sz w:val="18"/>
                <w:szCs w:val="18"/>
              </w:rPr>
            </w:pPr>
            <w:r>
              <w:rPr>
                <w:rFonts w:ascii="宋体" w:hAnsi="宋体" w:cs="宋体" w:eastAsia="宋体" w:hint="default"/>
                <w:sz w:val="18"/>
                <w:szCs w:val="18"/>
              </w:rPr>
              <w:t>截止本报告 </w:t>
            </w:r>
            <w:r>
              <w:rPr>
                <w:rFonts w:ascii="宋体" w:hAnsi="宋体" w:cs="宋体" w:eastAsia="宋体" w:hint="default"/>
                <w:spacing w:val="-5"/>
                <w:sz w:val="18"/>
                <w:szCs w:val="18"/>
              </w:rPr>
              <w:t>出具日，承诺</w:t>
            </w:r>
            <w:r>
              <w:rPr>
                <w:rFonts w:ascii="宋体" w:hAnsi="宋体" w:cs="宋体" w:eastAsia="宋体" w:hint="default"/>
                <w:sz w:val="18"/>
                <w:szCs w:val="18"/>
              </w:rPr>
              <w:t> 人严格履行 了上述承诺。</w:t>
            </w:r>
          </w:p>
        </w:tc>
      </w:tr>
      <w:tr>
        <w:trPr>
          <w:trHeight w:val="356" w:hRule="exact"/>
        </w:trPr>
        <w:tc>
          <w:tcPr>
            <w:tcW w:w="1134" w:type="dxa"/>
            <w:tcBorders>
              <w:top w:val="nil" w:sz="6" w:space="0" w:color="auto"/>
              <w:left w:val="single" w:sz="4" w:space="0" w:color="000000"/>
              <w:bottom w:val="nil" w:sz="6" w:space="0" w:color="auto"/>
              <w:right w:val="single" w:sz="4" w:space="0" w:color="000000"/>
            </w:tcBorders>
            <w:shd w:val="clear" w:color="auto" w:fill="D2D2D2"/>
          </w:tcPr>
          <w:p>
            <w:pPr/>
          </w:p>
        </w:tc>
        <w:tc>
          <w:tcPr>
            <w:tcW w:w="1560"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382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损失的，将承担相关责任。</w:t>
            </w:r>
          </w:p>
        </w:tc>
        <w:tc>
          <w:tcPr>
            <w:tcW w:w="566" w:type="dxa"/>
            <w:tcBorders>
              <w:top w:val="nil" w:sz="6" w:space="0" w:color="auto"/>
              <w:left w:val="single" w:sz="4" w:space="0" w:color="000000"/>
              <w:bottom w:val="single" w:sz="4" w:space="0" w:color="000000"/>
              <w:right w:val="single" w:sz="4" w:space="0" w:color="000000"/>
            </w:tcBorders>
          </w:tcPr>
          <w:p>
            <w:pPr/>
          </w:p>
        </w:tc>
        <w:tc>
          <w:tcPr>
            <w:tcW w:w="52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期间</w:t>
            </w:r>
          </w:p>
        </w:tc>
        <w:tc>
          <w:tcPr>
            <w:tcW w:w="1108"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134" w:type="dxa"/>
            <w:tcBorders>
              <w:top w:val="nil" w:sz="6" w:space="0" w:color="auto"/>
              <w:left w:val="single" w:sz="4" w:space="0" w:color="000000"/>
              <w:bottom w:val="nil" w:sz="6" w:space="0" w:color="auto"/>
              <w:right w:val="single" w:sz="4" w:space="0" w:color="000000"/>
            </w:tcBorders>
            <w:shd w:val="clear" w:color="auto" w:fill="D2D2D2"/>
          </w:tcPr>
          <w:p>
            <w:pPr/>
          </w:p>
        </w:tc>
        <w:tc>
          <w:tcPr>
            <w:tcW w:w="1560"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382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公司全体董事、监事及高级管理人员承诺，在任</w:t>
            </w:r>
          </w:p>
        </w:tc>
        <w:tc>
          <w:tcPr>
            <w:tcW w:w="566" w:type="dxa"/>
            <w:vMerge w:val="restart"/>
            <w:tcBorders>
              <w:top w:val="single" w:sz="4" w:space="0" w:color="000000"/>
              <w:left w:val="single" w:sz="4" w:space="0" w:color="000000"/>
              <w:right w:val="single" w:sz="4" w:space="0" w:color="000000"/>
            </w:tcBorders>
          </w:tcPr>
          <w:p>
            <w:pPr/>
          </w:p>
        </w:tc>
        <w:tc>
          <w:tcPr>
            <w:tcW w:w="522" w:type="dxa"/>
            <w:tcBorders>
              <w:top w:val="single" w:sz="4" w:space="0" w:color="000000"/>
              <w:left w:val="single" w:sz="4" w:space="0" w:color="000000"/>
              <w:bottom w:val="nil" w:sz="6" w:space="0" w:color="auto"/>
              <w:right w:val="single" w:sz="4" w:space="0" w:color="000000"/>
            </w:tcBorders>
          </w:tcPr>
          <w:p>
            <w:pPr/>
          </w:p>
        </w:tc>
        <w:tc>
          <w:tcPr>
            <w:tcW w:w="1108" w:type="dxa"/>
            <w:tcBorders>
              <w:top w:val="single" w:sz="4" w:space="0" w:color="000000"/>
              <w:left w:val="single" w:sz="4" w:space="0" w:color="000000"/>
              <w:bottom w:val="nil" w:sz="6" w:space="0" w:color="auto"/>
              <w:right w:val="single" w:sz="4" w:space="0" w:color="000000"/>
            </w:tcBorders>
          </w:tcPr>
          <w:p>
            <w:pPr/>
          </w:p>
        </w:tc>
      </w:tr>
      <w:tr>
        <w:trPr>
          <w:trHeight w:val="1872" w:hRule="exact"/>
        </w:trPr>
        <w:tc>
          <w:tcPr>
            <w:tcW w:w="113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16" w:lineRule="auto"/>
              <w:ind w:left="22" w:right="201"/>
              <w:jc w:val="both"/>
              <w:rPr>
                <w:rFonts w:ascii="宋体" w:hAnsi="宋体" w:cs="宋体" w:eastAsia="宋体" w:hint="default"/>
                <w:sz w:val="18"/>
                <w:szCs w:val="18"/>
              </w:rPr>
            </w:pPr>
            <w:r>
              <w:rPr>
                <w:rFonts w:ascii="宋体" w:hAnsi="宋体" w:cs="宋体" w:eastAsia="宋体" w:hint="default"/>
                <w:sz w:val="18"/>
                <w:szCs w:val="18"/>
              </w:rPr>
              <w:t>首次公开发 行或再融资 时所作承诺</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316" w:lineRule="auto"/>
              <w:ind w:left="22" w:right="85"/>
              <w:jc w:val="left"/>
              <w:rPr>
                <w:rFonts w:ascii="宋体" w:hAnsi="宋体" w:cs="宋体" w:eastAsia="宋体" w:hint="default"/>
                <w:sz w:val="18"/>
                <w:szCs w:val="18"/>
              </w:rPr>
            </w:pPr>
            <w:r>
              <w:rPr>
                <w:rFonts w:ascii="宋体" w:hAnsi="宋体" w:cs="宋体" w:eastAsia="宋体" w:hint="default"/>
                <w:sz w:val="18"/>
                <w:szCs w:val="18"/>
              </w:rPr>
              <w:t>公司全体董事、监 事及高级管理人员</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2" w:right="95"/>
              <w:jc w:val="both"/>
              <w:rPr>
                <w:rFonts w:ascii="宋体" w:hAnsi="宋体" w:cs="宋体" w:eastAsia="宋体" w:hint="default"/>
                <w:sz w:val="18"/>
                <w:szCs w:val="18"/>
              </w:rPr>
            </w:pPr>
            <w:r>
              <w:rPr>
                <w:rFonts w:ascii="宋体" w:hAnsi="宋体" w:cs="宋体" w:eastAsia="宋体" w:hint="default"/>
                <w:sz w:val="18"/>
                <w:szCs w:val="18"/>
              </w:rPr>
              <w:t>董事、监 事及高级 管理人员 股份限售 的承诺</w:t>
            </w: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22"/>
              <w:jc w:val="left"/>
              <w:rPr>
                <w:rFonts w:ascii="宋体" w:hAnsi="宋体" w:cs="宋体" w:eastAsia="宋体" w:hint="default"/>
                <w:sz w:val="18"/>
                <w:szCs w:val="18"/>
              </w:rPr>
            </w:pPr>
            <w:r>
              <w:rPr>
                <w:rFonts w:ascii="宋体" w:hAnsi="宋体" w:cs="宋体" w:eastAsia="宋体" w:hint="default"/>
                <w:sz w:val="18"/>
                <w:szCs w:val="18"/>
              </w:rPr>
              <w:t>职期间每年转让的股份不超过其所持有本公司 </w:t>
            </w:r>
            <w:r>
              <w:rPr>
                <w:rFonts w:ascii="宋体" w:hAnsi="宋体" w:cs="宋体" w:eastAsia="宋体" w:hint="default"/>
                <w:spacing w:val="-1"/>
                <w:sz w:val="18"/>
                <w:szCs w:val="18"/>
              </w:rPr>
              <w:t>股份总数的百分之二十五；离任后六个月内，不</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转让其所持有的本公司股份； 离任六个月后的 十二个月内通过证券交易所挂牌交易出售本公 </w:t>
            </w:r>
            <w:r>
              <w:rPr>
                <w:rFonts w:ascii="宋体" w:hAnsi="宋体" w:cs="宋体" w:eastAsia="宋体" w:hint="default"/>
                <w:spacing w:val="-1"/>
                <w:sz w:val="18"/>
                <w:szCs w:val="18"/>
              </w:rPr>
              <w:t>司股票数量点其所持有本公司股票总数（包括限</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售条件和无限售条件的股份）的比例不超过</w:t>
            </w:r>
          </w:p>
        </w:tc>
        <w:tc>
          <w:tcPr>
            <w:tcW w:w="566" w:type="dxa"/>
            <w:vMerge/>
            <w:tcBorders>
              <w:left w:val="single" w:sz="4" w:space="0" w:color="000000"/>
              <w:right w:val="single" w:sz="4" w:space="0" w:color="000000"/>
            </w:tcBorders>
          </w:tcPr>
          <w:p>
            <w:pPr/>
          </w:p>
        </w:tc>
        <w:tc>
          <w:tcPr>
            <w:tcW w:w="52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316" w:lineRule="auto"/>
              <w:ind w:left="22" w:right="127"/>
              <w:jc w:val="left"/>
              <w:rPr>
                <w:rFonts w:ascii="宋体" w:hAnsi="宋体" w:cs="宋体" w:eastAsia="宋体" w:hint="default"/>
                <w:sz w:val="18"/>
                <w:szCs w:val="18"/>
              </w:rPr>
            </w:pPr>
            <w:r>
              <w:rPr>
                <w:rFonts w:ascii="宋体" w:hAnsi="宋体" w:cs="宋体" w:eastAsia="宋体" w:hint="default"/>
                <w:sz w:val="18"/>
                <w:szCs w:val="18"/>
              </w:rPr>
              <w:t>长期 有效</w:t>
            </w:r>
          </w:p>
        </w:tc>
        <w:tc>
          <w:tcPr>
            <w:tcW w:w="110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6"/>
              <w:ind w:left="22" w:right="-5"/>
              <w:jc w:val="left"/>
              <w:rPr>
                <w:rFonts w:ascii="宋体" w:hAnsi="宋体" w:cs="宋体" w:eastAsia="宋体" w:hint="default"/>
                <w:sz w:val="18"/>
                <w:szCs w:val="18"/>
              </w:rPr>
            </w:pPr>
            <w:r>
              <w:rPr>
                <w:rFonts w:ascii="宋体" w:hAnsi="宋体" w:cs="宋体" w:eastAsia="宋体" w:hint="default"/>
                <w:sz w:val="18"/>
                <w:szCs w:val="18"/>
              </w:rPr>
              <w:t>截止本报告 </w:t>
            </w:r>
            <w:r>
              <w:rPr>
                <w:rFonts w:ascii="宋体" w:hAnsi="宋体" w:cs="宋体" w:eastAsia="宋体" w:hint="default"/>
                <w:spacing w:val="-5"/>
                <w:sz w:val="18"/>
                <w:szCs w:val="18"/>
              </w:rPr>
              <w:t>出具日，承诺</w:t>
            </w:r>
            <w:r>
              <w:rPr>
                <w:rFonts w:ascii="宋体" w:hAnsi="宋体" w:cs="宋体" w:eastAsia="宋体" w:hint="default"/>
                <w:sz w:val="18"/>
                <w:szCs w:val="18"/>
              </w:rPr>
              <w:t> 人严格履行 了上述承诺。</w:t>
            </w:r>
          </w:p>
        </w:tc>
      </w:tr>
      <w:tr>
        <w:trPr>
          <w:trHeight w:val="357" w:hRule="exact"/>
        </w:trPr>
        <w:tc>
          <w:tcPr>
            <w:tcW w:w="1134" w:type="dxa"/>
            <w:tcBorders>
              <w:top w:val="nil" w:sz="6" w:space="0" w:color="auto"/>
              <w:left w:val="single" w:sz="4" w:space="0" w:color="000000"/>
              <w:bottom w:val="nil" w:sz="6" w:space="0" w:color="auto"/>
              <w:right w:val="single" w:sz="4" w:space="0" w:color="000000"/>
            </w:tcBorders>
            <w:shd w:val="clear" w:color="auto" w:fill="D2D2D2"/>
          </w:tcPr>
          <w:p>
            <w:pPr/>
          </w:p>
        </w:tc>
        <w:tc>
          <w:tcPr>
            <w:tcW w:w="1560"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382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w:t>
            </w:r>
            <w:r>
              <w:rPr>
                <w:rFonts w:ascii="宋体" w:hAnsi="宋体" w:cs="宋体" w:eastAsia="宋体" w:hint="default"/>
                <w:sz w:val="18"/>
                <w:szCs w:val="18"/>
              </w:rPr>
              <w:t>。</w:t>
            </w:r>
          </w:p>
        </w:tc>
        <w:tc>
          <w:tcPr>
            <w:tcW w:w="566" w:type="dxa"/>
            <w:vMerge/>
            <w:tcBorders>
              <w:left w:val="single" w:sz="4" w:space="0" w:color="000000"/>
              <w:bottom w:val="single" w:sz="4" w:space="0" w:color="000000"/>
              <w:right w:val="single" w:sz="4" w:space="0" w:color="000000"/>
            </w:tcBorders>
          </w:tcPr>
          <w:p>
            <w:pPr/>
          </w:p>
        </w:tc>
        <w:tc>
          <w:tcPr>
            <w:tcW w:w="522" w:type="dxa"/>
            <w:tcBorders>
              <w:top w:val="nil" w:sz="6" w:space="0" w:color="auto"/>
              <w:left w:val="single" w:sz="4" w:space="0" w:color="000000"/>
              <w:bottom w:val="single" w:sz="4" w:space="0" w:color="000000"/>
              <w:right w:val="single" w:sz="4" w:space="0" w:color="000000"/>
            </w:tcBorders>
          </w:tcPr>
          <w:p>
            <w:pPr/>
          </w:p>
        </w:tc>
        <w:tc>
          <w:tcPr>
            <w:tcW w:w="1108" w:type="dxa"/>
            <w:tcBorders>
              <w:top w:val="nil" w:sz="6" w:space="0" w:color="auto"/>
              <w:left w:val="single" w:sz="4" w:space="0" w:color="000000"/>
              <w:bottom w:val="single" w:sz="4" w:space="0" w:color="000000"/>
              <w:right w:val="single" w:sz="4" w:space="0" w:color="000000"/>
            </w:tcBorders>
          </w:tcPr>
          <w:p>
            <w:pPr/>
          </w:p>
        </w:tc>
      </w:tr>
      <w:tr>
        <w:trPr>
          <w:trHeight w:val="1650" w:hRule="exact"/>
        </w:trPr>
        <w:tc>
          <w:tcPr>
            <w:tcW w:w="1134" w:type="dxa"/>
            <w:tcBorders>
              <w:top w:val="nil" w:sz="6" w:space="0" w:color="auto"/>
              <w:left w:val="single" w:sz="4" w:space="0" w:color="000000"/>
              <w:bottom w:val="nil" w:sz="6" w:space="0" w:color="auto"/>
              <w:right w:val="single" w:sz="4" w:space="0" w:color="000000"/>
            </w:tcBorders>
            <w:shd w:val="clear" w:color="auto" w:fill="D2D2D2"/>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2" w:lineRule="auto"/>
              <w:ind w:left="22" w:right="35"/>
              <w:jc w:val="both"/>
              <w:rPr>
                <w:rFonts w:ascii="宋体" w:hAnsi="宋体" w:cs="宋体" w:eastAsia="宋体" w:hint="default"/>
                <w:sz w:val="18"/>
                <w:szCs w:val="18"/>
              </w:rPr>
            </w:pPr>
            <w:r>
              <w:rPr>
                <w:rFonts w:ascii="宋体" w:hAnsi="宋体" w:cs="宋体" w:eastAsia="宋体" w:hint="default"/>
                <w:sz w:val="18"/>
                <w:szCs w:val="18"/>
              </w:rPr>
              <w:t>中电科投资控股有 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中国电子科 技网络信息安全有 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95"/>
              <w:jc w:val="left"/>
              <w:rPr>
                <w:rFonts w:ascii="宋体" w:hAnsi="宋体" w:cs="宋体" w:eastAsia="宋体" w:hint="default"/>
                <w:sz w:val="18"/>
                <w:szCs w:val="18"/>
              </w:rPr>
            </w:pPr>
            <w:r>
              <w:rPr>
                <w:rFonts w:ascii="宋体" w:hAnsi="宋体" w:cs="宋体" w:eastAsia="宋体" w:hint="default"/>
                <w:sz w:val="18"/>
                <w:szCs w:val="18"/>
              </w:rPr>
              <w:t>股份限售 承诺</w:t>
            </w: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3" w:right="13"/>
              <w:jc w:val="both"/>
              <w:rPr>
                <w:rFonts w:ascii="宋体" w:hAnsi="宋体" w:cs="宋体" w:eastAsia="宋体" w:hint="default"/>
                <w:sz w:val="18"/>
                <w:szCs w:val="18"/>
              </w:rPr>
            </w:pPr>
            <w:r>
              <w:rPr>
                <w:rFonts w:ascii="宋体" w:hAnsi="宋体" w:cs="宋体" w:eastAsia="宋体" w:hint="default"/>
                <w:sz w:val="18"/>
                <w:szCs w:val="18"/>
              </w:rPr>
              <w:t>中国电子科技网络信息安全有限公司、中电科投 资控股有限公司承诺，认购的本次非公开发行的 股票自发行结束之日起三十六个月内不得转让。</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104"/>
              <w:ind w:left="22" w:right="0"/>
              <w:jc w:val="left"/>
              <w:rPr>
                <w:rFonts w:ascii="Times New Roman" w:hAnsi="Times New Roman" w:cs="Times New Roman" w:eastAsia="Times New Roman" w:hint="default"/>
                <w:sz w:val="18"/>
                <w:szCs w:val="18"/>
              </w:rPr>
            </w:pPr>
            <w:r>
              <w:rPr>
                <w:rFonts w:ascii="Times New Roman"/>
                <w:sz w:val="18"/>
              </w:rPr>
              <w:t>03-23</w:t>
            </w:r>
          </w:p>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sz w:val="18"/>
                <w:szCs w:val="18"/>
              </w:rPr>
              <w:t>至</w:t>
            </w:r>
          </w:p>
          <w:p>
            <w:pPr>
              <w:pStyle w:val="TableParagraph"/>
              <w:spacing w:line="240" w:lineRule="auto" w:before="116"/>
              <w:ind w:left="22" w:right="0"/>
              <w:jc w:val="left"/>
              <w:rPr>
                <w:rFonts w:ascii="Times New Roman" w:hAnsi="Times New Roman" w:cs="Times New Roman" w:eastAsia="Times New Roman" w:hint="default"/>
                <w:sz w:val="18"/>
                <w:szCs w:val="18"/>
              </w:rPr>
            </w:pPr>
            <w:r>
              <w:rPr>
                <w:rFonts w:ascii="Times New Roman"/>
                <w:sz w:val="18"/>
              </w:rPr>
              <w:t>2020-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03-22</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5"/>
              <w:jc w:val="left"/>
              <w:rPr>
                <w:rFonts w:ascii="宋体" w:hAnsi="宋体" w:cs="宋体" w:eastAsia="宋体" w:hint="default"/>
                <w:sz w:val="18"/>
                <w:szCs w:val="18"/>
              </w:rPr>
            </w:pPr>
            <w:r>
              <w:rPr>
                <w:rFonts w:ascii="宋体" w:hAnsi="宋体" w:cs="宋体" w:eastAsia="宋体" w:hint="default"/>
                <w:sz w:val="18"/>
                <w:szCs w:val="18"/>
              </w:rPr>
              <w:t>截止本报告 </w:t>
            </w:r>
            <w:r>
              <w:rPr>
                <w:rFonts w:ascii="宋体" w:hAnsi="宋体" w:cs="宋体" w:eastAsia="宋体" w:hint="default"/>
                <w:spacing w:val="-5"/>
                <w:sz w:val="18"/>
                <w:szCs w:val="18"/>
              </w:rPr>
              <w:t>出具日，承诺</w:t>
            </w:r>
            <w:r>
              <w:rPr>
                <w:rFonts w:ascii="宋体" w:hAnsi="宋体" w:cs="宋体" w:eastAsia="宋体" w:hint="default"/>
                <w:sz w:val="18"/>
                <w:szCs w:val="18"/>
              </w:rPr>
              <w:t> 人严格履行 了上述承诺。</w:t>
            </w:r>
          </w:p>
        </w:tc>
      </w:tr>
      <w:tr>
        <w:trPr>
          <w:trHeight w:val="986" w:hRule="exact"/>
        </w:trPr>
        <w:tc>
          <w:tcPr>
            <w:tcW w:w="113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319" w:lineRule="auto"/>
              <w:ind w:left="22" w:right="85"/>
              <w:jc w:val="left"/>
              <w:rPr>
                <w:rFonts w:ascii="宋体" w:hAnsi="宋体" w:cs="宋体" w:eastAsia="宋体" w:hint="default"/>
                <w:sz w:val="18"/>
                <w:szCs w:val="18"/>
              </w:rPr>
            </w:pPr>
            <w:r>
              <w:rPr>
                <w:rFonts w:ascii="宋体" w:hAnsi="宋体" w:cs="宋体" w:eastAsia="宋体" w:hint="default"/>
                <w:sz w:val="18"/>
                <w:szCs w:val="18"/>
              </w:rPr>
              <w:t>成都卫士通信息产 业股份有限公司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5"/>
              <w:jc w:val="both"/>
              <w:rPr>
                <w:rFonts w:ascii="宋体" w:hAnsi="宋体" w:cs="宋体" w:eastAsia="宋体" w:hint="default"/>
                <w:sz w:val="18"/>
                <w:szCs w:val="18"/>
              </w:rPr>
            </w:pPr>
            <w:r>
              <w:rPr>
                <w:rFonts w:ascii="宋体" w:hAnsi="宋体" w:cs="宋体" w:eastAsia="宋体" w:hint="default"/>
                <w:sz w:val="18"/>
                <w:szCs w:val="18"/>
              </w:rPr>
              <w:t>公司董事 会关于信 息披露等</w:t>
            </w: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1"/>
              <w:jc w:val="both"/>
              <w:rPr>
                <w:rFonts w:ascii="宋体" w:hAnsi="宋体" w:cs="宋体" w:eastAsia="宋体" w:hint="default"/>
                <w:sz w:val="18"/>
                <w:szCs w:val="18"/>
              </w:rPr>
            </w:pPr>
            <w:r>
              <w:rPr>
                <w:rFonts w:ascii="宋体" w:hAnsi="宋体" w:cs="宋体" w:eastAsia="宋体" w:hint="default"/>
                <w:spacing w:val="-23"/>
                <w:sz w:val="18"/>
                <w:szCs w:val="18"/>
              </w:rPr>
              <w:t>公司董事会将严格遵守《公司法》、《证券法》、《上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
                <w:sz w:val="18"/>
                <w:szCs w:val="18"/>
              </w:rPr>
              <w:t>市公司证券发行管理办法》等法律、法规和中国</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1"/>
                <w:sz w:val="18"/>
                <w:szCs w:val="18"/>
              </w:rPr>
              <w:t>证监会的有关规定，承诺自本公司非公开发行股</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p>
        </w:tc>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319" w:lineRule="auto"/>
              <w:ind w:left="22" w:right="127"/>
              <w:jc w:val="left"/>
              <w:rPr>
                <w:rFonts w:ascii="宋体" w:hAnsi="宋体" w:cs="宋体" w:eastAsia="宋体" w:hint="default"/>
                <w:sz w:val="18"/>
                <w:szCs w:val="18"/>
              </w:rPr>
            </w:pPr>
            <w:r>
              <w:rPr>
                <w:rFonts w:ascii="宋体" w:hAnsi="宋体" w:cs="宋体" w:eastAsia="宋体" w:hint="default"/>
                <w:sz w:val="18"/>
                <w:szCs w:val="18"/>
              </w:rPr>
              <w:t>长期 有效</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截止本报告 </w:t>
            </w:r>
            <w:r>
              <w:rPr>
                <w:rFonts w:ascii="宋体" w:hAnsi="宋体" w:cs="宋体" w:eastAsia="宋体" w:hint="default"/>
                <w:spacing w:val="-5"/>
                <w:sz w:val="18"/>
                <w:szCs w:val="18"/>
              </w:rPr>
              <w:t>出具日，承诺</w:t>
            </w:r>
            <w:r>
              <w:rPr>
                <w:rFonts w:ascii="宋体" w:hAnsi="宋体" w:cs="宋体" w:eastAsia="宋体" w:hint="default"/>
                <w:sz w:val="18"/>
                <w:szCs w:val="18"/>
              </w:rPr>
              <w:t> 人严格履行</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134"/>
        <w:gridCol w:w="1560"/>
        <w:gridCol w:w="850"/>
        <w:gridCol w:w="3829"/>
        <w:gridCol w:w="566"/>
        <w:gridCol w:w="522"/>
        <w:gridCol w:w="1108"/>
      </w:tblGrid>
      <w:tr>
        <w:trPr>
          <w:trHeight w:val="4107" w:hRule="exact"/>
        </w:trPr>
        <w:tc>
          <w:tcPr>
            <w:tcW w:w="1134" w:type="dxa"/>
            <w:vMerge w:val="restart"/>
            <w:tcBorders>
              <w:top w:val="single" w:sz="4" w:space="0" w:color="000000"/>
              <w:left w:val="single" w:sz="4" w:space="0" w:color="000000"/>
              <w:right w:val="single" w:sz="4" w:space="0" w:color="000000"/>
            </w:tcBorders>
            <w:shd w:val="clear" w:color="auto" w:fill="D2D2D2"/>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的承诺</w:t>
            </w:r>
          </w:p>
        </w:tc>
        <w:tc>
          <w:tcPr>
            <w:tcW w:w="3829" w:type="dxa"/>
            <w:tcBorders>
              <w:top w:val="single" w:sz="4" w:space="0" w:color="000000"/>
              <w:left w:val="single" w:sz="4" w:space="0" w:color="000000"/>
              <w:bottom w:val="single" w:sz="4" w:space="0" w:color="000000"/>
              <w:right w:val="single" w:sz="9" w:space="0" w:color="FFFFFF"/>
            </w:tcBorders>
          </w:tcPr>
          <w:p>
            <w:pPr>
              <w:pStyle w:val="TableParagraph"/>
              <w:spacing w:line="319" w:lineRule="auto" w:before="10"/>
              <w:ind w:left="23" w:right="-39"/>
              <w:jc w:val="left"/>
              <w:rPr>
                <w:rFonts w:ascii="宋体" w:hAnsi="宋体" w:cs="宋体" w:eastAsia="宋体" w:hint="default"/>
                <w:sz w:val="18"/>
                <w:szCs w:val="18"/>
              </w:rPr>
            </w:pPr>
            <w:r>
              <w:rPr>
                <w:rFonts w:ascii="宋体" w:hAnsi="宋体" w:cs="宋体" w:eastAsia="宋体" w:hint="default"/>
                <w:spacing w:val="-7"/>
                <w:sz w:val="18"/>
                <w:szCs w:val="18"/>
              </w:rPr>
              <w:t>票新增股份上市之日起：（一）承诺真实、准确、</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完整、公平和及时地公布定期报告、披露所有对</w:t>
            </w:r>
            <w:r>
              <w:rPr>
                <w:rFonts w:ascii="宋体" w:hAnsi="宋体" w:cs="宋体" w:eastAsia="宋体" w:hint="default"/>
                <w:sz w:val="18"/>
                <w:szCs w:val="18"/>
              </w:rPr>
              <w:t> 投资者有重大影响的信息，并接受中国证监会和 </w:t>
            </w:r>
            <w:r>
              <w:rPr>
                <w:rFonts w:ascii="宋体" w:hAnsi="宋体" w:cs="宋体" w:eastAsia="宋体" w:hint="default"/>
                <w:spacing w:val="-5"/>
                <w:sz w:val="18"/>
                <w:szCs w:val="18"/>
              </w:rPr>
              <w:t>深圳证券交易所的监督管理。（二）承诺本公司</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在知悉可能对股票价格产生误导性影响的任何 公共传播媒体出现的消息后，将及时予以公开澄</w:t>
            </w:r>
            <w:r>
              <w:rPr>
                <w:rFonts w:ascii="宋体" w:hAnsi="宋体" w:cs="宋体" w:eastAsia="宋体" w:hint="default"/>
                <w:sz w:val="18"/>
                <w:szCs w:val="18"/>
              </w:rPr>
              <w:t> </w:t>
            </w:r>
            <w:r>
              <w:rPr>
                <w:rFonts w:ascii="宋体" w:hAnsi="宋体" w:cs="宋体" w:eastAsia="宋体" w:hint="default"/>
                <w:spacing w:val="-5"/>
                <w:sz w:val="18"/>
                <w:szCs w:val="18"/>
              </w:rPr>
              <w:t>清。（三）承诺本公司董事、监事、高级管理人</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员和核心技术人员将认真听取社会公众的意见 和批评，不利用已获得的内幕消息和其他不正当</w:t>
            </w:r>
            <w:r>
              <w:rPr>
                <w:rFonts w:ascii="宋体" w:hAnsi="宋体" w:cs="宋体" w:eastAsia="宋体" w:hint="default"/>
                <w:sz w:val="18"/>
                <w:szCs w:val="18"/>
              </w:rPr>
              <w:t> 手段直接或间接从事本公司股票的买卖活动。公 司保证向深圳证券交易所提交的文件没有虚假 陈述或者重大遗漏，并在提出上市申请期间，未 经深圳证券交易所同意，不擅自披露有关信息。</w:t>
            </w:r>
          </w:p>
        </w:tc>
        <w:tc>
          <w:tcPr>
            <w:tcW w:w="566"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before="11"/>
              <w:ind w:left="16" w:right="0"/>
              <w:jc w:val="left"/>
              <w:rPr>
                <w:rFonts w:ascii="宋体" w:hAnsi="宋体" w:cs="宋体" w:eastAsia="宋体" w:hint="default"/>
                <w:sz w:val="18"/>
                <w:szCs w:val="18"/>
              </w:rPr>
            </w:pPr>
            <w:r>
              <w:rPr>
                <w:rFonts w:ascii="宋体" w:hAnsi="宋体" w:cs="宋体" w:eastAsia="宋体" w:hint="default"/>
                <w:sz w:val="18"/>
                <w:szCs w:val="18"/>
              </w:rPr>
              <w:t>日</w:t>
            </w:r>
          </w:p>
          <w:p>
            <w:pPr>
              <w:pStyle w:val="TableParagraph"/>
              <w:spacing w:line="352" w:lineRule="exact"/>
              <w:ind w:left="16" w:right="-28"/>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
                <w:sz w:val="20"/>
                <w:szCs w:val="20"/>
              </w:rPr>
              <w:pict>
                <v:group style="width:25.6pt;height:17.650pt;mso-position-horizontal-relative:char;mso-position-vertical-relative:line" coordorigin="0,0" coordsize="512,353">
                  <v:group style="position:absolute;left:0;top:0;width:512;height:353" coordorigin="0,0" coordsize="512,353">
                    <v:shape style="position:absolute;left:0;top:0;width:512;height:353" coordorigin="0,0" coordsize="512,353" path="m0,353l511,353,511,0,0,0,0,353xe" filled="true" fillcolor="#ffffff" stroked="false">
                      <v:path arrowok="t"/>
                      <v:fill type="solid"/>
                    </v:shape>
                  </v:group>
                </v:group>
              </w:pict>
            </w:r>
            <w:r>
              <w:rPr>
                <w:rFonts w:ascii="Times New Roman" w:hAnsi="Times New Roman" w:cs="Times New Roman" w:eastAsia="Times New Roman" w:hint="default"/>
                <w:position w:val="-6"/>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5"/>
                <w:szCs w:val="25"/>
              </w:rPr>
            </w:pPr>
          </w:p>
        </w:tc>
        <w:tc>
          <w:tcPr>
            <w:tcW w:w="522"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5"/>
              <w:jc w:val="left"/>
              <w:rPr>
                <w:rFonts w:ascii="宋体" w:hAnsi="宋体" w:cs="宋体" w:eastAsia="宋体" w:hint="default"/>
                <w:sz w:val="18"/>
                <w:szCs w:val="18"/>
              </w:rPr>
            </w:pPr>
            <w:r>
              <w:rPr>
                <w:rFonts w:ascii="宋体" w:hAnsi="宋体" w:cs="宋体" w:eastAsia="宋体" w:hint="default"/>
                <w:sz w:val="18"/>
                <w:szCs w:val="18"/>
              </w:rPr>
              <w:t>了上述承诺。</w:t>
            </w:r>
          </w:p>
        </w:tc>
      </w:tr>
      <w:tr>
        <w:trPr>
          <w:trHeight w:val="2898" w:hRule="exact"/>
        </w:trPr>
        <w:tc>
          <w:tcPr>
            <w:tcW w:w="1134" w:type="dxa"/>
            <w:vMerge/>
            <w:tcBorders>
              <w:left w:val="single" w:sz="4" w:space="0" w:color="000000"/>
              <w:bottom w:val="single" w:sz="4" w:space="0" w:color="000000"/>
              <w:right w:val="single" w:sz="4" w:space="0" w:color="000000"/>
            </w:tcBorders>
            <w:shd w:val="clear" w:color="auto" w:fill="D2D2D2"/>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35"/>
              <w:jc w:val="both"/>
              <w:rPr>
                <w:rFonts w:ascii="宋体" w:hAnsi="宋体" w:cs="宋体" w:eastAsia="宋体" w:hint="default"/>
                <w:sz w:val="18"/>
                <w:szCs w:val="18"/>
              </w:rPr>
            </w:pPr>
            <w:r>
              <w:rPr>
                <w:rFonts w:ascii="宋体" w:hAnsi="宋体" w:cs="宋体" w:eastAsia="宋体" w:hint="default"/>
                <w:sz w:val="18"/>
                <w:szCs w:val="18"/>
              </w:rPr>
              <w:t>北信瑞丰基金管理 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财通基金 管理有限公司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东海 基金管理有限责任 公司</w:t>
            </w:r>
            <w:r>
              <w:rPr>
                <w:rFonts w:ascii="Times New Roman" w:hAnsi="Times New Roman" w:cs="Times New Roman" w:eastAsia="Times New Roman" w:hint="default"/>
                <w:sz w:val="18"/>
                <w:szCs w:val="18"/>
              </w:rPr>
              <w:t>;</w:t>
            </w:r>
            <w:r>
              <w:rPr>
                <w:rFonts w:ascii="宋体" w:hAnsi="宋体" w:cs="宋体" w:eastAsia="宋体" w:hint="default"/>
                <w:sz w:val="18"/>
                <w:szCs w:val="18"/>
              </w:rPr>
              <w:t>建信基金管理 有限责任公司</w:t>
            </w:r>
            <w:r>
              <w:rPr>
                <w:rFonts w:ascii="Times New Roman" w:hAnsi="Times New Roman" w:cs="Times New Roman" w:eastAsia="Times New Roman" w:hint="default"/>
                <w:sz w:val="18"/>
                <w:szCs w:val="18"/>
              </w:rPr>
              <w:t>;</w:t>
            </w:r>
            <w:r>
              <w:rPr>
                <w:rFonts w:ascii="宋体" w:hAnsi="宋体" w:cs="宋体" w:eastAsia="宋体" w:hint="default"/>
                <w:sz w:val="18"/>
                <w:szCs w:val="18"/>
              </w:rPr>
              <w:t>四川 省集成电路和信息 安全产业投资基金 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8"/>
              <w:ind w:left="22" w:right="95"/>
              <w:jc w:val="left"/>
              <w:rPr>
                <w:rFonts w:ascii="宋体" w:hAnsi="宋体" w:cs="宋体" w:eastAsia="宋体" w:hint="default"/>
                <w:sz w:val="18"/>
                <w:szCs w:val="18"/>
              </w:rPr>
            </w:pPr>
            <w:r>
              <w:rPr>
                <w:rFonts w:ascii="宋体" w:hAnsi="宋体" w:cs="宋体" w:eastAsia="宋体" w:hint="default"/>
                <w:sz w:val="18"/>
                <w:szCs w:val="18"/>
              </w:rPr>
              <w:t>股份限售 承诺</w:t>
            </w: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3" w:right="22"/>
              <w:jc w:val="left"/>
              <w:rPr>
                <w:rFonts w:ascii="宋体" w:hAnsi="宋体" w:cs="宋体" w:eastAsia="宋体" w:hint="default"/>
                <w:sz w:val="18"/>
                <w:szCs w:val="18"/>
              </w:rPr>
            </w:pPr>
            <w:r>
              <w:rPr>
                <w:rFonts w:ascii="宋体" w:hAnsi="宋体" w:cs="宋体" w:eastAsia="宋体" w:hint="default"/>
                <w:sz w:val="18"/>
                <w:szCs w:val="18"/>
              </w:rPr>
              <w:t>四川省集成电路和信息安全产业投资基金有限 </w:t>
            </w:r>
            <w:r>
              <w:rPr>
                <w:rFonts w:ascii="宋体" w:hAnsi="宋体" w:cs="宋体" w:eastAsia="宋体" w:hint="default"/>
                <w:spacing w:val="-1"/>
                <w:sz w:val="18"/>
                <w:szCs w:val="18"/>
              </w:rPr>
              <w:t>公司、东海基金管理有限责任公司、建信基金管</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1"/>
                <w:sz w:val="18"/>
                <w:szCs w:val="18"/>
              </w:rPr>
              <w:t>理有限责任公司、财通基金管理有限公司、北信</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1"/>
                <w:sz w:val="18"/>
                <w:szCs w:val="18"/>
              </w:rPr>
              <w:t>瑞丰基金管理有限公司承诺，认购的本次非公开</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发行的股票自发行结束之日起十二个月内不得 转让。</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104"/>
              <w:ind w:left="22" w:right="0"/>
              <w:jc w:val="left"/>
              <w:rPr>
                <w:rFonts w:ascii="Times New Roman" w:hAnsi="Times New Roman" w:cs="Times New Roman" w:eastAsia="Times New Roman" w:hint="default"/>
                <w:sz w:val="18"/>
                <w:szCs w:val="18"/>
              </w:rPr>
            </w:pPr>
            <w:r>
              <w:rPr>
                <w:rFonts w:ascii="Times New Roman"/>
                <w:sz w:val="18"/>
              </w:rPr>
              <w:t>03-23</w:t>
            </w:r>
          </w:p>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sz w:val="18"/>
                <w:szCs w:val="18"/>
              </w:rPr>
              <w:t>至</w:t>
            </w:r>
          </w:p>
          <w:p>
            <w:pPr>
              <w:pStyle w:val="TableParagraph"/>
              <w:spacing w:line="240" w:lineRule="auto" w:before="116"/>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03-22</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5"/>
              <w:jc w:val="left"/>
              <w:rPr>
                <w:rFonts w:ascii="宋体" w:hAnsi="宋体" w:cs="宋体" w:eastAsia="宋体" w:hint="default"/>
                <w:sz w:val="18"/>
                <w:szCs w:val="18"/>
              </w:rPr>
            </w:pPr>
            <w:r>
              <w:rPr>
                <w:rFonts w:ascii="宋体" w:hAnsi="宋体" w:cs="宋体" w:eastAsia="宋体" w:hint="default"/>
                <w:sz w:val="18"/>
                <w:szCs w:val="18"/>
              </w:rPr>
              <w:t>截止本报告 </w:t>
            </w:r>
            <w:r>
              <w:rPr>
                <w:rFonts w:ascii="宋体" w:hAnsi="宋体" w:cs="宋体" w:eastAsia="宋体" w:hint="default"/>
                <w:spacing w:val="-5"/>
                <w:sz w:val="18"/>
                <w:szCs w:val="18"/>
              </w:rPr>
              <w:t>出具日，承诺</w:t>
            </w:r>
            <w:r>
              <w:rPr>
                <w:rFonts w:ascii="宋体" w:hAnsi="宋体" w:cs="宋体" w:eastAsia="宋体" w:hint="default"/>
                <w:sz w:val="18"/>
                <w:szCs w:val="18"/>
              </w:rPr>
              <w:t> 人已履行完 毕上述承诺。</w:t>
            </w:r>
          </w:p>
        </w:tc>
      </w:tr>
      <w:tr>
        <w:trPr>
          <w:trHeight w:val="714" w:hRule="exact"/>
        </w:trPr>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01"/>
              <w:jc w:val="left"/>
              <w:rPr>
                <w:rFonts w:ascii="宋体" w:hAnsi="宋体" w:cs="宋体" w:eastAsia="宋体" w:hint="default"/>
                <w:sz w:val="18"/>
                <w:szCs w:val="18"/>
              </w:rPr>
            </w:pPr>
            <w:r>
              <w:rPr>
                <w:rFonts w:ascii="宋体" w:hAnsi="宋体" w:cs="宋体" w:eastAsia="宋体" w:hint="default"/>
                <w:sz w:val="18"/>
                <w:szCs w:val="18"/>
              </w:rPr>
              <w:t>股权激励承 诺</w:t>
            </w:r>
          </w:p>
        </w:tc>
        <w:tc>
          <w:tcPr>
            <w:tcW w:w="156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382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22"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2274" w:hRule="exact"/>
        </w:trPr>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201"/>
              <w:jc w:val="both"/>
              <w:rPr>
                <w:rFonts w:ascii="宋体" w:hAnsi="宋体" w:cs="宋体" w:eastAsia="宋体" w:hint="default"/>
                <w:sz w:val="18"/>
                <w:szCs w:val="18"/>
              </w:rPr>
            </w:pPr>
            <w:r>
              <w:rPr>
                <w:rFonts w:ascii="宋体" w:hAnsi="宋体" w:cs="宋体" w:eastAsia="宋体" w:hint="default"/>
                <w:sz w:val="18"/>
                <w:szCs w:val="18"/>
              </w:rPr>
              <w:t>其他对公司 中小股东所 作承诺</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85"/>
              <w:jc w:val="left"/>
              <w:rPr>
                <w:rFonts w:ascii="宋体" w:hAnsi="宋体" w:cs="宋体" w:eastAsia="宋体" w:hint="default"/>
                <w:sz w:val="18"/>
                <w:szCs w:val="18"/>
              </w:rPr>
            </w:pPr>
            <w:r>
              <w:rPr>
                <w:rFonts w:ascii="宋体" w:hAnsi="宋体" w:cs="宋体" w:eastAsia="宋体" w:hint="default"/>
                <w:sz w:val="18"/>
                <w:szCs w:val="18"/>
              </w:rPr>
              <w:t>中国电子科技网络 信息安全有限公司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95"/>
              <w:jc w:val="left"/>
              <w:rPr>
                <w:rFonts w:ascii="宋体" w:hAnsi="宋体" w:cs="宋体" w:eastAsia="宋体" w:hint="default"/>
                <w:sz w:val="18"/>
                <w:szCs w:val="18"/>
              </w:rPr>
            </w:pPr>
            <w:r>
              <w:rPr>
                <w:rFonts w:ascii="宋体" w:hAnsi="宋体" w:cs="宋体" w:eastAsia="宋体" w:hint="default"/>
                <w:sz w:val="18"/>
                <w:szCs w:val="18"/>
              </w:rPr>
              <w:t>股份减持 承诺</w:t>
            </w: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3"/>
              <w:jc w:val="left"/>
              <w:rPr>
                <w:rFonts w:ascii="宋体" w:hAnsi="宋体" w:cs="宋体" w:eastAsia="宋体" w:hint="default"/>
                <w:sz w:val="18"/>
                <w:szCs w:val="18"/>
              </w:rPr>
            </w:pPr>
            <w:r>
              <w:rPr>
                <w:rFonts w:ascii="宋体" w:hAnsi="宋体" w:cs="宋体" w:eastAsia="宋体" w:hint="default"/>
                <w:sz w:val="18"/>
                <w:szCs w:val="18"/>
              </w:rPr>
              <w:t>基于对卫士通未来发展前景的信心和内在价值 的认可，促进卫士通持续、健康、稳定的发展， 支持卫士通实现未来发展战略，维护广大中小投 资者利益，</w:t>
            </w:r>
            <w:r>
              <w:rPr>
                <w:rFonts w:ascii="宋体" w:hAnsi="宋体" w:cs="宋体" w:eastAsia="宋体" w:hint="default"/>
                <w:spacing w:val="53"/>
                <w:sz w:val="18"/>
                <w:szCs w:val="18"/>
              </w:rPr>
              <w:t> </w:t>
            </w:r>
            <w:r>
              <w:rPr>
                <w:rFonts w:ascii="宋体" w:hAnsi="宋体" w:cs="宋体" w:eastAsia="宋体" w:hint="default"/>
                <w:sz w:val="18"/>
                <w:szCs w:val="18"/>
              </w:rPr>
              <w:t>中国电子科技网络信息安全有限公</w:t>
            </w:r>
            <w:r>
              <w:rPr>
                <w:rFonts w:ascii="宋体" w:hAnsi="宋体" w:cs="宋体" w:eastAsia="宋体" w:hint="default"/>
                <w:sz w:val="18"/>
                <w:szCs w:val="18"/>
              </w:rPr>
              <w:t> 司承诺自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 </w:t>
            </w:r>
            <w:r>
              <w:rPr>
                <w:rFonts w:ascii="Times New Roman" w:hAnsi="Times New Roman" w:cs="Times New Roman" w:eastAsia="Times New Roman" w:hint="default"/>
                <w:sz w:val="18"/>
                <w:szCs w:val="18"/>
              </w:rPr>
              <w:t>1 </w:t>
            </w:r>
            <w:r>
              <w:rPr>
                <w:rFonts w:ascii="宋体" w:hAnsi="宋体" w:cs="宋体" w:eastAsia="宋体" w:hint="default"/>
                <w:sz w:val="18"/>
                <w:szCs w:val="18"/>
              </w:rPr>
              <w:t>月 </w:t>
            </w:r>
            <w:r>
              <w:rPr>
                <w:rFonts w:ascii="Times New Roman" w:hAnsi="Times New Roman" w:cs="Times New Roman" w:eastAsia="Times New Roman" w:hint="default"/>
                <w:sz w:val="18"/>
                <w:szCs w:val="18"/>
              </w:rPr>
              <w:t>1 </w:t>
            </w:r>
            <w:r>
              <w:rPr>
                <w:rFonts w:ascii="宋体" w:hAnsi="宋体" w:cs="宋体" w:eastAsia="宋体" w:hint="default"/>
                <w:sz w:val="18"/>
                <w:szCs w:val="18"/>
              </w:rPr>
              <w:t>日起的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2"/>
                <w:sz w:val="18"/>
                <w:szCs w:val="18"/>
              </w:rPr>
              <w:t> </w:t>
            </w:r>
            <w:r>
              <w:rPr>
                <w:rFonts w:ascii="宋体" w:hAnsi="宋体" w:cs="宋体" w:eastAsia="宋体" w:hint="default"/>
                <w:spacing w:val="-5"/>
                <w:sz w:val="18"/>
                <w:szCs w:val="18"/>
              </w:rPr>
              <w:t>个月内（即</w:t>
            </w:r>
          </w:p>
          <w:p>
            <w:pPr>
              <w:pStyle w:val="TableParagraph"/>
              <w:spacing w:line="302" w:lineRule="auto"/>
              <w:ind w:left="23" w:right="103"/>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 </w:t>
            </w:r>
            <w:r>
              <w:rPr>
                <w:rFonts w:ascii="Times New Roman" w:hAnsi="Times New Roman" w:cs="Times New Roman" w:eastAsia="Times New Roman" w:hint="default"/>
                <w:sz w:val="18"/>
                <w:szCs w:val="18"/>
              </w:rPr>
              <w:t>1 </w:t>
            </w:r>
            <w:r>
              <w:rPr>
                <w:rFonts w:ascii="宋体" w:hAnsi="宋体" w:cs="宋体" w:eastAsia="宋体" w:hint="default"/>
                <w:sz w:val="18"/>
                <w:szCs w:val="18"/>
              </w:rPr>
              <w:t>月 </w:t>
            </w:r>
            <w:r>
              <w:rPr>
                <w:rFonts w:ascii="Times New Roman" w:hAnsi="Times New Roman" w:cs="Times New Roman" w:eastAsia="Times New Roman" w:hint="default"/>
                <w:sz w:val="18"/>
                <w:szCs w:val="18"/>
              </w:rPr>
              <w:t>1 </w:t>
            </w:r>
            <w:r>
              <w:rPr>
                <w:rFonts w:ascii="宋体" w:hAnsi="宋体" w:cs="宋体" w:eastAsia="宋体" w:hint="default"/>
                <w:sz w:val="18"/>
                <w:szCs w:val="18"/>
              </w:rPr>
              <w:t>日起至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 </w:t>
            </w:r>
            <w:r>
              <w:rPr>
                <w:rFonts w:ascii="Times New Roman" w:hAnsi="Times New Roman" w:cs="Times New Roman" w:eastAsia="Times New Roman" w:hint="default"/>
                <w:sz w:val="18"/>
                <w:szCs w:val="18"/>
              </w:rPr>
              <w:t>12 </w:t>
            </w:r>
            <w:r>
              <w:rPr>
                <w:rFonts w:ascii="宋体" w:hAnsi="宋体" w:cs="宋体" w:eastAsia="宋体" w:hint="default"/>
                <w:sz w:val="18"/>
                <w:szCs w:val="18"/>
              </w:rPr>
              <w:t>月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6"/>
                <w:sz w:val="18"/>
                <w:szCs w:val="18"/>
              </w:rPr>
              <w:t> </w:t>
            </w:r>
            <w:r>
              <w:rPr>
                <w:rFonts w:ascii="宋体" w:hAnsi="宋体" w:cs="宋体" w:eastAsia="宋体" w:hint="default"/>
                <w:sz w:val="18"/>
                <w:szCs w:val="18"/>
              </w:rPr>
              <w:t>日 </w:t>
            </w:r>
            <w:r>
              <w:rPr>
                <w:rFonts w:ascii="宋体" w:hAnsi="宋体" w:cs="宋体" w:eastAsia="宋体" w:hint="default"/>
                <w:spacing w:val="-5"/>
                <w:sz w:val="18"/>
                <w:szCs w:val="18"/>
              </w:rPr>
              <w:t>止），不通过二级市场减持持有的卫士通股份。</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104"/>
              <w:ind w:left="22" w:right="0"/>
              <w:jc w:val="left"/>
              <w:rPr>
                <w:rFonts w:ascii="Times New Roman" w:hAnsi="Times New Roman" w:cs="Times New Roman" w:eastAsia="Times New Roman" w:hint="default"/>
                <w:sz w:val="18"/>
                <w:szCs w:val="18"/>
              </w:rPr>
            </w:pPr>
            <w:r>
              <w:rPr>
                <w:rFonts w:ascii="Times New Roman"/>
                <w:sz w:val="18"/>
              </w:rPr>
              <w:t>01-01</w:t>
            </w:r>
          </w:p>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sz w:val="18"/>
                <w:szCs w:val="18"/>
              </w:rPr>
              <w:t>至</w:t>
            </w:r>
          </w:p>
          <w:p>
            <w:pPr>
              <w:pStyle w:val="TableParagraph"/>
              <w:spacing w:line="240" w:lineRule="auto" w:before="116"/>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12-31</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5"/>
              <w:jc w:val="left"/>
              <w:rPr>
                <w:rFonts w:ascii="宋体" w:hAnsi="宋体" w:cs="宋体" w:eastAsia="宋体" w:hint="default"/>
                <w:sz w:val="18"/>
                <w:szCs w:val="18"/>
              </w:rPr>
            </w:pPr>
            <w:r>
              <w:rPr>
                <w:rFonts w:ascii="宋体" w:hAnsi="宋体" w:cs="宋体" w:eastAsia="宋体" w:hint="default"/>
                <w:sz w:val="18"/>
                <w:szCs w:val="18"/>
              </w:rPr>
              <w:t>截止本报告 </w:t>
            </w:r>
            <w:r>
              <w:rPr>
                <w:rFonts w:ascii="宋体" w:hAnsi="宋体" w:cs="宋体" w:eastAsia="宋体" w:hint="default"/>
                <w:spacing w:val="-5"/>
                <w:sz w:val="18"/>
                <w:szCs w:val="18"/>
              </w:rPr>
              <w:t>出具日，承诺</w:t>
            </w:r>
            <w:r>
              <w:rPr>
                <w:rFonts w:ascii="宋体" w:hAnsi="宋体" w:cs="宋体" w:eastAsia="宋体" w:hint="default"/>
                <w:sz w:val="18"/>
                <w:szCs w:val="18"/>
              </w:rPr>
              <w:t> 人已履行完 毕上述承诺。</w:t>
            </w:r>
          </w:p>
        </w:tc>
      </w:tr>
      <w:tr>
        <w:trPr>
          <w:trHeight w:val="714" w:hRule="exact"/>
        </w:trPr>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01"/>
              <w:jc w:val="left"/>
              <w:rPr>
                <w:rFonts w:ascii="宋体" w:hAnsi="宋体" w:cs="宋体" w:eastAsia="宋体" w:hint="default"/>
                <w:sz w:val="18"/>
                <w:szCs w:val="18"/>
              </w:rPr>
            </w:pPr>
            <w:r>
              <w:rPr>
                <w:rFonts w:ascii="宋体" w:hAnsi="宋体" w:cs="宋体" w:eastAsia="宋体" w:hint="default"/>
                <w:sz w:val="18"/>
                <w:szCs w:val="18"/>
              </w:rPr>
              <w:t>承诺是否按 时履行</w:t>
            </w:r>
          </w:p>
        </w:tc>
        <w:tc>
          <w:tcPr>
            <w:tcW w:w="8434"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2586" w:hRule="exact"/>
        </w:trPr>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如承诺超期 未履行完毕 的，应当详细 说明未完成 履行的具体 原因及下一 步的工作计 划</w:t>
            </w:r>
          </w:p>
        </w:tc>
        <w:tc>
          <w:tcPr>
            <w:tcW w:w="8434"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2"/>
        <w:rPr>
          <w:rFonts w:ascii="Times New Roman" w:hAnsi="Times New Roman" w:cs="Times New Roman" w:eastAsia="Times New Roman" w:hint="default"/>
          <w:sz w:val="28"/>
          <w:szCs w:val="28"/>
        </w:rPr>
      </w:pPr>
    </w:p>
    <w:p>
      <w:pPr>
        <w:pStyle w:val="Heading3"/>
        <w:spacing w:line="259" w:lineRule="auto" w:before="35"/>
        <w:ind w:right="1022"/>
        <w:jc w:val="left"/>
        <w:rPr>
          <w:b w:val="0"/>
          <w:bCs w:val="0"/>
        </w:rPr>
      </w:pPr>
      <w:bookmarkStart w:name="2、公司资产或项目存在盈利预测，且报告期仍处在盈利预测期间，公司就资产或项目达到" w:id="67"/>
      <w:bookmarkEnd w:id="67"/>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67"/>
        </w:rPr>
        <w:t> </w:t>
      </w:r>
      <w:r>
        <w:rPr>
          <w:spacing w:val="-67"/>
        </w:rPr>
      </w:r>
      <w:r>
        <w:rPr/>
        <w:t>其原因做出说明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0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1022"/>
        <w:jc w:val="left"/>
        <w:rPr>
          <w:b w:val="0"/>
          <w:bCs w:val="0"/>
        </w:rPr>
      </w:pPr>
      <w:bookmarkStart w:name="四、控股股东及其关联方对上市公司的非经营性占用资金情况" w:id="68"/>
      <w:bookmarkEnd w:id="68"/>
      <w:r>
        <w:rPr>
          <w:b w:val="0"/>
          <w:bCs w:val="0"/>
        </w:rPr>
      </w:r>
      <w:r>
        <w:rPr/>
        <w:t>四、控股股东及其关联方对上市公司的非经营性占用资金情况</w:t>
      </w:r>
      <w:r>
        <w:rPr>
          <w:b w:val="0"/>
          <w:bCs w:val="0"/>
        </w:rPr>
      </w:r>
    </w:p>
    <w:p>
      <w:pPr>
        <w:spacing w:line="240" w:lineRule="auto" w:before="9"/>
        <w:rPr>
          <w:rFonts w:ascii="宋体" w:hAnsi="宋体" w:cs="宋体" w:eastAsia="宋体" w:hint="default"/>
          <w:b/>
          <w:bCs/>
          <w:sz w:val="26"/>
          <w:szCs w:val="26"/>
        </w:rPr>
      </w:pPr>
    </w:p>
    <w:p>
      <w:pPr>
        <w:pStyle w:val="BodyText"/>
        <w:spacing w:line="340" w:lineRule="auto"/>
        <w:ind w:right="49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公司报告期不存在控股股东及其关联方对上市公司的非经营性占用资金。</w:t>
      </w:r>
    </w:p>
    <w:p>
      <w:pPr>
        <w:spacing w:line="240" w:lineRule="auto" w:before="3"/>
        <w:rPr>
          <w:rFonts w:ascii="宋体" w:hAnsi="宋体" w:cs="宋体" w:eastAsia="宋体" w:hint="default"/>
          <w:sz w:val="19"/>
          <w:szCs w:val="19"/>
        </w:rPr>
      </w:pPr>
    </w:p>
    <w:p>
      <w:pPr>
        <w:pStyle w:val="Heading2"/>
        <w:spacing w:line="240" w:lineRule="auto"/>
        <w:ind w:right="1022"/>
        <w:jc w:val="left"/>
        <w:rPr>
          <w:b w:val="0"/>
          <w:bCs w:val="0"/>
        </w:rPr>
      </w:pPr>
      <w:bookmarkStart w:name="五、董事会、监事会、独立董事（如有）对会计师事务所本报告期“非标准审计报告”的说" w:id="69"/>
      <w:bookmarkEnd w:id="69"/>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4"/>
        <w:rPr>
          <w:rFonts w:ascii="宋体" w:hAnsi="宋体" w:cs="宋体" w:eastAsia="宋体" w:hint="default"/>
          <w:b/>
          <w:bCs/>
          <w:sz w:val="25"/>
          <w:szCs w:val="25"/>
        </w:rPr>
      </w:pPr>
    </w:p>
    <w:p>
      <w:pPr>
        <w:pStyle w:val="BodyText"/>
        <w:spacing w:line="240" w:lineRule="auto"/>
        <w:ind w:right="10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338" w:lineRule="auto" w:before="102"/>
        <w:ind w:left="514" w:right="1115" w:firstLine="1"/>
        <w:jc w:val="left"/>
        <w:rPr>
          <w:rFonts w:ascii="宋体" w:hAnsi="宋体" w:cs="宋体" w:eastAsia="宋体" w:hint="default"/>
          <w:sz w:val="18"/>
          <w:szCs w:val="18"/>
        </w:rPr>
      </w:pPr>
      <w:r>
        <w:rPr>
          <w:rFonts w:ascii="宋体" w:hAnsi="宋体" w:cs="宋体" w:eastAsia="宋体" w:hint="default"/>
          <w:b/>
          <w:bCs/>
          <w:sz w:val="18"/>
          <w:szCs w:val="18"/>
        </w:rPr>
        <w:t>董事会关于公司 </w:t>
      </w:r>
      <w:r>
        <w:rPr>
          <w:rFonts w:ascii="Times New Roman" w:hAnsi="Times New Roman" w:cs="Times New Roman" w:eastAsia="Times New Roman" w:hint="default"/>
          <w:b/>
          <w:bCs/>
          <w:sz w:val="18"/>
          <w:szCs w:val="18"/>
        </w:rPr>
        <w:t>2018</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年度带强调事项段的无保留意见审计报告涉及事项的专项说明</w:t>
      </w:r>
      <w:r>
        <w:rPr>
          <w:rFonts w:ascii="宋体" w:hAnsi="宋体" w:cs="宋体" w:eastAsia="宋体" w:hint="default"/>
          <w:b/>
          <w:bCs/>
          <w:w w:val="99"/>
          <w:sz w:val="18"/>
          <w:szCs w:val="18"/>
        </w:rPr>
        <w:t> </w:t>
      </w:r>
      <w:r>
        <w:rPr>
          <w:rFonts w:ascii="宋体" w:hAnsi="宋体" w:cs="宋体" w:eastAsia="宋体" w:hint="default"/>
          <w:spacing w:val="-3"/>
          <w:sz w:val="18"/>
          <w:szCs w:val="18"/>
        </w:rPr>
        <w:t>大华会计师事务所</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特殊普通合伙</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对成都卫士通信息产业股份有限公司（以下简称“公司”）</w:t>
      </w:r>
      <w:r>
        <w:rPr>
          <w:rFonts w:ascii="Times New Roman" w:hAnsi="Times New Roman" w:cs="Times New Roman" w:eastAsia="Times New Roman" w:hint="default"/>
          <w:spacing w:val="-3"/>
          <w:sz w:val="18"/>
          <w:szCs w:val="18"/>
        </w:rPr>
        <w:t>2018</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年度财务报表进行审</w:t>
      </w:r>
    </w:p>
    <w:p>
      <w:pPr>
        <w:pStyle w:val="BodyText"/>
        <w:spacing w:line="230" w:lineRule="exact"/>
        <w:ind w:right="1022"/>
        <w:jc w:val="left"/>
      </w:pPr>
      <w:r>
        <w:rPr/>
        <w:t>计</w:t>
      </w:r>
      <w:r>
        <w:rPr>
          <w:spacing w:val="-17"/>
        </w:rPr>
        <w:t>，</w:t>
      </w:r>
      <w:r>
        <w:rPr/>
        <w:t>出具了带强调事项段的无保留意</w:t>
      </w:r>
      <w:r>
        <w:rPr>
          <w:spacing w:val="-17"/>
        </w:rPr>
        <w:t>见</w:t>
      </w:r>
      <w:r>
        <w:rPr/>
        <w:t>《审计报告</w:t>
      </w:r>
      <w:r>
        <w:rPr>
          <w:spacing w:val="-107"/>
        </w:rPr>
        <w:t>》</w:t>
      </w:r>
      <w:r>
        <w:rPr/>
        <w:t>（大华审字</w:t>
      </w:r>
      <w:r>
        <w:rPr>
          <w:rFonts w:ascii="Times New Roman" w:hAnsi="Times New Roman" w:cs="Times New Roman" w:eastAsia="Times New Roman" w:hint="default"/>
        </w:rPr>
        <w:t>[2019</w:t>
      </w:r>
      <w:r>
        <w:rPr>
          <w:rFonts w:ascii="Times New Roman" w:hAnsi="Times New Roman" w:cs="Times New Roman" w:eastAsia="Times New Roman" w:hint="default"/>
          <w:spacing w:val="-2"/>
        </w:rPr>
        <w:t>]</w:t>
      </w:r>
      <w:r>
        <w:rPr>
          <w:rFonts w:ascii="Times New Roman" w:hAnsi="Times New Roman" w:cs="Times New Roman" w:eastAsia="Times New Roman" w:hint="default"/>
        </w:rPr>
        <w:t>0</w:t>
      </w:r>
      <w:r>
        <w:rPr>
          <w:rFonts w:ascii="Times New Roman" w:hAnsi="Times New Roman" w:cs="Times New Roman" w:eastAsia="Times New Roman" w:hint="default"/>
          <w:spacing w:val="1"/>
        </w:rPr>
        <w:t>0</w:t>
      </w:r>
      <w:r>
        <w:rPr>
          <w:rFonts w:ascii="Times New Roman" w:hAnsi="Times New Roman" w:cs="Times New Roman" w:eastAsia="Times New Roman" w:hint="default"/>
        </w:rPr>
        <w:t>3215</w:t>
      </w:r>
      <w:r>
        <w:rPr>
          <w:rFonts w:ascii="Times New Roman" w:hAnsi="Times New Roman" w:cs="Times New Roman" w:eastAsia="Times New Roman" w:hint="default"/>
          <w:spacing w:val="-1"/>
        </w:rPr>
        <w:t> </w:t>
      </w:r>
      <w:r>
        <w:rPr/>
        <w:t>号</w:t>
      </w:r>
      <w:r>
        <w:rPr>
          <w:spacing w:val="-90"/>
        </w:rPr>
        <w:t>）</w:t>
      </w:r>
      <w:r>
        <w:rPr>
          <w:spacing w:val="-17"/>
        </w:rPr>
        <w:t>。</w:t>
      </w:r>
      <w:r>
        <w:rPr/>
        <w:t>根</w:t>
      </w:r>
      <w:r>
        <w:rPr>
          <w:spacing w:val="1"/>
        </w:rPr>
        <w:t>据</w:t>
      </w:r>
      <w:r>
        <w:rPr/>
        <w:t>中国证监会和深圳证券交易所的相关</w:t>
      </w:r>
    </w:p>
    <w:p>
      <w:pPr>
        <w:pStyle w:val="BodyText"/>
        <w:spacing w:line="360" w:lineRule="auto" w:before="64"/>
        <w:ind w:left="514" w:right="4152" w:hanging="360"/>
        <w:jc w:val="left"/>
      </w:pPr>
      <w:r>
        <w:rPr/>
        <w:t>要求，公司董事会对审计报告所涉及的事项作出专项说明如下： 一、审计报告中强调事项段的内容 大华会计师事务所</w:t>
      </w:r>
      <w:r>
        <w:rPr>
          <w:rFonts w:ascii="Times New Roman" w:hAnsi="Times New Roman" w:cs="Times New Roman" w:eastAsia="Times New Roman" w:hint="default"/>
        </w:rPr>
        <w:t>(</w:t>
      </w:r>
      <w:r>
        <w:rPr/>
        <w:t>特殊普通合伙</w:t>
      </w:r>
      <w:r>
        <w:rPr>
          <w:rFonts w:ascii="Times New Roman" w:hAnsi="Times New Roman" w:cs="Times New Roman" w:eastAsia="Times New Roman" w:hint="default"/>
        </w:rPr>
        <w:t>)</w:t>
      </w:r>
      <w:r>
        <w:rPr/>
        <w:t>出具的《审计报告》中强调段事项内容如下：</w:t>
      </w:r>
    </w:p>
    <w:p>
      <w:pPr>
        <w:pStyle w:val="BodyText"/>
        <w:spacing w:line="307" w:lineRule="auto" w:before="1"/>
        <w:ind w:right="1130" w:firstLine="360"/>
        <w:jc w:val="both"/>
      </w:pPr>
      <w:r>
        <w:rPr>
          <w:spacing w:val="-2"/>
        </w:rPr>
        <w:t>贵公司全资子公司中电科（北京）网络信息安全有限公司（以下简称“北京网安”）向北京金丰科华房地产开发有限公</w:t>
      </w:r>
      <w:r>
        <w:rPr/>
        <w:t> </w:t>
      </w:r>
      <w:r>
        <w:rPr>
          <w:spacing w:val="-4"/>
        </w:rPr>
        <w:t>司（以下简称“金丰科华”）购买位于北京市丰台区花乡四合庄</w:t>
      </w:r>
      <w:r>
        <w:rPr>
          <w:spacing w:val="-41"/>
        </w:rPr>
        <w:t> </w:t>
      </w:r>
      <w:r>
        <w:rPr>
          <w:rFonts w:ascii="Times New Roman" w:hAnsi="Times New Roman" w:cs="Times New Roman" w:eastAsia="Times New Roman" w:hint="default"/>
        </w:rPr>
        <w:t>1516-15</w:t>
      </w:r>
      <w:r>
        <w:rPr>
          <w:rFonts w:ascii="Times New Roman" w:hAnsi="Times New Roman" w:cs="Times New Roman" w:eastAsia="Times New Roman" w:hint="default"/>
          <w:spacing w:val="3"/>
        </w:rPr>
        <w:t> </w:t>
      </w:r>
      <w:r>
        <w:rPr/>
        <w:t>地块上</w:t>
      </w:r>
      <w:r>
        <w:rPr>
          <w:spacing w:val="-42"/>
        </w:rPr>
        <w:t> </w:t>
      </w:r>
      <w:r>
        <w:rPr>
          <w:rFonts w:ascii="Times New Roman" w:hAnsi="Times New Roman" w:cs="Times New Roman" w:eastAsia="Times New Roman" w:hint="default"/>
        </w:rPr>
        <w:t>5#</w:t>
      </w:r>
      <w:r>
        <w:rPr/>
        <w:t>办公商业楼由于涉诉被北京市第二中级人 民法院查封，截至审计报告日，相关案件尚未审结。上述资产列报于“在建工程”项目，</w:t>
      </w:r>
      <w:r>
        <w:rPr>
          <w:rFonts w:ascii="Times New Roman" w:hAnsi="Times New Roman" w:cs="Times New Roman" w:eastAsia="Times New Roman" w:hint="default"/>
        </w:rPr>
        <w:t>2018</w:t>
      </w:r>
      <w:r>
        <w:rPr>
          <w:rFonts w:ascii="Times New Roman" w:hAnsi="Times New Roman" w:cs="Times New Roman" w:eastAsia="Times New Roman" w:hint="default"/>
          <w:spacing w:val="-15"/>
        </w:rPr>
        <w:t> </w:t>
      </w:r>
      <w:r>
        <w:rPr/>
        <w:t>年</w:t>
      </w:r>
      <w:r>
        <w:rPr>
          <w:spacing w:val="-59"/>
        </w:rPr>
        <w:t> </w:t>
      </w:r>
      <w:r>
        <w:rPr>
          <w:rFonts w:ascii="Times New Roman" w:hAnsi="Times New Roman" w:cs="Times New Roman" w:eastAsia="Times New Roman" w:hint="default"/>
        </w:rPr>
        <w:t>12</w:t>
      </w:r>
      <w:r>
        <w:rPr>
          <w:rFonts w:ascii="Times New Roman" w:hAnsi="Times New Roman" w:cs="Times New Roman" w:eastAsia="Times New Roman" w:hint="default"/>
          <w:spacing w:val="-15"/>
        </w:rPr>
        <w:t> </w:t>
      </w:r>
      <w:r>
        <w:rPr/>
        <w:t>月</w:t>
      </w:r>
      <w:r>
        <w:rPr>
          <w:spacing w:val="-60"/>
        </w:rPr>
        <w:t> </w:t>
      </w:r>
      <w:r>
        <w:rPr>
          <w:rFonts w:ascii="Times New Roman" w:hAnsi="Times New Roman" w:cs="Times New Roman" w:eastAsia="Times New Roman" w:hint="default"/>
        </w:rPr>
        <w:t>31</w:t>
      </w:r>
      <w:r>
        <w:rPr>
          <w:rFonts w:ascii="Times New Roman" w:hAnsi="Times New Roman" w:cs="Times New Roman" w:eastAsia="Times New Roman" w:hint="default"/>
          <w:spacing w:val="-15"/>
        </w:rPr>
        <w:t> </w:t>
      </w:r>
      <w:r>
        <w:rPr/>
        <w:t>日余额</w:t>
      </w:r>
      <w:r>
        <w:rPr>
          <w:spacing w:val="-60"/>
        </w:rPr>
        <w:t> </w:t>
      </w:r>
      <w:r>
        <w:rPr>
          <w:rFonts w:ascii="Times New Roman" w:hAnsi="Times New Roman" w:cs="Times New Roman" w:eastAsia="Times New Roman" w:hint="default"/>
        </w:rPr>
        <w:t>116,309.74 </w:t>
      </w:r>
      <w:r>
        <w:rPr/>
        <w:t>万元。</w:t>
      </w:r>
    </w:p>
    <w:p>
      <w:pPr>
        <w:pStyle w:val="BodyText"/>
        <w:spacing w:line="319" w:lineRule="auto" w:before="65"/>
        <w:ind w:right="1022" w:firstLine="360"/>
        <w:jc w:val="left"/>
      </w:pPr>
      <w:r>
        <w:rPr>
          <w:spacing w:val="-2"/>
        </w:rPr>
        <w:t>我们提醒财务报表使用者关注，财务报表附注十三（二）描述了北京网安涉诉房产详细情况及最新进展情况。本段内容</w:t>
      </w:r>
      <w:r>
        <w:rPr/>
        <w:t> 不影响已发表的审计意见。</w:t>
      </w:r>
    </w:p>
    <w:p>
      <w:pPr>
        <w:pStyle w:val="BodyText"/>
        <w:spacing w:line="240" w:lineRule="auto" w:before="56"/>
        <w:ind w:left="514" w:right="1022"/>
        <w:jc w:val="left"/>
      </w:pPr>
      <w:r>
        <w:rPr/>
        <w:t>二、董事会关于 </w:t>
      </w:r>
      <w:r>
        <w:rPr>
          <w:rFonts w:ascii="Times New Roman" w:hAnsi="Times New Roman" w:cs="Times New Roman" w:eastAsia="Times New Roman" w:hint="default"/>
        </w:rPr>
        <w:t>2018  </w:t>
      </w:r>
      <w:r>
        <w:rPr/>
        <w:t>年度审计报告中带强调事项段无保留审计意见所涉及事项的专项说明</w:t>
      </w:r>
    </w:p>
    <w:p>
      <w:pPr>
        <w:pStyle w:val="BodyText"/>
        <w:spacing w:line="302" w:lineRule="auto" w:before="101"/>
        <w:ind w:right="1032" w:firstLine="360"/>
        <w:jc w:val="left"/>
      </w:pPr>
      <w:r>
        <w:rPr/>
        <w:t>大华会计师事务所</w:t>
      </w:r>
      <w:r>
        <w:rPr>
          <w:rFonts w:ascii="Times New Roman" w:hAnsi="Times New Roman" w:cs="Times New Roman" w:eastAsia="Times New Roman" w:hint="default"/>
        </w:rPr>
        <w:t>(</w:t>
      </w:r>
      <w:r>
        <w:rPr/>
        <w:t>特殊普通合伙</w:t>
      </w:r>
      <w:r>
        <w:rPr>
          <w:rFonts w:ascii="Times New Roman" w:hAnsi="Times New Roman" w:cs="Times New Roman" w:eastAsia="Times New Roman" w:hint="default"/>
        </w:rPr>
        <w:t>)</w:t>
      </w:r>
      <w:r>
        <w:rPr/>
        <w:t>对公司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年度财务报表出具了带强调事项段的无保留意见审计报告，该意见是根 据中国注册会计师审计准则要求，出于职业判断出具的，依据和理由符合有关规定。公司对强调事项段中涉及事项无异议。</w:t>
      </w:r>
    </w:p>
    <w:p>
      <w:pPr>
        <w:pStyle w:val="BodyText"/>
        <w:spacing w:line="240" w:lineRule="auto" w:before="70"/>
        <w:ind w:left="514" w:right="1022"/>
        <w:jc w:val="left"/>
      </w:pPr>
      <w:r>
        <w:rPr/>
        <w:t>（一）案件最新进展</w:t>
      </w:r>
    </w:p>
    <w:p>
      <w:pPr>
        <w:pStyle w:val="BodyText"/>
        <w:spacing w:line="300" w:lineRule="auto" w:before="115"/>
        <w:ind w:right="1121" w:firstLine="360"/>
        <w:jc w:val="left"/>
        <w:rPr>
          <w:rFonts w:ascii="Times New Roman" w:hAnsi="Times New Roman" w:cs="Times New Roman" w:eastAsia="Times New Roman" w:hint="default"/>
        </w:rPr>
      </w:pPr>
      <w:r>
        <w:rPr/>
        <w:t>北京网安于</w:t>
      </w:r>
      <w:r>
        <w:rPr>
          <w:spacing w:val="-40"/>
        </w:rPr>
        <w:t> </w:t>
      </w:r>
      <w:r>
        <w:rPr>
          <w:rFonts w:ascii="Times New Roman" w:hAnsi="Times New Roman" w:cs="Times New Roman" w:eastAsia="Times New Roman" w:hint="default"/>
        </w:rPr>
        <w:t>2019</w:t>
      </w:r>
      <w:r>
        <w:rPr>
          <w:rFonts w:ascii="Times New Roman" w:hAnsi="Times New Roman" w:cs="Times New Roman" w:eastAsia="Times New Roman" w:hint="default"/>
          <w:spacing w:val="5"/>
        </w:rPr>
        <w:t> </w:t>
      </w:r>
      <w:r>
        <w:rPr/>
        <w:t>年</w:t>
      </w:r>
      <w:r>
        <w:rPr>
          <w:spacing w:val="-40"/>
        </w:rPr>
        <w:t> </w:t>
      </w:r>
      <w:r>
        <w:rPr>
          <w:rFonts w:ascii="Times New Roman" w:hAnsi="Times New Roman" w:cs="Times New Roman" w:eastAsia="Times New Roman" w:hint="default"/>
        </w:rPr>
        <w:t>2</w:t>
      </w:r>
      <w:r>
        <w:rPr>
          <w:rFonts w:ascii="Times New Roman" w:hAnsi="Times New Roman" w:cs="Times New Roman" w:eastAsia="Times New Roman" w:hint="default"/>
          <w:spacing w:val="6"/>
        </w:rPr>
        <w:t> </w:t>
      </w:r>
      <w:r>
        <w:rPr/>
        <w:t>月</w:t>
      </w:r>
      <w:r>
        <w:rPr>
          <w:spacing w:val="-40"/>
        </w:rPr>
        <w:t> </w:t>
      </w:r>
      <w:r>
        <w:rPr>
          <w:rFonts w:ascii="Times New Roman" w:hAnsi="Times New Roman" w:cs="Times New Roman" w:eastAsia="Times New Roman" w:hint="default"/>
        </w:rPr>
        <w:t>25</w:t>
      </w:r>
      <w:r>
        <w:rPr>
          <w:rFonts w:ascii="Times New Roman" w:hAnsi="Times New Roman" w:cs="Times New Roman" w:eastAsia="Times New Roman" w:hint="default"/>
          <w:spacing w:val="5"/>
        </w:rPr>
        <w:t> </w:t>
      </w:r>
      <w:r>
        <w:rPr>
          <w:spacing w:val="-3"/>
        </w:rPr>
        <w:t>日向北京市第二中级人民法院提交了民事诉讼状，就北京网安向金丰科华购买的北京市丰台</w:t>
      </w:r>
      <w:r>
        <w:rPr/>
        <w:t> 区花乡四合庄</w:t>
      </w:r>
      <w:r>
        <w:rPr>
          <w:spacing w:val="-46"/>
        </w:rPr>
        <w:t> </w:t>
      </w:r>
      <w:r>
        <w:rPr>
          <w:rFonts w:ascii="Times New Roman" w:hAnsi="Times New Roman" w:cs="Times New Roman" w:eastAsia="Times New Roman" w:hint="default"/>
        </w:rPr>
        <w:t>1516-15</w:t>
      </w:r>
      <w:r>
        <w:rPr>
          <w:rFonts w:ascii="Times New Roman" w:hAnsi="Times New Roman" w:cs="Times New Roman" w:eastAsia="Times New Roman" w:hint="default"/>
          <w:spacing w:val="-1"/>
        </w:rPr>
        <w:t> </w:t>
      </w:r>
      <w:r>
        <w:rPr/>
        <w:t>地块上</w:t>
      </w:r>
      <w:r>
        <w:rPr>
          <w:spacing w:val="-45"/>
        </w:rPr>
        <w:t> </w:t>
      </w:r>
      <w:r>
        <w:rPr>
          <w:rFonts w:ascii="Times New Roman" w:hAnsi="Times New Roman" w:cs="Times New Roman" w:eastAsia="Times New Roman" w:hint="default"/>
        </w:rPr>
        <w:t>5#</w:t>
      </w:r>
      <w:r>
        <w:rPr/>
        <w:t>办公商业楼及该房屋对应土地使用权的查封事项提起执行异议诉讼，请求北京市第二中级 人民法院依法解除对丰台区花乡四合庄</w:t>
      </w:r>
      <w:r>
        <w:rPr>
          <w:spacing w:val="-46"/>
        </w:rPr>
        <w:t> </w:t>
      </w:r>
      <w:r>
        <w:rPr>
          <w:rFonts w:ascii="Times New Roman" w:hAnsi="Times New Roman" w:cs="Times New Roman" w:eastAsia="Times New Roman" w:hint="default"/>
        </w:rPr>
        <w:t>1516-15</w:t>
      </w:r>
      <w:r>
        <w:rPr>
          <w:rFonts w:ascii="Times New Roman" w:hAnsi="Times New Roman" w:cs="Times New Roman" w:eastAsia="Times New Roman" w:hint="default"/>
          <w:spacing w:val="-1"/>
        </w:rPr>
        <w:t> </w:t>
      </w:r>
      <w:r>
        <w:rPr/>
        <w:t>地块上</w:t>
      </w:r>
      <w:r>
        <w:rPr>
          <w:spacing w:val="-46"/>
        </w:rPr>
        <w:t> </w:t>
      </w:r>
      <w:r>
        <w:rPr>
          <w:rFonts w:ascii="Times New Roman" w:hAnsi="Times New Roman" w:cs="Times New Roman" w:eastAsia="Times New Roman" w:hint="default"/>
        </w:rPr>
        <w:t>5#</w:t>
      </w:r>
      <w:r>
        <w:rPr/>
        <w:t>办公商业楼及该房屋对应的土地使用权的查封。北京网安于</w:t>
      </w:r>
      <w:r>
        <w:rPr>
          <w:spacing w:val="-46"/>
        </w:rPr>
        <w:t> </w:t>
      </w:r>
      <w:r>
        <w:rPr>
          <w:rFonts w:ascii="Times New Roman" w:hAnsi="Times New Roman" w:cs="Times New Roman" w:eastAsia="Times New Roman" w:hint="default"/>
        </w:rPr>
        <w:t>2019</w:t>
      </w:r>
    </w:p>
    <w:p>
      <w:pPr>
        <w:pStyle w:val="BodyText"/>
        <w:spacing w:line="240" w:lineRule="auto" w:before="13"/>
        <w:ind w:right="0"/>
        <w:jc w:val="left"/>
      </w:pPr>
      <w:r>
        <w:rPr/>
        <w:t>年</w:t>
      </w:r>
      <w:r>
        <w:rPr>
          <w:spacing w:val="-39"/>
        </w:rPr>
        <w:t> </w:t>
      </w:r>
      <w:r>
        <w:rPr>
          <w:rFonts w:ascii="Times New Roman" w:hAnsi="Times New Roman" w:cs="Times New Roman" w:eastAsia="Times New Roman" w:hint="default"/>
        </w:rPr>
        <w:t>4</w:t>
      </w:r>
      <w:r>
        <w:rPr>
          <w:rFonts w:ascii="Times New Roman" w:hAnsi="Times New Roman" w:cs="Times New Roman" w:eastAsia="Times New Roman" w:hint="default"/>
          <w:spacing w:val="6"/>
        </w:rPr>
        <w:t> </w:t>
      </w:r>
      <w:r>
        <w:rPr/>
        <w:t>月</w:t>
      </w:r>
      <w:r>
        <w:rPr>
          <w:spacing w:val="-36"/>
        </w:rPr>
        <w:t> </w:t>
      </w:r>
      <w:r>
        <w:rPr>
          <w:rFonts w:ascii="Times New Roman" w:hAnsi="Times New Roman" w:cs="Times New Roman" w:eastAsia="Times New Roman" w:hint="default"/>
        </w:rPr>
        <w:t>4</w:t>
      </w:r>
      <w:r>
        <w:rPr>
          <w:rFonts w:ascii="Times New Roman" w:hAnsi="Times New Roman" w:cs="Times New Roman" w:eastAsia="Times New Roman" w:hint="default"/>
          <w:spacing w:val="6"/>
        </w:rPr>
        <w:t> </w:t>
      </w:r>
      <w:r>
        <w:rPr>
          <w:spacing w:val="-4"/>
        </w:rPr>
        <w:t>日收到北京市第二中级人民法院作出的一审判决，驳回北京网安的诉讼请求。本次诉讼判决为一审判决，尚未生效，</w:t>
      </w:r>
    </w:p>
    <w:p>
      <w:pPr>
        <w:pStyle w:val="BodyText"/>
        <w:spacing w:line="240" w:lineRule="auto" w:before="64"/>
        <w:ind w:right="1022"/>
        <w:jc w:val="left"/>
      </w:pP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4 </w:t>
      </w:r>
      <w:r>
        <w:rPr/>
        <w:t>月</w:t>
      </w:r>
      <w:r>
        <w:rPr>
          <w:spacing w:val="-46"/>
        </w:rPr>
        <w:t> </w:t>
      </w:r>
      <w:r>
        <w:rPr>
          <w:rFonts w:ascii="Times New Roman" w:hAnsi="Times New Roman" w:cs="Times New Roman" w:eastAsia="Times New Roman" w:hint="default"/>
        </w:rPr>
        <w:t>17 </w:t>
      </w:r>
      <w:r>
        <w:rPr/>
        <w:t>日，北京网安通过北京市第二中级人民法院向北京市高级人民法院提起诉讼。</w:t>
      </w:r>
    </w:p>
    <w:p>
      <w:pPr>
        <w:pStyle w:val="BodyText"/>
        <w:spacing w:line="240" w:lineRule="auto" w:before="102"/>
        <w:ind w:left="514" w:right="1022"/>
        <w:jc w:val="left"/>
      </w:pPr>
      <w:r>
        <w:rPr/>
        <w:t>（二）案件基本情况及公司公告情况</w:t>
      </w:r>
    </w:p>
    <w:p>
      <w:pPr>
        <w:pStyle w:val="BodyText"/>
        <w:spacing w:line="240" w:lineRule="auto" w:before="116"/>
        <w:ind w:left="514" w:right="1022"/>
        <w:jc w:val="left"/>
      </w:pPr>
      <w:r>
        <w:rPr/>
        <w:t>公司于</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年开始筹划非公开发行股票事宜，北京网安作为非公开发行股票募集资金投资项目实施主体，使用募集资</w:t>
      </w:r>
    </w:p>
    <w:p>
      <w:pPr>
        <w:pStyle w:val="BodyText"/>
        <w:spacing w:line="240" w:lineRule="auto" w:before="63"/>
        <w:ind w:right="1022"/>
        <w:jc w:val="left"/>
      </w:pPr>
      <w:r>
        <w:rPr/>
        <w:t>金购买金丰科华开发的位于丰台区花乡四合庄</w:t>
      </w:r>
      <w:r>
        <w:rPr>
          <w:spacing w:val="-46"/>
        </w:rPr>
        <w:t> </w:t>
      </w:r>
      <w:r>
        <w:rPr>
          <w:rFonts w:ascii="Times New Roman" w:hAnsi="Times New Roman" w:cs="Times New Roman" w:eastAsia="Times New Roman" w:hint="default"/>
        </w:rPr>
        <w:t>1516-15 </w:t>
      </w:r>
      <w:r>
        <w:rPr/>
        <w:t>地块的金丰能源中心项目</w:t>
      </w:r>
      <w:r>
        <w:rPr>
          <w:spacing w:val="-46"/>
        </w:rPr>
        <w:t> </w:t>
      </w:r>
      <w:r>
        <w:rPr>
          <w:rFonts w:ascii="Times New Roman" w:hAnsi="Times New Roman" w:cs="Times New Roman" w:eastAsia="Times New Roman" w:hint="default"/>
        </w:rPr>
        <w:t>5#</w:t>
      </w:r>
      <w:r>
        <w:rPr/>
        <w:t>办公商业楼。</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8 </w:t>
      </w:r>
      <w:r>
        <w:rPr/>
        <w:t>月</w:t>
      </w:r>
      <w:r>
        <w:rPr>
          <w:spacing w:val="-46"/>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日，北京网</w:t>
      </w:r>
    </w:p>
    <w:p>
      <w:pPr>
        <w:pStyle w:val="BodyText"/>
        <w:spacing w:line="307" w:lineRule="auto" w:before="63"/>
        <w:ind w:right="1129"/>
        <w:jc w:val="both"/>
      </w:pPr>
      <w:r>
        <w:rPr>
          <w:spacing w:val="-4"/>
        </w:rPr>
        <w:t>安与开发商签署《房屋买卖意向协议》，根据该协议向开发商支付购房意向金</w:t>
      </w:r>
      <w:r>
        <w:rPr>
          <w:spacing w:val="-44"/>
        </w:rPr>
        <w:t> </w:t>
      </w:r>
      <w:r>
        <w:rPr>
          <w:rFonts w:ascii="Times New Roman" w:hAnsi="Times New Roman" w:cs="Times New Roman" w:eastAsia="Times New Roman" w:hint="default"/>
        </w:rPr>
        <w:t>0.5 </w:t>
      </w:r>
      <w:r>
        <w:rPr>
          <w:spacing w:val="-3"/>
        </w:rPr>
        <w:t>亿元；</w:t>
      </w:r>
      <w:r>
        <w:rPr>
          <w:rFonts w:ascii="Times New Roman" w:hAnsi="Times New Roman" w:cs="Times New Roman" w:eastAsia="Times New Roman" w:hint="default"/>
          <w:spacing w:val="-3"/>
        </w:rPr>
        <w:t>2015</w:t>
      </w:r>
      <w:r>
        <w:rPr>
          <w:rFonts w:ascii="Times New Roman" w:hAnsi="Times New Roman" w:cs="Times New Roman" w:eastAsia="Times New Roman" w:hint="default"/>
        </w:rPr>
        <w:t> </w:t>
      </w:r>
      <w:r>
        <w:rPr/>
        <w:t>年</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2 </w:t>
      </w:r>
      <w:r>
        <w:rPr>
          <w:spacing w:val="-3"/>
        </w:rPr>
        <w:t>日，北京网安与开发</w:t>
      </w:r>
      <w:r>
        <w:rPr/>
        <w:t> </w:t>
      </w:r>
      <w:r>
        <w:rPr>
          <w:spacing w:val="-2"/>
        </w:rPr>
        <w:t>商签署《北京市商品房预售合同》，并在北京市住房和城乡建设委员会网站办理了商品房预售合同网上联机备案；签订预售</w:t>
      </w:r>
      <w:r>
        <w:rPr>
          <w:spacing w:val="-72"/>
        </w:rPr>
        <w:t> </w:t>
      </w:r>
      <w:r>
        <w:rPr>
          <w:spacing w:val="-72"/>
        </w:rPr>
      </w:r>
      <w:r>
        <w:rPr>
          <w:spacing w:val="-2"/>
        </w:rPr>
        <w:t>协议时，</w:t>
      </w:r>
      <w:r>
        <w:rPr>
          <w:rFonts w:ascii="Times New Roman" w:hAnsi="Times New Roman" w:cs="Times New Roman" w:eastAsia="Times New Roman" w:hint="default"/>
          <w:spacing w:val="-2"/>
        </w:rPr>
        <w:t>5#</w:t>
      </w:r>
      <w:r>
        <w:rPr>
          <w:spacing w:val="-2"/>
        </w:rPr>
        <w:t>办公商业楼所属土地使用权及在建工程已设置抵押，开发商取得了抵押权人出具的《抵押权人同意抵押房屋办理</w:t>
      </w:r>
      <w:r>
        <w:rPr>
          <w:spacing w:val="-64"/>
        </w:rPr>
        <w:t> </w:t>
      </w:r>
      <w:r>
        <w:rPr>
          <w:spacing w:val="-64"/>
        </w:rPr>
      </w:r>
      <w:r>
        <w:rPr>
          <w:spacing w:val="-7"/>
        </w:rPr>
        <w:t>商品房预售许可证的证明》；截至</w:t>
      </w:r>
      <w:r>
        <w:rPr>
          <w:spacing w:val="-43"/>
        </w:rPr>
        <w:t> </w:t>
      </w:r>
      <w:r>
        <w:rPr>
          <w:rFonts w:ascii="Times New Roman" w:hAnsi="Times New Roman" w:cs="Times New Roman" w:eastAsia="Times New Roman" w:hint="default"/>
        </w:rPr>
        <w:t>2016</w:t>
      </w:r>
      <w:r>
        <w:rPr>
          <w:rFonts w:ascii="Times New Roman" w:hAnsi="Times New Roman" w:cs="Times New Roman" w:eastAsia="Times New Roman" w:hint="default"/>
          <w:spacing w:val="2"/>
        </w:rPr>
        <w:t> </w:t>
      </w:r>
      <w:r>
        <w:rPr/>
        <w:t>年</w:t>
      </w:r>
      <w:r>
        <w:rPr>
          <w:spacing w:val="-41"/>
        </w:rPr>
        <w:t> </w:t>
      </w:r>
      <w:r>
        <w:rPr>
          <w:rFonts w:ascii="Times New Roman" w:hAnsi="Times New Roman" w:cs="Times New Roman" w:eastAsia="Times New Roman" w:hint="default"/>
        </w:rPr>
        <w:t>6</w:t>
      </w:r>
      <w:r>
        <w:rPr>
          <w:rFonts w:ascii="Times New Roman" w:hAnsi="Times New Roman" w:cs="Times New Roman" w:eastAsia="Times New Roman" w:hint="default"/>
          <w:spacing w:val="4"/>
        </w:rPr>
        <w:t> </w:t>
      </w:r>
      <w:r>
        <w:rPr>
          <w:spacing w:val="-1"/>
        </w:rPr>
        <w:t>月，北京网安向开发商足额支付了预售合同约定的全部购房款</w:t>
      </w:r>
      <w:r>
        <w:rPr>
          <w:spacing w:val="-41"/>
        </w:rPr>
        <w:t> </w:t>
      </w:r>
      <w:r>
        <w:rPr>
          <w:rFonts w:ascii="Times New Roman" w:hAnsi="Times New Roman" w:cs="Times New Roman" w:eastAsia="Times New Roman" w:hint="default"/>
          <w:spacing w:val="-2"/>
        </w:rPr>
        <w:t>11.29</w:t>
      </w:r>
      <w:r>
        <w:rPr>
          <w:rFonts w:ascii="Times New Roman" w:hAnsi="Times New Roman" w:cs="Times New Roman" w:eastAsia="Times New Roman" w:hint="default"/>
          <w:spacing w:val="2"/>
        </w:rPr>
        <w:t> </w:t>
      </w:r>
      <w:r>
        <w:rPr>
          <w:spacing w:val="-2"/>
        </w:rPr>
        <w:t>亿元，购房</w:t>
      </w:r>
      <w:r>
        <w:rPr/>
        <w:t> </w:t>
      </w:r>
      <w:r>
        <w:rPr>
          <w:spacing w:val="-2"/>
        </w:rPr>
        <w:t>资金均来源于卫士通非公开发行股票募集资金。根据诉讼材料显示，此后北京中宏瑞德投资管理中心（有限合伙）（以下简</w:t>
      </w:r>
      <w:r>
        <w:rPr>
          <w:spacing w:val="-72"/>
        </w:rPr>
        <w:t> </w:t>
      </w:r>
      <w:r>
        <w:rPr>
          <w:spacing w:val="-72"/>
        </w:rPr>
      </w:r>
      <w:r>
        <w:rPr>
          <w:spacing w:val="-4"/>
        </w:rPr>
        <w:t>称“中宏瑞德”）基于购买债权的方式取得部分抵押债权。</w:t>
      </w:r>
    </w:p>
    <w:p>
      <w:pPr>
        <w:spacing w:after="0" w:line="307"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9" w:lineRule="auto" w:before="44"/>
        <w:ind w:right="1131" w:firstLine="360"/>
        <w:jc w:val="both"/>
      </w:pPr>
      <w:r>
        <w:rPr>
          <w:spacing w:val="-2"/>
        </w:rPr>
        <w:t>因金丰科华涉及与中宏瑞德的其他债务纠纷，中宏瑞德依据生效的法律文书向北京市第二中级人民法院申请执行，并对</w:t>
      </w:r>
      <w:r>
        <w:rPr/>
        <w:t> 开发商位于北京市丰台区花乡四合庄的金丰能源中心项目</w:t>
      </w:r>
      <w:r>
        <w:rPr>
          <w:spacing w:val="-45"/>
        </w:rPr>
        <w:t> </w:t>
      </w:r>
      <w:r>
        <w:rPr>
          <w:rFonts w:ascii="Times New Roman" w:hAnsi="Times New Roman" w:cs="Times New Roman" w:eastAsia="Times New Roman" w:hint="default"/>
        </w:rPr>
        <w:t>1516-15</w:t>
      </w:r>
      <w:r>
        <w:rPr>
          <w:rFonts w:ascii="Times New Roman" w:hAnsi="Times New Roman" w:cs="Times New Roman" w:eastAsia="Times New Roman" w:hint="default"/>
          <w:spacing w:val="-1"/>
        </w:rPr>
        <w:t> </w:t>
      </w:r>
      <w:r>
        <w:rPr/>
        <w:t>地块</w:t>
      </w:r>
      <w:r>
        <w:rPr>
          <w:spacing w:val="-46"/>
        </w:rPr>
        <w:t> </w:t>
      </w:r>
      <w:r>
        <w:rPr>
          <w:rFonts w:ascii="Times New Roman" w:hAnsi="Times New Roman" w:cs="Times New Roman" w:eastAsia="Times New Roman" w:hint="default"/>
        </w:rPr>
        <w:t>37,651.02</w:t>
      </w:r>
      <w:r>
        <w:rPr>
          <w:rFonts w:ascii="Times New Roman" w:hAnsi="Times New Roman" w:cs="Times New Roman" w:eastAsia="Times New Roman" w:hint="default"/>
          <w:spacing w:val="-1"/>
        </w:rPr>
        <w:t> </w:t>
      </w:r>
      <w:r>
        <w:rPr/>
        <w:t>㎡的土地使用权及地上</w:t>
      </w:r>
      <w:r>
        <w:rPr>
          <w:spacing w:val="-46"/>
        </w:rPr>
        <w:t> </w:t>
      </w:r>
      <w:r>
        <w:rPr>
          <w:rFonts w:ascii="Times New Roman" w:hAnsi="Times New Roman" w:cs="Times New Roman" w:eastAsia="Times New Roman" w:hint="default"/>
        </w:rPr>
        <w:t>225,484.78</w:t>
      </w:r>
      <w:r>
        <w:rPr>
          <w:rFonts w:ascii="Times New Roman" w:hAnsi="Times New Roman" w:cs="Times New Roman" w:eastAsia="Times New Roman" w:hint="default"/>
          <w:spacing w:val="-1"/>
        </w:rPr>
        <w:t> </w:t>
      </w:r>
      <w:r>
        <w:rPr/>
        <w:t>㎡在建 工程采取查封措施。经公司向北京市丰台区不动产登记中心查询，目前标的房产处于查封状态。</w:t>
      </w:r>
    </w:p>
    <w:p>
      <w:pPr>
        <w:pStyle w:val="BodyText"/>
        <w:spacing w:line="240" w:lineRule="auto" w:before="62"/>
        <w:ind w:left="514" w:right="1022"/>
        <w:jc w:val="left"/>
      </w:pPr>
      <w:r>
        <w:rPr/>
        <w:t>北京网安对查封执行标的提出了书面执行异议</w:t>
      </w:r>
      <w:r>
        <w:rPr>
          <w:spacing w:val="-82"/>
        </w:rPr>
        <w:t>，</w:t>
      </w:r>
      <w:r>
        <w:rPr/>
        <w:t>并于</w:t>
      </w:r>
      <w:r>
        <w:rPr>
          <w:spacing w:val="-45"/>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2 </w:t>
      </w:r>
      <w:r>
        <w:rPr/>
        <w:t>月</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spacing w:val="1"/>
        </w:rPr>
        <w:t>日</w:t>
      </w:r>
      <w:r>
        <w:rPr/>
        <w:t>收到北京市第二中级人民法院驳回北京网安执行</w:t>
      </w:r>
    </w:p>
    <w:p>
      <w:pPr>
        <w:pStyle w:val="BodyText"/>
        <w:spacing w:line="300" w:lineRule="auto" w:before="63"/>
        <w:ind w:right="1117"/>
        <w:jc w:val="left"/>
      </w:pPr>
      <w:r>
        <w:rPr>
          <w:spacing w:val="-4"/>
        </w:rPr>
        <w:t>异议的裁定。北京网安于</w:t>
      </w:r>
      <w:r>
        <w:rPr>
          <w:spacing w:val="-52"/>
        </w:rPr>
        <w:t> </w:t>
      </w:r>
      <w:r>
        <w:rPr>
          <w:rFonts w:ascii="Times New Roman" w:hAnsi="Times New Roman" w:cs="Times New Roman" w:eastAsia="Times New Roman" w:hint="default"/>
        </w:rPr>
        <w:t>2019</w:t>
      </w:r>
      <w:r>
        <w:rPr>
          <w:rFonts w:ascii="Times New Roman" w:hAnsi="Times New Roman" w:cs="Times New Roman" w:eastAsia="Times New Roman" w:hint="default"/>
          <w:spacing w:val="-6"/>
        </w:rPr>
        <w:t> </w:t>
      </w:r>
      <w:r>
        <w:rPr/>
        <w:t>年</w:t>
      </w:r>
      <w:r>
        <w:rPr>
          <w:spacing w:val="-52"/>
        </w:rPr>
        <w:t> </w:t>
      </w:r>
      <w:r>
        <w:rPr>
          <w:rFonts w:ascii="Times New Roman" w:hAnsi="Times New Roman" w:cs="Times New Roman" w:eastAsia="Times New Roman" w:hint="default"/>
        </w:rPr>
        <w:t>2</w:t>
      </w:r>
      <w:r>
        <w:rPr>
          <w:rFonts w:ascii="Times New Roman" w:hAnsi="Times New Roman" w:cs="Times New Roman" w:eastAsia="Times New Roman" w:hint="default"/>
          <w:spacing w:val="-7"/>
        </w:rPr>
        <w:t> </w:t>
      </w:r>
      <w:r>
        <w:rPr/>
        <w:t>月</w:t>
      </w:r>
      <w:r>
        <w:rPr>
          <w:spacing w:val="-52"/>
        </w:rPr>
        <w:t> </w:t>
      </w:r>
      <w:r>
        <w:rPr>
          <w:rFonts w:ascii="Times New Roman" w:hAnsi="Times New Roman" w:cs="Times New Roman" w:eastAsia="Times New Roman" w:hint="default"/>
        </w:rPr>
        <w:t>25</w:t>
      </w:r>
      <w:r>
        <w:rPr>
          <w:rFonts w:ascii="Times New Roman" w:hAnsi="Times New Roman" w:cs="Times New Roman" w:eastAsia="Times New Roman" w:hint="default"/>
          <w:spacing w:val="-7"/>
        </w:rPr>
        <w:t> </w:t>
      </w:r>
      <w:r>
        <w:rPr/>
        <w:t>日向北京市第二中级人民法院提交了民事诉讼状，就北京网安向金丰科华购买的北 京市丰台区花乡四合庄</w:t>
      </w:r>
      <w:r>
        <w:rPr>
          <w:spacing w:val="-46"/>
        </w:rPr>
        <w:t> </w:t>
      </w:r>
      <w:r>
        <w:rPr>
          <w:rFonts w:ascii="Times New Roman" w:hAnsi="Times New Roman" w:cs="Times New Roman" w:eastAsia="Times New Roman" w:hint="default"/>
        </w:rPr>
        <w:t>1516-15</w:t>
      </w:r>
      <w:r>
        <w:rPr>
          <w:rFonts w:ascii="Times New Roman" w:hAnsi="Times New Roman" w:cs="Times New Roman" w:eastAsia="Times New Roman" w:hint="default"/>
          <w:spacing w:val="-1"/>
        </w:rPr>
        <w:t> </w:t>
      </w:r>
      <w:r>
        <w:rPr/>
        <w:t>地块上</w:t>
      </w:r>
      <w:r>
        <w:rPr>
          <w:spacing w:val="-46"/>
        </w:rPr>
        <w:t> </w:t>
      </w:r>
      <w:r>
        <w:rPr>
          <w:rFonts w:ascii="Times New Roman" w:hAnsi="Times New Roman" w:cs="Times New Roman" w:eastAsia="Times New Roman" w:hint="default"/>
        </w:rPr>
        <w:t>5#</w:t>
      </w:r>
      <w:r>
        <w:rPr/>
        <w:t>办公商业楼及该房屋对应土地使用权的查封事项提起执行异议诉讼，请求北京市 第二中级人民法院依法解除对丰台区花乡四合庄</w:t>
      </w:r>
      <w:r>
        <w:rPr>
          <w:spacing w:val="-45"/>
        </w:rPr>
        <w:t> </w:t>
      </w:r>
      <w:r>
        <w:rPr>
          <w:rFonts w:ascii="Times New Roman" w:hAnsi="Times New Roman" w:cs="Times New Roman" w:eastAsia="Times New Roman" w:hint="default"/>
        </w:rPr>
        <w:t>1516-15</w:t>
      </w:r>
      <w:r>
        <w:rPr>
          <w:rFonts w:ascii="Times New Roman" w:hAnsi="Times New Roman" w:cs="Times New Roman" w:eastAsia="Times New Roman" w:hint="default"/>
          <w:spacing w:val="-1"/>
        </w:rPr>
        <w:t> </w:t>
      </w:r>
      <w:r>
        <w:rPr/>
        <w:t>地块上</w:t>
      </w:r>
      <w:r>
        <w:rPr>
          <w:spacing w:val="-46"/>
        </w:rPr>
        <w:t> </w:t>
      </w:r>
      <w:r>
        <w:rPr>
          <w:rFonts w:ascii="Times New Roman" w:hAnsi="Times New Roman" w:cs="Times New Roman" w:eastAsia="Times New Roman" w:hint="default"/>
        </w:rPr>
        <w:t>5#</w:t>
      </w:r>
      <w:r>
        <w:rPr/>
        <w:t>办公商业楼及该房屋对应的土地使用权的查封。北京市 第二中级人民法院于</w:t>
      </w:r>
      <w:r>
        <w:rPr>
          <w:spacing w:val="-43"/>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w:t>
      </w:r>
      <w:r>
        <w:rPr>
          <w:spacing w:val="-42"/>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月</w:t>
      </w:r>
      <w:r>
        <w:rPr>
          <w:spacing w:val="-4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spacing w:val="-5"/>
        </w:rPr>
        <w:t>日出具《受理案件通知书》及《诉讼费交费通知书》，受理了本案，详见公司《关于重大</w:t>
      </w:r>
    </w:p>
    <w:p>
      <w:pPr>
        <w:pStyle w:val="BodyText"/>
        <w:spacing w:line="240" w:lineRule="auto" w:before="13"/>
        <w:ind w:right="1022"/>
        <w:jc w:val="left"/>
      </w:pPr>
      <w:r>
        <w:rPr/>
        <w:t>诉讼的公告</w:t>
      </w:r>
      <w:r>
        <w:rPr>
          <w:spacing w:val="-90"/>
        </w:rPr>
        <w:t>》</w:t>
      </w:r>
      <w:r>
        <w:rPr/>
        <w:t>（</w:t>
      </w:r>
      <w:r>
        <w:rPr>
          <w:rFonts w:ascii="Times New Roman" w:hAnsi="Times New Roman" w:cs="Times New Roman" w:eastAsia="Times New Roman" w:hint="default"/>
        </w:rPr>
        <w:t>2019-0</w:t>
      </w:r>
      <w:r>
        <w:rPr>
          <w:rFonts w:ascii="Times New Roman" w:hAnsi="Times New Roman" w:cs="Times New Roman" w:eastAsia="Times New Roman" w:hint="default"/>
          <w:spacing w:val="-8"/>
        </w:rPr>
        <w:t>1</w:t>
      </w:r>
      <w:r>
        <w:rPr>
          <w:rFonts w:ascii="Times New Roman" w:hAnsi="Times New Roman" w:cs="Times New Roman" w:eastAsia="Times New Roman" w:hint="default"/>
        </w:rPr>
        <w:t>1</w:t>
      </w:r>
      <w:r>
        <w:rPr>
          <w:spacing w:val="-90"/>
        </w:rPr>
        <w:t>）</w:t>
      </w:r>
      <w:r>
        <w:rPr/>
        <w:t>；北京网安于</w:t>
      </w:r>
      <w:r>
        <w:rPr>
          <w:spacing w:val="-46"/>
        </w:rPr>
        <w:t> </w:t>
      </w:r>
      <w:r>
        <w:rPr>
          <w:rFonts w:ascii="Times New Roman" w:hAnsi="Times New Roman" w:cs="Times New Roman" w:eastAsia="Times New Roman" w:hint="default"/>
        </w:rPr>
        <w:t>2019 </w:t>
      </w:r>
      <w:r>
        <w:rPr/>
        <w:t>年</w:t>
      </w:r>
      <w:r>
        <w:rPr>
          <w:spacing w:val="-46"/>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日</w:t>
      </w:r>
      <w:r>
        <w:rPr>
          <w:spacing w:val="1"/>
        </w:rPr>
        <w:t>收</w:t>
      </w:r>
      <w:r>
        <w:rPr/>
        <w:t>到北京市第二中级人民法院作出的一审判决，驳回北京网安的诉</w:t>
      </w:r>
    </w:p>
    <w:p>
      <w:pPr>
        <w:pStyle w:val="BodyText"/>
        <w:spacing w:line="302" w:lineRule="auto" w:before="63"/>
        <w:ind w:right="1169"/>
        <w:jc w:val="left"/>
      </w:pPr>
      <w:r>
        <w:rPr/>
        <w:t>讼请求，详见《关于重大诉讼的进展公告</w:t>
      </w:r>
      <w:r>
        <w:rPr>
          <w:spacing w:val="-90"/>
        </w:rPr>
        <w:t>》</w:t>
      </w:r>
      <w:r>
        <w:rPr/>
        <w:t>（</w:t>
      </w:r>
      <w:r>
        <w:rPr>
          <w:rFonts w:ascii="Times New Roman" w:hAnsi="Times New Roman" w:cs="Times New Roman" w:eastAsia="Times New Roman" w:hint="default"/>
        </w:rPr>
        <w:t>2019-019</w:t>
      </w:r>
      <w:r>
        <w:rPr>
          <w:spacing w:val="-90"/>
        </w:rPr>
        <w:t>）</w:t>
      </w:r>
      <w:r>
        <w:rPr/>
        <w:t>；公司于</w:t>
      </w:r>
      <w:r>
        <w:rPr>
          <w:spacing w:val="-46"/>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7 </w:t>
      </w:r>
      <w:r>
        <w:rPr/>
        <w:t>日依法向北京市高级人民法院提起上诉，详见《关 于重大诉讼的进展公告</w:t>
      </w:r>
      <w:r>
        <w:rPr>
          <w:spacing w:val="-90"/>
        </w:rPr>
        <w:t>》</w:t>
      </w:r>
      <w:r>
        <w:rPr/>
        <w:t>（</w:t>
      </w:r>
      <w:r>
        <w:rPr>
          <w:rFonts w:ascii="Times New Roman" w:hAnsi="Times New Roman" w:cs="Times New Roman" w:eastAsia="Times New Roman" w:hint="default"/>
        </w:rPr>
        <w:t>2019-026</w:t>
      </w:r>
      <w:r>
        <w:rPr/>
        <w:t>）</w:t>
      </w:r>
    </w:p>
    <w:p>
      <w:pPr>
        <w:pStyle w:val="BodyText"/>
        <w:spacing w:line="302" w:lineRule="auto" w:before="50"/>
        <w:ind w:right="1132" w:firstLine="360"/>
        <w:jc w:val="left"/>
      </w:pPr>
      <w:r>
        <w:rPr/>
        <w:t>公司其他重大诉讼情况请见公</w:t>
      </w:r>
      <w:r>
        <w:rPr>
          <w:spacing w:val="-5"/>
        </w:rPr>
        <w:t>司</w:t>
      </w:r>
      <w:r>
        <w:rPr/>
        <w:t>《关于重大诉讼的公告</w:t>
      </w:r>
      <w:r>
        <w:rPr>
          <w:spacing w:val="-95"/>
        </w:rPr>
        <w:t>》</w:t>
      </w:r>
      <w:r>
        <w:rPr/>
        <w:t>（</w:t>
      </w:r>
      <w:r>
        <w:rPr>
          <w:rFonts w:ascii="Times New Roman" w:hAnsi="Times New Roman" w:cs="Times New Roman" w:eastAsia="Times New Roman" w:hint="default"/>
        </w:rPr>
        <w:t>2018-025</w:t>
      </w:r>
      <w:r>
        <w:rPr>
          <w:spacing w:val="-90"/>
        </w:rPr>
        <w:t>）</w:t>
      </w:r>
      <w:r>
        <w:rPr>
          <w:spacing w:val="-95"/>
        </w:rPr>
        <w:t>、</w:t>
      </w:r>
      <w:r>
        <w:rPr>
          <w:spacing w:val="1"/>
        </w:rPr>
        <w:t>《</w:t>
      </w:r>
      <w:r>
        <w:rPr/>
        <w:t>关于重大诉讼的进展公告</w:t>
      </w:r>
      <w:r>
        <w:rPr>
          <w:spacing w:val="-95"/>
        </w:rPr>
        <w:t>》</w:t>
      </w:r>
      <w:r>
        <w:rPr/>
        <w:t>（</w:t>
      </w:r>
      <w:r>
        <w:rPr>
          <w:rFonts w:ascii="Times New Roman" w:hAnsi="Times New Roman" w:cs="Times New Roman" w:eastAsia="Times New Roman" w:hint="default"/>
        </w:rPr>
        <w:t>2018-027</w:t>
      </w:r>
      <w:r>
        <w:rPr>
          <w:spacing w:val="-90"/>
        </w:rPr>
        <w:t>）</w:t>
      </w:r>
      <w:r>
        <w:rPr>
          <w:spacing w:val="-95"/>
        </w:rPr>
        <w:t>、</w:t>
      </w:r>
      <w:r>
        <w:rPr/>
        <w:t>《关于</w:t>
      </w:r>
      <w:r>
        <w:rPr/>
        <w:t> 重大诉讼的进展公告</w:t>
      </w:r>
      <w:r>
        <w:rPr>
          <w:spacing w:val="-90"/>
        </w:rPr>
        <w:t>》</w:t>
      </w:r>
      <w:r>
        <w:rPr/>
        <w:t>（</w:t>
      </w:r>
      <w:r>
        <w:rPr>
          <w:rFonts w:ascii="Times New Roman" w:hAnsi="Times New Roman" w:cs="Times New Roman" w:eastAsia="Times New Roman" w:hint="default"/>
        </w:rPr>
        <w:t>2018-029</w:t>
      </w:r>
      <w:r>
        <w:rPr>
          <w:spacing w:val="-90"/>
        </w:rPr>
        <w:t>）、</w:t>
      </w:r>
      <w:r>
        <w:rPr/>
        <w:t>《关于重大诉讼的公告</w:t>
      </w:r>
      <w:r>
        <w:rPr>
          <w:spacing w:val="-90"/>
        </w:rPr>
        <w:t>》</w:t>
      </w:r>
      <w:r>
        <w:rPr/>
        <w:t>（</w:t>
      </w:r>
      <w:r>
        <w:rPr>
          <w:rFonts w:ascii="Times New Roman" w:hAnsi="Times New Roman" w:cs="Times New Roman" w:eastAsia="Times New Roman" w:hint="default"/>
        </w:rPr>
        <w:t>2018-048</w:t>
      </w:r>
      <w:r>
        <w:rPr/>
        <w:t>）等。</w:t>
      </w:r>
    </w:p>
    <w:p>
      <w:pPr>
        <w:pStyle w:val="BodyText"/>
        <w:spacing w:line="357" w:lineRule="auto" w:before="50"/>
        <w:ind w:left="514" w:right="1022"/>
        <w:jc w:val="left"/>
      </w:pPr>
      <w:r>
        <w:rPr/>
        <w:t>（三）对公司的影响及公司应对措施 </w:t>
      </w:r>
      <w:r>
        <w:rPr>
          <w:spacing w:val="-2"/>
        </w:rPr>
        <w:t>目前查封执行异议之诉案件尚未终审判决，鉴于法院在执行异议案件中仅就查封措施是否适当进行审查，不涉及对实体</w:t>
      </w:r>
    </w:p>
    <w:p>
      <w:pPr>
        <w:pStyle w:val="BodyText"/>
        <w:spacing w:line="224" w:lineRule="exact"/>
        <w:ind w:right="0"/>
        <w:jc w:val="left"/>
      </w:pPr>
      <w:r>
        <w:rPr/>
        <w:t>权利的认定或处分，目前暂无法确定对公司本期利润或期后利润的影响；同时由于本次上诉案件开庭时间未定，且不可预计</w:t>
      </w:r>
    </w:p>
    <w:p>
      <w:pPr>
        <w:pStyle w:val="BodyText"/>
        <w:spacing w:line="319" w:lineRule="auto" w:before="76"/>
        <w:ind w:right="1022"/>
        <w:jc w:val="left"/>
      </w:pPr>
      <w:r>
        <w:rPr>
          <w:spacing w:val="-2"/>
        </w:rPr>
        <w:t>开发商金丰科华债权债务纠纷解决情况，公司对消除强调事项影响的时间暂无法预估。公司将严格按照法律程序规定积极处</w:t>
      </w:r>
      <w:r>
        <w:rPr>
          <w:spacing w:val="-64"/>
        </w:rPr>
        <w:t> </w:t>
      </w:r>
      <w:r>
        <w:rPr>
          <w:spacing w:val="-64"/>
        </w:rPr>
      </w:r>
      <w:r>
        <w:rPr/>
        <w:t>理本次诉讼，最大限度保障公司合法权益。</w:t>
      </w:r>
    </w:p>
    <w:p>
      <w:pPr>
        <w:pStyle w:val="BodyText"/>
        <w:spacing w:line="240" w:lineRule="auto" w:before="58"/>
        <w:ind w:left="514" w:right="1022"/>
        <w:jc w:val="left"/>
      </w:pPr>
      <w:r>
        <w:rPr/>
        <w:t>公司及公司董事会将密切关注上述事项的进展情况，及时履行信息披露义务。</w:t>
      </w:r>
    </w:p>
    <w:p>
      <w:pPr>
        <w:spacing w:line="338" w:lineRule="auto" w:before="116"/>
        <w:ind w:left="514" w:right="1115" w:firstLine="1"/>
        <w:jc w:val="left"/>
        <w:rPr>
          <w:rFonts w:ascii="宋体" w:hAnsi="宋体" w:cs="宋体" w:eastAsia="宋体" w:hint="default"/>
          <w:sz w:val="18"/>
          <w:szCs w:val="18"/>
        </w:rPr>
      </w:pPr>
      <w:r>
        <w:rPr>
          <w:rFonts w:ascii="宋体" w:hAnsi="宋体" w:cs="宋体" w:eastAsia="宋体" w:hint="default"/>
          <w:b/>
          <w:bCs/>
          <w:sz w:val="18"/>
          <w:szCs w:val="18"/>
        </w:rPr>
        <w:t>监事会关于《董事会关于公司 </w:t>
      </w:r>
      <w:r>
        <w:rPr>
          <w:rFonts w:ascii="Times New Roman" w:hAnsi="Times New Roman" w:cs="Times New Roman" w:eastAsia="Times New Roman" w:hint="default"/>
          <w:b/>
          <w:bCs/>
          <w:sz w:val="18"/>
          <w:szCs w:val="18"/>
        </w:rPr>
        <w:t>2018 </w:t>
      </w:r>
      <w:r>
        <w:rPr>
          <w:rFonts w:ascii="宋体" w:hAnsi="宋体" w:cs="宋体" w:eastAsia="宋体" w:hint="default"/>
          <w:b/>
          <w:bCs/>
          <w:sz w:val="18"/>
          <w:szCs w:val="18"/>
        </w:rPr>
        <w:t>年度带强调事项段的无保留意见审计报告涉及事项的专项说明》的意见</w:t>
      </w:r>
      <w:r>
        <w:rPr>
          <w:rFonts w:ascii="宋体" w:hAnsi="宋体" w:cs="宋体" w:eastAsia="宋体" w:hint="default"/>
          <w:b/>
          <w:bCs/>
          <w:w w:val="99"/>
          <w:sz w:val="18"/>
          <w:szCs w:val="18"/>
        </w:rPr>
        <w:t> </w:t>
      </w:r>
      <w:r>
        <w:rPr>
          <w:rFonts w:ascii="宋体" w:hAnsi="宋体" w:cs="宋体" w:eastAsia="宋体" w:hint="default"/>
          <w:spacing w:val="-3"/>
          <w:sz w:val="18"/>
          <w:szCs w:val="18"/>
        </w:rPr>
        <w:t>大华会计师事务所</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特殊普通合伙</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对成都卫士通信息产业股份有限公司（以下简称“公司”）</w:t>
      </w:r>
      <w:r>
        <w:rPr>
          <w:rFonts w:ascii="Times New Roman" w:hAnsi="Times New Roman" w:cs="Times New Roman" w:eastAsia="Times New Roman" w:hint="default"/>
          <w:spacing w:val="-3"/>
          <w:sz w:val="18"/>
          <w:szCs w:val="18"/>
        </w:rPr>
        <w:t>2018</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年度财务报表进行审</w:t>
      </w:r>
    </w:p>
    <w:p>
      <w:pPr>
        <w:pStyle w:val="BodyText"/>
        <w:spacing w:line="231" w:lineRule="exact"/>
        <w:ind w:right="1022"/>
        <w:jc w:val="left"/>
      </w:pPr>
      <w:r>
        <w:rPr/>
        <w:t>计</w:t>
      </w:r>
      <w:r>
        <w:rPr>
          <w:spacing w:val="-17"/>
        </w:rPr>
        <w:t>，</w:t>
      </w:r>
      <w:r>
        <w:rPr/>
        <w:t>出具了带强调事项段的无保留意</w:t>
      </w:r>
      <w:r>
        <w:rPr>
          <w:spacing w:val="-17"/>
        </w:rPr>
        <w:t>见</w:t>
      </w:r>
      <w:r>
        <w:rPr/>
        <w:t>《审计报告</w:t>
      </w:r>
      <w:r>
        <w:rPr>
          <w:spacing w:val="-107"/>
        </w:rPr>
        <w:t>》</w:t>
      </w:r>
      <w:r>
        <w:rPr/>
        <w:t>（大华审字</w:t>
      </w:r>
      <w:r>
        <w:rPr>
          <w:rFonts w:ascii="Times New Roman" w:hAnsi="Times New Roman" w:cs="Times New Roman" w:eastAsia="Times New Roman" w:hint="default"/>
        </w:rPr>
        <w:t>[2019</w:t>
      </w:r>
      <w:r>
        <w:rPr>
          <w:rFonts w:ascii="Times New Roman" w:hAnsi="Times New Roman" w:cs="Times New Roman" w:eastAsia="Times New Roman" w:hint="default"/>
          <w:spacing w:val="-2"/>
        </w:rPr>
        <w:t>]</w:t>
      </w:r>
      <w:r>
        <w:rPr>
          <w:rFonts w:ascii="Times New Roman" w:hAnsi="Times New Roman" w:cs="Times New Roman" w:eastAsia="Times New Roman" w:hint="default"/>
        </w:rPr>
        <w:t>0</w:t>
      </w:r>
      <w:r>
        <w:rPr>
          <w:rFonts w:ascii="Times New Roman" w:hAnsi="Times New Roman" w:cs="Times New Roman" w:eastAsia="Times New Roman" w:hint="default"/>
          <w:spacing w:val="1"/>
        </w:rPr>
        <w:t>0</w:t>
      </w:r>
      <w:r>
        <w:rPr>
          <w:rFonts w:ascii="Times New Roman" w:hAnsi="Times New Roman" w:cs="Times New Roman" w:eastAsia="Times New Roman" w:hint="default"/>
        </w:rPr>
        <w:t>3215</w:t>
      </w:r>
      <w:r>
        <w:rPr>
          <w:rFonts w:ascii="Times New Roman" w:hAnsi="Times New Roman" w:cs="Times New Roman" w:eastAsia="Times New Roman" w:hint="default"/>
          <w:spacing w:val="-1"/>
        </w:rPr>
        <w:t> </w:t>
      </w:r>
      <w:r>
        <w:rPr/>
        <w:t>号</w:t>
      </w:r>
      <w:r>
        <w:rPr>
          <w:spacing w:val="-90"/>
        </w:rPr>
        <w:t>）</w:t>
      </w:r>
      <w:r>
        <w:rPr>
          <w:spacing w:val="-17"/>
        </w:rPr>
        <w:t>。</w:t>
      </w:r>
      <w:r>
        <w:rPr/>
        <w:t>根</w:t>
      </w:r>
      <w:r>
        <w:rPr>
          <w:spacing w:val="1"/>
        </w:rPr>
        <w:t>据</w:t>
      </w:r>
      <w:r>
        <w:rPr/>
        <w:t>深圳证券交易所和中国证监会的相关</w:t>
      </w:r>
    </w:p>
    <w:p>
      <w:pPr>
        <w:pStyle w:val="BodyText"/>
        <w:spacing w:line="357" w:lineRule="auto" w:before="64"/>
        <w:ind w:left="514" w:right="1109" w:hanging="360"/>
        <w:jc w:val="left"/>
      </w:pPr>
      <w:r>
        <w:rPr/>
        <w:t>要求，公司董事会就上述审计报告涉及事项出具了专项说明，现公司监事会就董事会出具的专项说明发表如下意见： </w:t>
      </w:r>
      <w:r>
        <w:rPr>
          <w:spacing w:val="-2"/>
        </w:rPr>
        <w:t>大华会计师事务所</w:t>
      </w:r>
      <w:r>
        <w:rPr>
          <w:rFonts w:ascii="Times New Roman" w:hAnsi="Times New Roman" w:cs="Times New Roman" w:eastAsia="Times New Roman" w:hint="default"/>
          <w:spacing w:val="-2"/>
        </w:rPr>
        <w:t>(</w:t>
      </w:r>
      <w:r>
        <w:rPr>
          <w:spacing w:val="-2"/>
        </w:rPr>
        <w:t>特殊普通合伙</w:t>
      </w:r>
      <w:r>
        <w:rPr>
          <w:rFonts w:ascii="Times New Roman" w:hAnsi="Times New Roman" w:cs="Times New Roman" w:eastAsia="Times New Roman" w:hint="default"/>
          <w:spacing w:val="-2"/>
        </w:rPr>
        <w:t>)</w:t>
      </w:r>
      <w:r>
        <w:rPr>
          <w:spacing w:val="-2"/>
        </w:rPr>
        <w:t>对公司出具了带强调事项段的无保留意见《审计报告》（大华审字</w:t>
      </w:r>
      <w:r>
        <w:rPr>
          <w:rFonts w:ascii="Times New Roman" w:hAnsi="Times New Roman" w:cs="Times New Roman" w:eastAsia="Times New Roman" w:hint="default"/>
          <w:spacing w:val="-2"/>
        </w:rPr>
        <w:t>[2019]003215</w:t>
      </w:r>
      <w:r>
        <w:rPr>
          <w:rFonts w:ascii="Times New Roman" w:hAnsi="Times New Roman" w:cs="Times New Roman" w:eastAsia="Times New Roman" w:hint="default"/>
          <w:spacing w:val="22"/>
        </w:rPr>
        <w:t> </w:t>
      </w:r>
      <w:r>
        <w:rPr>
          <w:spacing w:val="-30"/>
        </w:rPr>
        <w:t>号）。</w:t>
      </w:r>
    </w:p>
    <w:p>
      <w:pPr>
        <w:pStyle w:val="BodyText"/>
        <w:spacing w:line="214" w:lineRule="exact"/>
        <w:ind w:right="1022"/>
        <w:jc w:val="left"/>
      </w:pPr>
      <w:r>
        <w:rPr/>
        <w:t>审计报告客观真实的反映了公司的实际情况，监事会对会计师事务所出具的公司</w:t>
      </w:r>
      <w:r>
        <w:rPr>
          <w:spacing w:val="-57"/>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1"/>
        </w:rPr>
        <w:t> </w:t>
      </w:r>
      <w:r>
        <w:rPr/>
        <w:t>年度审计报告无异议，公司监事会同</w:t>
      </w:r>
    </w:p>
    <w:p>
      <w:pPr>
        <w:spacing w:line="352" w:lineRule="auto" w:before="64"/>
        <w:ind w:left="514" w:right="1022" w:hanging="360"/>
        <w:jc w:val="left"/>
        <w:rPr>
          <w:rFonts w:ascii="宋体" w:hAnsi="宋体" w:cs="宋体" w:eastAsia="宋体" w:hint="default"/>
          <w:sz w:val="18"/>
          <w:szCs w:val="18"/>
        </w:rPr>
      </w:pPr>
      <w:r>
        <w:rPr>
          <w:rFonts w:ascii="宋体" w:hAnsi="宋体" w:cs="宋体" w:eastAsia="宋体" w:hint="default"/>
          <w:sz w:val="18"/>
          <w:szCs w:val="18"/>
        </w:rPr>
        <w:t>意董事会出具的专项说明。 </w:t>
      </w:r>
      <w:r>
        <w:rPr>
          <w:rFonts w:ascii="宋体" w:hAnsi="宋体" w:cs="宋体" w:eastAsia="宋体" w:hint="default"/>
          <w:spacing w:val="-4"/>
          <w:sz w:val="18"/>
          <w:szCs w:val="18"/>
        </w:rPr>
        <w:t>监事会将积极配合董事会的各项工作，持续关注董事会和管理层相关工作的开展，切实维护公司及全体股东的合法权益。</w:t>
      </w:r>
      <w:r>
        <w:rPr>
          <w:rFonts w:ascii="宋体" w:hAnsi="宋体" w:cs="宋体" w:eastAsia="宋体" w:hint="default"/>
          <w:sz w:val="18"/>
          <w:szCs w:val="18"/>
        </w:rPr>
        <w:t> </w:t>
      </w:r>
      <w:r>
        <w:rPr>
          <w:rFonts w:ascii="宋体" w:hAnsi="宋体" w:cs="宋体" w:eastAsia="宋体" w:hint="default"/>
          <w:b/>
          <w:bCs/>
          <w:sz w:val="18"/>
          <w:szCs w:val="18"/>
        </w:rPr>
        <w:t>独立董事关于公司 </w:t>
      </w:r>
      <w:r>
        <w:rPr>
          <w:rFonts w:ascii="Times New Roman" w:hAnsi="Times New Roman" w:cs="Times New Roman" w:eastAsia="Times New Roman" w:hint="default"/>
          <w:b/>
          <w:bCs/>
          <w:sz w:val="18"/>
          <w:szCs w:val="18"/>
        </w:rPr>
        <w:t>2018 </w:t>
      </w:r>
      <w:r>
        <w:rPr>
          <w:rFonts w:ascii="宋体" w:hAnsi="宋体" w:cs="宋体" w:eastAsia="宋体" w:hint="default"/>
          <w:b/>
          <w:bCs/>
          <w:sz w:val="18"/>
          <w:szCs w:val="18"/>
        </w:rPr>
        <w:t>年度带强调事项段的无保留意见审计报告涉及事项的专项说明的独立意见</w:t>
      </w:r>
      <w:r>
        <w:rPr>
          <w:rFonts w:ascii="宋体" w:hAnsi="宋体" w:cs="宋体" w:eastAsia="宋体" w:hint="default"/>
          <w:b/>
          <w:bCs/>
          <w:w w:val="99"/>
          <w:sz w:val="18"/>
          <w:szCs w:val="18"/>
        </w:rPr>
        <w:t> </w:t>
      </w:r>
      <w:r>
        <w:rPr>
          <w:rFonts w:ascii="宋体" w:hAnsi="宋体" w:cs="宋体" w:eastAsia="宋体" w:hint="default"/>
          <w:spacing w:val="-9"/>
          <w:sz w:val="18"/>
          <w:szCs w:val="18"/>
        </w:rPr>
        <w:t>根据《关于在上市公司建立独立董事制度的指导意见》、《深圳证券交易所股票上市规则》、《深圳证券交易所中小企业板</w:t>
      </w:r>
    </w:p>
    <w:p>
      <w:pPr>
        <w:pStyle w:val="BodyText"/>
        <w:spacing w:line="300" w:lineRule="auto"/>
        <w:ind w:right="1132"/>
        <w:jc w:val="both"/>
      </w:pPr>
      <w:r>
        <w:rPr>
          <w:spacing w:val="-4"/>
        </w:rPr>
        <w:t>上市公司规范运作指引》、《公司章程》及《独立董事工作制度》等有关规定，现对大华会计师事务所</w:t>
      </w:r>
      <w:r>
        <w:rPr>
          <w:rFonts w:ascii="Times New Roman" w:hAnsi="Times New Roman" w:cs="Times New Roman" w:eastAsia="Times New Roman" w:hint="default"/>
          <w:spacing w:val="-4"/>
        </w:rPr>
        <w:t>(</w:t>
      </w:r>
      <w:r>
        <w:rPr>
          <w:spacing w:val="-4"/>
        </w:rPr>
        <w:t>特殊普通合伙</w:t>
      </w:r>
      <w:r>
        <w:rPr>
          <w:rFonts w:ascii="Times New Roman" w:hAnsi="Times New Roman" w:cs="Times New Roman" w:eastAsia="Times New Roman" w:hint="default"/>
          <w:spacing w:val="-4"/>
        </w:rPr>
        <w:t>)</w:t>
      </w:r>
      <w:r>
        <w:rPr>
          <w:spacing w:val="-4"/>
        </w:rPr>
        <w:t>对成都</w:t>
      </w:r>
      <w:r>
        <w:rPr>
          <w:spacing w:val="-69"/>
        </w:rPr>
        <w:t> </w:t>
      </w:r>
      <w:r>
        <w:rPr>
          <w:spacing w:val="-69"/>
        </w:rPr>
      </w:r>
      <w:r>
        <w:rPr>
          <w:spacing w:val="-5"/>
        </w:rPr>
        <w:t>卫士通信息产业股份有限公司（以下简称“公司”）</w:t>
      </w:r>
      <w:r>
        <w:rPr>
          <w:rFonts w:ascii="Times New Roman" w:hAnsi="Times New Roman" w:cs="Times New Roman" w:eastAsia="Times New Roman" w:hint="default"/>
          <w:spacing w:val="-5"/>
        </w:rPr>
        <w:t>2018</w:t>
      </w:r>
      <w:r>
        <w:rPr>
          <w:rFonts w:ascii="Times New Roman" w:hAnsi="Times New Roman" w:cs="Times New Roman" w:eastAsia="Times New Roman" w:hint="default"/>
          <w:spacing w:val="29"/>
        </w:rPr>
        <w:t> </w:t>
      </w:r>
      <w:r>
        <w:rPr>
          <w:spacing w:val="-1"/>
        </w:rPr>
        <w:t>年度财务报表出具的带强调事项段的无保留意见审计报告（大华审</w:t>
      </w:r>
      <w:r>
        <w:rPr>
          <w:spacing w:val="-85"/>
        </w:rPr>
        <w:t> </w:t>
      </w:r>
      <w:r>
        <w:rPr>
          <w:spacing w:val="-85"/>
        </w:rPr>
      </w:r>
      <w:r>
        <w:rPr/>
        <w:t>字</w:t>
      </w:r>
      <w:r>
        <w:rPr>
          <w:rFonts w:ascii="Times New Roman" w:hAnsi="Times New Roman" w:cs="Times New Roman" w:eastAsia="Times New Roman" w:hint="default"/>
        </w:rPr>
        <w:t>[2019]003215</w:t>
      </w:r>
      <w:r>
        <w:rPr>
          <w:rFonts w:ascii="Times New Roman" w:hAnsi="Times New Roman" w:cs="Times New Roman" w:eastAsia="Times New Roman" w:hint="default"/>
          <w:spacing w:val="-2"/>
        </w:rPr>
        <w:t> </w:t>
      </w:r>
      <w:r>
        <w:rPr/>
        <w:t>号）发表如下独立意见：</w:t>
      </w:r>
    </w:p>
    <w:p>
      <w:pPr>
        <w:pStyle w:val="BodyText"/>
        <w:spacing w:line="300" w:lineRule="auto" w:before="51"/>
        <w:ind w:right="1121" w:firstLine="360"/>
        <w:jc w:val="left"/>
      </w:pPr>
      <w:r>
        <w:rPr/>
        <w:t>大华会计师事务所</w:t>
      </w:r>
      <w:r>
        <w:rPr>
          <w:rFonts w:ascii="Times New Roman" w:hAnsi="Times New Roman" w:cs="Times New Roman" w:eastAsia="Times New Roman" w:hint="default"/>
        </w:rPr>
        <w:t>(</w:t>
      </w:r>
      <w:r>
        <w:rPr/>
        <w:t>特殊普通合伙</w:t>
      </w:r>
      <w:r>
        <w:rPr>
          <w:rFonts w:ascii="Times New Roman" w:hAnsi="Times New Roman" w:cs="Times New Roman" w:eastAsia="Times New Roman" w:hint="default"/>
        </w:rPr>
        <w:t>)</w:t>
      </w:r>
      <w:r>
        <w:rPr/>
        <w:t>对公司出具的带强调事项段的无保留意见审计报告客观真实的反映了公司的实际情 </w:t>
      </w:r>
      <w:r>
        <w:rPr>
          <w:spacing w:val="-4"/>
        </w:rPr>
        <w:t>况，我们同意公司《董事会关于公司</w:t>
      </w:r>
      <w:r>
        <w:rPr>
          <w:spacing w:val="-31"/>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5"/>
        </w:rPr>
        <w:t> </w:t>
      </w:r>
      <w:r>
        <w:rPr>
          <w:spacing w:val="-4"/>
        </w:rPr>
        <w:t>年度带强调事项段的无保留意见审计报告涉及事项的专项说明》，我们将督促公司</w:t>
      </w:r>
      <w:r>
        <w:rPr>
          <w:spacing w:val="-87"/>
        </w:rPr>
        <w:t> </w:t>
      </w:r>
      <w:r>
        <w:rPr>
          <w:spacing w:val="-87"/>
        </w:rPr>
      </w:r>
      <w:r>
        <w:rPr/>
        <w:t>董事会及管理层持续关注该事项，落实具体措施，积极维护公司及全体股东的权益。</w:t>
      </w:r>
    </w:p>
    <w:p>
      <w:pPr>
        <w:spacing w:line="240" w:lineRule="auto" w:before="7"/>
        <w:rPr>
          <w:rFonts w:ascii="宋体" w:hAnsi="宋体" w:cs="宋体" w:eastAsia="宋体" w:hint="default"/>
          <w:sz w:val="21"/>
          <w:szCs w:val="21"/>
        </w:rPr>
      </w:pPr>
    </w:p>
    <w:p>
      <w:pPr>
        <w:pStyle w:val="Heading2"/>
        <w:spacing w:line="240" w:lineRule="auto"/>
        <w:ind w:right="1022"/>
        <w:jc w:val="left"/>
        <w:rPr>
          <w:b w:val="0"/>
          <w:bCs w:val="0"/>
        </w:rPr>
      </w:pPr>
      <w:bookmarkStart w:name="六、与上年度财务报告相比，会计政策、会计估计和核算方法发生变化的情况说明" w:id="70"/>
      <w:bookmarkEnd w:id="70"/>
      <w:r>
        <w:rPr>
          <w:b w:val="0"/>
          <w:bCs w:val="0"/>
        </w:rPr>
      </w:r>
      <w:r>
        <w:rPr/>
        <w:t>六、与上年度财务报告相比，会计政策、会计估计和核算方法发生变化的情况说明</w:t>
      </w:r>
      <w:r>
        <w:rPr>
          <w:b w:val="0"/>
          <w:bCs w:val="0"/>
        </w:rPr>
      </w:r>
    </w:p>
    <w:p>
      <w:pPr>
        <w:spacing w:line="240" w:lineRule="auto" w:before="9"/>
        <w:rPr>
          <w:rFonts w:ascii="宋体" w:hAnsi="宋体" w:cs="宋体" w:eastAsia="宋体" w:hint="default"/>
          <w:b/>
          <w:bCs/>
          <w:sz w:val="26"/>
          <w:szCs w:val="26"/>
        </w:rPr>
      </w:pPr>
    </w:p>
    <w:p>
      <w:pPr>
        <w:spacing w:line="415" w:lineRule="auto" w:before="0"/>
        <w:ind w:left="508" w:right="8229" w:hanging="354"/>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w:t>
      </w:r>
      <w:r>
        <w:rPr>
          <w:rFonts w:ascii="宋体" w:hAnsi="宋体" w:cs="宋体" w:eastAsia="宋体" w:hint="default"/>
          <w:b/>
          <w:bCs/>
          <w:sz w:val="18"/>
          <w:szCs w:val="18"/>
        </w:rPr>
        <w:t>财务报表列报项目变更说明</w:t>
      </w:r>
      <w:r>
        <w:rPr>
          <w:rFonts w:ascii="宋体" w:hAnsi="宋体" w:cs="宋体" w:eastAsia="宋体" w:hint="default"/>
          <w:sz w:val="18"/>
          <w:szCs w:val="18"/>
        </w:rPr>
      </w:r>
    </w:p>
    <w:p>
      <w:pPr>
        <w:pStyle w:val="BodyText"/>
        <w:spacing w:line="194" w:lineRule="exact"/>
        <w:ind w:right="1022" w:firstLine="423"/>
        <w:jc w:val="left"/>
      </w:pPr>
      <w:r>
        <w:rPr/>
        <w:t>财政部于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15</w:t>
      </w:r>
      <w:r>
        <w:rPr/>
        <w:t>日发布了《关于修订印发</w:t>
      </w:r>
      <w:r>
        <w:rPr>
          <w:rFonts w:ascii="Times New Roman" w:hAnsi="Times New Roman" w:cs="Times New Roman" w:eastAsia="Times New Roman" w:hint="default"/>
        </w:rPr>
        <w:t>2018</w:t>
      </w:r>
      <w:r>
        <w:rPr/>
        <w:t>年度一般企业财务报表格式的通知》（财会〔</w:t>
      </w:r>
      <w:r>
        <w:rPr>
          <w:rFonts w:ascii="Times New Roman" w:hAnsi="Times New Roman" w:cs="Times New Roman" w:eastAsia="Times New Roman" w:hint="default"/>
        </w:rPr>
        <w:t>2018</w:t>
      </w:r>
      <w:r>
        <w:rPr/>
        <w:t>〕</w:t>
      </w:r>
      <w:r>
        <w:rPr>
          <w:rFonts w:ascii="Times New Roman" w:hAnsi="Times New Roman" w:cs="Times New Roman" w:eastAsia="Times New Roman" w:hint="default"/>
        </w:rPr>
        <w:t>15</w:t>
      </w:r>
      <w:r>
        <w:rPr/>
        <w:t>号），对一</w:t>
      </w:r>
    </w:p>
    <w:p>
      <w:pPr>
        <w:pStyle w:val="BodyText"/>
        <w:spacing w:line="240" w:lineRule="auto" w:before="63"/>
        <w:ind w:right="1022"/>
        <w:jc w:val="left"/>
        <w:rPr>
          <w:rFonts w:ascii="Times New Roman" w:hAnsi="Times New Roman" w:cs="Times New Roman" w:eastAsia="Times New Roman" w:hint="default"/>
        </w:rPr>
      </w:pPr>
      <w:r>
        <w:rPr/>
        <w:t>般企业财务报表格式进行了修订，归并部分资产负债表项目，拆分部分利润表项目；并于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7</w:t>
      </w:r>
      <w:r>
        <w:rPr/>
        <w:t>日发布了《关于</w:t>
      </w:r>
      <w:r>
        <w:rPr>
          <w:rFonts w:ascii="Times New Roman" w:hAnsi="Times New Roman" w:cs="Times New Roman" w:eastAsia="Times New Roman" w:hint="default"/>
        </w:rPr>
        <w:t>2018</w:t>
      </w:r>
    </w:p>
    <w:p>
      <w:pPr>
        <w:pStyle w:val="BodyText"/>
        <w:spacing w:line="240" w:lineRule="auto" w:before="63"/>
        <w:ind w:right="1022"/>
        <w:jc w:val="left"/>
      </w:pPr>
      <w:r>
        <w:rPr/>
        <w:t>年度一般企业财务报表格式有关问题的解读》，明确要求代扣个人所得税手续费返还在</w:t>
      </w:r>
      <w:r>
        <w:rPr>
          <w:rFonts w:ascii="Times New Roman" w:hAnsi="Times New Roman" w:cs="Times New Roman" w:eastAsia="Times New Roman" w:hint="default"/>
        </w:rPr>
        <w:t>“</w:t>
      </w:r>
      <w:r>
        <w:rPr/>
        <w:t>其他收益</w:t>
      </w:r>
      <w:r>
        <w:rPr>
          <w:rFonts w:ascii="Times New Roman" w:hAnsi="Times New Roman" w:cs="Times New Roman" w:eastAsia="Times New Roman" w:hint="default"/>
        </w:rPr>
        <w:t>”</w:t>
      </w:r>
      <w:r>
        <w:rPr/>
        <w:t>列报，实际收到的政府补</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left="577" w:right="1022" w:hanging="424"/>
        <w:jc w:val="left"/>
      </w:pPr>
      <w:r>
        <w:rPr/>
        <w:t>助，无论是与资产相关还是与收益相关，在编制现金流量表时均作为经营活动产生的现金流量列报等。 本公司已经根据新的企业财务报表格式的要求编制财务报表，财务报表的列报项目因此发生变更的，已经按照《企业</w:t>
      </w:r>
    </w:p>
    <w:p>
      <w:pPr>
        <w:pStyle w:val="BodyText"/>
        <w:spacing w:line="300" w:lineRule="auto" w:before="19"/>
        <w:ind w:left="577" w:right="3913" w:hanging="424"/>
        <w:jc w:val="left"/>
      </w:pPr>
      <w:r>
        <w:rPr/>
        <w:t>会计准则第</w:t>
      </w:r>
      <w:r>
        <w:rPr>
          <w:rFonts w:ascii="Times New Roman" w:hAnsi="Times New Roman" w:cs="Times New Roman" w:eastAsia="Times New Roman" w:hint="default"/>
        </w:rPr>
        <w:t>30</w:t>
      </w:r>
      <w:r>
        <w:rPr/>
        <w:t>号</w:t>
      </w:r>
      <w:r>
        <w:rPr>
          <w:rFonts w:ascii="Times New Roman" w:hAnsi="Times New Roman" w:cs="Times New Roman" w:eastAsia="Times New Roman" w:hint="default"/>
        </w:rPr>
        <w:t>——</w:t>
      </w:r>
      <w:r>
        <w:rPr/>
        <w:t>财务报表列报》等的相关规定，对可比期间的比较数据进行调整。 对可比期间的财务报表列报项目及金额的影响如下：</w:t>
      </w:r>
    </w:p>
    <w:tbl>
      <w:tblPr>
        <w:tblW w:w="0" w:type="auto"/>
        <w:jc w:val="left"/>
        <w:tblInd w:w="121" w:type="dxa"/>
        <w:tblLayout w:type="fixed"/>
        <w:tblCellMar>
          <w:top w:w="0" w:type="dxa"/>
          <w:left w:w="0" w:type="dxa"/>
          <w:bottom w:w="0" w:type="dxa"/>
          <w:right w:w="0" w:type="dxa"/>
        </w:tblCellMar>
        <w:tblLook w:val="01E0"/>
      </w:tblPr>
      <w:tblGrid>
        <w:gridCol w:w="2151"/>
        <w:gridCol w:w="1887"/>
        <w:gridCol w:w="1886"/>
        <w:gridCol w:w="1886"/>
        <w:gridCol w:w="1885"/>
      </w:tblGrid>
      <w:tr>
        <w:trPr>
          <w:trHeight w:val="477" w:hRule="exact"/>
        </w:trPr>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710" w:right="0"/>
              <w:jc w:val="left"/>
              <w:rPr>
                <w:rFonts w:ascii="宋体" w:hAnsi="宋体" w:cs="宋体" w:eastAsia="宋体" w:hint="default"/>
                <w:sz w:val="18"/>
                <w:szCs w:val="18"/>
              </w:rPr>
            </w:pPr>
            <w:r>
              <w:rPr>
                <w:rFonts w:ascii="微软雅黑" w:hAnsi="微软雅黑" w:cs="微软雅黑" w:eastAsia="微软雅黑" w:hint="default"/>
                <w:sz w:val="18"/>
                <w:szCs w:val="18"/>
              </w:rPr>
              <w:t>列</w:t>
            </w:r>
            <w:r>
              <w:rPr>
                <w:rFonts w:ascii="宋体" w:hAnsi="宋体" w:cs="宋体" w:eastAsia="宋体" w:hint="default"/>
                <w:sz w:val="18"/>
                <w:szCs w:val="18"/>
              </w:rPr>
              <w:t>报项目</w:t>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日之前</w:t>
            </w:r>
          </w:p>
          <w:p>
            <w:pPr>
              <w:pStyle w:val="TableParagraph"/>
              <w:spacing w:line="228" w:lineRule="exact"/>
              <w:ind w:right="0"/>
              <w:jc w:val="center"/>
              <w:rPr>
                <w:rFonts w:ascii="宋体" w:hAnsi="宋体" w:cs="宋体" w:eastAsia="宋体" w:hint="default"/>
                <w:sz w:val="18"/>
                <w:szCs w:val="18"/>
              </w:rPr>
            </w:pPr>
            <w:r>
              <w:rPr>
                <w:rFonts w:ascii="宋体" w:hAnsi="宋体" w:cs="宋体" w:eastAsia="宋体" w:hint="default"/>
                <w:sz w:val="18"/>
                <w:szCs w:val="18"/>
              </w:rPr>
              <w:t>列报金额</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577" w:right="0"/>
              <w:jc w:val="left"/>
              <w:rPr>
                <w:rFonts w:ascii="宋体" w:hAnsi="宋体" w:cs="宋体" w:eastAsia="宋体" w:hint="default"/>
                <w:sz w:val="18"/>
                <w:szCs w:val="18"/>
              </w:rPr>
            </w:pPr>
            <w:r>
              <w:rPr>
                <w:rFonts w:ascii="宋体" w:hAnsi="宋体" w:cs="宋体" w:eastAsia="宋体" w:hint="default"/>
                <w:sz w:val="18"/>
                <w:szCs w:val="18"/>
              </w:rPr>
              <w:t>影响金额</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日经重列</w:t>
            </w:r>
          </w:p>
          <w:p>
            <w:pPr>
              <w:pStyle w:val="TableParagraph"/>
              <w:spacing w:line="228" w:lineRule="exact"/>
              <w:ind w:right="1"/>
              <w:jc w:val="center"/>
              <w:rPr>
                <w:rFonts w:ascii="宋体" w:hAnsi="宋体" w:cs="宋体" w:eastAsia="宋体" w:hint="default"/>
                <w:sz w:val="18"/>
                <w:szCs w:val="18"/>
              </w:rPr>
            </w:pPr>
            <w:r>
              <w:rPr>
                <w:rFonts w:ascii="宋体" w:hAnsi="宋体" w:cs="宋体" w:eastAsia="宋体" w:hint="default"/>
                <w:sz w:val="18"/>
                <w:szCs w:val="18"/>
              </w:rPr>
              <w:t>后金额</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199,067,637.97</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-199,067,637.97</w:t>
            </w:r>
          </w:p>
        </w:tc>
        <w:tc>
          <w:tcPr>
            <w:tcW w:w="1886" w:type="dxa"/>
            <w:tcBorders>
              <w:top w:val="single" w:sz="4" w:space="0" w:color="000000"/>
              <w:left w:val="single" w:sz="4" w:space="0" w:color="000000"/>
              <w:bottom w:val="single" w:sz="4" w:space="0" w:color="000000"/>
              <w:right w:val="single" w:sz="4" w:space="0" w:color="000000"/>
            </w:tcBorders>
          </w:tcPr>
          <w:p>
            <w:pPr/>
          </w:p>
        </w:tc>
        <w:tc>
          <w:tcPr>
            <w:tcW w:w="188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1,616,093,944.20</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-1,616,093,944.20</w:t>
            </w:r>
          </w:p>
        </w:tc>
        <w:tc>
          <w:tcPr>
            <w:tcW w:w="1886" w:type="dxa"/>
            <w:tcBorders>
              <w:top w:val="single" w:sz="4" w:space="0" w:color="000000"/>
              <w:left w:val="single" w:sz="4" w:space="0" w:color="000000"/>
              <w:bottom w:val="single" w:sz="4" w:space="0" w:color="000000"/>
              <w:right w:val="single" w:sz="4" w:space="0" w:color="000000"/>
            </w:tcBorders>
          </w:tcPr>
          <w:p>
            <w:pPr/>
          </w:p>
        </w:tc>
        <w:tc>
          <w:tcPr>
            <w:tcW w:w="188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1887" w:type="dxa"/>
            <w:tcBorders>
              <w:top w:val="single" w:sz="4" w:space="0" w:color="000000"/>
              <w:left w:val="single" w:sz="4" w:space="0" w:color="000000"/>
              <w:bottom w:val="single" w:sz="4" w:space="0" w:color="000000"/>
              <w:right w:val="single" w:sz="4" w:space="0" w:color="000000"/>
            </w:tcBorders>
          </w:tcPr>
          <w:p>
            <w:pP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1,815,161,582.17</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1,815,161,582.17</w:t>
            </w:r>
          </w:p>
        </w:tc>
        <w:tc>
          <w:tcPr>
            <w:tcW w:w="188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96,665,594.11</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-96,665,594.11</w:t>
            </w:r>
          </w:p>
        </w:tc>
        <w:tc>
          <w:tcPr>
            <w:tcW w:w="1886" w:type="dxa"/>
            <w:tcBorders>
              <w:top w:val="single" w:sz="4" w:space="0" w:color="000000"/>
              <w:left w:val="single" w:sz="4" w:space="0" w:color="000000"/>
              <w:bottom w:val="single" w:sz="4" w:space="0" w:color="000000"/>
              <w:right w:val="single" w:sz="4" w:space="0" w:color="000000"/>
            </w:tcBorders>
          </w:tcPr>
          <w:p>
            <w:pPr/>
          </w:p>
        </w:tc>
        <w:tc>
          <w:tcPr>
            <w:tcW w:w="188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980,334,806.73</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-980,334,806.73</w:t>
            </w:r>
          </w:p>
        </w:tc>
        <w:tc>
          <w:tcPr>
            <w:tcW w:w="1886" w:type="dxa"/>
            <w:tcBorders>
              <w:top w:val="single" w:sz="4" w:space="0" w:color="000000"/>
              <w:left w:val="single" w:sz="4" w:space="0" w:color="000000"/>
              <w:bottom w:val="single" w:sz="4" w:space="0" w:color="000000"/>
              <w:right w:val="single" w:sz="4" w:space="0" w:color="000000"/>
            </w:tcBorders>
          </w:tcPr>
          <w:p>
            <w:pPr/>
          </w:p>
        </w:tc>
        <w:tc>
          <w:tcPr>
            <w:tcW w:w="188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1887" w:type="dxa"/>
            <w:tcBorders>
              <w:top w:val="single" w:sz="4" w:space="0" w:color="000000"/>
              <w:left w:val="single" w:sz="4" w:space="0" w:color="000000"/>
              <w:bottom w:val="single" w:sz="4" w:space="0" w:color="000000"/>
              <w:right w:val="single" w:sz="4" w:space="0" w:color="000000"/>
            </w:tcBorders>
          </w:tcPr>
          <w:p>
            <w:pP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1,077,000,400.84</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1,077,000,400.84</w:t>
            </w:r>
          </w:p>
        </w:tc>
        <w:tc>
          <w:tcPr>
            <w:tcW w:w="1885"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1"/>
              <w:jc w:val="right"/>
              <w:rPr>
                <w:rFonts w:ascii="Times New Roman" w:hAnsi="Times New Roman" w:cs="Times New Roman" w:eastAsia="Times New Roman" w:hint="default"/>
                <w:sz w:val="18"/>
                <w:szCs w:val="18"/>
              </w:rPr>
            </w:pPr>
            <w:r>
              <w:rPr>
                <w:rFonts w:ascii="Times New Roman"/>
                <w:spacing w:val="-1"/>
                <w:sz w:val="18"/>
              </w:rPr>
              <w:t>330,226,734.42</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1"/>
              <w:jc w:val="right"/>
              <w:rPr>
                <w:rFonts w:ascii="Times New Roman" w:hAnsi="Times New Roman" w:cs="Times New Roman" w:eastAsia="Times New Roman" w:hint="default"/>
                <w:sz w:val="18"/>
                <w:szCs w:val="18"/>
              </w:rPr>
            </w:pPr>
            <w:r>
              <w:rPr>
                <w:rFonts w:ascii="Times New Roman"/>
                <w:spacing w:val="-1"/>
                <w:sz w:val="18"/>
              </w:rPr>
              <w:t>-180,844,148.08</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pacing w:val="-1"/>
                <w:sz w:val="18"/>
              </w:rPr>
              <w:t>149,382,586.34</w:t>
            </w:r>
          </w:p>
        </w:tc>
        <w:tc>
          <w:tcPr>
            <w:tcW w:w="1885"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2" w:right="0"/>
              <w:jc w:val="left"/>
              <w:rPr>
                <w:rFonts w:ascii="宋体" w:hAnsi="宋体" w:cs="宋体" w:eastAsia="宋体" w:hint="default"/>
                <w:sz w:val="18"/>
                <w:szCs w:val="18"/>
              </w:rPr>
            </w:pPr>
            <w:r>
              <w:rPr>
                <w:rFonts w:ascii="宋体" w:hAnsi="宋体" w:cs="宋体" w:eastAsia="宋体" w:hint="default"/>
                <w:sz w:val="18"/>
                <w:szCs w:val="18"/>
              </w:rPr>
              <w:t>研发支出</w:t>
            </w:r>
          </w:p>
        </w:tc>
        <w:tc>
          <w:tcPr>
            <w:tcW w:w="1887" w:type="dxa"/>
            <w:tcBorders>
              <w:top w:val="single" w:sz="4" w:space="0" w:color="000000"/>
              <w:left w:val="single" w:sz="4" w:space="0" w:color="000000"/>
              <w:bottom w:val="single" w:sz="4" w:space="0" w:color="000000"/>
              <w:right w:val="single" w:sz="4" w:space="0" w:color="000000"/>
            </w:tcBorders>
          </w:tcPr>
          <w:p>
            <w:pP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1"/>
              <w:jc w:val="right"/>
              <w:rPr>
                <w:rFonts w:ascii="Times New Roman" w:hAnsi="Times New Roman" w:cs="Times New Roman" w:eastAsia="Times New Roman" w:hint="default"/>
                <w:sz w:val="18"/>
                <w:szCs w:val="18"/>
              </w:rPr>
            </w:pPr>
            <w:r>
              <w:rPr>
                <w:rFonts w:ascii="Times New Roman"/>
                <w:spacing w:val="-1"/>
                <w:sz w:val="18"/>
              </w:rPr>
              <w:t>180,844,148.08</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pacing w:val="-1"/>
                <w:sz w:val="18"/>
              </w:rPr>
              <w:t>180,844,148.08</w:t>
            </w:r>
          </w:p>
        </w:tc>
        <w:tc>
          <w:tcPr>
            <w:tcW w:w="1885"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3"/>
              <w:jc w:val="right"/>
              <w:rPr>
                <w:rFonts w:ascii="Times New Roman" w:hAnsi="Times New Roman" w:cs="Times New Roman" w:eastAsia="Times New Roman" w:hint="default"/>
                <w:sz w:val="18"/>
                <w:szCs w:val="18"/>
              </w:rPr>
            </w:pPr>
            <w:r>
              <w:rPr>
                <w:rFonts w:ascii="Times New Roman"/>
                <w:spacing w:val="-1"/>
                <w:sz w:val="18"/>
              </w:rPr>
              <w:t>2,137,114,975.61</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1"/>
              <w:jc w:val="right"/>
              <w:rPr>
                <w:rFonts w:ascii="Times New Roman" w:hAnsi="Times New Roman" w:cs="Times New Roman" w:eastAsia="Times New Roman" w:hint="default"/>
                <w:sz w:val="18"/>
                <w:szCs w:val="18"/>
              </w:rPr>
            </w:pPr>
            <w:r>
              <w:rPr>
                <w:rFonts w:ascii="Times New Roman"/>
                <w:w w:val="95"/>
                <w:sz w:val="18"/>
              </w:rPr>
              <w:t>-181,608.93</w:t>
            </w:r>
            <w:r>
              <w:rPr>
                <w:rFonts w:ascii="Times New Roman"/>
                <w:sz w:val="18"/>
              </w:rPr>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2"/>
              <w:jc w:val="right"/>
              <w:rPr>
                <w:rFonts w:ascii="Times New Roman" w:hAnsi="Times New Roman" w:cs="Times New Roman" w:eastAsia="Times New Roman" w:hint="default"/>
                <w:sz w:val="18"/>
                <w:szCs w:val="18"/>
              </w:rPr>
            </w:pPr>
            <w:r>
              <w:rPr>
                <w:rFonts w:ascii="Times New Roman"/>
                <w:spacing w:val="-1"/>
                <w:sz w:val="18"/>
              </w:rPr>
              <w:t>2,136,933,366.68</w:t>
            </w:r>
          </w:p>
        </w:tc>
        <w:tc>
          <w:tcPr>
            <w:tcW w:w="188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32" w:lineRule="exact"/>
              <w:ind w:left="22" w:right="30"/>
              <w:jc w:val="left"/>
              <w:rPr>
                <w:rFonts w:ascii="宋体" w:hAnsi="宋体" w:cs="宋体" w:eastAsia="宋体" w:hint="default"/>
                <w:sz w:val="18"/>
                <w:szCs w:val="18"/>
              </w:rPr>
            </w:pPr>
            <w:r>
              <w:rPr>
                <w:rFonts w:ascii="宋体" w:hAnsi="宋体" w:cs="宋体" w:eastAsia="宋体" w:hint="default"/>
                <w:spacing w:val="-15"/>
                <w:sz w:val="18"/>
                <w:szCs w:val="18"/>
              </w:rPr>
              <w:t>与日常经营活动相关的政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4"/>
                <w:sz w:val="18"/>
                <w:szCs w:val="18"/>
              </w:rPr>
              <w:t>府补助重分类</w:t>
            </w:r>
          </w:p>
        </w:tc>
      </w:tr>
      <w:tr>
        <w:trPr>
          <w:trHeight w:val="350" w:hRule="exact"/>
        </w:trPr>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1"/>
              <w:jc w:val="right"/>
              <w:rPr>
                <w:rFonts w:ascii="Times New Roman" w:hAnsi="Times New Roman" w:cs="Times New Roman" w:eastAsia="Times New Roman" w:hint="default"/>
                <w:sz w:val="18"/>
                <w:szCs w:val="18"/>
              </w:rPr>
            </w:pPr>
            <w:r>
              <w:rPr>
                <w:rFonts w:ascii="Times New Roman"/>
                <w:spacing w:val="-1"/>
                <w:sz w:val="18"/>
              </w:rPr>
              <w:t>24,146,483.82</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1"/>
              <w:jc w:val="right"/>
              <w:rPr>
                <w:rFonts w:ascii="Times New Roman" w:hAnsi="Times New Roman" w:cs="Times New Roman" w:eastAsia="Times New Roman" w:hint="default"/>
                <w:sz w:val="18"/>
                <w:szCs w:val="18"/>
              </w:rPr>
            </w:pPr>
            <w:r>
              <w:rPr>
                <w:rFonts w:ascii="Times New Roman"/>
                <w:spacing w:val="-1"/>
                <w:sz w:val="18"/>
              </w:rPr>
              <w:t>43,801,206.32</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pacing w:val="-1"/>
                <w:sz w:val="18"/>
              </w:rPr>
              <w:t>67,947,690.14</w:t>
            </w:r>
          </w:p>
        </w:tc>
        <w:tc>
          <w:tcPr>
            <w:tcW w:w="1885" w:type="dxa"/>
            <w:vMerge/>
            <w:tcBorders>
              <w:left w:val="single" w:sz="4" w:space="0" w:color="000000"/>
              <w:right w:val="single" w:sz="4" w:space="0" w:color="000000"/>
            </w:tcBorders>
          </w:tcPr>
          <w:p>
            <w:pPr/>
          </w:p>
        </w:tc>
      </w:tr>
      <w:tr>
        <w:trPr>
          <w:trHeight w:val="350" w:hRule="exact"/>
        </w:trPr>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1"/>
              <w:jc w:val="right"/>
              <w:rPr>
                <w:rFonts w:ascii="Times New Roman" w:hAnsi="Times New Roman" w:cs="Times New Roman" w:eastAsia="Times New Roman" w:hint="default"/>
                <w:sz w:val="18"/>
                <w:szCs w:val="18"/>
              </w:rPr>
            </w:pPr>
            <w:r>
              <w:rPr>
                <w:rFonts w:ascii="Times New Roman"/>
                <w:spacing w:val="-1"/>
                <w:sz w:val="18"/>
              </w:rPr>
              <w:t>50,751,443.20</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1"/>
              <w:jc w:val="right"/>
              <w:rPr>
                <w:rFonts w:ascii="Times New Roman" w:hAnsi="Times New Roman" w:cs="Times New Roman" w:eastAsia="Times New Roman" w:hint="default"/>
                <w:sz w:val="18"/>
                <w:szCs w:val="18"/>
              </w:rPr>
            </w:pPr>
            <w:r>
              <w:rPr>
                <w:rFonts w:ascii="Times New Roman"/>
                <w:spacing w:val="-1"/>
                <w:sz w:val="18"/>
              </w:rPr>
              <w:t>-43,619,597.39</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pacing w:val="-1"/>
                <w:sz w:val="18"/>
              </w:rPr>
              <w:t>7,131,845.81</w:t>
            </w:r>
          </w:p>
        </w:tc>
        <w:tc>
          <w:tcPr>
            <w:tcW w:w="1885" w:type="dxa"/>
            <w:vMerge/>
            <w:tcBorders>
              <w:left w:val="single" w:sz="4" w:space="0" w:color="000000"/>
              <w:bottom w:val="single" w:sz="4" w:space="0" w:color="000000"/>
              <w:right w:val="single" w:sz="4" w:space="0" w:color="000000"/>
            </w:tcBorders>
          </w:tcPr>
          <w:p>
            <w:pPr/>
          </w:p>
        </w:tc>
      </w:tr>
    </w:tbl>
    <w:p>
      <w:pPr>
        <w:spacing w:line="240" w:lineRule="auto" w:before="10"/>
        <w:rPr>
          <w:rFonts w:ascii="宋体" w:hAnsi="宋体" w:cs="宋体" w:eastAsia="宋体" w:hint="default"/>
          <w:sz w:val="19"/>
          <w:szCs w:val="19"/>
        </w:rPr>
      </w:pPr>
    </w:p>
    <w:p>
      <w:pPr>
        <w:pStyle w:val="Heading2"/>
        <w:spacing w:line="240" w:lineRule="auto" w:before="26"/>
        <w:ind w:right="1022"/>
        <w:jc w:val="left"/>
        <w:rPr>
          <w:b w:val="0"/>
          <w:bCs w:val="0"/>
        </w:rPr>
      </w:pPr>
      <w:bookmarkStart w:name="七、报告期内发生重大会计差错更正需追溯重述的情况说明" w:id="71"/>
      <w:bookmarkEnd w:id="71"/>
      <w:r>
        <w:rPr>
          <w:b w:val="0"/>
          <w:bCs w:val="0"/>
        </w:rPr>
      </w:r>
      <w:r>
        <w:rPr/>
        <w:t>七、报告期内发生重大会计差错更正需追溯重述的情况说明</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66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公司报告期无重大会计差错更正需追溯重述的情况。</w:t>
      </w:r>
    </w:p>
    <w:p>
      <w:pPr>
        <w:spacing w:line="240" w:lineRule="auto" w:before="6"/>
        <w:rPr>
          <w:rFonts w:ascii="宋体" w:hAnsi="宋体" w:cs="宋体" w:eastAsia="宋体" w:hint="default"/>
          <w:sz w:val="19"/>
          <w:szCs w:val="19"/>
        </w:rPr>
      </w:pPr>
    </w:p>
    <w:p>
      <w:pPr>
        <w:pStyle w:val="Heading2"/>
        <w:spacing w:line="240" w:lineRule="auto"/>
        <w:ind w:right="1022"/>
        <w:jc w:val="left"/>
        <w:rPr>
          <w:b w:val="0"/>
          <w:bCs w:val="0"/>
        </w:rPr>
      </w:pPr>
      <w:bookmarkStart w:name="八、与上年度财务报告相比，合并报表范围发生变化的情况说明" w:id="72"/>
      <w:bookmarkEnd w:id="72"/>
      <w:r>
        <w:rPr>
          <w:b w:val="0"/>
          <w:bCs w:val="0"/>
        </w:rPr>
      </w:r>
      <w:r>
        <w:rPr/>
        <w:t>八、与上年度财务报告相比，合并报表范围发生变化的情况说明</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1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公司报告期无合并报表范围发生变化的情况。</w:t>
      </w:r>
    </w:p>
    <w:p>
      <w:pPr>
        <w:spacing w:line="240" w:lineRule="auto" w:before="4"/>
        <w:rPr>
          <w:rFonts w:ascii="宋体" w:hAnsi="宋体" w:cs="宋体" w:eastAsia="宋体" w:hint="default"/>
          <w:sz w:val="19"/>
          <w:szCs w:val="19"/>
        </w:rPr>
      </w:pPr>
    </w:p>
    <w:p>
      <w:pPr>
        <w:pStyle w:val="Heading2"/>
        <w:spacing w:line="240" w:lineRule="auto"/>
        <w:ind w:right="1022"/>
        <w:jc w:val="left"/>
        <w:rPr>
          <w:b w:val="0"/>
          <w:bCs w:val="0"/>
        </w:rPr>
      </w:pPr>
      <w:bookmarkStart w:name="九、聘任、解聘会计师事务所情况" w:id="73"/>
      <w:bookmarkEnd w:id="73"/>
      <w:r>
        <w:rPr>
          <w:b w:val="0"/>
          <w:bCs w:val="0"/>
        </w:rPr>
      </w:r>
      <w:r>
        <w:rPr/>
        <w:t>九、聘任、解聘会计师事务所情况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22"/>
        <w:jc w:val="left"/>
      </w:pPr>
      <w:r>
        <w:rPr/>
        <w:t>现聘任的会计师事务所</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92"/>
        <w:gridCol w:w="4777"/>
      </w:tblGrid>
      <w:tr>
        <w:trPr>
          <w:trHeight w:val="403"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大华会计师事务所（特殊普通合伙）</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38</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钟平修  曹云华</w:t>
            </w:r>
          </w:p>
        </w:tc>
      </w:tr>
      <w:tr>
        <w:trPr>
          <w:trHeight w:val="403"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w:t>
            </w:r>
          </w:p>
        </w:tc>
      </w:tr>
    </w:tbl>
    <w:p>
      <w:pPr>
        <w:pStyle w:val="BodyText"/>
        <w:spacing w:line="240" w:lineRule="auto" w:before="51"/>
        <w:ind w:right="1022"/>
        <w:jc w:val="left"/>
      </w:pPr>
      <w:r>
        <w:rPr/>
        <w:t>当期是否改聘会计师事务所</w:t>
      </w:r>
    </w:p>
    <w:p>
      <w:pPr>
        <w:pStyle w:val="BodyText"/>
        <w:spacing w:line="340" w:lineRule="auto" w:before="116"/>
        <w:ind w:right="805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是否在审计期间改聘会计师事务所</w:t>
      </w:r>
    </w:p>
    <w:p>
      <w:pPr>
        <w:pStyle w:val="BodyText"/>
        <w:spacing w:line="240" w:lineRule="auto" w:before="40"/>
        <w:ind w:right="102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1022"/>
        <w:jc w:val="left"/>
      </w:pPr>
      <w:r>
        <w:rPr/>
        <w:t>更换会计师事务所是否履行审批程序</w:t>
      </w:r>
    </w:p>
    <w:p>
      <w:pPr>
        <w:pStyle w:val="BodyText"/>
        <w:spacing w:line="340" w:lineRule="auto" w:before="116"/>
        <w:ind w:right="733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对改聘、变更会计师事务所情况的详细说明</w:t>
      </w:r>
    </w:p>
    <w:p>
      <w:pPr>
        <w:pStyle w:val="BodyText"/>
        <w:spacing w:line="319" w:lineRule="auto" w:before="39"/>
        <w:ind w:right="1022" w:firstLine="360"/>
        <w:jc w:val="left"/>
      </w:pPr>
      <w:r>
        <w:rPr>
          <w:spacing w:val="-2"/>
        </w:rPr>
        <w:t>公司与原审计机构中天运会计师事务所（特殊普通合伙）（以下简称</w:t>
      </w:r>
      <w:r>
        <w:rPr>
          <w:rFonts w:ascii="Times New Roman" w:hAnsi="Times New Roman" w:cs="Times New Roman" w:eastAsia="Times New Roman" w:hint="default"/>
          <w:spacing w:val="-2"/>
        </w:rPr>
        <w:t>“</w:t>
      </w:r>
      <w:r>
        <w:rPr>
          <w:spacing w:val="-2"/>
        </w:rPr>
        <w:t>中天运</w:t>
      </w:r>
      <w:r>
        <w:rPr>
          <w:rFonts w:ascii="Times New Roman" w:hAnsi="Times New Roman" w:cs="Times New Roman" w:eastAsia="Times New Roman" w:hint="default"/>
          <w:spacing w:val="-2"/>
        </w:rPr>
        <w:t>”</w:t>
      </w:r>
      <w:r>
        <w:rPr>
          <w:spacing w:val="-2"/>
        </w:rPr>
        <w:t>）签订的《审计业务约定书》约定的双方</w:t>
      </w:r>
      <w:r>
        <w:rPr/>
        <w:t> </w:t>
      </w:r>
      <w:r>
        <w:rPr>
          <w:spacing w:val="-2"/>
        </w:rPr>
        <w:t>所有权利义务已履行完毕，在执业过程中，中天运坚持独立审计原则，以良好的履职能力、服务意识和执业操守，客观、公</w:t>
      </w:r>
      <w:r>
        <w:rPr>
          <w:spacing w:val="-66"/>
        </w:rPr>
        <w:t> </w:t>
      </w:r>
      <w:r>
        <w:rPr>
          <w:spacing w:val="-66"/>
        </w:rPr>
      </w:r>
      <w:r>
        <w:rPr>
          <w:spacing w:val="-2"/>
        </w:rPr>
        <w:t>正、公允地反映公司财务状况，切实履行了审计机构应尽的职责，从专业角度维护了公司及股东的合法权益。鉴于中天运的</w:t>
      </w:r>
      <w:r>
        <w:rPr>
          <w:spacing w:val="-66"/>
        </w:rPr>
        <w:t> </w:t>
      </w:r>
      <w:r>
        <w:rPr>
          <w:spacing w:val="-66"/>
        </w:rPr>
      </w:r>
      <w:r>
        <w:rPr/>
        <w:t>服务期限已满</w:t>
      </w:r>
      <w:r>
        <w:rPr>
          <w:rFonts w:ascii="Times New Roman" w:hAnsi="Times New Roman" w:cs="Times New Roman" w:eastAsia="Times New Roman" w:hint="default"/>
        </w:rPr>
        <w:t>5</w:t>
      </w:r>
      <w:r>
        <w:rPr/>
        <w:t>年，按照国资委要求定期更换审计机构的规定，公司决定不再续聘中天运担任公司审计机构。 聘请内部控制审计会计师事务所、财务顾问或保荐人情况</w:t>
      </w:r>
    </w:p>
    <w:p>
      <w:pPr>
        <w:pStyle w:val="BodyText"/>
        <w:spacing w:line="240" w:lineRule="auto" w:before="58"/>
        <w:ind w:right="10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1022"/>
        <w:jc w:val="left"/>
        <w:rPr>
          <w:b w:val="0"/>
          <w:bCs w:val="0"/>
        </w:rPr>
      </w:pPr>
      <w:bookmarkStart w:name="十、年度报告披露后面临暂停上市和终止上市情况" w:id="74"/>
      <w:bookmarkEnd w:id="74"/>
      <w:r>
        <w:rPr>
          <w:b w:val="0"/>
          <w:bCs w:val="0"/>
        </w:rPr>
      </w:r>
      <w:r>
        <w:rPr/>
        <w:t>十、年度报告披露后面临暂停上市和终止上市情况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1022"/>
        <w:jc w:val="left"/>
        <w:rPr>
          <w:b w:val="0"/>
          <w:bCs w:val="0"/>
        </w:rPr>
      </w:pPr>
      <w:bookmarkStart w:name="十一、破产重整相关事项" w:id="75"/>
      <w:bookmarkEnd w:id="75"/>
      <w:r>
        <w:rPr>
          <w:b w:val="0"/>
          <w:bCs w:val="0"/>
        </w:rPr>
      </w:r>
      <w:r>
        <w:rPr/>
        <w:t>十一、破产重整相关事项</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6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公司报告期未发生破产重整相关事项。</w:t>
      </w:r>
    </w:p>
    <w:p>
      <w:pPr>
        <w:spacing w:line="240" w:lineRule="auto" w:before="4"/>
        <w:rPr>
          <w:rFonts w:ascii="宋体" w:hAnsi="宋体" w:cs="宋体" w:eastAsia="宋体" w:hint="default"/>
          <w:sz w:val="19"/>
          <w:szCs w:val="19"/>
        </w:rPr>
      </w:pPr>
    </w:p>
    <w:p>
      <w:pPr>
        <w:pStyle w:val="Heading2"/>
        <w:spacing w:line="240" w:lineRule="auto"/>
        <w:ind w:right="1022"/>
        <w:jc w:val="left"/>
        <w:rPr>
          <w:b w:val="0"/>
          <w:bCs w:val="0"/>
        </w:rPr>
      </w:pPr>
      <w:bookmarkStart w:name="十二、重大诉讼、仲裁事项" w:id="76"/>
      <w:bookmarkEnd w:id="76"/>
      <w:r>
        <w:rPr>
          <w:b w:val="0"/>
          <w:bCs w:val="0"/>
        </w:rPr>
      </w:r>
      <w:r>
        <w:rPr/>
        <w:t>十二、重大诉讼、仲裁事项</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2"/>
          <w:szCs w:val="22"/>
        </w:rPr>
      </w:pPr>
    </w:p>
    <w:p>
      <w:pPr>
        <w:pStyle w:val="BodyText"/>
        <w:spacing w:line="240" w:lineRule="auto" w:before="44"/>
        <w:ind w:left="0" w:right="1140"/>
        <w:jc w:val="right"/>
      </w:pPr>
      <w:r>
        <w:rPr/>
        <w:pict>
          <v:shape style="position:absolute;margin-left:56.459999pt;margin-top:-75.488304pt;width:479.2pt;height:344.1pt;mso-position-horizontal-relative:page;mso-position-vertical-relative:paragraph;z-index:13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60"/>
                    <w:gridCol w:w="850"/>
                    <w:gridCol w:w="852"/>
                    <w:gridCol w:w="992"/>
                    <w:gridCol w:w="1417"/>
                    <w:gridCol w:w="1134"/>
                    <w:gridCol w:w="851"/>
                    <w:gridCol w:w="1913"/>
                  </w:tblGrid>
                  <w:tr>
                    <w:trPr>
                      <w:trHeight w:val="714"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684" w:right="84" w:hanging="601"/>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基本情 况</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 w:right="0"/>
                          <w:jc w:val="left"/>
                          <w:rPr>
                            <w:rFonts w:ascii="宋体" w:hAnsi="宋体" w:cs="宋体" w:eastAsia="宋体" w:hint="default"/>
                            <w:sz w:val="18"/>
                            <w:szCs w:val="18"/>
                          </w:rPr>
                        </w:pPr>
                        <w:r>
                          <w:rPr>
                            <w:rFonts w:ascii="宋体" w:hAnsi="宋体" w:cs="宋体" w:eastAsia="宋体" w:hint="default"/>
                            <w:sz w:val="18"/>
                            <w:szCs w:val="18"/>
                          </w:rPr>
                          <w:t>涉案金额</w:t>
                        </w:r>
                      </w:p>
                      <w:p>
                        <w:pPr>
                          <w:pStyle w:val="TableParagraph"/>
                          <w:spacing w:line="240" w:lineRule="auto" w:before="76"/>
                          <w:ind w:left="60"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1" w:right="59"/>
                          <w:jc w:val="left"/>
                          <w:rPr>
                            <w:rFonts w:ascii="宋体" w:hAnsi="宋体" w:cs="宋体" w:eastAsia="宋体" w:hint="default"/>
                            <w:sz w:val="18"/>
                            <w:szCs w:val="18"/>
                          </w:rPr>
                        </w:pPr>
                        <w:r>
                          <w:rPr>
                            <w:rFonts w:ascii="宋体" w:hAnsi="宋体" w:cs="宋体" w:eastAsia="宋体" w:hint="default"/>
                            <w:sz w:val="18"/>
                            <w:szCs w:val="18"/>
                          </w:rPr>
                          <w:t>是否形成 预计负债</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310" w:right="68" w:hanging="24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 </w:t>
                        </w:r>
                        <w:r>
                          <w:rPr>
                            <w:rFonts w:ascii="宋体" w:hAnsi="宋体" w:cs="宋体" w:eastAsia="宋体" w:hint="default"/>
                            <w:sz w:val="18"/>
                            <w:szCs w:val="18"/>
                          </w:rPr>
                          <w:t>进展</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53" w:right="102" w:hanging="15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审理 结果及影响</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1" w:right="50" w:hanging="6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判 决执行情况</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2898"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7"/>
                          <w:jc w:val="both"/>
                          <w:rPr>
                            <w:rFonts w:ascii="宋体" w:hAnsi="宋体" w:cs="宋体" w:eastAsia="宋体" w:hint="default"/>
                            <w:sz w:val="18"/>
                            <w:szCs w:val="18"/>
                          </w:rPr>
                        </w:pPr>
                        <w:r>
                          <w:rPr>
                            <w:rFonts w:ascii="宋体" w:hAnsi="宋体" w:cs="宋体" w:eastAsia="宋体" w:hint="default"/>
                            <w:sz w:val="18"/>
                            <w:szCs w:val="18"/>
                          </w:rPr>
                          <w:t>北京中宏瑞德投资 管理中心（有限合 伙）以排除妨害为 由起诉北京金丰科 华房地产开发有限 公司、诺亚商业保 理有限公司以及公 司全资子公司北京 网安。</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20"/>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6" w:lineRule="auto"/>
                          <w:ind w:left="22" w:right="57"/>
                          <w:jc w:val="both"/>
                          <w:rPr>
                            <w:rFonts w:ascii="宋体" w:hAnsi="宋体" w:cs="宋体" w:eastAsia="宋体" w:hint="default"/>
                            <w:sz w:val="18"/>
                            <w:szCs w:val="18"/>
                          </w:rPr>
                        </w:pPr>
                        <w:r>
                          <w:rPr>
                            <w:rFonts w:ascii="宋体" w:hAnsi="宋体" w:cs="宋体" w:eastAsia="宋体" w:hint="default"/>
                            <w:sz w:val="18"/>
                            <w:szCs w:val="18"/>
                          </w:rPr>
                          <w:t>本次案件尚 未进入实体 审理阶段</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23"/>
                          <w:jc w:val="left"/>
                          <w:rPr>
                            <w:rFonts w:ascii="宋体" w:hAnsi="宋体" w:cs="宋体" w:eastAsia="宋体" w:hint="default"/>
                            <w:sz w:val="18"/>
                            <w:szCs w:val="18"/>
                          </w:rPr>
                        </w:pPr>
                        <w:r>
                          <w:rPr>
                            <w:rFonts w:ascii="宋体" w:hAnsi="宋体" w:cs="宋体" w:eastAsia="宋体" w:hint="default"/>
                            <w:sz w:val="18"/>
                            <w:szCs w:val="18"/>
                          </w:rPr>
                          <w:t>因本次案件尚未 进入实体审理阶 </w:t>
                        </w:r>
                        <w:r>
                          <w:rPr>
                            <w:rFonts w:ascii="宋体" w:hAnsi="宋体" w:cs="宋体" w:eastAsia="宋体" w:hint="default"/>
                            <w:spacing w:val="-10"/>
                            <w:sz w:val="18"/>
                            <w:szCs w:val="18"/>
                          </w:rPr>
                          <w:t>段，目前还无法确</w:t>
                        </w:r>
                        <w:r>
                          <w:rPr>
                            <w:rFonts w:ascii="宋体" w:hAnsi="宋体" w:cs="宋体" w:eastAsia="宋体" w:hint="default"/>
                            <w:sz w:val="18"/>
                            <w:szCs w:val="18"/>
                          </w:rPr>
                          <w:t> 定本次公告的诉 讼案件对本公司 本期利润或期后 利润的影响。</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2" w:lineRule="auto"/>
                          <w:ind w:left="22" w:right="35"/>
                          <w:jc w:val="left"/>
                          <w:rPr>
                            <w:rFonts w:ascii="宋体" w:hAnsi="宋体" w:cs="宋体" w:eastAsia="宋体" w:hint="default"/>
                            <w:sz w:val="18"/>
                            <w:szCs w:val="18"/>
                          </w:rPr>
                        </w:pPr>
                        <w:r>
                          <w:rPr>
                            <w:rFonts w:ascii="宋体" w:hAnsi="宋体" w:cs="宋体" w:eastAsia="宋体" w:hint="default"/>
                            <w:sz w:val="18"/>
                            <w:szCs w:val="18"/>
                          </w:rPr>
                          <w:t>详细情况请见公司于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日在《证 </w:t>
                        </w:r>
                        <w:r>
                          <w:rPr>
                            <w:rFonts w:ascii="宋体" w:hAnsi="宋体" w:cs="宋体" w:eastAsia="宋体" w:hint="default"/>
                            <w:spacing w:val="-20"/>
                            <w:sz w:val="18"/>
                            <w:szCs w:val="18"/>
                          </w:rPr>
                          <w:t>券时报》、《中国证券报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及巨潮资讯网披露的</w:t>
                        </w:r>
                      </w:p>
                      <w:p>
                        <w:pPr>
                          <w:pStyle w:val="TableParagraph"/>
                          <w:spacing w:line="319" w:lineRule="auto" w:before="22"/>
                          <w:ind w:left="22" w:right="78"/>
                          <w:jc w:val="left"/>
                          <w:rPr>
                            <w:rFonts w:ascii="宋体" w:hAnsi="宋体" w:cs="宋体" w:eastAsia="宋体" w:hint="default"/>
                            <w:sz w:val="18"/>
                            <w:szCs w:val="18"/>
                          </w:rPr>
                        </w:pPr>
                        <w:r>
                          <w:rPr>
                            <w:rFonts w:ascii="宋体" w:hAnsi="宋体" w:cs="宋体" w:eastAsia="宋体" w:hint="default"/>
                            <w:sz w:val="18"/>
                            <w:szCs w:val="18"/>
                          </w:rPr>
                          <w:t>《成都卫士通信息产业 股份有限公司关于重大 </w:t>
                        </w:r>
                        <w:r>
                          <w:rPr>
                            <w:rFonts w:ascii="宋体" w:hAnsi="宋体" w:cs="宋体" w:eastAsia="宋体" w:hint="default"/>
                            <w:spacing w:val="-9"/>
                            <w:sz w:val="18"/>
                            <w:szCs w:val="18"/>
                          </w:rPr>
                          <w:t>诉讼的公告》（公告编</w:t>
                        </w:r>
                        <w:r>
                          <w:rPr>
                            <w:rFonts w:ascii="宋体" w:hAnsi="宋体" w:cs="宋体" w:eastAsia="宋体" w:hint="default"/>
                            <w:sz w:val="18"/>
                            <w:szCs w:val="18"/>
                          </w:rPr>
                          <w:t> 号</w:t>
                        </w:r>
                        <w:r>
                          <w:rPr>
                            <w:rFonts w:ascii="Times New Roman" w:hAnsi="Times New Roman" w:cs="Times New Roman" w:eastAsia="Times New Roman" w:hint="default"/>
                            <w:sz w:val="18"/>
                            <w:szCs w:val="18"/>
                          </w:rPr>
                          <w:t>:2018-25)</w:t>
                        </w:r>
                        <w:r>
                          <w:rPr>
                            <w:rFonts w:ascii="宋体" w:hAnsi="宋体" w:cs="宋体" w:eastAsia="宋体" w:hint="default"/>
                            <w:sz w:val="18"/>
                            <w:szCs w:val="18"/>
                          </w:rPr>
                          <w:t>。</w:t>
                        </w:r>
                      </w:p>
                    </w:tc>
                  </w:tr>
                  <w:tr>
                    <w:trPr>
                      <w:trHeight w:val="2585"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2" w:right="57"/>
                          <w:jc w:val="both"/>
                          <w:rPr>
                            <w:rFonts w:ascii="宋体" w:hAnsi="宋体" w:cs="宋体" w:eastAsia="宋体" w:hint="default"/>
                            <w:sz w:val="18"/>
                            <w:szCs w:val="18"/>
                          </w:rPr>
                        </w:pPr>
                        <w:r>
                          <w:rPr>
                            <w:rFonts w:ascii="宋体" w:hAnsi="宋体" w:cs="宋体" w:eastAsia="宋体" w:hint="default"/>
                            <w:sz w:val="18"/>
                            <w:szCs w:val="18"/>
                          </w:rPr>
                          <w:t>本次案件尚 未进入实体 审理阶段</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z w:val="18"/>
                            <w:szCs w:val="18"/>
                          </w:rPr>
                          <w:t>因本次案件尚未 进入实体审理阶 </w:t>
                        </w:r>
                        <w:r>
                          <w:rPr>
                            <w:rFonts w:ascii="宋体" w:hAnsi="宋体" w:cs="宋体" w:eastAsia="宋体" w:hint="default"/>
                            <w:spacing w:val="-10"/>
                            <w:sz w:val="18"/>
                            <w:szCs w:val="18"/>
                          </w:rPr>
                          <w:t>段，目前还无法确</w:t>
                        </w:r>
                        <w:r>
                          <w:rPr>
                            <w:rFonts w:ascii="宋体" w:hAnsi="宋体" w:cs="宋体" w:eastAsia="宋体" w:hint="default"/>
                            <w:sz w:val="18"/>
                            <w:szCs w:val="18"/>
                          </w:rPr>
                          <w:t> 定本次公告的诉 讼案件对本公司 本期利润或期后 利润的影响。</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详细情况请见公司于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pacing w:val="-20"/>
                            <w:sz w:val="18"/>
                            <w:szCs w:val="18"/>
                          </w:rPr>
                          <w:t>日在《证</w:t>
                        </w:r>
                        <w:r>
                          <w:rPr>
                            <w:rFonts w:ascii="宋体" w:hAnsi="宋体" w:cs="宋体" w:eastAsia="宋体" w:hint="default"/>
                            <w:sz w:val="18"/>
                            <w:szCs w:val="18"/>
                          </w:rPr>
                          <w:t> </w:t>
                        </w:r>
                        <w:r>
                          <w:rPr>
                            <w:rFonts w:ascii="宋体" w:hAnsi="宋体" w:cs="宋体" w:eastAsia="宋体" w:hint="default"/>
                            <w:spacing w:val="-20"/>
                            <w:sz w:val="18"/>
                            <w:szCs w:val="18"/>
                          </w:rPr>
                          <w:t>券时报》、《中国证券报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及巨潮资讯网披露的</w:t>
                        </w:r>
                      </w:p>
                      <w:p>
                        <w:pPr>
                          <w:pStyle w:val="TableParagraph"/>
                          <w:spacing w:line="319" w:lineRule="auto" w:before="22"/>
                          <w:ind w:left="22" w:right="20"/>
                          <w:jc w:val="both"/>
                          <w:rPr>
                            <w:rFonts w:ascii="宋体" w:hAnsi="宋体" w:cs="宋体" w:eastAsia="宋体" w:hint="default"/>
                            <w:sz w:val="18"/>
                            <w:szCs w:val="18"/>
                          </w:rPr>
                        </w:pPr>
                        <w:r>
                          <w:rPr>
                            <w:rFonts w:ascii="宋体" w:hAnsi="宋体" w:cs="宋体" w:eastAsia="宋体" w:hint="default"/>
                            <w:sz w:val="18"/>
                            <w:szCs w:val="18"/>
                          </w:rPr>
                          <w:t>《成都卫士通信息产业 股份有限公司关于重大 </w:t>
                        </w:r>
                        <w:r>
                          <w:rPr>
                            <w:rFonts w:ascii="宋体" w:hAnsi="宋体" w:cs="宋体" w:eastAsia="宋体" w:hint="default"/>
                            <w:spacing w:val="-12"/>
                            <w:sz w:val="18"/>
                            <w:szCs w:val="18"/>
                          </w:rPr>
                          <w:t>诉讼的进展公告》（公告</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编号</w:t>
                        </w:r>
                        <w:r>
                          <w:rPr>
                            <w:rFonts w:ascii="Times New Roman" w:hAnsi="Times New Roman" w:cs="Times New Roman" w:eastAsia="Times New Roman" w:hint="default"/>
                            <w:sz w:val="18"/>
                            <w:szCs w:val="18"/>
                          </w:rPr>
                          <w:t>:2018-27)</w:t>
                        </w:r>
                        <w:r>
                          <w:rPr>
                            <w:rFonts w:ascii="宋体" w:hAnsi="宋体" w:cs="宋体" w:eastAsia="宋体" w:hint="default"/>
                            <w:sz w:val="18"/>
                            <w:szCs w:val="18"/>
                          </w:rPr>
                          <w:t>。</w:t>
                        </w:r>
                      </w:p>
                    </w:tc>
                  </w:tr>
                  <w:tr>
                    <w:trPr>
                      <w:trHeight w:val="67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57"/>
                          <w:jc w:val="left"/>
                          <w:rPr>
                            <w:rFonts w:ascii="宋体" w:hAnsi="宋体" w:cs="宋体" w:eastAsia="宋体" w:hint="default"/>
                            <w:sz w:val="18"/>
                            <w:szCs w:val="18"/>
                          </w:rPr>
                        </w:pPr>
                        <w:r>
                          <w:rPr>
                            <w:rFonts w:ascii="宋体" w:hAnsi="宋体" w:cs="宋体" w:eastAsia="宋体" w:hint="default"/>
                            <w:sz w:val="18"/>
                            <w:szCs w:val="18"/>
                          </w:rPr>
                          <w:t>本次案件尚 未进入实体</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2"/>
                          <w:jc w:val="left"/>
                          <w:rPr>
                            <w:rFonts w:ascii="宋体" w:hAnsi="宋体" w:cs="宋体" w:eastAsia="宋体" w:hint="default"/>
                            <w:sz w:val="18"/>
                            <w:szCs w:val="18"/>
                          </w:rPr>
                        </w:pPr>
                        <w:r>
                          <w:rPr>
                            <w:rFonts w:ascii="宋体" w:hAnsi="宋体" w:cs="宋体" w:eastAsia="宋体" w:hint="default"/>
                            <w:sz w:val="18"/>
                            <w:szCs w:val="18"/>
                          </w:rPr>
                          <w:t>因本次案件尚未 进入实体审理阶</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详细情况请见公司于</w:t>
                        </w:r>
                      </w:p>
                      <w:p>
                        <w:pPr>
                          <w:pStyle w:val="TableParagraph"/>
                          <w:spacing w:line="240" w:lineRule="auto" w:before="7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日在《证</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8"/>
          <w:szCs w:val="28"/>
        </w:rPr>
      </w:pPr>
    </w:p>
    <w:p>
      <w:pPr>
        <w:pStyle w:val="BodyText"/>
        <w:spacing w:line="240" w:lineRule="auto" w:before="44"/>
        <w:ind w:left="0" w:right="1140"/>
        <w:jc w:val="right"/>
      </w:pPr>
      <w:r>
        <w:rPr/>
        <w:t>》</w:t>
      </w:r>
    </w:p>
    <w:p>
      <w:pPr>
        <w:spacing w:after="0" w:line="240" w:lineRule="auto"/>
        <w:jc w:val="right"/>
        <w:sectPr>
          <w:pgSz w:w="11910" w:h="16840"/>
          <w:pgMar w:header="747" w:footer="979" w:top="1060" w:bottom="1160" w:left="980" w:right="0"/>
        </w:sectPr>
      </w:pPr>
    </w:p>
    <w:p>
      <w:pPr>
        <w:spacing w:line="240" w:lineRule="auto" w:before="8"/>
        <w:rPr>
          <w:rFonts w:ascii="宋体" w:hAnsi="宋体" w:cs="宋体" w:eastAsia="宋体" w:hint="default"/>
          <w:sz w:val="26"/>
          <w:szCs w:val="26"/>
        </w:rPr>
      </w:pPr>
    </w:p>
    <w:p>
      <w:pPr>
        <w:pStyle w:val="BodyText"/>
        <w:spacing w:line="240" w:lineRule="auto" w:before="44"/>
        <w:ind w:left="0" w:right="1140"/>
        <w:jc w:val="right"/>
      </w:pPr>
      <w:r>
        <w:rPr/>
        <w:pict>
          <v:shape style="position:absolute;margin-left:56.459999pt;margin-top:1.191743pt;width:479.2pt;height:350.75pt;mso-position-horizontal-relative:page;mso-position-vertical-relative:paragraph;z-index:13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60"/>
                    <w:gridCol w:w="850"/>
                    <w:gridCol w:w="852"/>
                    <w:gridCol w:w="992"/>
                    <w:gridCol w:w="1417"/>
                    <w:gridCol w:w="1134"/>
                    <w:gridCol w:w="851"/>
                    <w:gridCol w:w="1913"/>
                  </w:tblGrid>
                  <w:tr>
                    <w:trPr>
                      <w:trHeight w:val="1923" w:hRule="exact"/>
                    </w:trPr>
                    <w:tc>
                      <w:tcPr>
                        <w:tcW w:w="156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审理阶段</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3"/>
                          <w:jc w:val="left"/>
                          <w:rPr>
                            <w:rFonts w:ascii="宋体" w:hAnsi="宋体" w:cs="宋体" w:eastAsia="宋体" w:hint="default"/>
                            <w:sz w:val="18"/>
                            <w:szCs w:val="18"/>
                          </w:rPr>
                        </w:pPr>
                        <w:r>
                          <w:rPr>
                            <w:rFonts w:ascii="宋体" w:hAnsi="宋体" w:cs="宋体" w:eastAsia="宋体" w:hint="default"/>
                            <w:spacing w:val="-10"/>
                            <w:sz w:val="18"/>
                            <w:szCs w:val="18"/>
                          </w:rPr>
                          <w:t>段，目前还无法确</w:t>
                        </w:r>
                        <w:r>
                          <w:rPr>
                            <w:rFonts w:ascii="宋体" w:hAnsi="宋体" w:cs="宋体" w:eastAsia="宋体" w:hint="default"/>
                            <w:sz w:val="18"/>
                            <w:szCs w:val="18"/>
                          </w:rPr>
                          <w:t> 定本次公告的诉 讼案件对本公司 本期利润或期后 利润的影响。</w:t>
                        </w:r>
                      </w:p>
                    </w:tc>
                    <w:tc>
                      <w:tcPr>
                        <w:tcW w:w="113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12"/>
                          <w:jc w:val="both"/>
                          <w:rPr>
                            <w:rFonts w:ascii="宋体" w:hAnsi="宋体" w:cs="宋体" w:eastAsia="宋体" w:hint="default"/>
                            <w:sz w:val="18"/>
                            <w:szCs w:val="18"/>
                          </w:rPr>
                        </w:pPr>
                        <w:r>
                          <w:rPr>
                            <w:rFonts w:ascii="宋体" w:hAnsi="宋体" w:cs="宋体" w:eastAsia="宋体" w:hint="default"/>
                            <w:spacing w:val="-20"/>
                            <w:sz w:val="18"/>
                            <w:szCs w:val="18"/>
                          </w:rPr>
                          <w:t>券时报》、《中国证券报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及巨潮资讯网披露的</w:t>
                        </w:r>
                      </w:p>
                      <w:p>
                        <w:pPr>
                          <w:pStyle w:val="TableParagraph"/>
                          <w:spacing w:line="319" w:lineRule="auto" w:before="19"/>
                          <w:ind w:left="22" w:right="20"/>
                          <w:jc w:val="both"/>
                          <w:rPr>
                            <w:rFonts w:ascii="宋体" w:hAnsi="宋体" w:cs="宋体" w:eastAsia="宋体" w:hint="default"/>
                            <w:sz w:val="18"/>
                            <w:szCs w:val="18"/>
                          </w:rPr>
                        </w:pPr>
                        <w:r>
                          <w:rPr>
                            <w:rFonts w:ascii="宋体" w:hAnsi="宋体" w:cs="宋体" w:eastAsia="宋体" w:hint="default"/>
                            <w:sz w:val="18"/>
                            <w:szCs w:val="18"/>
                          </w:rPr>
                          <w:t>《成都卫士通信息产业 股份有限公司关于重大 </w:t>
                        </w:r>
                        <w:r>
                          <w:rPr>
                            <w:rFonts w:ascii="宋体" w:hAnsi="宋体" w:cs="宋体" w:eastAsia="宋体" w:hint="default"/>
                            <w:spacing w:val="-12"/>
                            <w:sz w:val="18"/>
                            <w:szCs w:val="18"/>
                          </w:rPr>
                          <w:t>诉讼的进展公告》（公告</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编号</w:t>
                        </w:r>
                        <w:r>
                          <w:rPr>
                            <w:rFonts w:ascii="Times New Roman" w:hAnsi="Times New Roman" w:cs="Times New Roman" w:eastAsia="Times New Roman" w:hint="default"/>
                            <w:sz w:val="18"/>
                            <w:szCs w:val="18"/>
                          </w:rPr>
                          <w:t>:2018-29)</w:t>
                        </w:r>
                        <w:r>
                          <w:rPr>
                            <w:rFonts w:ascii="宋体" w:hAnsi="宋体" w:cs="宋体" w:eastAsia="宋体" w:hint="default"/>
                            <w:sz w:val="18"/>
                            <w:szCs w:val="18"/>
                          </w:rPr>
                          <w:t>。</w:t>
                        </w:r>
                      </w:p>
                    </w:tc>
                  </w:tr>
                  <w:tr>
                    <w:trPr>
                      <w:trHeight w:val="508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7"/>
                          <w:jc w:val="both"/>
                          <w:rPr>
                            <w:rFonts w:ascii="宋体" w:hAnsi="宋体" w:cs="宋体" w:eastAsia="宋体" w:hint="default"/>
                            <w:sz w:val="18"/>
                            <w:szCs w:val="18"/>
                          </w:rPr>
                        </w:pPr>
                        <w:r>
                          <w:rPr>
                            <w:rFonts w:ascii="宋体" w:hAnsi="宋体" w:cs="宋体" w:eastAsia="宋体" w:hint="default"/>
                            <w:sz w:val="18"/>
                            <w:szCs w:val="18"/>
                          </w:rPr>
                          <w:t>北京中宏瑞德投资 管理中心（有限合 伙）以金融借款合 同纠纷为由起诉三 洲隆徽实业有限公 司、中辉世纪传媒 发展有限公司、北 京金丰科华房地产 开发有限公司、储 小晗、李佳蔓、四 川三洲特种钢管有 限公司、农信银资 金清算中心有限责 任公司以及公司全 资子公司北京网安 等十五名被告。</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left="45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316" w:lineRule="auto"/>
                          <w:ind w:left="22" w:right="57"/>
                          <w:jc w:val="both"/>
                          <w:rPr>
                            <w:rFonts w:ascii="宋体" w:hAnsi="宋体" w:cs="宋体" w:eastAsia="宋体" w:hint="default"/>
                            <w:sz w:val="18"/>
                            <w:szCs w:val="18"/>
                          </w:rPr>
                        </w:pPr>
                        <w:r>
                          <w:rPr>
                            <w:rFonts w:ascii="宋体" w:hAnsi="宋体" w:cs="宋体" w:eastAsia="宋体" w:hint="default"/>
                            <w:sz w:val="18"/>
                            <w:szCs w:val="18"/>
                          </w:rPr>
                          <w:t>本次案件尚 未进入实体 审理阶段</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z w:val="18"/>
                            <w:szCs w:val="18"/>
                          </w:rPr>
                          <w:t>因本次案件尚未 进入实体审理阶 </w:t>
                        </w:r>
                        <w:r>
                          <w:rPr>
                            <w:rFonts w:ascii="宋体" w:hAnsi="宋体" w:cs="宋体" w:eastAsia="宋体" w:hint="default"/>
                            <w:spacing w:val="-10"/>
                            <w:sz w:val="18"/>
                            <w:szCs w:val="18"/>
                          </w:rPr>
                          <w:t>段，目前还无法确</w:t>
                        </w:r>
                        <w:r>
                          <w:rPr>
                            <w:rFonts w:ascii="宋体" w:hAnsi="宋体" w:cs="宋体" w:eastAsia="宋体" w:hint="default"/>
                            <w:sz w:val="18"/>
                            <w:szCs w:val="18"/>
                          </w:rPr>
                          <w:t> 定本次公告的诉 讼案件对本公司 本期利润或期后 利润的影响。</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2" w:lineRule="auto" w:before="121"/>
                          <w:ind w:left="22" w:right="23"/>
                          <w:jc w:val="left"/>
                          <w:rPr>
                            <w:rFonts w:ascii="宋体" w:hAnsi="宋体" w:cs="宋体" w:eastAsia="宋体" w:hint="default"/>
                            <w:sz w:val="18"/>
                            <w:szCs w:val="18"/>
                          </w:rPr>
                        </w:pPr>
                        <w:r>
                          <w:rPr>
                            <w:rFonts w:ascii="宋体" w:hAnsi="宋体" w:cs="宋体" w:eastAsia="宋体" w:hint="default"/>
                            <w:sz w:val="18"/>
                            <w:szCs w:val="18"/>
                          </w:rPr>
                          <w:t>详细情况请见公司于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pacing w:val="-1"/>
                            <w:sz w:val="18"/>
                            <w:szCs w:val="18"/>
                          </w:rPr>
                          <w:t>24</w:t>
                        </w:r>
                        <w:r>
                          <w:rPr>
                            <w:rFonts w:ascii="Times New Roman" w:hAnsi="Times New Roman" w:cs="Times New Roman" w:eastAsia="Times New Roman" w:hint="default"/>
                            <w:spacing w:val="-15"/>
                            <w:sz w:val="18"/>
                            <w:szCs w:val="18"/>
                          </w:rPr>
                          <w:t> </w:t>
                        </w:r>
                        <w:r>
                          <w:rPr>
                            <w:rFonts w:ascii="宋体" w:hAnsi="宋体" w:cs="宋体" w:eastAsia="宋体" w:hint="default"/>
                            <w:spacing w:val="-23"/>
                            <w:sz w:val="18"/>
                            <w:szCs w:val="18"/>
                          </w:rPr>
                          <w:t>日在《证</w:t>
                        </w:r>
                        <w:r>
                          <w:rPr>
                            <w:rFonts w:ascii="宋体" w:hAnsi="宋体" w:cs="宋体" w:eastAsia="宋体" w:hint="default"/>
                            <w:sz w:val="18"/>
                            <w:szCs w:val="18"/>
                          </w:rPr>
                          <w:t> </w:t>
                        </w:r>
                        <w:r>
                          <w:rPr>
                            <w:rFonts w:ascii="宋体" w:hAnsi="宋体" w:cs="宋体" w:eastAsia="宋体" w:hint="default"/>
                            <w:spacing w:val="-20"/>
                            <w:sz w:val="18"/>
                            <w:szCs w:val="18"/>
                          </w:rPr>
                          <w:t>券时报》、《中国证券报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及巨潮资讯网披露的</w:t>
                        </w:r>
                      </w:p>
                      <w:p>
                        <w:pPr>
                          <w:pStyle w:val="TableParagraph"/>
                          <w:spacing w:line="319" w:lineRule="auto" w:before="22"/>
                          <w:ind w:left="22" w:right="78"/>
                          <w:jc w:val="left"/>
                          <w:rPr>
                            <w:rFonts w:ascii="宋体" w:hAnsi="宋体" w:cs="宋体" w:eastAsia="宋体" w:hint="default"/>
                            <w:sz w:val="18"/>
                            <w:szCs w:val="18"/>
                          </w:rPr>
                        </w:pPr>
                        <w:r>
                          <w:rPr>
                            <w:rFonts w:ascii="宋体" w:hAnsi="宋体" w:cs="宋体" w:eastAsia="宋体" w:hint="default"/>
                            <w:sz w:val="18"/>
                            <w:szCs w:val="18"/>
                          </w:rPr>
                          <w:t>《成都卫士通信息产业 股份有限公司关于重大 </w:t>
                        </w:r>
                        <w:r>
                          <w:rPr>
                            <w:rFonts w:ascii="宋体" w:hAnsi="宋体" w:cs="宋体" w:eastAsia="宋体" w:hint="default"/>
                            <w:spacing w:val="-9"/>
                            <w:sz w:val="18"/>
                            <w:szCs w:val="18"/>
                          </w:rPr>
                          <w:t>诉讼的公告》（公告编</w:t>
                        </w:r>
                        <w:r>
                          <w:rPr>
                            <w:rFonts w:ascii="宋体" w:hAnsi="宋体" w:cs="宋体" w:eastAsia="宋体" w:hint="default"/>
                            <w:sz w:val="18"/>
                            <w:szCs w:val="18"/>
                          </w:rPr>
                          <w:t> 号</w:t>
                        </w:r>
                        <w:r>
                          <w:rPr>
                            <w:rFonts w:ascii="Times New Roman" w:hAnsi="Times New Roman" w:cs="Times New Roman" w:eastAsia="Times New Roman" w:hint="default"/>
                            <w:sz w:val="18"/>
                            <w:szCs w:val="18"/>
                          </w:rPr>
                          <w:t>:2018-48)</w:t>
                        </w:r>
                        <w:r>
                          <w:rPr>
                            <w:rFonts w:ascii="宋体" w:hAnsi="宋体" w:cs="宋体" w:eastAsia="宋体" w:hint="default"/>
                            <w:sz w:val="18"/>
                            <w:szCs w:val="18"/>
                          </w:rPr>
                          <w:t>。</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p>
      <w:pPr>
        <w:pStyle w:val="BodyText"/>
        <w:spacing w:line="240" w:lineRule="auto"/>
        <w:ind w:left="0" w:right="1140"/>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1"/>
          <w:szCs w:val="21"/>
        </w:rPr>
      </w:pPr>
    </w:p>
    <w:p>
      <w:pPr>
        <w:pStyle w:val="Heading2"/>
        <w:spacing w:line="240" w:lineRule="auto" w:before="26"/>
        <w:ind w:right="1022"/>
        <w:jc w:val="left"/>
        <w:rPr>
          <w:b w:val="0"/>
          <w:bCs w:val="0"/>
        </w:rPr>
      </w:pPr>
      <w:bookmarkStart w:name="十三、处罚及整改情况" w:id="77"/>
      <w:bookmarkEnd w:id="77"/>
      <w:r>
        <w:rPr>
          <w:b w:val="0"/>
          <w:bCs w:val="0"/>
        </w:rPr>
      </w:r>
      <w:r>
        <w:rPr/>
        <w:t>十三、处罚及整改情况</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787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公司报告期不存在处罚及整改情况。</w:t>
      </w:r>
    </w:p>
    <w:p>
      <w:pPr>
        <w:spacing w:line="240" w:lineRule="auto" w:before="6"/>
        <w:rPr>
          <w:rFonts w:ascii="宋体" w:hAnsi="宋体" w:cs="宋体" w:eastAsia="宋体" w:hint="default"/>
          <w:sz w:val="19"/>
          <w:szCs w:val="19"/>
        </w:rPr>
      </w:pPr>
    </w:p>
    <w:p>
      <w:pPr>
        <w:pStyle w:val="Heading2"/>
        <w:spacing w:line="240" w:lineRule="auto"/>
        <w:ind w:right="1022"/>
        <w:jc w:val="left"/>
        <w:rPr>
          <w:b w:val="0"/>
          <w:bCs w:val="0"/>
        </w:rPr>
      </w:pPr>
      <w:bookmarkStart w:name="十四、公司及其控股股东、实际控制人的诚信状况" w:id="78"/>
      <w:bookmarkEnd w:id="78"/>
      <w:r>
        <w:rPr>
          <w:b w:val="0"/>
          <w:bCs w:val="0"/>
        </w:rPr>
      </w:r>
      <w:r>
        <w:rPr/>
        <w:t>十四、公司及其控股股东、实际控制人的诚信状况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0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022"/>
        <w:jc w:val="left"/>
        <w:rPr>
          <w:b w:val="0"/>
          <w:bCs w:val="0"/>
        </w:rPr>
      </w:pPr>
      <w:bookmarkStart w:name="十五、公司股权激励计划、员工持股计划或其他员工激励措施的实施情况" w:id="79"/>
      <w:bookmarkEnd w:id="79"/>
      <w:r>
        <w:rPr>
          <w:b w:val="0"/>
          <w:bCs w:val="0"/>
        </w:rPr>
      </w:r>
      <w:r>
        <w:rPr/>
        <w:t>十五、公司股权激励计划、员工持股计划或其他员工激励措施的实施情况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38" w:lineRule="auto" w:before="102"/>
        <w:ind w:right="1843"/>
        <w:jc w:val="left"/>
      </w:pPr>
      <w:r>
        <w:rPr/>
        <w:t>公司需遵守《深圳证券交易所行业信息披露指引第</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上市公司从事软件与信息技术服务业务》的披露要求 公司报告期无股权激励计划、员工持股计划或其他员工激励措施及其实施情况。</w:t>
      </w:r>
    </w:p>
    <w:p>
      <w:pPr>
        <w:spacing w:line="240" w:lineRule="auto" w:before="6"/>
        <w:rPr>
          <w:rFonts w:ascii="宋体" w:hAnsi="宋体" w:cs="宋体" w:eastAsia="宋体" w:hint="default"/>
          <w:sz w:val="19"/>
          <w:szCs w:val="19"/>
        </w:rPr>
      </w:pPr>
    </w:p>
    <w:p>
      <w:pPr>
        <w:pStyle w:val="Heading2"/>
        <w:spacing w:line="240" w:lineRule="auto"/>
        <w:ind w:right="1022"/>
        <w:jc w:val="left"/>
        <w:rPr>
          <w:b w:val="0"/>
          <w:bCs w:val="0"/>
        </w:rPr>
      </w:pPr>
      <w:bookmarkStart w:name="十六、重大关联交易" w:id="80"/>
      <w:bookmarkEnd w:id="80"/>
      <w:r>
        <w:rPr>
          <w:b w:val="0"/>
          <w:bCs w:val="0"/>
        </w:rPr>
      </w:r>
      <w:r>
        <w:rPr/>
        <w:t>十六、重大关联交易</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022"/>
        <w:jc w:val="left"/>
        <w:rPr>
          <w:b w:val="0"/>
          <w:bCs w:val="0"/>
        </w:rPr>
      </w:pPr>
      <w:bookmarkStart w:name="1、与日常经营相关的关联交易" w:id="81"/>
      <w:bookmarkEnd w:id="81"/>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801"/>
        <w:gridCol w:w="677"/>
        <w:gridCol w:w="677"/>
        <w:gridCol w:w="706"/>
        <w:gridCol w:w="679"/>
        <w:gridCol w:w="675"/>
        <w:gridCol w:w="674"/>
        <w:gridCol w:w="673"/>
        <w:gridCol w:w="674"/>
        <w:gridCol w:w="674"/>
        <w:gridCol w:w="674"/>
        <w:gridCol w:w="674"/>
        <w:gridCol w:w="670"/>
        <w:gridCol w:w="642"/>
      </w:tblGrid>
      <w:tr>
        <w:trPr>
          <w:trHeight w:val="1338" w:hRule="exact"/>
        </w:trPr>
        <w:tc>
          <w:tcPr>
            <w:tcW w:w="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304" w:right="34" w:hanging="270"/>
              <w:jc w:val="left"/>
              <w:rPr>
                <w:rFonts w:ascii="宋体" w:hAnsi="宋体" w:cs="宋体" w:eastAsia="宋体" w:hint="default"/>
                <w:sz w:val="18"/>
                <w:szCs w:val="18"/>
              </w:rPr>
            </w:pPr>
            <w:r>
              <w:rPr>
                <w:rFonts w:ascii="宋体" w:hAnsi="宋体" w:cs="宋体" w:eastAsia="宋体" w:hint="default"/>
                <w:sz w:val="18"/>
                <w:szCs w:val="18"/>
              </w:rPr>
              <w:t>关联交易 方</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43" w:right="61"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63" w:right="61"/>
              <w:jc w:val="left"/>
              <w:rPr>
                <w:rFonts w:ascii="宋体" w:hAnsi="宋体" w:cs="宋体" w:eastAsia="宋体" w:hint="default"/>
                <w:sz w:val="18"/>
                <w:szCs w:val="18"/>
              </w:rPr>
            </w:pPr>
            <w:r>
              <w:rPr>
                <w:rFonts w:ascii="宋体" w:hAnsi="宋体" w:cs="宋体" w:eastAsia="宋体" w:hint="default"/>
                <w:sz w:val="18"/>
                <w:szCs w:val="18"/>
              </w:rPr>
              <w:t>关联交 易类型</w:t>
            </w:r>
          </w:p>
        </w:tc>
        <w:tc>
          <w:tcPr>
            <w:tcW w:w="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76" w:right="77"/>
              <w:jc w:val="left"/>
              <w:rPr>
                <w:rFonts w:ascii="宋体" w:hAnsi="宋体" w:cs="宋体" w:eastAsia="宋体" w:hint="default"/>
                <w:sz w:val="18"/>
                <w:szCs w:val="18"/>
              </w:rPr>
            </w:pPr>
            <w:r>
              <w:rPr>
                <w:rFonts w:ascii="宋体" w:hAnsi="宋体" w:cs="宋体" w:eastAsia="宋体" w:hint="default"/>
                <w:sz w:val="18"/>
                <w:szCs w:val="18"/>
              </w:rPr>
              <w:t>关联交 易内容</w:t>
            </w:r>
          </w:p>
        </w:tc>
        <w:tc>
          <w:tcPr>
            <w:tcW w:w="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4" w:right="62"/>
              <w:jc w:val="both"/>
              <w:rPr>
                <w:rFonts w:ascii="宋体" w:hAnsi="宋体" w:cs="宋体" w:eastAsia="宋体" w:hint="default"/>
                <w:sz w:val="18"/>
                <w:szCs w:val="18"/>
              </w:rPr>
            </w:pPr>
            <w:r>
              <w:rPr>
                <w:rFonts w:ascii="宋体" w:hAnsi="宋体" w:cs="宋体" w:eastAsia="宋体" w:hint="default"/>
                <w:sz w:val="18"/>
                <w:szCs w:val="18"/>
              </w:rPr>
              <w:t>关联交 易定价 原则</w:t>
            </w:r>
          </w:p>
        </w:tc>
        <w:tc>
          <w:tcPr>
            <w:tcW w:w="6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61" w:right="63"/>
              <w:jc w:val="left"/>
              <w:rPr>
                <w:rFonts w:ascii="宋体" w:hAnsi="宋体" w:cs="宋体" w:eastAsia="宋体" w:hint="default"/>
                <w:sz w:val="18"/>
                <w:szCs w:val="18"/>
              </w:rPr>
            </w:pPr>
            <w:r>
              <w:rPr>
                <w:rFonts w:ascii="宋体" w:hAnsi="宋体" w:cs="宋体" w:eastAsia="宋体" w:hint="default"/>
                <w:sz w:val="18"/>
                <w:szCs w:val="18"/>
              </w:rPr>
              <w:t>关联交 易价格</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1" w:right="61"/>
              <w:jc w:val="left"/>
              <w:rPr>
                <w:rFonts w:ascii="宋体" w:hAnsi="宋体" w:cs="宋体" w:eastAsia="宋体" w:hint="default"/>
                <w:sz w:val="18"/>
                <w:szCs w:val="18"/>
              </w:rPr>
            </w:pPr>
            <w:r>
              <w:rPr>
                <w:rFonts w:ascii="宋体" w:hAnsi="宋体" w:cs="宋体" w:eastAsia="宋体" w:hint="default"/>
                <w:sz w:val="18"/>
                <w:szCs w:val="18"/>
              </w:rPr>
              <w:t>关联交 易金额</w:t>
            </w:r>
          </w:p>
          <w:p>
            <w:pPr>
              <w:pStyle w:val="TableParagraph"/>
              <w:spacing w:line="319" w:lineRule="auto" w:before="19"/>
              <w:ind w:left="151" w:right="151"/>
              <w:jc w:val="left"/>
              <w:rPr>
                <w:rFonts w:ascii="宋体" w:hAnsi="宋体" w:cs="宋体" w:eastAsia="宋体" w:hint="default"/>
                <w:sz w:val="18"/>
                <w:szCs w:val="18"/>
              </w:rPr>
            </w:pPr>
            <w:r>
              <w:rPr>
                <w:rFonts w:ascii="宋体" w:hAnsi="宋体" w:cs="宋体" w:eastAsia="宋体" w:hint="default"/>
                <w:sz w:val="18"/>
                <w:szCs w:val="18"/>
              </w:rPr>
              <w:t>（万 元）</w:t>
            </w: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1" w:right="60"/>
              <w:jc w:val="center"/>
              <w:rPr>
                <w:rFonts w:ascii="宋体" w:hAnsi="宋体" w:cs="宋体" w:eastAsia="宋体" w:hint="default"/>
                <w:sz w:val="18"/>
                <w:szCs w:val="18"/>
              </w:rPr>
            </w:pPr>
            <w:r>
              <w:rPr>
                <w:rFonts w:ascii="宋体" w:hAnsi="宋体" w:cs="宋体" w:eastAsia="宋体" w:hint="default"/>
                <w:sz w:val="18"/>
                <w:szCs w:val="18"/>
              </w:rPr>
              <w:t>占同类 交易金 额的比 例</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1" w:right="61"/>
              <w:jc w:val="both"/>
              <w:rPr>
                <w:rFonts w:ascii="宋体" w:hAnsi="宋体" w:cs="宋体" w:eastAsia="宋体" w:hint="default"/>
                <w:sz w:val="18"/>
                <w:szCs w:val="18"/>
              </w:rPr>
            </w:pPr>
            <w:r>
              <w:rPr>
                <w:rFonts w:ascii="宋体" w:hAnsi="宋体" w:cs="宋体" w:eastAsia="宋体" w:hint="default"/>
                <w:sz w:val="18"/>
                <w:szCs w:val="18"/>
              </w:rPr>
              <w:t>获批的 交易额 度（万 元）</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1" w:right="61"/>
              <w:jc w:val="both"/>
              <w:rPr>
                <w:rFonts w:ascii="宋体" w:hAnsi="宋体" w:cs="宋体" w:eastAsia="宋体" w:hint="default"/>
                <w:sz w:val="18"/>
                <w:szCs w:val="18"/>
              </w:rPr>
            </w:pPr>
            <w:r>
              <w:rPr>
                <w:rFonts w:ascii="宋体" w:hAnsi="宋体" w:cs="宋体" w:eastAsia="宋体" w:hint="default"/>
                <w:sz w:val="18"/>
                <w:szCs w:val="18"/>
              </w:rPr>
              <w:t>是否超 过获批 额度</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1" w:right="60"/>
              <w:jc w:val="both"/>
              <w:rPr>
                <w:rFonts w:ascii="宋体" w:hAnsi="宋体" w:cs="宋体" w:eastAsia="宋体" w:hint="default"/>
                <w:sz w:val="18"/>
                <w:szCs w:val="18"/>
              </w:rPr>
            </w:pPr>
            <w:r>
              <w:rPr>
                <w:rFonts w:ascii="宋体" w:hAnsi="宋体" w:cs="宋体" w:eastAsia="宋体" w:hint="default"/>
                <w:sz w:val="18"/>
                <w:szCs w:val="18"/>
              </w:rPr>
              <w:t>关联交 易结算 方式</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1" w:right="61"/>
              <w:jc w:val="center"/>
              <w:rPr>
                <w:rFonts w:ascii="宋体" w:hAnsi="宋体" w:cs="宋体" w:eastAsia="宋体" w:hint="default"/>
                <w:sz w:val="18"/>
                <w:szCs w:val="18"/>
              </w:rPr>
            </w:pPr>
            <w:r>
              <w:rPr>
                <w:rFonts w:ascii="宋体" w:hAnsi="宋体" w:cs="宋体" w:eastAsia="宋体" w:hint="default"/>
                <w:sz w:val="18"/>
                <w:szCs w:val="18"/>
              </w:rPr>
              <w:t>可获得 的同类 交易市 价</w:t>
            </w:r>
          </w:p>
        </w:tc>
        <w:tc>
          <w:tcPr>
            <w:tcW w:w="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39" w:right="59"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5" w:right="44"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1338"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中国电子 科技集团 公司第三 十研究所</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02"/>
              <w:jc w:val="both"/>
              <w:rPr>
                <w:rFonts w:ascii="宋体" w:hAnsi="宋体" w:cs="宋体" w:eastAsia="宋体" w:hint="default"/>
                <w:sz w:val="18"/>
                <w:szCs w:val="18"/>
              </w:rPr>
            </w:pPr>
            <w:r>
              <w:rPr>
                <w:rFonts w:ascii="宋体" w:hAnsi="宋体" w:cs="宋体" w:eastAsia="宋体" w:hint="default"/>
                <w:sz w:val="18"/>
                <w:szCs w:val="18"/>
              </w:rPr>
              <w:t>同受母 公司控 制</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102"/>
              <w:jc w:val="left"/>
              <w:rPr>
                <w:rFonts w:ascii="宋体" w:hAnsi="宋体" w:cs="宋体" w:eastAsia="宋体" w:hint="default"/>
                <w:sz w:val="18"/>
                <w:szCs w:val="18"/>
              </w:rPr>
            </w:pPr>
            <w:r>
              <w:rPr>
                <w:rFonts w:ascii="宋体" w:hAnsi="宋体" w:cs="宋体" w:eastAsia="宋体" w:hint="default"/>
                <w:sz w:val="18"/>
                <w:szCs w:val="18"/>
              </w:rPr>
              <w:t>销售商 品</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131"/>
              <w:jc w:val="left"/>
              <w:rPr>
                <w:rFonts w:ascii="宋体" w:hAnsi="宋体" w:cs="宋体" w:eastAsia="宋体" w:hint="default"/>
                <w:sz w:val="18"/>
                <w:szCs w:val="18"/>
              </w:rPr>
            </w:pPr>
            <w:r>
              <w:rPr>
                <w:rFonts w:ascii="宋体" w:hAnsi="宋体" w:cs="宋体" w:eastAsia="宋体" w:hint="default"/>
                <w:sz w:val="18"/>
                <w:szCs w:val="18"/>
              </w:rPr>
              <w:t>安全产 品及</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104"/>
              <w:jc w:val="left"/>
              <w:rPr>
                <w:rFonts w:ascii="宋体" w:hAnsi="宋体" w:cs="宋体" w:eastAsia="宋体" w:hint="default"/>
                <w:sz w:val="18"/>
                <w:szCs w:val="18"/>
              </w:rPr>
            </w:pPr>
            <w:r>
              <w:rPr>
                <w:rFonts w:ascii="宋体" w:hAnsi="宋体" w:cs="宋体" w:eastAsia="宋体" w:hint="default"/>
                <w:sz w:val="18"/>
                <w:szCs w:val="18"/>
              </w:rPr>
              <w:t>市场定 价</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31,133.</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77</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31,133.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77</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16.12%</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31,030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99"/>
              <w:jc w:val="left"/>
              <w:rPr>
                <w:rFonts w:ascii="宋体" w:hAnsi="宋体" w:cs="宋体" w:eastAsia="宋体" w:hint="default"/>
                <w:sz w:val="18"/>
                <w:szCs w:val="18"/>
              </w:rPr>
            </w:pPr>
            <w:r>
              <w:rPr>
                <w:rFonts w:ascii="宋体" w:hAnsi="宋体" w:cs="宋体" w:eastAsia="宋体" w:hint="default"/>
                <w:sz w:val="18"/>
                <w:szCs w:val="18"/>
              </w:rPr>
              <w:t>转账结 算</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31,133.</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77</w:t>
            </w:r>
          </w:p>
        </w:tc>
        <w:tc>
          <w:tcPr>
            <w:tcW w:w="670"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860" w:type="dxa"/>
            <w:gridSpan w:val="4"/>
            <w:tcBorders>
              <w:top w:val="single" w:sz="4" w:space="0" w:color="000000"/>
              <w:left w:val="single" w:sz="4" w:space="0" w:color="000000"/>
              <w:bottom w:val="nil" w:sz="6" w:space="0" w:color="auto"/>
              <w:right w:val="single" w:sz="4" w:space="0" w:color="000000"/>
            </w:tcBorders>
            <w:shd w:val="clear" w:color="auto" w:fill="D2D2D2"/>
          </w:tcPr>
          <w:p>
            <w:pPr/>
          </w:p>
        </w:tc>
        <w:tc>
          <w:tcPr>
            <w:tcW w:w="679" w:type="dxa"/>
            <w:tcBorders>
              <w:top w:val="single" w:sz="4" w:space="0" w:color="000000"/>
              <w:left w:val="single" w:sz="4" w:space="0" w:color="000000"/>
              <w:bottom w:val="nil" w:sz="6" w:space="0" w:color="auto"/>
              <w:right w:val="single" w:sz="4" w:space="0" w:color="000000"/>
            </w:tcBorders>
            <w:shd w:val="clear" w:color="auto" w:fill="D2D2D2"/>
          </w:tcPr>
          <w:p>
            <w:pPr/>
          </w:p>
        </w:tc>
        <w:tc>
          <w:tcPr>
            <w:tcW w:w="675" w:type="dxa"/>
            <w:tcBorders>
              <w:top w:val="single" w:sz="4" w:space="0" w:color="000000"/>
              <w:left w:val="single" w:sz="4" w:space="0" w:color="000000"/>
              <w:bottom w:val="nil" w:sz="6" w:space="0" w:color="auto"/>
              <w:right w:val="single" w:sz="4" w:space="0" w:color="000000"/>
            </w:tcBorders>
            <w:shd w:val="clear" w:color="auto" w:fill="D2D2D2"/>
          </w:tcPr>
          <w:p>
            <w:pPr/>
          </w:p>
        </w:tc>
        <w:tc>
          <w:tcPr>
            <w:tcW w:w="674"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31,133.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77</w:t>
            </w:r>
          </w:p>
        </w:tc>
        <w:tc>
          <w:tcPr>
            <w:tcW w:w="67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7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31,030</w:t>
            </w:r>
          </w:p>
        </w:tc>
        <w:tc>
          <w:tcPr>
            <w:tcW w:w="6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4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r>
        <w:trPr>
          <w:trHeight w:val="392" w:hRule="exact"/>
        </w:trPr>
        <w:tc>
          <w:tcPr>
            <w:tcW w:w="2860" w:type="dxa"/>
            <w:gridSpan w:val="4"/>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7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7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674" w:type="dxa"/>
            <w:vMerge/>
            <w:tcBorders>
              <w:left w:val="single" w:sz="10" w:space="0" w:color="D2D2D2"/>
              <w:right w:val="single" w:sz="4" w:space="0" w:color="000000"/>
            </w:tcBorders>
          </w:tcPr>
          <w:p>
            <w:pPr/>
          </w:p>
        </w:tc>
        <w:tc>
          <w:tcPr>
            <w:tcW w:w="673" w:type="dxa"/>
            <w:vMerge/>
            <w:tcBorders>
              <w:left w:val="single" w:sz="4" w:space="0" w:color="000000"/>
              <w:right w:val="single" w:sz="4" w:space="0" w:color="000000"/>
            </w:tcBorders>
            <w:shd w:val="clear" w:color="auto" w:fill="D2D2D2"/>
          </w:tcPr>
          <w:p>
            <w:pPr/>
          </w:p>
        </w:tc>
        <w:tc>
          <w:tcPr>
            <w:tcW w:w="674" w:type="dxa"/>
            <w:vMerge/>
            <w:tcBorders>
              <w:left w:val="single" w:sz="4" w:space="0" w:color="000000"/>
              <w:right w:val="single" w:sz="4" w:space="0" w:color="000000"/>
            </w:tcBorders>
          </w:tcPr>
          <w:p>
            <w:pPr/>
          </w:p>
        </w:tc>
        <w:tc>
          <w:tcPr>
            <w:tcW w:w="674" w:type="dxa"/>
            <w:vMerge/>
            <w:tcBorders>
              <w:left w:val="single" w:sz="4" w:space="0" w:color="000000"/>
              <w:right w:val="single" w:sz="4" w:space="0" w:color="000000"/>
            </w:tcBorders>
            <w:shd w:val="clear" w:color="auto" w:fill="D2D2D2"/>
          </w:tcPr>
          <w:p>
            <w:pPr/>
          </w:p>
        </w:tc>
        <w:tc>
          <w:tcPr>
            <w:tcW w:w="674" w:type="dxa"/>
            <w:vMerge/>
            <w:tcBorders>
              <w:left w:val="single" w:sz="4" w:space="0" w:color="000000"/>
              <w:right w:val="single" w:sz="4" w:space="0" w:color="000000"/>
            </w:tcBorders>
            <w:shd w:val="clear" w:color="auto" w:fill="D2D2D2"/>
          </w:tcPr>
          <w:p>
            <w:pPr/>
          </w:p>
        </w:tc>
        <w:tc>
          <w:tcPr>
            <w:tcW w:w="674" w:type="dxa"/>
            <w:vMerge/>
            <w:tcBorders>
              <w:left w:val="single" w:sz="4" w:space="0" w:color="000000"/>
              <w:right w:val="single" w:sz="4" w:space="0" w:color="000000"/>
            </w:tcBorders>
            <w:shd w:val="clear" w:color="auto" w:fill="D2D2D2"/>
          </w:tcPr>
          <w:p>
            <w:pPr/>
          </w:p>
        </w:tc>
        <w:tc>
          <w:tcPr>
            <w:tcW w:w="670" w:type="dxa"/>
            <w:vMerge/>
            <w:tcBorders>
              <w:left w:val="single" w:sz="4" w:space="0" w:color="000000"/>
              <w:right w:val="single" w:sz="4" w:space="0" w:color="000000"/>
            </w:tcBorders>
            <w:shd w:val="clear" w:color="auto" w:fill="D2D2D2"/>
          </w:tcPr>
          <w:p>
            <w:pPr/>
          </w:p>
        </w:tc>
        <w:tc>
          <w:tcPr>
            <w:tcW w:w="642" w:type="dxa"/>
            <w:vMerge/>
            <w:tcBorders>
              <w:left w:val="single" w:sz="4" w:space="0" w:color="000000"/>
              <w:right w:val="single" w:sz="4" w:space="0" w:color="000000"/>
            </w:tcBorders>
            <w:shd w:val="clear" w:color="auto" w:fill="D2D2D2"/>
          </w:tcPr>
          <w:p>
            <w:pPr/>
          </w:p>
        </w:tc>
      </w:tr>
      <w:tr>
        <w:trPr>
          <w:trHeight w:val="161" w:hRule="exact"/>
        </w:trPr>
        <w:tc>
          <w:tcPr>
            <w:tcW w:w="2860" w:type="dxa"/>
            <w:gridSpan w:val="4"/>
            <w:tcBorders>
              <w:top w:val="nil" w:sz="6" w:space="0" w:color="auto"/>
              <w:left w:val="single" w:sz="4" w:space="0" w:color="000000"/>
              <w:bottom w:val="single" w:sz="4" w:space="0" w:color="000000"/>
              <w:right w:val="single" w:sz="4" w:space="0" w:color="000000"/>
            </w:tcBorders>
            <w:shd w:val="clear" w:color="auto" w:fill="D2D2D2"/>
          </w:tcPr>
          <w:p>
            <w:pPr/>
          </w:p>
        </w:tc>
        <w:tc>
          <w:tcPr>
            <w:tcW w:w="679" w:type="dxa"/>
            <w:tcBorders>
              <w:top w:val="nil" w:sz="6" w:space="0" w:color="auto"/>
              <w:left w:val="single" w:sz="4" w:space="0" w:color="000000"/>
              <w:bottom w:val="single" w:sz="4" w:space="0" w:color="000000"/>
              <w:right w:val="single" w:sz="4" w:space="0" w:color="000000"/>
            </w:tcBorders>
            <w:shd w:val="clear" w:color="auto" w:fill="D2D2D2"/>
          </w:tcPr>
          <w:p>
            <w:pPr/>
          </w:p>
        </w:tc>
        <w:tc>
          <w:tcPr>
            <w:tcW w:w="675" w:type="dxa"/>
            <w:tcBorders>
              <w:top w:val="nil" w:sz="6" w:space="0" w:color="auto"/>
              <w:left w:val="single" w:sz="4" w:space="0" w:color="000000"/>
              <w:bottom w:val="single" w:sz="4" w:space="0" w:color="000000"/>
              <w:right w:val="single" w:sz="4" w:space="0" w:color="000000"/>
            </w:tcBorders>
            <w:shd w:val="clear" w:color="auto" w:fill="D2D2D2"/>
          </w:tcPr>
          <w:p>
            <w:pPr/>
          </w:p>
        </w:tc>
        <w:tc>
          <w:tcPr>
            <w:tcW w:w="674" w:type="dxa"/>
            <w:vMerge/>
            <w:tcBorders>
              <w:left w:val="single" w:sz="10" w:space="0" w:color="D2D2D2"/>
              <w:bottom w:val="single" w:sz="4" w:space="0" w:color="000000"/>
              <w:right w:val="single" w:sz="4" w:space="0" w:color="000000"/>
            </w:tcBorders>
          </w:tcPr>
          <w:p>
            <w:pPr/>
          </w:p>
        </w:tc>
        <w:tc>
          <w:tcPr>
            <w:tcW w:w="673" w:type="dxa"/>
            <w:vMerge/>
            <w:tcBorders>
              <w:left w:val="single" w:sz="4" w:space="0" w:color="000000"/>
              <w:bottom w:val="single" w:sz="4" w:space="0" w:color="000000"/>
              <w:right w:val="single" w:sz="4" w:space="0" w:color="000000"/>
            </w:tcBorders>
            <w:shd w:val="clear" w:color="auto" w:fill="D2D2D2"/>
          </w:tcPr>
          <w:p>
            <w:pPr/>
          </w:p>
        </w:tc>
        <w:tc>
          <w:tcPr>
            <w:tcW w:w="674" w:type="dxa"/>
            <w:vMerge/>
            <w:tcBorders>
              <w:left w:val="single" w:sz="4" w:space="0" w:color="000000"/>
              <w:bottom w:val="single" w:sz="4" w:space="0" w:color="000000"/>
              <w:right w:val="single" w:sz="4" w:space="0" w:color="000000"/>
            </w:tcBorders>
          </w:tcPr>
          <w:p>
            <w:pPr/>
          </w:p>
        </w:tc>
        <w:tc>
          <w:tcPr>
            <w:tcW w:w="674" w:type="dxa"/>
            <w:vMerge/>
            <w:tcBorders>
              <w:left w:val="single" w:sz="4" w:space="0" w:color="000000"/>
              <w:bottom w:val="single" w:sz="4" w:space="0" w:color="000000"/>
              <w:right w:val="single" w:sz="4" w:space="0" w:color="000000"/>
            </w:tcBorders>
            <w:shd w:val="clear" w:color="auto" w:fill="D2D2D2"/>
          </w:tcPr>
          <w:p>
            <w:pPr/>
          </w:p>
        </w:tc>
        <w:tc>
          <w:tcPr>
            <w:tcW w:w="674" w:type="dxa"/>
            <w:vMerge/>
            <w:tcBorders>
              <w:left w:val="single" w:sz="4" w:space="0" w:color="000000"/>
              <w:bottom w:val="single" w:sz="4" w:space="0" w:color="000000"/>
              <w:right w:val="single" w:sz="4" w:space="0" w:color="000000"/>
            </w:tcBorders>
            <w:shd w:val="clear" w:color="auto" w:fill="D2D2D2"/>
          </w:tcPr>
          <w:p>
            <w:pPr/>
          </w:p>
        </w:tc>
        <w:tc>
          <w:tcPr>
            <w:tcW w:w="674" w:type="dxa"/>
            <w:vMerge/>
            <w:tcBorders>
              <w:left w:val="single" w:sz="4" w:space="0" w:color="000000"/>
              <w:bottom w:val="single" w:sz="4" w:space="0" w:color="000000"/>
              <w:right w:val="single" w:sz="4" w:space="0" w:color="000000"/>
            </w:tcBorders>
            <w:shd w:val="clear" w:color="auto" w:fill="D2D2D2"/>
          </w:tcPr>
          <w:p>
            <w:pPr/>
          </w:p>
        </w:tc>
        <w:tc>
          <w:tcPr>
            <w:tcW w:w="670" w:type="dxa"/>
            <w:vMerge/>
            <w:tcBorders>
              <w:left w:val="single" w:sz="4" w:space="0" w:color="000000"/>
              <w:bottom w:val="single" w:sz="4" w:space="0" w:color="000000"/>
              <w:right w:val="single" w:sz="4" w:space="0" w:color="000000"/>
            </w:tcBorders>
            <w:shd w:val="clear" w:color="auto" w:fill="D2D2D2"/>
          </w:tcPr>
          <w:p>
            <w:pPr/>
          </w:p>
        </w:tc>
        <w:tc>
          <w:tcPr>
            <w:tcW w:w="64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8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大额销货退回的详细情况</w:t>
            </w:r>
          </w:p>
        </w:tc>
        <w:tc>
          <w:tcPr>
            <w:tcW w:w="6710"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26" w:hRule="exact"/>
        </w:trPr>
        <w:tc>
          <w:tcPr>
            <w:tcW w:w="28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按类别对本期将发生的日常关联交 </w:t>
            </w:r>
            <w:r>
              <w:rPr>
                <w:rFonts w:ascii="宋体" w:hAnsi="宋体" w:cs="宋体" w:eastAsia="宋体" w:hint="default"/>
                <w:spacing w:val="-5"/>
                <w:sz w:val="18"/>
                <w:szCs w:val="18"/>
              </w:rPr>
              <w:t>易进行总金额预计的，在报告期内的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实际履行情况（如有）</w:t>
            </w:r>
          </w:p>
        </w:tc>
        <w:tc>
          <w:tcPr>
            <w:tcW w:w="6710"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28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25"/>
              <w:jc w:val="left"/>
              <w:rPr>
                <w:rFonts w:ascii="宋体" w:hAnsi="宋体" w:cs="宋体" w:eastAsia="宋体" w:hint="default"/>
                <w:sz w:val="18"/>
                <w:szCs w:val="18"/>
              </w:rPr>
            </w:pPr>
            <w:r>
              <w:rPr>
                <w:rFonts w:ascii="宋体" w:hAnsi="宋体" w:cs="宋体" w:eastAsia="宋体" w:hint="default"/>
                <w:sz w:val="18"/>
                <w:szCs w:val="18"/>
              </w:rPr>
              <w:t>交易价格与市场参考价格差异较大 的原因（如适用）</w:t>
            </w:r>
          </w:p>
        </w:tc>
        <w:tc>
          <w:tcPr>
            <w:tcW w:w="6710"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2"/>
        <w:rPr>
          <w:rFonts w:ascii="宋体" w:hAnsi="宋体" w:cs="宋体" w:eastAsia="宋体" w:hint="default"/>
          <w:sz w:val="19"/>
          <w:szCs w:val="19"/>
        </w:rPr>
      </w:pPr>
    </w:p>
    <w:p>
      <w:pPr>
        <w:pStyle w:val="Heading3"/>
        <w:spacing w:line="240" w:lineRule="auto" w:before="35"/>
        <w:ind w:right="1022"/>
        <w:jc w:val="left"/>
        <w:rPr>
          <w:b w:val="0"/>
          <w:bCs w:val="0"/>
        </w:rPr>
      </w:pPr>
      <w:bookmarkStart w:name="2、资产或股权收购、出售发生的关联交易" w:id="82"/>
      <w:bookmarkEnd w:id="82"/>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64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公司报告期未发生资产或股权收购、出售的关联交易。</w:t>
      </w:r>
    </w:p>
    <w:p>
      <w:pPr>
        <w:spacing w:line="240" w:lineRule="auto" w:before="12"/>
        <w:rPr>
          <w:rFonts w:ascii="宋体" w:hAnsi="宋体" w:cs="宋体" w:eastAsia="宋体" w:hint="default"/>
          <w:sz w:val="20"/>
          <w:szCs w:val="20"/>
        </w:rPr>
      </w:pPr>
    </w:p>
    <w:p>
      <w:pPr>
        <w:pStyle w:val="Heading3"/>
        <w:spacing w:line="240" w:lineRule="auto"/>
        <w:ind w:right="1022"/>
        <w:jc w:val="left"/>
        <w:rPr>
          <w:b w:val="0"/>
          <w:bCs w:val="0"/>
        </w:rPr>
      </w:pPr>
      <w:bookmarkStart w:name="3、共同对外投资的关联交易" w:id="83"/>
      <w:bookmarkEnd w:id="83"/>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1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公司报告期未发生共同对外投资的关联交易。</w:t>
      </w:r>
    </w:p>
    <w:p>
      <w:pPr>
        <w:spacing w:line="240" w:lineRule="auto" w:before="1"/>
        <w:rPr>
          <w:rFonts w:ascii="宋体" w:hAnsi="宋体" w:cs="宋体" w:eastAsia="宋体" w:hint="default"/>
          <w:sz w:val="21"/>
          <w:szCs w:val="21"/>
        </w:rPr>
      </w:pPr>
    </w:p>
    <w:p>
      <w:pPr>
        <w:pStyle w:val="Heading3"/>
        <w:spacing w:line="240" w:lineRule="auto"/>
        <w:ind w:right="1022"/>
        <w:jc w:val="left"/>
        <w:rPr>
          <w:b w:val="0"/>
          <w:bCs w:val="0"/>
        </w:rPr>
      </w:pPr>
      <w:bookmarkStart w:name="4、关联债权债务往来" w:id="84"/>
      <w:bookmarkEnd w:id="84"/>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9"/>
        <w:rPr>
          <w:rFonts w:ascii="宋体" w:hAnsi="宋体" w:cs="宋体" w:eastAsia="宋体" w:hint="default"/>
          <w:b/>
          <w:bCs/>
          <w:sz w:val="26"/>
          <w:szCs w:val="26"/>
        </w:rPr>
      </w:pPr>
    </w:p>
    <w:p>
      <w:pPr>
        <w:pStyle w:val="BodyText"/>
        <w:spacing w:line="340" w:lineRule="auto"/>
        <w:ind w:right="787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是否存在非经营性关联债权债务往来</w:t>
      </w:r>
    </w:p>
    <w:p>
      <w:pPr>
        <w:pStyle w:val="BodyText"/>
        <w:spacing w:line="338" w:lineRule="auto" w:before="40"/>
        <w:ind w:right="949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应付关联方债务</w:t>
      </w:r>
    </w:p>
    <w:p>
      <w:pPr>
        <w:spacing w:line="240" w:lineRule="auto" w:before="6"/>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1156"/>
        <w:gridCol w:w="1038"/>
        <w:gridCol w:w="1045"/>
        <w:gridCol w:w="1044"/>
        <w:gridCol w:w="1044"/>
        <w:gridCol w:w="1044"/>
        <w:gridCol w:w="1044"/>
        <w:gridCol w:w="1044"/>
        <w:gridCol w:w="1109"/>
      </w:tblGrid>
      <w:tr>
        <w:trPr>
          <w:trHeight w:val="714" w:hRule="exact"/>
        </w:trPr>
        <w:tc>
          <w:tcPr>
            <w:tcW w:w="11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54"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58" w:right="0"/>
              <w:jc w:val="left"/>
              <w:rPr>
                <w:rFonts w:ascii="宋体" w:hAnsi="宋体" w:cs="宋体" w:eastAsia="宋体" w:hint="default"/>
                <w:sz w:val="18"/>
                <w:szCs w:val="18"/>
              </w:rPr>
            </w:pPr>
            <w:r>
              <w:rPr>
                <w:rFonts w:ascii="宋体" w:hAnsi="宋体" w:cs="宋体" w:eastAsia="宋体" w:hint="default"/>
                <w:sz w:val="18"/>
                <w:szCs w:val="18"/>
              </w:rPr>
              <w:t>形成原因</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6" w:right="0"/>
              <w:jc w:val="left"/>
              <w:rPr>
                <w:rFonts w:ascii="宋体" w:hAnsi="宋体" w:cs="宋体" w:eastAsia="宋体" w:hint="default"/>
                <w:sz w:val="18"/>
                <w:szCs w:val="18"/>
              </w:rPr>
            </w:pPr>
            <w:r>
              <w:rPr>
                <w:rFonts w:ascii="宋体" w:hAnsi="宋体" w:cs="宋体" w:eastAsia="宋体" w:hint="default"/>
                <w:sz w:val="18"/>
                <w:szCs w:val="18"/>
              </w:rPr>
              <w:t>期初余额</w:t>
            </w:r>
          </w:p>
          <w:p>
            <w:pPr>
              <w:pStyle w:val="TableParagraph"/>
              <w:spacing w:line="240" w:lineRule="auto" w:before="76"/>
              <w:ind w:left="156"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5" w:right="66"/>
              <w:jc w:val="left"/>
              <w:rPr>
                <w:rFonts w:ascii="宋体" w:hAnsi="宋体" w:cs="宋体" w:eastAsia="宋体" w:hint="default"/>
                <w:sz w:val="18"/>
                <w:szCs w:val="18"/>
              </w:rPr>
            </w:pPr>
            <w:r>
              <w:rPr>
                <w:rFonts w:ascii="宋体" w:hAnsi="宋体" w:cs="宋体" w:eastAsia="宋体" w:hint="default"/>
                <w:sz w:val="18"/>
                <w:szCs w:val="18"/>
              </w:rPr>
              <w:t>本期新增金 额（万元）</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5" w:right="66"/>
              <w:jc w:val="left"/>
              <w:rPr>
                <w:rFonts w:ascii="宋体" w:hAnsi="宋体" w:cs="宋体" w:eastAsia="宋体" w:hint="default"/>
                <w:sz w:val="18"/>
                <w:szCs w:val="18"/>
              </w:rPr>
            </w:pPr>
            <w:r>
              <w:rPr>
                <w:rFonts w:ascii="宋体" w:hAnsi="宋体" w:cs="宋体" w:eastAsia="宋体" w:hint="default"/>
                <w:sz w:val="18"/>
                <w:szCs w:val="18"/>
              </w:rPr>
              <w:t>本期归还金 额（万元）</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5" w:right="0"/>
              <w:jc w:val="left"/>
              <w:rPr>
                <w:rFonts w:ascii="宋体" w:hAnsi="宋体" w:cs="宋体" w:eastAsia="宋体" w:hint="default"/>
                <w:sz w:val="18"/>
                <w:szCs w:val="18"/>
              </w:rPr>
            </w:pPr>
            <w:r>
              <w:rPr>
                <w:rFonts w:ascii="宋体" w:hAnsi="宋体" w:cs="宋体" w:eastAsia="宋体" w:hint="default"/>
                <w:sz w:val="18"/>
                <w:szCs w:val="18"/>
              </w:rPr>
              <w:t>利率</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5" w:right="0"/>
              <w:jc w:val="left"/>
              <w:rPr>
                <w:rFonts w:ascii="宋体" w:hAnsi="宋体" w:cs="宋体" w:eastAsia="宋体" w:hint="default"/>
                <w:sz w:val="18"/>
                <w:szCs w:val="18"/>
              </w:rPr>
            </w:pPr>
            <w:r>
              <w:rPr>
                <w:rFonts w:ascii="宋体" w:hAnsi="宋体" w:cs="宋体" w:eastAsia="宋体" w:hint="default"/>
                <w:sz w:val="18"/>
                <w:szCs w:val="18"/>
              </w:rPr>
              <w:t>本期利息</w:t>
            </w:r>
          </w:p>
          <w:p>
            <w:pPr>
              <w:pStyle w:val="TableParagraph"/>
              <w:spacing w:line="240" w:lineRule="auto" w:before="76"/>
              <w:ind w:left="155"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68" w:right="21" w:hanging="346"/>
              <w:jc w:val="left"/>
              <w:rPr>
                <w:rFonts w:ascii="宋体" w:hAnsi="宋体" w:cs="宋体" w:eastAsia="宋体" w:hint="default"/>
                <w:sz w:val="18"/>
                <w:szCs w:val="18"/>
              </w:rPr>
            </w:pPr>
            <w:r>
              <w:rPr>
                <w:rFonts w:ascii="宋体" w:hAnsi="宋体" w:cs="宋体" w:eastAsia="宋体" w:hint="default"/>
                <w:spacing w:val="-5"/>
                <w:sz w:val="18"/>
                <w:szCs w:val="18"/>
              </w:rPr>
              <w:t>期末余额（万</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元）</w:t>
            </w:r>
          </w:p>
        </w:tc>
      </w:tr>
      <w:tr>
        <w:trPr>
          <w:trHeight w:val="714" w:hRule="exact"/>
        </w:trPr>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left"/>
              <w:rPr>
                <w:rFonts w:ascii="宋体" w:hAnsi="宋体" w:cs="宋体" w:eastAsia="宋体" w:hint="default"/>
                <w:sz w:val="18"/>
                <w:szCs w:val="18"/>
              </w:rPr>
            </w:pPr>
            <w:r>
              <w:rPr>
                <w:rFonts w:ascii="宋体" w:hAnsi="宋体" w:cs="宋体" w:eastAsia="宋体" w:hint="default"/>
                <w:sz w:val="18"/>
                <w:szCs w:val="18"/>
              </w:rPr>
              <w:t>中国电子科技 财务有限公司</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02"/>
              <w:jc w:val="left"/>
              <w:rPr>
                <w:rFonts w:ascii="宋体" w:hAnsi="宋体" w:cs="宋体" w:eastAsia="宋体" w:hint="default"/>
                <w:sz w:val="18"/>
                <w:szCs w:val="18"/>
              </w:rPr>
            </w:pPr>
            <w:r>
              <w:rPr>
                <w:rFonts w:ascii="宋体" w:hAnsi="宋体" w:cs="宋体" w:eastAsia="宋体" w:hint="default"/>
                <w:sz w:val="18"/>
                <w:szCs w:val="18"/>
              </w:rPr>
              <w:t>受同一最终 控制方控制</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09"/>
              <w:jc w:val="left"/>
              <w:rPr>
                <w:rFonts w:ascii="宋体" w:hAnsi="宋体" w:cs="宋体" w:eastAsia="宋体" w:hint="default"/>
                <w:sz w:val="18"/>
                <w:szCs w:val="18"/>
              </w:rPr>
            </w:pPr>
            <w:r>
              <w:rPr>
                <w:rFonts w:ascii="宋体" w:hAnsi="宋体" w:cs="宋体" w:eastAsia="宋体" w:hint="default"/>
                <w:sz w:val="18"/>
                <w:szCs w:val="18"/>
              </w:rPr>
              <w:t>应付关联方 债务</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15" w:right="0"/>
              <w:jc w:val="left"/>
              <w:rPr>
                <w:rFonts w:ascii="Times New Roman" w:hAnsi="Times New Roman" w:cs="Times New Roman" w:eastAsia="Times New Roman" w:hint="default"/>
                <w:sz w:val="18"/>
                <w:szCs w:val="18"/>
              </w:rPr>
            </w:pPr>
            <w:r>
              <w:rPr>
                <w:rFonts w:ascii="Times New Roman"/>
                <w:sz w:val="18"/>
              </w:rPr>
              <w:t>25,000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45" w:right="0"/>
              <w:jc w:val="left"/>
              <w:rPr>
                <w:rFonts w:ascii="Times New Roman" w:hAnsi="Times New Roman" w:cs="Times New Roman" w:eastAsia="Times New Roman" w:hint="default"/>
                <w:sz w:val="18"/>
                <w:szCs w:val="18"/>
              </w:rPr>
            </w:pPr>
            <w:r>
              <w:rPr>
                <w:rFonts w:ascii="Times New Roman"/>
                <w:sz w:val="18"/>
              </w:rPr>
              <w:t>4.57%</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80" w:right="0"/>
              <w:jc w:val="left"/>
              <w:rPr>
                <w:rFonts w:ascii="Times New Roman" w:hAnsi="Times New Roman" w:cs="Times New Roman" w:eastAsia="Times New Roman" w:hint="default"/>
                <w:sz w:val="18"/>
                <w:szCs w:val="18"/>
              </w:rPr>
            </w:pPr>
            <w:r>
              <w:rPr>
                <w:rFonts w:ascii="Times New Roman"/>
                <w:sz w:val="18"/>
              </w:rPr>
              <w:t>25,000</w:t>
            </w:r>
          </w:p>
        </w:tc>
      </w:tr>
    </w:tbl>
    <w:p>
      <w:pPr>
        <w:spacing w:line="240" w:lineRule="auto" w:before="3"/>
        <w:rPr>
          <w:rFonts w:ascii="宋体" w:hAnsi="宋体" w:cs="宋体" w:eastAsia="宋体" w:hint="default"/>
          <w:sz w:val="19"/>
          <w:szCs w:val="19"/>
        </w:rPr>
      </w:pPr>
    </w:p>
    <w:p>
      <w:pPr>
        <w:pStyle w:val="Heading3"/>
        <w:spacing w:line="240" w:lineRule="auto" w:before="35"/>
        <w:ind w:right="1022"/>
        <w:jc w:val="left"/>
        <w:rPr>
          <w:b w:val="0"/>
          <w:bCs w:val="0"/>
        </w:rPr>
      </w:pPr>
      <w:bookmarkStart w:name="5、其他重大关联交易" w:id="85"/>
      <w:bookmarkEnd w:id="85"/>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1022"/>
        <w:jc w:val="left"/>
      </w:pPr>
      <w:r>
        <w:rPr/>
        <w:t>公司报告期无其他重大关联交易。</w:t>
      </w:r>
    </w:p>
    <w:p>
      <w:pPr>
        <w:spacing w:line="240" w:lineRule="auto" w:before="13"/>
        <w:rPr>
          <w:rFonts w:ascii="宋体" w:hAnsi="宋体" w:cs="宋体" w:eastAsia="宋体" w:hint="default"/>
          <w:sz w:val="24"/>
          <w:szCs w:val="24"/>
        </w:rPr>
      </w:pPr>
    </w:p>
    <w:p>
      <w:pPr>
        <w:pStyle w:val="Heading2"/>
        <w:spacing w:line="240" w:lineRule="auto"/>
        <w:ind w:right="1022"/>
        <w:jc w:val="left"/>
        <w:rPr>
          <w:b w:val="0"/>
          <w:bCs w:val="0"/>
        </w:rPr>
      </w:pPr>
      <w:bookmarkStart w:name="十七、重大合同及其履行情况" w:id="86"/>
      <w:bookmarkEnd w:id="86"/>
      <w:r>
        <w:rPr>
          <w:b w:val="0"/>
          <w:bCs w:val="0"/>
        </w:rPr>
      </w:r>
      <w:r>
        <w:rPr/>
        <w:t>十七、重大合同及其履行情况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022"/>
        <w:jc w:val="left"/>
        <w:rPr>
          <w:b w:val="0"/>
          <w:bCs w:val="0"/>
        </w:rPr>
      </w:pPr>
      <w:bookmarkStart w:name="1、托管、承包、租赁事项情况" w:id="87"/>
      <w:bookmarkEnd w:id="87"/>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22"/>
        <w:jc w:val="left"/>
        <w:rPr>
          <w:b w:val="0"/>
          <w:bCs w:val="0"/>
        </w:rPr>
      </w:pPr>
      <w:bookmarkStart w:name="（1）托管情况" w:id="88"/>
      <w:bookmarkEnd w:id="88"/>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84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公司报告期不存在托管情况。</w:t>
      </w:r>
    </w:p>
    <w:p>
      <w:pPr>
        <w:spacing w:line="240" w:lineRule="auto" w:before="12"/>
        <w:rPr>
          <w:rFonts w:ascii="宋体" w:hAnsi="宋体" w:cs="宋体" w:eastAsia="宋体" w:hint="default"/>
          <w:sz w:val="20"/>
          <w:szCs w:val="20"/>
        </w:rPr>
      </w:pPr>
    </w:p>
    <w:p>
      <w:pPr>
        <w:pStyle w:val="Heading3"/>
        <w:spacing w:line="240" w:lineRule="auto"/>
        <w:ind w:right="1022"/>
        <w:jc w:val="left"/>
        <w:rPr>
          <w:b w:val="0"/>
          <w:bCs w:val="0"/>
        </w:rPr>
      </w:pPr>
      <w:bookmarkStart w:name="（2）承包情况" w:id="89"/>
      <w:bookmarkEnd w:id="89"/>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4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公司报告期不存在承包情况。</w:t>
      </w:r>
    </w:p>
    <w:p>
      <w:pPr>
        <w:spacing w:line="240" w:lineRule="auto" w:before="1"/>
        <w:rPr>
          <w:rFonts w:ascii="宋体" w:hAnsi="宋体" w:cs="宋体" w:eastAsia="宋体" w:hint="default"/>
          <w:sz w:val="21"/>
          <w:szCs w:val="21"/>
        </w:rPr>
      </w:pPr>
    </w:p>
    <w:p>
      <w:pPr>
        <w:pStyle w:val="Heading3"/>
        <w:spacing w:line="240" w:lineRule="auto"/>
        <w:ind w:right="1022"/>
        <w:jc w:val="left"/>
        <w:rPr>
          <w:b w:val="0"/>
          <w:bCs w:val="0"/>
        </w:rPr>
      </w:pPr>
      <w:bookmarkStart w:name="（3）租赁情况" w:id="90"/>
      <w:bookmarkEnd w:id="90"/>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4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公司报告期不存在租赁情况。</w:t>
      </w:r>
    </w:p>
    <w:p>
      <w:pPr>
        <w:spacing w:line="240" w:lineRule="auto" w:before="2"/>
        <w:rPr>
          <w:rFonts w:ascii="宋体" w:hAnsi="宋体" w:cs="宋体" w:eastAsia="宋体" w:hint="default"/>
          <w:sz w:val="21"/>
          <w:szCs w:val="21"/>
        </w:rPr>
      </w:pPr>
    </w:p>
    <w:p>
      <w:pPr>
        <w:pStyle w:val="Heading3"/>
        <w:spacing w:line="240" w:lineRule="auto"/>
        <w:ind w:right="1022"/>
        <w:jc w:val="left"/>
        <w:rPr>
          <w:b w:val="0"/>
          <w:bCs w:val="0"/>
        </w:rPr>
      </w:pPr>
      <w:bookmarkStart w:name="2、重大担保" w:id="91"/>
      <w:bookmarkEnd w:id="91"/>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76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公司报告期不存在担保情况。</w:t>
      </w:r>
    </w:p>
    <w:p>
      <w:pPr>
        <w:spacing w:line="240" w:lineRule="auto" w:before="12"/>
        <w:rPr>
          <w:rFonts w:ascii="宋体" w:hAnsi="宋体" w:cs="宋体" w:eastAsia="宋体" w:hint="default"/>
          <w:sz w:val="20"/>
          <w:szCs w:val="20"/>
        </w:rPr>
      </w:pPr>
    </w:p>
    <w:p>
      <w:pPr>
        <w:pStyle w:val="Heading3"/>
        <w:spacing w:line="240" w:lineRule="auto"/>
        <w:ind w:right="1022"/>
        <w:jc w:val="left"/>
        <w:rPr>
          <w:b w:val="0"/>
          <w:bCs w:val="0"/>
        </w:rPr>
      </w:pPr>
      <w:bookmarkStart w:name="3、委托他人进行现金资产管理情况" w:id="92"/>
      <w:bookmarkEnd w:id="92"/>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022"/>
        <w:jc w:val="left"/>
        <w:rPr>
          <w:b w:val="0"/>
          <w:bCs w:val="0"/>
        </w:rPr>
      </w:pPr>
      <w:bookmarkStart w:name="（1）委托理财情况" w:id="93"/>
      <w:bookmarkEnd w:id="93"/>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338" w:lineRule="auto" w:before="44"/>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报告期内委托理财概况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53" w:right="0"/>
        <w:jc w:val="left"/>
      </w:pPr>
      <w:r>
        <w:rPr/>
        <w:t>单位：万元</w:t>
      </w:r>
    </w:p>
    <w:p>
      <w:pPr>
        <w:spacing w:after="0" w:line="240" w:lineRule="auto"/>
        <w:jc w:val="left"/>
        <w:sectPr>
          <w:type w:val="continuous"/>
          <w:pgSz w:w="11910" w:h="16840"/>
          <w:pgMar w:top="1060" w:bottom="1160" w:left="980" w:right="0"/>
          <w:cols w:num="2" w:equalWidth="0">
            <w:col w:w="1955" w:space="6785"/>
            <w:col w:w="219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869"/>
        <w:gridCol w:w="1962"/>
        <w:gridCol w:w="1981"/>
        <w:gridCol w:w="1908"/>
        <w:gridCol w:w="1848"/>
      </w:tblGrid>
      <w:tr>
        <w:trPr>
          <w:trHeight w:val="402" w:hRule="exact"/>
        </w:trPr>
        <w:tc>
          <w:tcPr>
            <w:tcW w:w="1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9" w:right="0"/>
              <w:jc w:val="left"/>
              <w:rPr>
                <w:rFonts w:ascii="宋体" w:hAnsi="宋体" w:cs="宋体" w:eastAsia="宋体" w:hint="default"/>
                <w:sz w:val="18"/>
                <w:szCs w:val="18"/>
              </w:rPr>
            </w:pPr>
            <w:r>
              <w:rPr>
                <w:rFonts w:ascii="宋体" w:hAnsi="宋体" w:cs="宋体" w:eastAsia="宋体" w:hint="default"/>
                <w:sz w:val="18"/>
                <w:szCs w:val="18"/>
              </w:rPr>
              <w:t>具体类型</w:t>
            </w:r>
          </w:p>
        </w:tc>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委托理财的资金来源</w:t>
            </w:r>
          </w:p>
        </w:tc>
        <w:tc>
          <w:tcPr>
            <w:tcW w:w="19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55" w:right="0"/>
              <w:jc w:val="left"/>
              <w:rPr>
                <w:rFonts w:ascii="宋体" w:hAnsi="宋体" w:cs="宋体" w:eastAsia="宋体" w:hint="default"/>
                <w:sz w:val="18"/>
                <w:szCs w:val="18"/>
              </w:rPr>
            </w:pPr>
            <w:r>
              <w:rPr>
                <w:rFonts w:ascii="宋体" w:hAnsi="宋体" w:cs="宋体" w:eastAsia="宋体" w:hint="default"/>
                <w:sz w:val="18"/>
                <w:szCs w:val="18"/>
              </w:rPr>
              <w:t>委托理财发生额</w:t>
            </w:r>
          </w:p>
        </w:tc>
        <w:tc>
          <w:tcPr>
            <w:tcW w:w="1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未到期余额</w:t>
            </w:r>
          </w:p>
        </w:tc>
        <w:tc>
          <w:tcPr>
            <w:tcW w:w="1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9" w:right="0"/>
              <w:jc w:val="left"/>
              <w:rPr>
                <w:rFonts w:ascii="宋体" w:hAnsi="宋体" w:cs="宋体" w:eastAsia="宋体" w:hint="default"/>
                <w:sz w:val="18"/>
                <w:szCs w:val="18"/>
              </w:rPr>
            </w:pPr>
            <w:r>
              <w:rPr>
                <w:rFonts w:ascii="宋体" w:hAnsi="宋体" w:cs="宋体" w:eastAsia="宋体" w:hint="default"/>
                <w:sz w:val="18"/>
                <w:szCs w:val="18"/>
              </w:rPr>
              <w:t>逾期未收回的金额</w:t>
            </w:r>
          </w:p>
        </w:tc>
      </w:tr>
      <w:tr>
        <w:trPr>
          <w:trHeight w:val="402" w:hRule="exact"/>
        </w:trPr>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募集资金</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99,600</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99,600</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pStyle w:val="BodyText"/>
        <w:spacing w:line="240" w:lineRule="auto" w:before="51"/>
        <w:ind w:right="1022"/>
        <w:jc w:val="left"/>
      </w:pPr>
      <w:r>
        <w:rPr/>
        <w:t>单项金额重大或安全性较低、流动性较差、不保本的高风险委托理财具体情况</w:t>
      </w:r>
    </w:p>
    <w:p>
      <w:pPr>
        <w:pStyle w:val="BodyText"/>
        <w:spacing w:line="338" w:lineRule="auto" w:before="117"/>
        <w:ind w:right="57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委托理财出现预期无法收回本金或存在其他可能导致减值的情形</w:t>
      </w:r>
    </w:p>
    <w:p>
      <w:pPr>
        <w:pStyle w:val="BodyText"/>
        <w:spacing w:line="240" w:lineRule="auto" w:before="43"/>
        <w:ind w:right="10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type w:val="continuous"/>
          <w:pgSz w:w="11910" w:h="16840"/>
          <w:pgMar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1022"/>
        <w:jc w:val="left"/>
        <w:rPr>
          <w:b w:val="0"/>
          <w:bCs w:val="0"/>
        </w:rPr>
      </w:pPr>
      <w:bookmarkStart w:name="（2）委托贷款情况" w:id="94"/>
      <w:bookmarkEnd w:id="94"/>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4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公司报告期不存在委托贷款。</w:t>
      </w:r>
    </w:p>
    <w:p>
      <w:pPr>
        <w:spacing w:line="240" w:lineRule="auto" w:before="3"/>
        <w:rPr>
          <w:rFonts w:ascii="宋体" w:hAnsi="宋体" w:cs="宋体" w:eastAsia="宋体" w:hint="default"/>
          <w:sz w:val="21"/>
          <w:szCs w:val="21"/>
        </w:rPr>
      </w:pPr>
    </w:p>
    <w:p>
      <w:pPr>
        <w:pStyle w:val="Heading3"/>
        <w:spacing w:line="240" w:lineRule="auto"/>
        <w:ind w:right="1022"/>
        <w:jc w:val="left"/>
        <w:rPr>
          <w:b w:val="0"/>
          <w:bCs w:val="0"/>
        </w:rPr>
      </w:pPr>
      <w:bookmarkStart w:name="4、其他重大合同" w:id="95"/>
      <w:bookmarkEnd w:id="95"/>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80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公司报告期不存在其他重大合同。</w:t>
      </w:r>
    </w:p>
    <w:p>
      <w:pPr>
        <w:spacing w:line="240" w:lineRule="auto" w:before="3"/>
        <w:rPr>
          <w:rFonts w:ascii="宋体" w:hAnsi="宋体" w:cs="宋体" w:eastAsia="宋体" w:hint="default"/>
          <w:sz w:val="19"/>
          <w:szCs w:val="19"/>
        </w:rPr>
      </w:pPr>
    </w:p>
    <w:p>
      <w:pPr>
        <w:pStyle w:val="Heading2"/>
        <w:spacing w:line="240" w:lineRule="auto"/>
        <w:ind w:right="1022"/>
        <w:jc w:val="left"/>
        <w:rPr>
          <w:b w:val="0"/>
          <w:bCs w:val="0"/>
        </w:rPr>
      </w:pPr>
      <w:bookmarkStart w:name="十八、社会责任情况" w:id="96"/>
      <w:bookmarkEnd w:id="96"/>
      <w:r>
        <w:rPr>
          <w:b w:val="0"/>
          <w:bCs w:val="0"/>
        </w:rPr>
      </w:r>
      <w:r>
        <w:rPr/>
        <w:t>十八、社会责任情况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022"/>
        <w:jc w:val="left"/>
        <w:rPr>
          <w:b w:val="0"/>
          <w:bCs w:val="0"/>
        </w:rPr>
      </w:pPr>
      <w:bookmarkStart w:name="1、履行社会责任情况" w:id="97"/>
      <w:bookmarkEnd w:id="97"/>
      <w:r>
        <w:rPr>
          <w:b w:val="0"/>
          <w:bCs w:val="0"/>
        </w:rPr>
      </w:r>
      <w:r>
        <w:rPr>
          <w:rFonts w:ascii="Times New Roman" w:hAnsi="Times New Roman" w:cs="Times New Roman" w:eastAsia="Times New Roman" w:hint="default"/>
        </w:rPr>
        <w:t>1</w:t>
      </w:r>
      <w:r>
        <w:rPr/>
        <w:t>、履行社会责任情况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032" w:firstLine="360"/>
        <w:jc w:val="left"/>
      </w:pPr>
      <w:r>
        <w:rPr/>
        <w:t>公司积极履行企业公民应尽的义务，承担社会责任，在致力于生产经营、不断为股东创造价值的同时，充分尊重员工、 </w:t>
      </w:r>
      <w:r>
        <w:rPr>
          <w:spacing w:val="-2"/>
        </w:rPr>
        <w:t>客户、供应商及其他利益相关者的合法权益，积极与各方合作，加强沟通与交流，实现股东、员工、上下游合作者、社会等</w:t>
      </w:r>
      <w:r>
        <w:rPr>
          <w:spacing w:val="-72"/>
        </w:rPr>
        <w:t> </w:t>
      </w:r>
      <w:r>
        <w:rPr>
          <w:spacing w:val="-72"/>
        </w:rPr>
      </w:r>
      <w:r>
        <w:rPr/>
        <w:t>各方力量的均衡，推动公司持续、稳定、健康发展。</w:t>
      </w:r>
    </w:p>
    <w:p>
      <w:pPr>
        <w:pStyle w:val="BodyText"/>
        <w:spacing w:line="309" w:lineRule="auto" w:before="19"/>
        <w:ind w:right="1131" w:firstLine="360"/>
        <w:jc w:val="both"/>
      </w:pPr>
      <w:r>
        <w:rPr/>
        <w:t>（</w:t>
      </w:r>
      <w:r>
        <w:rPr>
          <w:rFonts w:ascii="Times New Roman" w:hAnsi="Times New Roman" w:cs="Times New Roman" w:eastAsia="Times New Roman" w:hint="default"/>
        </w:rPr>
        <w:t>1</w:t>
      </w:r>
      <w:r>
        <w:rPr/>
        <w:t>）公司采取积极方式回报投资者。报告期内，公司按照相关法律法规要求，及时、真实、准确、完整地在指定平台 </w:t>
      </w:r>
      <w:r>
        <w:rPr>
          <w:spacing w:val="-2"/>
        </w:rPr>
        <w:t>进行信息披露；通过接待现场调研、接听电话咨询、网上答疑、网站设置专区等多种途径与投资者进行沟通，增强了投资者</w:t>
      </w:r>
      <w:r>
        <w:rPr>
          <w:spacing w:val="-66"/>
        </w:rPr>
        <w:t> </w:t>
      </w:r>
      <w:r>
        <w:rPr>
          <w:spacing w:val="-66"/>
        </w:rPr>
      </w:r>
      <w:r>
        <w:rPr/>
        <w:t>对公司的了解。</w:t>
      </w:r>
    </w:p>
    <w:p>
      <w:pPr>
        <w:pStyle w:val="BodyText"/>
        <w:spacing w:line="309" w:lineRule="auto" w:before="24"/>
        <w:ind w:right="1129" w:firstLine="360"/>
        <w:jc w:val="both"/>
      </w:pPr>
      <w:r>
        <w:rPr/>
        <w:t>（</w:t>
      </w:r>
      <w:r>
        <w:rPr>
          <w:rFonts w:ascii="Times New Roman" w:hAnsi="Times New Roman" w:cs="Times New Roman" w:eastAsia="Times New Roman" w:hint="default"/>
        </w:rPr>
        <w:t>2</w:t>
      </w:r>
      <w:r>
        <w:rPr/>
        <w:t>）公司切实维护员工权益。报告期内，公司严格遵守《劳动法》、《劳动合同法》、《妇女权益保护法》等相关法 </w:t>
      </w:r>
      <w:r>
        <w:rPr>
          <w:spacing w:val="-2"/>
        </w:rPr>
        <w:t>律法规，尊重和维护员工权益，为员工提供安全、整洁的工作环境，注重员工知识和技能提高，关心员工身心健康，加强对</w:t>
      </w:r>
      <w:r>
        <w:rPr>
          <w:spacing w:val="-68"/>
        </w:rPr>
        <w:t> </w:t>
      </w:r>
      <w:r>
        <w:rPr>
          <w:spacing w:val="-68"/>
        </w:rPr>
      </w:r>
      <w:r>
        <w:rPr/>
        <w:t>员工的人文关怀，努力提高员工满意度，实现企业和员工的同步成长与发展。</w:t>
      </w:r>
    </w:p>
    <w:p>
      <w:pPr>
        <w:pStyle w:val="BodyText"/>
        <w:spacing w:line="300" w:lineRule="auto" w:before="24"/>
        <w:ind w:right="1131" w:firstLine="360"/>
        <w:jc w:val="both"/>
      </w:pPr>
      <w:r>
        <w:rPr/>
        <w:t>（</w:t>
      </w:r>
      <w:r>
        <w:rPr>
          <w:rFonts w:ascii="Times New Roman" w:hAnsi="Times New Roman" w:cs="Times New Roman" w:eastAsia="Times New Roman" w:hint="default"/>
        </w:rPr>
        <w:t>3</w:t>
      </w:r>
      <w:r>
        <w:rPr/>
        <w:t>）公司诚信经营，努力为客户提供合格的产品和优质的服务，建立良好的客户关系，完善售后服务，实现与用户的 双赢。</w:t>
      </w:r>
    </w:p>
    <w:p>
      <w:pPr>
        <w:pStyle w:val="BodyText"/>
        <w:spacing w:line="307" w:lineRule="auto" w:before="31"/>
        <w:ind w:right="1129" w:firstLine="360"/>
        <w:jc w:val="both"/>
      </w:pPr>
      <w:r>
        <w:rPr/>
        <w:t>（</w:t>
      </w:r>
      <w:r>
        <w:rPr>
          <w:rFonts w:ascii="Times New Roman" w:hAnsi="Times New Roman" w:cs="Times New Roman" w:eastAsia="Times New Roman" w:hint="default"/>
        </w:rPr>
        <w:t>4</w:t>
      </w:r>
      <w:r>
        <w:rPr/>
        <w:t>）公司作为国家高新技术企业，在追求经济效益的同时积极主动承担社会责任，认真履行纳税人职责，注重环境保 </w:t>
      </w:r>
      <w:r>
        <w:rPr>
          <w:spacing w:val="-2"/>
        </w:rPr>
        <w:t>护，倡导节约型和低碳型办公化，无废水、废气、废物排放。同时，公司也积极组织员工参加各类公益活动，报告期内公司</w:t>
      </w:r>
      <w:r>
        <w:rPr>
          <w:spacing w:val="-72"/>
        </w:rPr>
        <w:t> </w:t>
      </w:r>
      <w:r>
        <w:rPr>
          <w:spacing w:val="-72"/>
        </w:rPr>
      </w:r>
      <w:r>
        <w:rPr>
          <w:spacing w:val="-2"/>
        </w:rPr>
        <w:t>开展了</w:t>
      </w:r>
      <w:r>
        <w:rPr>
          <w:rFonts w:ascii="Times New Roman" w:hAnsi="Times New Roman" w:cs="Times New Roman" w:eastAsia="Times New Roman" w:hint="default"/>
          <w:spacing w:val="-2"/>
        </w:rPr>
        <w:t>“</w:t>
      </w:r>
      <w:r>
        <w:rPr>
          <w:spacing w:val="-2"/>
        </w:rPr>
        <w:t>卫青春</w:t>
      </w:r>
      <w:r>
        <w:rPr>
          <w:rFonts w:ascii="Times New Roman" w:hAnsi="Times New Roman" w:cs="Times New Roman" w:eastAsia="Times New Roman" w:hint="default"/>
          <w:spacing w:val="-2"/>
        </w:rPr>
        <w:t>.</w:t>
      </w:r>
      <w:r>
        <w:rPr>
          <w:spacing w:val="-2"/>
        </w:rPr>
        <w:t>志愿行</w:t>
      </w:r>
      <w:r>
        <w:rPr>
          <w:rFonts w:ascii="Times New Roman" w:hAnsi="Times New Roman" w:cs="Times New Roman" w:eastAsia="Times New Roman" w:hint="default"/>
          <w:spacing w:val="-2"/>
        </w:rPr>
        <w:t>——</w:t>
      </w:r>
      <w:r>
        <w:rPr>
          <w:spacing w:val="-2"/>
        </w:rPr>
        <w:t>走进敬老院</w:t>
      </w:r>
      <w:r>
        <w:rPr>
          <w:rFonts w:ascii="Times New Roman" w:hAnsi="Times New Roman" w:cs="Times New Roman" w:eastAsia="Times New Roman" w:hint="default"/>
          <w:spacing w:val="-2"/>
        </w:rPr>
        <w:t>”</w:t>
      </w:r>
      <w:r>
        <w:rPr>
          <w:spacing w:val="-2"/>
        </w:rPr>
        <w:t>志愿者活动；携手</w:t>
      </w:r>
      <w:r>
        <w:rPr>
          <w:rFonts w:ascii="Times New Roman" w:hAnsi="Times New Roman" w:cs="Times New Roman" w:eastAsia="Times New Roman" w:hint="default"/>
          <w:spacing w:val="-2"/>
        </w:rPr>
        <w:t>“</w:t>
      </w:r>
      <w:r>
        <w:rPr>
          <w:spacing w:val="-2"/>
        </w:rPr>
        <w:t>飞蚂蚁</w:t>
      </w:r>
      <w:r>
        <w:rPr>
          <w:rFonts w:ascii="Times New Roman" w:hAnsi="Times New Roman" w:cs="Times New Roman" w:eastAsia="Times New Roman" w:hint="default"/>
          <w:spacing w:val="-2"/>
        </w:rPr>
        <w:t>”</w:t>
      </w:r>
      <w:r>
        <w:rPr>
          <w:spacing w:val="-2"/>
        </w:rPr>
        <w:t>公益组织发起</w:t>
      </w:r>
      <w:r>
        <w:rPr>
          <w:rFonts w:ascii="Times New Roman" w:hAnsi="Times New Roman" w:cs="Times New Roman" w:eastAsia="Times New Roman" w:hint="default"/>
          <w:spacing w:val="-2"/>
        </w:rPr>
        <w:t>“</w:t>
      </w:r>
      <w:r>
        <w:rPr>
          <w:spacing w:val="-2"/>
        </w:rPr>
        <w:t>闲置衣物循环利用</w:t>
      </w:r>
      <w:r>
        <w:rPr>
          <w:rFonts w:ascii="Times New Roman" w:hAnsi="Times New Roman" w:cs="Times New Roman" w:eastAsia="Times New Roman" w:hint="default"/>
          <w:spacing w:val="-2"/>
        </w:rPr>
        <w:t>”</w:t>
      </w:r>
      <w:r>
        <w:rPr>
          <w:spacing w:val="-2"/>
        </w:rPr>
        <w:t>活动；继续结对帮扶叙</w:t>
      </w:r>
      <w:r>
        <w:rPr>
          <w:spacing w:val="-43"/>
        </w:rPr>
        <w:t> </w:t>
      </w:r>
      <w:r>
        <w:rPr>
          <w:spacing w:val="-43"/>
        </w:rPr>
      </w:r>
      <w:r>
        <w:rPr/>
        <w:t>永学生；积极参与</w:t>
      </w:r>
      <w:r>
        <w:rPr>
          <w:rFonts w:ascii="Times New Roman" w:hAnsi="Times New Roman" w:cs="Times New Roman" w:eastAsia="Times New Roman" w:hint="default"/>
        </w:rPr>
        <w:t>“</w:t>
      </w:r>
      <w:r>
        <w:rPr/>
        <w:t>科技志愿行</w:t>
      </w:r>
      <w:r>
        <w:rPr>
          <w:rFonts w:ascii="Times New Roman" w:hAnsi="Times New Roman" w:cs="Times New Roman" w:eastAsia="Times New Roman" w:hint="default"/>
        </w:rPr>
        <w:t>”</w:t>
      </w:r>
      <w:r>
        <w:rPr/>
        <w:t>的青年志愿者活动；参与成都市国家保密局对口干家沟扶贫脱贫工作。</w:t>
      </w:r>
    </w:p>
    <w:p>
      <w:pPr>
        <w:spacing w:line="240" w:lineRule="auto" w:before="8"/>
        <w:rPr>
          <w:rFonts w:ascii="宋体" w:hAnsi="宋体" w:cs="宋体" w:eastAsia="宋体" w:hint="default"/>
          <w:sz w:val="21"/>
          <w:szCs w:val="21"/>
        </w:rPr>
      </w:pPr>
    </w:p>
    <w:p>
      <w:pPr>
        <w:pStyle w:val="Heading3"/>
        <w:spacing w:line="240" w:lineRule="auto"/>
        <w:ind w:right="1022"/>
        <w:jc w:val="left"/>
        <w:rPr>
          <w:b w:val="0"/>
          <w:bCs w:val="0"/>
        </w:rPr>
      </w:pPr>
      <w:bookmarkStart w:name="2、履行精准扶贫社会责任情况" w:id="98"/>
      <w:bookmarkEnd w:id="98"/>
      <w:r>
        <w:rPr>
          <w:b w:val="0"/>
          <w:bCs w:val="0"/>
        </w:rPr>
      </w:r>
      <w:r>
        <w:rPr>
          <w:rFonts w:ascii="Times New Roman" w:hAnsi="Times New Roman" w:cs="Times New Roman" w:eastAsia="Times New Roman" w:hint="default"/>
        </w:rPr>
        <w:t>2</w:t>
      </w:r>
      <w:r>
        <w:rPr/>
        <w:t>、履行精准扶贫社会责任情况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514" w:right="1022"/>
        <w:jc w:val="left"/>
      </w:pPr>
      <w:r>
        <w:rPr/>
        <w:t>公司报告年度暂未开展精准扶贫工作，也暂无后续精准扶贫计划。</w:t>
      </w:r>
    </w:p>
    <w:p>
      <w:pPr>
        <w:spacing w:line="240" w:lineRule="auto" w:before="10"/>
        <w:rPr>
          <w:rFonts w:ascii="宋体" w:hAnsi="宋体" w:cs="宋体" w:eastAsia="宋体" w:hint="default"/>
          <w:sz w:val="26"/>
          <w:szCs w:val="26"/>
        </w:rPr>
      </w:pPr>
    </w:p>
    <w:p>
      <w:pPr>
        <w:pStyle w:val="Heading3"/>
        <w:spacing w:line="240" w:lineRule="auto"/>
        <w:ind w:right="1022"/>
        <w:jc w:val="left"/>
        <w:rPr>
          <w:b w:val="0"/>
          <w:bCs w:val="0"/>
        </w:rPr>
      </w:pPr>
      <w:bookmarkStart w:name="3、环境保护相关的情况" w:id="99"/>
      <w:bookmarkEnd w:id="99"/>
      <w:r>
        <w:rPr>
          <w:b w:val="0"/>
          <w:bCs w:val="0"/>
        </w:rPr>
      </w:r>
      <w:r>
        <w:rPr>
          <w:rFonts w:ascii="Times New Roman" w:hAnsi="Times New Roman" w:cs="Times New Roman" w:eastAsia="Times New Roman" w:hint="default"/>
        </w:rPr>
        <w:t>3</w:t>
      </w:r>
      <w:r>
        <w:rPr/>
        <w:t>、环境保护相关的情况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5712"/>
        <w:jc w:val="left"/>
      </w:pPr>
      <w:r>
        <w:rPr/>
        <w:t>上市公司及其子公司是否属于环境保护部门公布的重点排污单位 否</w:t>
      </w:r>
    </w:p>
    <w:p>
      <w:pPr>
        <w:pStyle w:val="BodyText"/>
        <w:spacing w:line="316" w:lineRule="auto" w:before="28"/>
        <w:ind w:right="1022" w:firstLine="360"/>
        <w:jc w:val="left"/>
      </w:pPr>
      <w:r>
        <w:rPr>
          <w:spacing w:val="-2"/>
        </w:rPr>
        <w:t>公司及子公司均不属于环境保护部门公布的重点排污单位，在日常经营过程中，注重环境保护，倡导节约型和低碳型办</w:t>
      </w:r>
      <w:r>
        <w:rPr/>
        <w:t> 公化，无废水、废气、废物排放。</w:t>
      </w:r>
    </w:p>
    <w:p>
      <w:pPr>
        <w:spacing w:line="240" w:lineRule="auto" w:before="10"/>
        <w:rPr>
          <w:rFonts w:ascii="宋体" w:hAnsi="宋体" w:cs="宋体" w:eastAsia="宋体" w:hint="default"/>
          <w:sz w:val="20"/>
          <w:szCs w:val="20"/>
        </w:rPr>
      </w:pPr>
    </w:p>
    <w:p>
      <w:pPr>
        <w:pStyle w:val="Heading2"/>
        <w:spacing w:line="240" w:lineRule="auto"/>
        <w:ind w:right="1022"/>
        <w:jc w:val="left"/>
        <w:rPr>
          <w:b w:val="0"/>
          <w:bCs w:val="0"/>
        </w:rPr>
      </w:pPr>
      <w:bookmarkStart w:name="十九、其他重大事项的说明" w:id="100"/>
      <w:bookmarkEnd w:id="100"/>
      <w:r>
        <w:rPr>
          <w:b w:val="0"/>
          <w:bCs w:val="0"/>
        </w:rPr>
      </w:r>
      <w:r>
        <w:rPr/>
        <w:t>十九、其他重大事项的说明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0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1022"/>
        <w:jc w:val="left"/>
      </w:pPr>
      <w:r>
        <w:rPr/>
        <w:t>公司报告期不存在需要说明的其他重大事项。</w:t>
      </w:r>
    </w:p>
    <w:p>
      <w:pPr>
        <w:spacing w:line="240" w:lineRule="auto" w:before="13"/>
        <w:rPr>
          <w:rFonts w:ascii="宋体" w:hAnsi="宋体" w:cs="宋体" w:eastAsia="宋体" w:hint="default"/>
          <w:sz w:val="24"/>
          <w:szCs w:val="24"/>
        </w:rPr>
      </w:pPr>
    </w:p>
    <w:p>
      <w:pPr>
        <w:pStyle w:val="Heading2"/>
        <w:spacing w:line="240" w:lineRule="auto"/>
        <w:ind w:right="1022"/>
        <w:jc w:val="left"/>
        <w:rPr>
          <w:b w:val="0"/>
          <w:bCs w:val="0"/>
        </w:rPr>
      </w:pPr>
      <w:bookmarkStart w:name="二十、公司子公司重大事项" w:id="101"/>
      <w:bookmarkEnd w:id="101"/>
      <w:r>
        <w:rPr>
          <w:b w:val="0"/>
          <w:bCs w:val="0"/>
        </w:rPr>
      </w:r>
      <w:r>
        <w:rPr/>
        <w:t>二十、公司子公司重大事项</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966" w:right="1022"/>
        <w:jc w:val="left"/>
        <w:rPr>
          <w:b w:val="0"/>
          <w:bCs w:val="0"/>
        </w:rPr>
      </w:pPr>
      <w:bookmarkStart w:name="第六节 股份变动及股东情况" w:id="102"/>
      <w:bookmarkEnd w:id="102"/>
      <w:r>
        <w:rPr>
          <w:b w:val="0"/>
          <w:bCs w:val="0"/>
        </w:rPr>
      </w:r>
      <w:bookmarkStart w:name="_bookmark4" w:id="103"/>
      <w:bookmarkEnd w:id="103"/>
      <w:r>
        <w:rPr>
          <w:b w:val="0"/>
          <w:bCs w:val="0"/>
        </w:rPr>
      </w:r>
      <w:r>
        <w:rPr/>
        <w:t>第六节</w:t>
      </w:r>
      <w:r>
        <w:rPr>
          <w:spacing w:val="-10"/>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1022"/>
        <w:jc w:val="left"/>
        <w:rPr>
          <w:b w:val="0"/>
          <w:bCs w:val="0"/>
        </w:rPr>
      </w:pPr>
      <w:bookmarkStart w:name="一、股份变动情况" w:id="104"/>
      <w:bookmarkEnd w:id="104"/>
      <w:r>
        <w:rPr>
          <w:b w:val="0"/>
          <w:bCs w:val="0"/>
        </w:rPr>
      </w:r>
      <w:r>
        <w:rPr/>
        <w:t>一、股份变动情况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22"/>
        <w:jc w:val="left"/>
        <w:rPr>
          <w:b w:val="0"/>
          <w:bCs w:val="0"/>
        </w:rPr>
      </w:pPr>
      <w:bookmarkStart w:name="1、股份变动情况" w:id="105"/>
      <w:bookmarkEnd w:id="105"/>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单位：股</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216"/>
        <w:gridCol w:w="823"/>
        <w:gridCol w:w="824"/>
        <w:gridCol w:w="822"/>
        <w:gridCol w:w="822"/>
        <w:gridCol w:w="822"/>
        <w:gridCol w:w="822"/>
        <w:gridCol w:w="822"/>
        <w:gridCol w:w="794"/>
        <w:gridCol w:w="794"/>
      </w:tblGrid>
      <w:tr>
        <w:trPr>
          <w:trHeight w:val="402"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9"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9"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3"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16" w:right="43" w:hanging="270"/>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2216" w:type="dxa"/>
            <w:vMerge/>
            <w:tcBorders>
              <w:left w:val="single" w:sz="4" w:space="0" w:color="000000"/>
              <w:bottom w:val="nil" w:sz="6" w:space="0" w:color="auto"/>
              <w:right w:val="single" w:sz="4" w:space="0" w:color="000000"/>
            </w:tcBorders>
            <w:shd w:val="clear" w:color="auto" w:fill="D2D2D2"/>
          </w:tcPr>
          <w:p>
            <w:pPr/>
          </w:p>
        </w:tc>
        <w:tc>
          <w:tcPr>
            <w:tcW w:w="8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5"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2" w:type="dxa"/>
            <w:vMerge/>
            <w:tcBorders>
              <w:left w:val="single" w:sz="4" w:space="0" w:color="000000"/>
              <w:right w:val="single" w:sz="4" w:space="0" w:color="000000"/>
            </w:tcBorders>
            <w:shd w:val="clear" w:color="auto" w:fill="D2D2D2"/>
          </w:tcPr>
          <w:p>
            <w:pP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2"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2"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3" w:type="dxa"/>
            <w:vMerge/>
            <w:tcBorders>
              <w:left w:val="single" w:sz="4" w:space="0" w:color="000000"/>
              <w:bottom w:val="nil" w:sz="6" w:space="0" w:color="auto"/>
              <w:right w:val="single" w:sz="4" w:space="0" w:color="000000"/>
            </w:tcBorders>
            <w:shd w:val="clear" w:color="auto" w:fill="D2D2D2"/>
          </w:tcPr>
          <w:p>
            <w:pPr/>
          </w:p>
        </w:tc>
        <w:tc>
          <w:tcPr>
            <w:tcW w:w="824"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216" w:type="dxa"/>
            <w:vMerge/>
            <w:tcBorders>
              <w:left w:val="single" w:sz="4" w:space="0" w:color="000000"/>
              <w:bottom w:val="single" w:sz="4" w:space="0" w:color="000000"/>
              <w:right w:val="single" w:sz="4" w:space="0" w:color="000000"/>
            </w:tcBorders>
            <w:shd w:val="clear" w:color="auto" w:fill="D2D2D2"/>
          </w:tcPr>
          <w:p>
            <w:pPr/>
          </w:p>
        </w:tc>
        <w:tc>
          <w:tcPr>
            <w:tcW w:w="823"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vMerge/>
            <w:tcBorders>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286,924,3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43</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34.23%</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left="99" w:right="0"/>
              <w:jc w:val="left"/>
              <w:rPr>
                <w:rFonts w:ascii="Times New Roman" w:hAnsi="Times New Roman" w:cs="Times New Roman" w:eastAsia="Times New Roman" w:hint="default"/>
                <w:sz w:val="18"/>
                <w:szCs w:val="18"/>
              </w:rPr>
            </w:pPr>
            <w:r>
              <w:rPr>
                <w:rFonts w:ascii="Times New Roman"/>
                <w:sz w:val="18"/>
              </w:rPr>
              <w:t>-258,490,</w:t>
            </w:r>
          </w:p>
          <w:p>
            <w:pPr>
              <w:pStyle w:val="TableParagraph"/>
              <w:spacing w:line="240" w:lineRule="auto" w:before="105"/>
              <w:ind w:left="519" w:right="0"/>
              <w:jc w:val="left"/>
              <w:rPr>
                <w:rFonts w:ascii="Times New Roman" w:hAnsi="Times New Roman" w:cs="Times New Roman" w:eastAsia="Times New Roman" w:hint="default"/>
                <w:sz w:val="18"/>
                <w:szCs w:val="18"/>
              </w:rPr>
            </w:pPr>
            <w:r>
              <w:rPr>
                <w:rFonts w:ascii="Times New Roman"/>
                <w:sz w:val="18"/>
              </w:rPr>
              <w:t>390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left="99" w:right="0"/>
              <w:jc w:val="left"/>
              <w:rPr>
                <w:rFonts w:ascii="Times New Roman" w:hAnsi="Times New Roman" w:cs="Times New Roman" w:eastAsia="Times New Roman" w:hint="default"/>
                <w:sz w:val="18"/>
                <w:szCs w:val="18"/>
              </w:rPr>
            </w:pPr>
            <w:r>
              <w:rPr>
                <w:rFonts w:ascii="Times New Roman"/>
                <w:sz w:val="18"/>
              </w:rPr>
              <w:t>-258,490,</w:t>
            </w:r>
          </w:p>
          <w:p>
            <w:pPr>
              <w:pStyle w:val="TableParagraph"/>
              <w:spacing w:line="240" w:lineRule="auto" w:before="105"/>
              <w:ind w:left="519" w:right="0"/>
              <w:jc w:val="left"/>
              <w:rPr>
                <w:rFonts w:ascii="Times New Roman" w:hAnsi="Times New Roman" w:cs="Times New Roman" w:eastAsia="Times New Roman" w:hint="default"/>
                <w:sz w:val="18"/>
                <w:szCs w:val="18"/>
              </w:rPr>
            </w:pPr>
            <w:r>
              <w:rPr>
                <w:rFonts w:ascii="Times New Roman"/>
                <w:sz w:val="18"/>
              </w:rPr>
              <w:t>390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28,433,95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6" w:right="0"/>
              <w:jc w:val="left"/>
              <w:rPr>
                <w:rFonts w:ascii="Times New Roman" w:hAnsi="Times New Roman" w:cs="Times New Roman" w:eastAsia="Times New Roman" w:hint="default"/>
                <w:sz w:val="18"/>
                <w:szCs w:val="18"/>
              </w:rPr>
            </w:pPr>
            <w:r>
              <w:rPr>
                <w:rFonts w:ascii="Times New Roman"/>
                <w:sz w:val="18"/>
              </w:rPr>
              <w:t>3.39%</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181,464,0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1" w:right="0"/>
              <w:jc w:val="left"/>
              <w:rPr>
                <w:rFonts w:ascii="Times New Roman" w:hAnsi="Times New Roman" w:cs="Times New Roman" w:eastAsia="Times New Roman" w:hint="default"/>
                <w:sz w:val="18"/>
                <w:szCs w:val="18"/>
              </w:rPr>
            </w:pPr>
            <w:r>
              <w:rPr>
                <w:rFonts w:ascii="Times New Roman"/>
                <w:sz w:val="18"/>
              </w:rPr>
              <w:t>11.26%</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left="99" w:right="0"/>
              <w:jc w:val="left"/>
              <w:rPr>
                <w:rFonts w:ascii="Times New Roman" w:hAnsi="Times New Roman" w:cs="Times New Roman" w:eastAsia="Times New Roman" w:hint="default"/>
                <w:sz w:val="18"/>
                <w:szCs w:val="18"/>
              </w:rPr>
            </w:pPr>
            <w:r>
              <w:rPr>
                <w:rFonts w:ascii="Times New Roman"/>
                <w:sz w:val="18"/>
              </w:rPr>
              <w:t>-154,299,</w:t>
            </w:r>
          </w:p>
          <w:p>
            <w:pPr>
              <w:pStyle w:val="TableParagraph"/>
              <w:spacing w:line="240" w:lineRule="auto" w:before="105"/>
              <w:ind w:left="519" w:right="0"/>
              <w:jc w:val="left"/>
              <w:rPr>
                <w:rFonts w:ascii="Times New Roman" w:hAnsi="Times New Roman" w:cs="Times New Roman" w:eastAsia="Times New Roman" w:hint="default"/>
                <w:sz w:val="18"/>
                <w:szCs w:val="18"/>
              </w:rPr>
            </w:pPr>
            <w:r>
              <w:rPr>
                <w:rFonts w:ascii="Times New Roman"/>
                <w:sz w:val="18"/>
              </w:rPr>
              <w:t>321</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left="99" w:right="0"/>
              <w:jc w:val="left"/>
              <w:rPr>
                <w:rFonts w:ascii="Times New Roman" w:hAnsi="Times New Roman" w:cs="Times New Roman" w:eastAsia="Times New Roman" w:hint="default"/>
                <w:sz w:val="18"/>
                <w:szCs w:val="18"/>
              </w:rPr>
            </w:pPr>
            <w:r>
              <w:rPr>
                <w:rFonts w:ascii="Times New Roman"/>
                <w:sz w:val="18"/>
              </w:rPr>
              <w:t>-154,299,</w:t>
            </w:r>
          </w:p>
          <w:p>
            <w:pPr>
              <w:pStyle w:val="TableParagraph"/>
              <w:spacing w:line="240" w:lineRule="auto" w:before="105"/>
              <w:ind w:left="519" w:right="0"/>
              <w:jc w:val="left"/>
              <w:rPr>
                <w:rFonts w:ascii="Times New Roman" w:hAnsi="Times New Roman" w:cs="Times New Roman" w:eastAsia="Times New Roman" w:hint="default"/>
                <w:sz w:val="18"/>
                <w:szCs w:val="18"/>
              </w:rPr>
            </w:pPr>
            <w:r>
              <w:rPr>
                <w:rFonts w:ascii="Times New Roman"/>
                <w:sz w:val="18"/>
              </w:rPr>
              <w:t>321</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27,164,68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6" w:right="0"/>
              <w:jc w:val="left"/>
              <w:rPr>
                <w:rFonts w:ascii="Times New Roman" w:hAnsi="Times New Roman" w:cs="Times New Roman" w:eastAsia="Times New Roman" w:hint="default"/>
                <w:sz w:val="18"/>
                <w:szCs w:val="18"/>
              </w:rPr>
            </w:pPr>
            <w:r>
              <w:rPr>
                <w:rFonts w:ascii="Times New Roman"/>
                <w:sz w:val="18"/>
              </w:rPr>
              <w:t>3.24%</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105,460,3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33</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12.49%</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left="99" w:right="0"/>
              <w:jc w:val="left"/>
              <w:rPr>
                <w:rFonts w:ascii="Times New Roman" w:hAnsi="Times New Roman" w:cs="Times New Roman" w:eastAsia="Times New Roman" w:hint="default"/>
                <w:sz w:val="18"/>
                <w:szCs w:val="18"/>
              </w:rPr>
            </w:pPr>
            <w:r>
              <w:rPr>
                <w:rFonts w:ascii="Times New Roman"/>
                <w:sz w:val="18"/>
              </w:rPr>
              <w:t>-104,191,</w:t>
            </w:r>
          </w:p>
          <w:p>
            <w:pPr>
              <w:pStyle w:val="TableParagraph"/>
              <w:spacing w:line="240" w:lineRule="auto" w:before="105"/>
              <w:ind w:left="519" w:right="0"/>
              <w:jc w:val="left"/>
              <w:rPr>
                <w:rFonts w:ascii="Times New Roman" w:hAnsi="Times New Roman" w:cs="Times New Roman" w:eastAsia="Times New Roman" w:hint="default"/>
                <w:sz w:val="18"/>
                <w:szCs w:val="18"/>
              </w:rPr>
            </w:pPr>
            <w:r>
              <w:rPr>
                <w:rFonts w:ascii="Times New Roman"/>
                <w:sz w:val="18"/>
              </w:rPr>
              <w:t>069</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left="99" w:right="0"/>
              <w:jc w:val="left"/>
              <w:rPr>
                <w:rFonts w:ascii="Times New Roman" w:hAnsi="Times New Roman" w:cs="Times New Roman" w:eastAsia="Times New Roman" w:hint="default"/>
                <w:sz w:val="18"/>
                <w:szCs w:val="18"/>
              </w:rPr>
            </w:pPr>
            <w:r>
              <w:rPr>
                <w:rFonts w:ascii="Times New Roman"/>
                <w:sz w:val="18"/>
              </w:rPr>
              <w:t>-104,191,</w:t>
            </w:r>
          </w:p>
          <w:p>
            <w:pPr>
              <w:pStyle w:val="TableParagraph"/>
              <w:spacing w:line="240" w:lineRule="auto" w:before="105"/>
              <w:ind w:left="519" w:right="0"/>
              <w:jc w:val="left"/>
              <w:rPr>
                <w:rFonts w:ascii="Times New Roman" w:hAnsi="Times New Roman" w:cs="Times New Roman" w:eastAsia="Times New Roman" w:hint="default"/>
                <w:sz w:val="18"/>
                <w:szCs w:val="18"/>
              </w:rPr>
            </w:pPr>
            <w:r>
              <w:rPr>
                <w:rFonts w:ascii="Times New Roman"/>
                <w:sz w:val="18"/>
              </w:rPr>
              <w:t>069</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1" w:right="0"/>
              <w:jc w:val="left"/>
              <w:rPr>
                <w:rFonts w:ascii="Times New Roman" w:hAnsi="Times New Roman" w:cs="Times New Roman" w:eastAsia="Times New Roman" w:hint="default"/>
                <w:sz w:val="18"/>
                <w:szCs w:val="18"/>
              </w:rPr>
            </w:pPr>
            <w:r>
              <w:rPr>
                <w:rFonts w:ascii="Times New Roman"/>
                <w:sz w:val="18"/>
              </w:rPr>
              <w:t>1,269,264</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6" w:right="0"/>
              <w:jc w:val="left"/>
              <w:rPr>
                <w:rFonts w:ascii="Times New Roman" w:hAnsi="Times New Roman" w:cs="Times New Roman" w:eastAsia="Times New Roman" w:hint="default"/>
                <w:sz w:val="18"/>
                <w:szCs w:val="18"/>
              </w:rPr>
            </w:pPr>
            <w:r>
              <w:rPr>
                <w:rFonts w:ascii="Times New Roman"/>
                <w:sz w:val="18"/>
              </w:rPr>
              <w:t>0.15%</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104,193,4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12.43%</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left="99" w:right="0"/>
              <w:jc w:val="left"/>
              <w:rPr>
                <w:rFonts w:ascii="Times New Roman" w:hAnsi="Times New Roman" w:cs="Times New Roman" w:eastAsia="Times New Roman" w:hint="default"/>
                <w:sz w:val="18"/>
                <w:szCs w:val="18"/>
              </w:rPr>
            </w:pPr>
            <w:r>
              <w:rPr>
                <w:rFonts w:ascii="Times New Roman"/>
                <w:sz w:val="18"/>
              </w:rPr>
              <w:t>-104,193,</w:t>
            </w:r>
          </w:p>
          <w:p>
            <w:pPr>
              <w:pStyle w:val="TableParagraph"/>
              <w:spacing w:line="240" w:lineRule="auto" w:before="105"/>
              <w:ind w:left="519" w:right="0"/>
              <w:jc w:val="left"/>
              <w:rPr>
                <w:rFonts w:ascii="Times New Roman" w:hAnsi="Times New Roman" w:cs="Times New Roman" w:eastAsia="Times New Roman" w:hint="default"/>
                <w:sz w:val="18"/>
                <w:szCs w:val="18"/>
              </w:rPr>
            </w:pPr>
            <w:r>
              <w:rPr>
                <w:rFonts w:ascii="Times New Roman"/>
                <w:sz w:val="18"/>
              </w:rPr>
              <w:t>410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left="99" w:right="0"/>
              <w:jc w:val="left"/>
              <w:rPr>
                <w:rFonts w:ascii="Times New Roman" w:hAnsi="Times New Roman" w:cs="Times New Roman" w:eastAsia="Times New Roman" w:hint="default"/>
                <w:sz w:val="18"/>
                <w:szCs w:val="18"/>
              </w:rPr>
            </w:pPr>
            <w:r>
              <w:rPr>
                <w:rFonts w:ascii="Times New Roman"/>
                <w:sz w:val="18"/>
              </w:rPr>
              <w:t>-104,193,</w:t>
            </w:r>
          </w:p>
          <w:p>
            <w:pPr>
              <w:pStyle w:val="TableParagraph"/>
              <w:spacing w:line="240" w:lineRule="auto" w:before="105"/>
              <w:ind w:left="519" w:right="0"/>
              <w:jc w:val="left"/>
              <w:rPr>
                <w:rFonts w:ascii="Times New Roman" w:hAnsi="Times New Roman" w:cs="Times New Roman" w:eastAsia="Times New Roman" w:hint="default"/>
                <w:sz w:val="18"/>
                <w:szCs w:val="18"/>
              </w:rPr>
            </w:pPr>
            <w:r>
              <w:rPr>
                <w:rFonts w:ascii="Times New Roman"/>
                <w:sz w:val="18"/>
              </w:rPr>
              <w:t>410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6" w:right="0"/>
              <w:jc w:val="left"/>
              <w:rPr>
                <w:rFonts w:ascii="Times New Roman" w:hAnsi="Times New Roman" w:cs="Times New Roman" w:eastAsia="Times New Roman" w:hint="default"/>
                <w:sz w:val="18"/>
                <w:szCs w:val="18"/>
              </w:rPr>
            </w:pPr>
            <w:r>
              <w:rPr>
                <w:rFonts w:ascii="Times New Roman"/>
                <w:sz w:val="18"/>
              </w:rPr>
              <w:t>0.00%</w:t>
            </w:r>
          </w:p>
        </w:tc>
      </w:tr>
      <w:tr>
        <w:trPr>
          <w:trHeight w:val="393"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92"/>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1,266,923</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0.15%</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5" w:right="0"/>
              <w:jc w:val="left"/>
              <w:rPr>
                <w:rFonts w:ascii="Times New Roman" w:hAnsi="Times New Roman" w:cs="Times New Roman" w:eastAsia="Times New Roman" w:hint="default"/>
                <w:sz w:val="18"/>
                <w:szCs w:val="18"/>
              </w:rPr>
            </w:pPr>
            <w:r>
              <w:rPr>
                <w:rFonts w:ascii="Times New Roman"/>
                <w:sz w:val="18"/>
              </w:rPr>
              <w:t>2,341</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5" w:right="0"/>
              <w:jc w:val="left"/>
              <w:rPr>
                <w:rFonts w:ascii="Times New Roman" w:hAnsi="Times New Roman" w:cs="Times New Roman" w:eastAsia="Times New Roman" w:hint="default"/>
                <w:sz w:val="18"/>
                <w:szCs w:val="18"/>
              </w:rPr>
            </w:pPr>
            <w:r>
              <w:rPr>
                <w:rFonts w:ascii="Times New Roman"/>
                <w:sz w:val="18"/>
              </w:rPr>
              <w:t>2,341</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1,269,264</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0.15%</w:t>
            </w: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92"/>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551,411,6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85</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65.77%</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258,490,3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258,490,3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809,902,0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75</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96.61%</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551,411,6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85</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65.77%</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258,490,3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258,490,3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809,902,0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75</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96.61%</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838,336,0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28</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100.00%</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838,336,0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28</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100.00%</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bl>
    <w:p>
      <w:pPr>
        <w:pStyle w:val="BodyText"/>
        <w:spacing w:line="240" w:lineRule="auto" w:before="51"/>
        <w:ind w:right="1022"/>
        <w:jc w:val="left"/>
      </w:pPr>
      <w:r>
        <w:rPr/>
        <w:t>股份变动的原因</w:t>
      </w:r>
    </w:p>
    <w:p>
      <w:pPr>
        <w:pStyle w:val="BodyText"/>
        <w:spacing w:line="338" w:lineRule="auto" w:before="117"/>
        <w:ind w:right="91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股份变动的批准情况</w:t>
      </w:r>
    </w:p>
    <w:p>
      <w:pPr>
        <w:pStyle w:val="BodyText"/>
        <w:spacing w:line="240" w:lineRule="auto" w:before="42"/>
        <w:ind w:right="10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1022"/>
        <w:jc w:val="left"/>
      </w:pPr>
      <w:r>
        <w:rPr/>
        <w:t>股份变动的过户情况</w:t>
      </w:r>
    </w:p>
    <w:p>
      <w:pPr>
        <w:pStyle w:val="BodyText"/>
        <w:spacing w:line="340" w:lineRule="auto" w:before="116"/>
        <w:ind w:right="877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股份回购的实施进展情况</w:t>
      </w:r>
    </w:p>
    <w:p>
      <w:pPr>
        <w:pStyle w:val="BodyText"/>
        <w:spacing w:line="338" w:lineRule="auto" w:before="40"/>
        <w:ind w:right="697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采用集中竞价方式减持回购股份的实施进展情况</w:t>
      </w:r>
    </w:p>
    <w:p>
      <w:pPr>
        <w:pStyle w:val="BodyText"/>
        <w:spacing w:line="338" w:lineRule="auto" w:before="43"/>
        <w:ind w:right="13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股份变动对最近一年和最近一期基本每股收益和稀释每股收益、归属于公司普通股股东的每股净资产等财务指标的影响</w:t>
      </w:r>
    </w:p>
    <w:p>
      <w:pPr>
        <w:pStyle w:val="BodyText"/>
        <w:spacing w:line="340" w:lineRule="auto" w:before="42"/>
        <w:ind w:right="67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公司认为必要或证券监管机构要求披露的其他内容</w:t>
      </w:r>
    </w:p>
    <w:p>
      <w:pPr>
        <w:pStyle w:val="BodyText"/>
        <w:spacing w:line="240" w:lineRule="auto" w:before="40"/>
        <w:ind w:right="10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1022"/>
        <w:jc w:val="left"/>
        <w:rPr>
          <w:b w:val="0"/>
          <w:bCs w:val="0"/>
        </w:rPr>
      </w:pPr>
      <w:bookmarkStart w:name="2、限售股份变动情况" w:id="106"/>
      <w:bookmarkEnd w:id="106"/>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10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单位：股</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10"/>
        <w:gridCol w:w="1134"/>
        <w:gridCol w:w="1134"/>
        <w:gridCol w:w="852"/>
        <w:gridCol w:w="991"/>
        <w:gridCol w:w="993"/>
        <w:gridCol w:w="2058"/>
      </w:tblGrid>
      <w:tr>
        <w:trPr>
          <w:trHeight w:val="714"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72" w:right="109" w:hanging="360"/>
              <w:jc w:val="left"/>
              <w:rPr>
                <w:rFonts w:ascii="宋体" w:hAnsi="宋体" w:cs="宋体" w:eastAsia="宋体" w:hint="default"/>
                <w:sz w:val="18"/>
                <w:szCs w:val="18"/>
              </w:rPr>
            </w:pPr>
            <w:r>
              <w:rPr>
                <w:rFonts w:ascii="宋体" w:hAnsi="宋体" w:cs="宋体" w:eastAsia="宋体" w:hint="default"/>
                <w:sz w:val="18"/>
                <w:szCs w:val="18"/>
              </w:rPr>
              <w:t>期初限售股 数</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93" w:right="111" w:hanging="181"/>
              <w:jc w:val="left"/>
              <w:rPr>
                <w:rFonts w:ascii="宋体" w:hAnsi="宋体" w:cs="宋体" w:eastAsia="宋体" w:hint="default"/>
                <w:sz w:val="18"/>
                <w:szCs w:val="18"/>
              </w:rPr>
            </w:pPr>
            <w:r>
              <w:rPr>
                <w:rFonts w:ascii="宋体" w:hAnsi="宋体" w:cs="宋体" w:eastAsia="宋体" w:hint="default"/>
                <w:sz w:val="18"/>
                <w:szCs w:val="18"/>
              </w:rPr>
              <w:t>本期解除限 售股数</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1" w:right="59"/>
              <w:jc w:val="left"/>
              <w:rPr>
                <w:rFonts w:ascii="宋体" w:hAnsi="宋体" w:cs="宋体" w:eastAsia="宋体" w:hint="default"/>
                <w:sz w:val="18"/>
                <w:szCs w:val="18"/>
              </w:rPr>
            </w:pPr>
            <w:r>
              <w:rPr>
                <w:rFonts w:ascii="宋体" w:hAnsi="宋体" w:cs="宋体" w:eastAsia="宋体" w:hint="default"/>
                <w:sz w:val="18"/>
                <w:szCs w:val="18"/>
              </w:rPr>
              <w:t>本期增加 限售股数</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00" w:right="38" w:hanging="360"/>
              <w:jc w:val="left"/>
              <w:rPr>
                <w:rFonts w:ascii="宋体" w:hAnsi="宋体" w:cs="宋体" w:eastAsia="宋体" w:hint="default"/>
                <w:sz w:val="18"/>
                <w:szCs w:val="18"/>
              </w:rPr>
            </w:pPr>
            <w:r>
              <w:rPr>
                <w:rFonts w:ascii="宋体" w:hAnsi="宋体" w:cs="宋体" w:eastAsia="宋体" w:hint="default"/>
                <w:sz w:val="18"/>
                <w:szCs w:val="18"/>
              </w:rPr>
              <w:t>期末限售股 数</w:t>
            </w:r>
          </w:p>
        </w:tc>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0"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2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83" w:right="0"/>
              <w:jc w:val="left"/>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1378"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48"/>
              <w:ind w:left="22" w:right="35"/>
              <w:jc w:val="left"/>
              <w:rPr>
                <w:rFonts w:ascii="宋体" w:hAnsi="宋体" w:cs="宋体" w:eastAsia="宋体" w:hint="default"/>
                <w:sz w:val="18"/>
                <w:szCs w:val="18"/>
              </w:rPr>
            </w:pPr>
            <w:r>
              <w:rPr>
                <w:rFonts w:ascii="宋体" w:hAnsi="宋体" w:cs="宋体" w:eastAsia="宋体" w:hint="default"/>
                <w:sz w:val="18"/>
                <w:szCs w:val="18"/>
              </w:rPr>
              <w:t>中国电子科技网络信息安全有 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124,280,858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113,414,982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10,865,876</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48"/>
              <w:ind w:left="22" w:right="58"/>
              <w:jc w:val="left"/>
              <w:rPr>
                <w:rFonts w:ascii="宋体" w:hAnsi="宋体" w:cs="宋体" w:eastAsia="宋体" w:hint="default"/>
                <w:sz w:val="18"/>
                <w:szCs w:val="18"/>
              </w:rPr>
            </w:pPr>
            <w:r>
              <w:rPr>
                <w:rFonts w:ascii="宋体" w:hAnsi="宋体" w:cs="宋体" w:eastAsia="宋体" w:hint="default"/>
                <w:sz w:val="18"/>
                <w:szCs w:val="18"/>
              </w:rPr>
              <w:t>首发后机构 类限售股</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日解除</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限售</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113,414,982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股；</w:t>
            </w:r>
          </w:p>
          <w:p>
            <w:pPr>
              <w:pStyle w:val="TableParagraph"/>
              <w:spacing w:line="240" w:lineRule="auto" w:before="102"/>
              <w:ind w:left="22"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日解除</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限售 </w:t>
            </w:r>
            <w:r>
              <w:rPr>
                <w:rFonts w:ascii="Times New Roman" w:hAnsi="Times New Roman" w:cs="Times New Roman" w:eastAsia="Times New Roman" w:hint="default"/>
                <w:sz w:val="18"/>
                <w:szCs w:val="18"/>
              </w:rPr>
              <w:t>10,865,876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p>
        </w:tc>
      </w:tr>
      <w:tr>
        <w:trPr>
          <w:trHeight w:val="1338"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建信基金－工商银行－中航信 </w:t>
            </w:r>
            <w:r>
              <w:rPr>
                <w:rFonts w:ascii="宋体" w:hAnsi="宋体" w:cs="宋体" w:eastAsia="宋体" w:hint="default"/>
                <w:spacing w:val="-8"/>
                <w:sz w:val="18"/>
                <w:szCs w:val="18"/>
              </w:rPr>
              <w:t>托－中航信托</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天启（</w:t>
            </w:r>
            <w:r>
              <w:rPr>
                <w:rFonts w:ascii="Times New Roman" w:hAnsi="Times New Roman" w:cs="Times New Roman" w:eastAsia="Times New Roman" w:hint="default"/>
                <w:spacing w:val="-8"/>
                <w:sz w:val="18"/>
                <w:szCs w:val="18"/>
              </w:rPr>
              <w:t>2016</w:t>
            </w: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293</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号建信基金定增投资集合资金 信托计划</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39,986,417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39,986,417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58"/>
              <w:jc w:val="left"/>
              <w:rPr>
                <w:rFonts w:ascii="宋体" w:hAnsi="宋体" w:cs="宋体" w:eastAsia="宋体" w:hint="default"/>
                <w:sz w:val="18"/>
                <w:szCs w:val="18"/>
              </w:rPr>
            </w:pPr>
            <w:r>
              <w:rPr>
                <w:rFonts w:ascii="宋体" w:hAnsi="宋体" w:cs="宋体" w:eastAsia="宋体" w:hint="default"/>
                <w:sz w:val="18"/>
                <w:szCs w:val="18"/>
              </w:rPr>
              <w:t>首发后机构 类限售股</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日解除限</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售 </w:t>
            </w:r>
            <w:r>
              <w:rPr>
                <w:rFonts w:ascii="Times New Roman" w:hAnsi="Times New Roman" w:cs="Times New Roman" w:eastAsia="Times New Roman" w:hint="default"/>
                <w:sz w:val="18"/>
                <w:szCs w:val="18"/>
              </w:rPr>
              <w:t>39,986,417</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股。</w:t>
            </w:r>
          </w:p>
        </w:tc>
      </w:tr>
      <w:tr>
        <w:trPr>
          <w:trHeight w:val="714"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四川发展投资有限公司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25,943,763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25,943,763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8"/>
              <w:jc w:val="left"/>
              <w:rPr>
                <w:rFonts w:ascii="宋体" w:hAnsi="宋体" w:cs="宋体" w:eastAsia="宋体" w:hint="default"/>
                <w:sz w:val="18"/>
                <w:szCs w:val="18"/>
              </w:rPr>
            </w:pPr>
            <w:r>
              <w:rPr>
                <w:rFonts w:ascii="宋体" w:hAnsi="宋体" w:cs="宋体" w:eastAsia="宋体" w:hint="default"/>
                <w:sz w:val="18"/>
                <w:szCs w:val="18"/>
              </w:rPr>
              <w:t>首发后机构 类限售股</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日解除限</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售 </w:t>
            </w:r>
            <w:r>
              <w:rPr>
                <w:rFonts w:ascii="Times New Roman" w:hAnsi="Times New Roman" w:cs="Times New Roman" w:eastAsia="Times New Roman" w:hint="default"/>
                <w:sz w:val="18"/>
                <w:szCs w:val="18"/>
              </w:rPr>
              <w:t>25,943,763</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股。</w:t>
            </w:r>
          </w:p>
        </w:tc>
      </w:tr>
      <w:tr>
        <w:trPr>
          <w:trHeight w:val="1026"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35"/>
              <w:jc w:val="both"/>
              <w:rPr>
                <w:rFonts w:ascii="宋体" w:hAnsi="宋体" w:cs="宋体" w:eastAsia="宋体" w:hint="default"/>
                <w:sz w:val="18"/>
                <w:szCs w:val="18"/>
              </w:rPr>
            </w:pPr>
            <w:r>
              <w:rPr>
                <w:rFonts w:ascii="宋体" w:hAnsi="宋体" w:cs="宋体" w:eastAsia="宋体" w:hint="default"/>
                <w:sz w:val="18"/>
                <w:szCs w:val="18"/>
              </w:rPr>
              <w:t>建信基金－兴业银行－建信群 星璀璨裕晋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号特定多个客户 资产管理计划</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18,037,352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18,037,352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58"/>
              <w:jc w:val="left"/>
              <w:rPr>
                <w:rFonts w:ascii="宋体" w:hAnsi="宋体" w:cs="宋体" w:eastAsia="宋体" w:hint="default"/>
                <w:sz w:val="18"/>
                <w:szCs w:val="18"/>
              </w:rPr>
            </w:pPr>
            <w:r>
              <w:rPr>
                <w:rFonts w:ascii="宋体" w:hAnsi="宋体" w:cs="宋体" w:eastAsia="宋体" w:hint="default"/>
                <w:sz w:val="18"/>
                <w:szCs w:val="18"/>
              </w:rPr>
              <w:t>首发后机构 类限售股</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日解除限</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18,037,352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r>
        <w:trPr>
          <w:trHeight w:val="1026"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35"/>
              <w:jc w:val="both"/>
              <w:rPr>
                <w:rFonts w:ascii="宋体" w:hAnsi="宋体" w:cs="宋体" w:eastAsia="宋体" w:hint="default"/>
                <w:sz w:val="18"/>
                <w:szCs w:val="18"/>
              </w:rPr>
            </w:pPr>
            <w:r>
              <w:rPr>
                <w:rFonts w:ascii="宋体" w:hAnsi="宋体" w:cs="宋体" w:eastAsia="宋体" w:hint="default"/>
                <w:sz w:val="18"/>
                <w:szCs w:val="18"/>
              </w:rPr>
              <w:t>东海基金－浦发银行－云南国 际信托－云南信托锦瑟年华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号集合资金信托计划</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16,298,811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16,298,811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58"/>
              <w:jc w:val="left"/>
              <w:rPr>
                <w:rFonts w:ascii="宋体" w:hAnsi="宋体" w:cs="宋体" w:eastAsia="宋体" w:hint="default"/>
                <w:sz w:val="18"/>
                <w:szCs w:val="18"/>
              </w:rPr>
            </w:pPr>
            <w:r>
              <w:rPr>
                <w:rFonts w:ascii="宋体" w:hAnsi="宋体" w:cs="宋体" w:eastAsia="宋体" w:hint="default"/>
                <w:sz w:val="18"/>
                <w:szCs w:val="18"/>
              </w:rPr>
              <w:t>首发后机构 类限售股</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日解除限</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售</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16,298,811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股。</w:t>
            </w:r>
          </w:p>
        </w:tc>
      </w:tr>
      <w:tr>
        <w:trPr>
          <w:trHeight w:val="714"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35"/>
              <w:jc w:val="left"/>
              <w:rPr>
                <w:rFonts w:ascii="宋体" w:hAnsi="宋体" w:cs="宋体" w:eastAsia="宋体" w:hint="default"/>
                <w:sz w:val="18"/>
                <w:szCs w:val="18"/>
              </w:rPr>
            </w:pPr>
            <w:r>
              <w:rPr>
                <w:rFonts w:ascii="宋体" w:hAnsi="宋体" w:cs="宋体" w:eastAsia="宋体" w:hint="default"/>
                <w:sz w:val="18"/>
                <w:szCs w:val="18"/>
              </w:rPr>
              <w:t>四川省集成电路和信息安全产 业投资基金有限公司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14,940,576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14,940,576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8"/>
              <w:jc w:val="left"/>
              <w:rPr>
                <w:rFonts w:ascii="宋体" w:hAnsi="宋体" w:cs="宋体" w:eastAsia="宋体" w:hint="default"/>
                <w:sz w:val="18"/>
                <w:szCs w:val="18"/>
              </w:rPr>
            </w:pPr>
            <w:r>
              <w:rPr>
                <w:rFonts w:ascii="宋体" w:hAnsi="宋体" w:cs="宋体" w:eastAsia="宋体" w:hint="default"/>
                <w:sz w:val="18"/>
                <w:szCs w:val="18"/>
              </w:rPr>
              <w:t>首发后机构 类限售股</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日解除限</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14,940,576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r>
        <w:trPr>
          <w:trHeight w:val="714"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35"/>
              <w:jc w:val="left"/>
              <w:rPr>
                <w:rFonts w:ascii="宋体" w:hAnsi="宋体" w:cs="宋体" w:eastAsia="宋体" w:hint="default"/>
                <w:sz w:val="18"/>
                <w:szCs w:val="18"/>
              </w:rPr>
            </w:pPr>
            <w:r>
              <w:rPr>
                <w:rFonts w:ascii="宋体" w:hAnsi="宋体" w:cs="宋体" w:eastAsia="宋体" w:hint="default"/>
                <w:sz w:val="18"/>
                <w:szCs w:val="18"/>
              </w:rPr>
              <w:t>北信瑞丰基金－招商银行－中 船投资发展有限公司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9,870,560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9,870,560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8"/>
              <w:jc w:val="left"/>
              <w:rPr>
                <w:rFonts w:ascii="宋体" w:hAnsi="宋体" w:cs="宋体" w:eastAsia="宋体" w:hint="default"/>
                <w:sz w:val="18"/>
                <w:szCs w:val="18"/>
              </w:rPr>
            </w:pPr>
            <w:r>
              <w:rPr>
                <w:rFonts w:ascii="宋体" w:hAnsi="宋体" w:cs="宋体" w:eastAsia="宋体" w:hint="default"/>
                <w:sz w:val="18"/>
                <w:szCs w:val="18"/>
              </w:rPr>
              <w:t>首发后机构 类限售股</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日解除限</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9,870,560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r>
        <w:trPr>
          <w:trHeight w:val="1026"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35"/>
              <w:jc w:val="both"/>
              <w:rPr>
                <w:rFonts w:ascii="宋体" w:hAnsi="宋体" w:cs="宋体" w:eastAsia="宋体" w:hint="default"/>
                <w:sz w:val="18"/>
                <w:szCs w:val="18"/>
              </w:rPr>
            </w:pPr>
            <w:r>
              <w:rPr>
                <w:rFonts w:ascii="宋体" w:hAnsi="宋体" w:cs="宋体" w:eastAsia="宋体" w:hint="default"/>
                <w:sz w:val="18"/>
                <w:szCs w:val="18"/>
              </w:rPr>
              <w:t>中国农业银行股份有限公司－ 财通多策略福享混合型证券投 资基金</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5,052,630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5,052,630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58"/>
              <w:jc w:val="left"/>
              <w:rPr>
                <w:rFonts w:ascii="宋体" w:hAnsi="宋体" w:cs="宋体" w:eastAsia="宋体" w:hint="default"/>
                <w:sz w:val="18"/>
                <w:szCs w:val="18"/>
              </w:rPr>
            </w:pPr>
            <w:r>
              <w:rPr>
                <w:rFonts w:ascii="宋体" w:hAnsi="宋体" w:cs="宋体" w:eastAsia="宋体" w:hint="default"/>
                <w:sz w:val="18"/>
                <w:szCs w:val="18"/>
              </w:rPr>
              <w:t>首发后机构 类限售股</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日解除限</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5,052,630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410"/>
        <w:gridCol w:w="1134"/>
        <w:gridCol w:w="1134"/>
        <w:gridCol w:w="852"/>
        <w:gridCol w:w="991"/>
        <w:gridCol w:w="993"/>
        <w:gridCol w:w="2058"/>
      </w:tblGrid>
      <w:tr>
        <w:trPr>
          <w:trHeight w:val="1026"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35"/>
              <w:jc w:val="both"/>
              <w:rPr>
                <w:rFonts w:ascii="宋体" w:hAnsi="宋体" w:cs="宋体" w:eastAsia="宋体" w:hint="default"/>
                <w:sz w:val="18"/>
                <w:szCs w:val="18"/>
              </w:rPr>
            </w:pPr>
            <w:r>
              <w:rPr>
                <w:rFonts w:ascii="宋体" w:hAnsi="宋体" w:cs="宋体" w:eastAsia="宋体" w:hint="default"/>
                <w:sz w:val="18"/>
                <w:szCs w:val="18"/>
              </w:rPr>
              <w:t>中国工商银行股份有限公司－ 财通多策略福瑞定期开放混合 型发起式证券投资基金</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3,368,421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3,368,421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58"/>
              <w:jc w:val="left"/>
              <w:rPr>
                <w:rFonts w:ascii="宋体" w:hAnsi="宋体" w:cs="宋体" w:eastAsia="宋体" w:hint="default"/>
                <w:sz w:val="18"/>
                <w:szCs w:val="18"/>
              </w:rPr>
            </w:pPr>
            <w:r>
              <w:rPr>
                <w:rFonts w:ascii="宋体" w:hAnsi="宋体" w:cs="宋体" w:eastAsia="宋体" w:hint="default"/>
                <w:sz w:val="18"/>
                <w:szCs w:val="18"/>
              </w:rPr>
              <w:t>首发后机构 类限售股</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日解除限</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3,368,421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r>
        <w:trPr>
          <w:trHeight w:val="714"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其他首发后限售股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11,579,219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11,579,219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8"/>
              <w:jc w:val="left"/>
              <w:rPr>
                <w:rFonts w:ascii="宋体" w:hAnsi="宋体" w:cs="宋体" w:eastAsia="宋体" w:hint="default"/>
                <w:sz w:val="18"/>
                <w:szCs w:val="18"/>
              </w:rPr>
            </w:pPr>
            <w:r>
              <w:rPr>
                <w:rFonts w:ascii="宋体" w:hAnsi="宋体" w:cs="宋体" w:eastAsia="宋体" w:hint="default"/>
                <w:sz w:val="18"/>
                <w:szCs w:val="18"/>
              </w:rPr>
              <w:t>首发后机构 类限售股</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日解除限</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售</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11,579,219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股。</w:t>
            </w:r>
          </w:p>
        </w:tc>
      </w:tr>
      <w:tr>
        <w:trPr>
          <w:trHeight w:val="714"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高管限售股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1,266,923</w:t>
            </w:r>
          </w:p>
        </w:tc>
        <w:tc>
          <w:tcPr>
            <w:tcW w:w="1134"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2,341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1,269,264</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5"/>
              <w:jc w:val="center"/>
              <w:rPr>
                <w:rFonts w:ascii="宋体" w:hAnsi="宋体" w:cs="宋体" w:eastAsia="宋体" w:hint="default"/>
                <w:sz w:val="18"/>
                <w:szCs w:val="18"/>
              </w:rPr>
            </w:pPr>
            <w:r>
              <w:rPr>
                <w:rFonts w:ascii="宋体" w:hAnsi="宋体" w:cs="宋体" w:eastAsia="宋体" w:hint="default"/>
                <w:sz w:val="18"/>
                <w:szCs w:val="18"/>
              </w:rPr>
              <w:t>高管锁定股</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3"/>
              <w:jc w:val="left"/>
              <w:rPr>
                <w:rFonts w:ascii="宋体" w:hAnsi="宋体" w:cs="宋体" w:eastAsia="宋体" w:hint="default"/>
                <w:sz w:val="18"/>
                <w:szCs w:val="18"/>
              </w:rPr>
            </w:pPr>
            <w:r>
              <w:rPr>
                <w:rFonts w:ascii="宋体" w:hAnsi="宋体" w:cs="宋体" w:eastAsia="宋体" w:hint="default"/>
                <w:sz w:val="18"/>
                <w:szCs w:val="18"/>
              </w:rPr>
              <w:t>按法律法规和相关承诺解 锁。</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270,625,530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258,492,731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2,341</w:t>
            </w:r>
          </w:p>
        </w:tc>
        <w:tc>
          <w:tcPr>
            <w:tcW w:w="991"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12,135,140</w:t>
            </w:r>
          </w:p>
        </w:tc>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8"/>
          <w:szCs w:val="18"/>
        </w:rPr>
      </w:pPr>
    </w:p>
    <w:p>
      <w:pPr>
        <w:pStyle w:val="Heading2"/>
        <w:spacing w:line="240" w:lineRule="auto" w:before="26"/>
        <w:ind w:right="1022"/>
        <w:jc w:val="left"/>
        <w:rPr>
          <w:b w:val="0"/>
          <w:bCs w:val="0"/>
        </w:rPr>
      </w:pPr>
      <w:bookmarkStart w:name="二、证券发行与上市情况" w:id="107"/>
      <w:bookmarkEnd w:id="107"/>
      <w:r>
        <w:rPr>
          <w:b w:val="0"/>
          <w:bCs w:val="0"/>
        </w:rPr>
      </w:r>
      <w:r>
        <w:rPr/>
        <w:t>二、证券发行与上市情况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22"/>
        <w:jc w:val="left"/>
        <w:rPr>
          <w:b w:val="0"/>
          <w:bCs w:val="0"/>
        </w:rPr>
      </w:pPr>
      <w:bookmarkStart w:name="1、报告期内证券发行（不含优先股）情况" w:id="108"/>
      <w:bookmarkEnd w:id="108"/>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1022"/>
        <w:jc w:val="left"/>
        <w:rPr>
          <w:b w:val="0"/>
          <w:bCs w:val="0"/>
        </w:rPr>
      </w:pPr>
      <w:bookmarkStart w:name="2、公司股份总数及股东结构的变动、公司资产和负债结构的变动情况说明" w:id="109"/>
      <w:bookmarkEnd w:id="109"/>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1022"/>
        <w:jc w:val="left"/>
        <w:rPr>
          <w:b w:val="0"/>
          <w:bCs w:val="0"/>
        </w:rPr>
      </w:pPr>
      <w:bookmarkStart w:name="3、现存的内部职工股情况" w:id="110"/>
      <w:bookmarkEnd w:id="110"/>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1022"/>
        <w:jc w:val="left"/>
        <w:rPr>
          <w:b w:val="0"/>
          <w:bCs w:val="0"/>
        </w:rPr>
      </w:pPr>
      <w:bookmarkStart w:name="三、股东和实际控制人情况" w:id="111"/>
      <w:bookmarkEnd w:id="111"/>
      <w:r>
        <w:rPr>
          <w:b w:val="0"/>
          <w:bCs w:val="0"/>
        </w:rPr>
      </w:r>
      <w:r>
        <w:rPr/>
        <w:t>三、股东和实际控制人情况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022"/>
        <w:jc w:val="left"/>
        <w:rPr>
          <w:b w:val="0"/>
          <w:bCs w:val="0"/>
        </w:rPr>
      </w:pPr>
      <w:bookmarkStart w:name="1、公司股东数量及持股情况" w:id="112"/>
      <w:bookmarkEnd w:id="112"/>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单位：股</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184"/>
        <w:gridCol w:w="1211"/>
        <w:gridCol w:w="996"/>
        <w:gridCol w:w="175"/>
        <w:gridCol w:w="677"/>
        <w:gridCol w:w="542"/>
        <w:gridCol w:w="451"/>
        <w:gridCol w:w="722"/>
        <w:gridCol w:w="270"/>
        <w:gridCol w:w="972"/>
        <w:gridCol w:w="1014"/>
        <w:gridCol w:w="138"/>
        <w:gridCol w:w="712"/>
        <w:gridCol w:w="498"/>
      </w:tblGrid>
      <w:tr>
        <w:trPr>
          <w:trHeight w:val="161" w:hRule="exact"/>
        </w:trPr>
        <w:tc>
          <w:tcPr>
            <w:tcW w:w="1184" w:type="dxa"/>
            <w:vMerge w:val="restart"/>
            <w:tcBorders>
              <w:top w:val="single" w:sz="4" w:space="0" w:color="000000"/>
              <w:left w:val="single" w:sz="4" w:space="0" w:color="000000"/>
              <w:right w:val="single" w:sz="4" w:space="0" w:color="000000"/>
            </w:tcBorders>
            <w:shd w:val="clear" w:color="auto" w:fill="D2D2D2"/>
          </w:tcPr>
          <w:p>
            <w:pPr/>
          </w:p>
        </w:tc>
        <w:tc>
          <w:tcPr>
            <w:tcW w:w="1211" w:type="dxa"/>
            <w:vMerge w:val="restart"/>
            <w:tcBorders>
              <w:top w:val="single" w:sz="4" w:space="0" w:color="000000"/>
              <w:left w:val="single" w:sz="10"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661" w:right="0"/>
              <w:jc w:val="left"/>
              <w:rPr>
                <w:rFonts w:ascii="Times New Roman" w:hAnsi="Times New Roman" w:cs="Times New Roman" w:eastAsia="Times New Roman" w:hint="default"/>
                <w:sz w:val="18"/>
                <w:szCs w:val="18"/>
              </w:rPr>
            </w:pPr>
            <w:r>
              <w:rPr>
                <w:rFonts w:ascii="Times New Roman"/>
                <w:sz w:val="18"/>
              </w:rPr>
              <w:t>28,150</w:t>
            </w:r>
          </w:p>
        </w:tc>
        <w:tc>
          <w:tcPr>
            <w:tcW w:w="1170" w:type="dxa"/>
            <w:gridSpan w:val="2"/>
            <w:vMerge w:val="restart"/>
            <w:tcBorders>
              <w:top w:val="single" w:sz="4" w:space="0" w:color="000000"/>
              <w:left w:val="single" w:sz="4" w:space="0" w:color="000000"/>
              <w:right w:val="single" w:sz="4" w:space="0" w:color="000000"/>
            </w:tcBorders>
            <w:shd w:val="clear" w:color="auto" w:fill="D2D2D2"/>
          </w:tcPr>
          <w:p>
            <w:pPr/>
          </w:p>
        </w:tc>
        <w:tc>
          <w:tcPr>
            <w:tcW w:w="1218"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672" w:right="0"/>
              <w:jc w:val="left"/>
              <w:rPr>
                <w:rFonts w:ascii="Times New Roman" w:hAnsi="Times New Roman" w:cs="Times New Roman" w:eastAsia="Times New Roman" w:hint="default"/>
                <w:sz w:val="18"/>
                <w:szCs w:val="18"/>
              </w:rPr>
            </w:pPr>
            <w:r>
              <w:rPr>
                <w:rFonts w:ascii="Times New Roman"/>
                <w:sz w:val="18"/>
              </w:rPr>
              <w:t>22,496</w:t>
            </w:r>
          </w:p>
        </w:tc>
        <w:tc>
          <w:tcPr>
            <w:tcW w:w="1173"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241"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46"/>
              <w:jc w:val="right"/>
              <w:rPr>
                <w:rFonts w:ascii="Times New Roman" w:hAnsi="Times New Roman" w:cs="Times New Roman" w:eastAsia="Times New Roman" w:hint="default"/>
                <w:sz w:val="18"/>
                <w:szCs w:val="18"/>
              </w:rPr>
            </w:pPr>
            <w:r>
              <w:rPr>
                <w:rFonts w:ascii="Times New Roman"/>
                <w:sz w:val="18"/>
              </w:rPr>
              <w:t>0</w:t>
            </w:r>
          </w:p>
        </w:tc>
        <w:tc>
          <w:tcPr>
            <w:tcW w:w="115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0" w:right="8"/>
              <w:jc w:val="left"/>
              <w:rPr>
                <w:rFonts w:ascii="宋体" w:hAnsi="宋体" w:cs="宋体" w:eastAsia="宋体" w:hint="default"/>
                <w:sz w:val="18"/>
                <w:szCs w:val="18"/>
              </w:rPr>
            </w:pPr>
            <w:r>
              <w:rPr>
                <w:rFonts w:ascii="宋体" w:hAnsi="宋体" w:cs="宋体" w:eastAsia="宋体" w:hint="default"/>
                <w:sz w:val="18"/>
                <w:szCs w:val="18"/>
              </w:rPr>
              <w:t>年度报告披露 日前上一月末 表决权恢复的 优先股股东总 </w:t>
            </w:r>
            <w:r>
              <w:rPr>
                <w:rFonts w:ascii="宋体" w:hAnsi="宋体" w:cs="宋体" w:eastAsia="宋体" w:hint="default"/>
                <w:spacing w:val="-18"/>
                <w:sz w:val="18"/>
                <w:szCs w:val="18"/>
              </w:rPr>
              <w:t>数（如有）（参</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210" w:type="dxa"/>
            <w:gridSpan w:val="2"/>
            <w:vMerge w:val="restart"/>
            <w:tcBorders>
              <w:top w:val="single" w:sz="4" w:space="0" w:color="000000"/>
              <w:left w:val="single" w:sz="13"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56" w:hRule="exact"/>
        </w:trPr>
        <w:tc>
          <w:tcPr>
            <w:tcW w:w="1184" w:type="dxa"/>
            <w:vMerge/>
            <w:tcBorders>
              <w:left w:val="single" w:sz="4" w:space="0" w:color="000000"/>
              <w:right w:val="single" w:sz="4" w:space="0" w:color="000000"/>
            </w:tcBorders>
            <w:shd w:val="clear" w:color="auto" w:fill="D2D2D2"/>
          </w:tcPr>
          <w:p>
            <w:pPr/>
          </w:p>
        </w:tc>
        <w:tc>
          <w:tcPr>
            <w:tcW w:w="1211" w:type="dxa"/>
            <w:vMerge/>
            <w:tcBorders>
              <w:left w:val="single" w:sz="10" w:space="0" w:color="D2D2D2"/>
              <w:right w:val="single" w:sz="9" w:space="0" w:color="D2D2D2"/>
            </w:tcBorders>
          </w:tcPr>
          <w:p>
            <w:pPr/>
          </w:p>
        </w:tc>
        <w:tc>
          <w:tcPr>
            <w:tcW w:w="1170" w:type="dxa"/>
            <w:gridSpan w:val="2"/>
            <w:vMerge/>
            <w:tcBorders>
              <w:left w:val="single" w:sz="4" w:space="0" w:color="000000"/>
              <w:bottom w:val="nil" w:sz="6" w:space="0" w:color="auto"/>
              <w:right w:val="single" w:sz="4" w:space="0" w:color="000000"/>
            </w:tcBorders>
            <w:shd w:val="clear" w:color="auto" w:fill="D2D2D2"/>
          </w:tcPr>
          <w:p>
            <w:pPr/>
          </w:p>
        </w:tc>
        <w:tc>
          <w:tcPr>
            <w:tcW w:w="1218" w:type="dxa"/>
            <w:gridSpan w:val="2"/>
            <w:vMerge/>
            <w:tcBorders>
              <w:left w:val="single" w:sz="9" w:space="0" w:color="D2D2D2"/>
              <w:right w:val="single" w:sz="9" w:space="0" w:color="D2D2D2"/>
            </w:tcBorders>
          </w:tcPr>
          <w:p>
            <w:pPr/>
          </w:p>
        </w:tc>
        <w:tc>
          <w:tcPr>
            <w:tcW w:w="1173"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1" w:right="71"/>
              <w:jc w:val="both"/>
              <w:rPr>
                <w:rFonts w:ascii="宋体" w:hAnsi="宋体" w:cs="宋体" w:eastAsia="宋体" w:hint="default"/>
                <w:sz w:val="18"/>
                <w:szCs w:val="18"/>
              </w:rPr>
            </w:pPr>
            <w:r>
              <w:rPr>
                <w:rFonts w:ascii="宋体" w:hAnsi="宋体" w:cs="宋体" w:eastAsia="宋体" w:hint="default"/>
                <w:sz w:val="18"/>
                <w:szCs w:val="18"/>
              </w:rPr>
              <w:t>报告期末表决 权恢复的优先 股股东总数</w:t>
            </w:r>
          </w:p>
          <w:p>
            <w:pPr>
              <w:pStyle w:val="TableParagraph"/>
              <w:spacing w:line="319" w:lineRule="auto" w:before="19"/>
              <w:ind w:left="11" w:right="10"/>
              <w:jc w:val="both"/>
              <w:rPr>
                <w:rFonts w:ascii="宋体" w:hAnsi="宋体" w:cs="宋体" w:eastAsia="宋体" w:hint="default"/>
                <w:sz w:val="18"/>
                <w:szCs w:val="18"/>
              </w:rPr>
            </w:pPr>
            <w:r>
              <w:rPr>
                <w:rFonts w:ascii="宋体" w:hAnsi="宋体" w:cs="宋体" w:eastAsia="宋体" w:hint="default"/>
                <w:spacing w:val="-18"/>
                <w:sz w:val="18"/>
                <w:szCs w:val="18"/>
              </w:rPr>
              <w:t>（如有）（参见</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241" w:type="dxa"/>
            <w:gridSpan w:val="2"/>
            <w:vMerge/>
            <w:tcBorders>
              <w:left w:val="single" w:sz="9" w:space="0" w:color="D2D2D2"/>
              <w:right w:val="single" w:sz="9" w:space="0" w:color="D2D2D2"/>
            </w:tcBorders>
          </w:tcPr>
          <w:p>
            <w:pPr/>
          </w:p>
        </w:tc>
        <w:tc>
          <w:tcPr>
            <w:tcW w:w="1152" w:type="dxa"/>
            <w:gridSpan w:val="2"/>
            <w:vMerge/>
            <w:tcBorders>
              <w:left w:val="single" w:sz="4" w:space="0" w:color="000000"/>
              <w:right w:val="single" w:sz="4" w:space="0" w:color="000000"/>
            </w:tcBorders>
            <w:shd w:val="clear" w:color="auto" w:fill="D2D2D2"/>
          </w:tcPr>
          <w:p>
            <w:pPr/>
          </w:p>
        </w:tc>
        <w:tc>
          <w:tcPr>
            <w:tcW w:w="1210" w:type="dxa"/>
            <w:gridSpan w:val="2"/>
            <w:vMerge/>
            <w:tcBorders>
              <w:left w:val="single" w:sz="13" w:space="0" w:color="D2D2D2"/>
              <w:right w:val="single" w:sz="4" w:space="0" w:color="000000"/>
            </w:tcBorders>
          </w:tcPr>
          <w:p>
            <w:pPr/>
          </w:p>
        </w:tc>
      </w:tr>
      <w:tr>
        <w:trPr>
          <w:trHeight w:val="312"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211" w:type="dxa"/>
            <w:vMerge/>
            <w:tcBorders>
              <w:left w:val="single" w:sz="10" w:space="0" w:color="D2D2D2"/>
              <w:right w:val="single" w:sz="9" w:space="0" w:color="D2D2D2"/>
            </w:tcBorders>
          </w:tcPr>
          <w:p>
            <w:pPr/>
          </w:p>
        </w:tc>
        <w:tc>
          <w:tcPr>
            <w:tcW w:w="1170"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8" w:right="70"/>
              <w:jc w:val="both"/>
              <w:rPr>
                <w:rFonts w:ascii="宋体" w:hAnsi="宋体" w:cs="宋体" w:eastAsia="宋体" w:hint="default"/>
                <w:sz w:val="18"/>
                <w:szCs w:val="18"/>
              </w:rPr>
            </w:pPr>
            <w:r>
              <w:rPr>
                <w:rFonts w:ascii="宋体" w:hAnsi="宋体" w:cs="宋体" w:eastAsia="宋体" w:hint="default"/>
                <w:sz w:val="18"/>
                <w:szCs w:val="18"/>
              </w:rPr>
              <w:t>年度报告披露 日前上一月末 普通股股东总 数</w:t>
            </w:r>
          </w:p>
        </w:tc>
        <w:tc>
          <w:tcPr>
            <w:tcW w:w="1218" w:type="dxa"/>
            <w:gridSpan w:val="2"/>
            <w:vMerge/>
            <w:tcBorders>
              <w:left w:val="single" w:sz="9" w:space="0" w:color="D2D2D2"/>
              <w:right w:val="single" w:sz="9"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41" w:type="dxa"/>
            <w:gridSpan w:val="2"/>
            <w:vMerge/>
            <w:tcBorders>
              <w:left w:val="single" w:sz="9" w:space="0" w:color="D2D2D2"/>
              <w:right w:val="single" w:sz="9" w:space="0" w:color="D2D2D2"/>
            </w:tcBorders>
          </w:tcPr>
          <w:p>
            <w:pPr/>
          </w:p>
        </w:tc>
        <w:tc>
          <w:tcPr>
            <w:tcW w:w="1152" w:type="dxa"/>
            <w:gridSpan w:val="2"/>
            <w:vMerge/>
            <w:tcBorders>
              <w:left w:val="single" w:sz="4" w:space="0" w:color="000000"/>
              <w:right w:val="single" w:sz="4" w:space="0" w:color="000000"/>
            </w:tcBorders>
            <w:shd w:val="clear" w:color="auto" w:fill="D2D2D2"/>
          </w:tcPr>
          <w:p>
            <w:pPr/>
          </w:p>
        </w:tc>
        <w:tc>
          <w:tcPr>
            <w:tcW w:w="1210" w:type="dxa"/>
            <w:gridSpan w:val="2"/>
            <w:vMerge/>
            <w:tcBorders>
              <w:left w:val="single" w:sz="13" w:space="0" w:color="D2D2D2"/>
              <w:right w:val="single" w:sz="4" w:space="0" w:color="000000"/>
            </w:tcBorders>
          </w:tcPr>
          <w:p>
            <w:pPr/>
          </w:p>
        </w:tc>
      </w:tr>
      <w:tr>
        <w:trPr>
          <w:trHeight w:val="704" w:hRule="exact"/>
        </w:trPr>
        <w:tc>
          <w:tcPr>
            <w:tcW w:w="1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11" w:right="81"/>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1211" w:type="dxa"/>
            <w:vMerge/>
            <w:tcBorders>
              <w:left w:val="single" w:sz="10" w:space="0" w:color="D2D2D2"/>
              <w:right w:val="single" w:sz="9" w:space="0" w:color="D2D2D2"/>
            </w:tcBorders>
          </w:tcPr>
          <w:p>
            <w:pPr/>
          </w:p>
        </w:tc>
        <w:tc>
          <w:tcPr>
            <w:tcW w:w="1170" w:type="dxa"/>
            <w:gridSpan w:val="2"/>
            <w:vMerge/>
            <w:tcBorders>
              <w:left w:val="single" w:sz="4" w:space="0" w:color="000000"/>
              <w:right w:val="single" w:sz="4" w:space="0" w:color="000000"/>
            </w:tcBorders>
            <w:shd w:val="clear" w:color="auto" w:fill="D2D2D2"/>
          </w:tcPr>
          <w:p>
            <w:pPr/>
          </w:p>
        </w:tc>
        <w:tc>
          <w:tcPr>
            <w:tcW w:w="1218" w:type="dxa"/>
            <w:gridSpan w:val="2"/>
            <w:vMerge/>
            <w:tcBorders>
              <w:left w:val="single" w:sz="9" w:space="0" w:color="D2D2D2"/>
              <w:right w:val="single" w:sz="9"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41" w:type="dxa"/>
            <w:gridSpan w:val="2"/>
            <w:vMerge/>
            <w:tcBorders>
              <w:left w:val="single" w:sz="9" w:space="0" w:color="D2D2D2"/>
              <w:right w:val="single" w:sz="9" w:space="0" w:color="D2D2D2"/>
            </w:tcBorders>
          </w:tcPr>
          <w:p>
            <w:pPr/>
          </w:p>
        </w:tc>
        <w:tc>
          <w:tcPr>
            <w:tcW w:w="1152" w:type="dxa"/>
            <w:gridSpan w:val="2"/>
            <w:vMerge/>
            <w:tcBorders>
              <w:left w:val="single" w:sz="4" w:space="0" w:color="000000"/>
              <w:right w:val="single" w:sz="4" w:space="0" w:color="000000"/>
            </w:tcBorders>
            <w:shd w:val="clear" w:color="auto" w:fill="D2D2D2"/>
          </w:tcPr>
          <w:p>
            <w:pPr/>
          </w:p>
        </w:tc>
        <w:tc>
          <w:tcPr>
            <w:tcW w:w="1210" w:type="dxa"/>
            <w:gridSpan w:val="2"/>
            <w:vMerge/>
            <w:tcBorders>
              <w:left w:val="single" w:sz="13" w:space="0" w:color="D2D2D2"/>
              <w:right w:val="single" w:sz="4" w:space="0" w:color="000000"/>
            </w:tcBorders>
          </w:tcPr>
          <w:p>
            <w:pPr/>
          </w:p>
        </w:tc>
      </w:tr>
      <w:tr>
        <w:trPr>
          <w:trHeight w:val="312"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211" w:type="dxa"/>
            <w:vMerge/>
            <w:tcBorders>
              <w:left w:val="single" w:sz="10" w:space="0" w:color="D2D2D2"/>
              <w:right w:val="single" w:sz="9" w:space="0" w:color="D2D2D2"/>
            </w:tcBorders>
          </w:tcPr>
          <w:p>
            <w:pPr/>
          </w:p>
        </w:tc>
        <w:tc>
          <w:tcPr>
            <w:tcW w:w="1170" w:type="dxa"/>
            <w:gridSpan w:val="2"/>
            <w:vMerge/>
            <w:tcBorders>
              <w:left w:val="single" w:sz="4" w:space="0" w:color="000000"/>
              <w:bottom w:val="nil" w:sz="6" w:space="0" w:color="auto"/>
              <w:right w:val="single" w:sz="4" w:space="0" w:color="000000"/>
            </w:tcBorders>
            <w:shd w:val="clear" w:color="auto" w:fill="D2D2D2"/>
          </w:tcPr>
          <w:p>
            <w:pPr/>
          </w:p>
        </w:tc>
        <w:tc>
          <w:tcPr>
            <w:tcW w:w="1218" w:type="dxa"/>
            <w:gridSpan w:val="2"/>
            <w:vMerge/>
            <w:tcBorders>
              <w:left w:val="single" w:sz="9" w:space="0" w:color="D2D2D2"/>
              <w:right w:val="single" w:sz="9"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41" w:type="dxa"/>
            <w:gridSpan w:val="2"/>
            <w:vMerge/>
            <w:tcBorders>
              <w:left w:val="single" w:sz="9" w:space="0" w:color="D2D2D2"/>
              <w:right w:val="single" w:sz="9" w:space="0" w:color="D2D2D2"/>
            </w:tcBorders>
          </w:tcPr>
          <w:p>
            <w:pPr/>
          </w:p>
        </w:tc>
        <w:tc>
          <w:tcPr>
            <w:tcW w:w="1152" w:type="dxa"/>
            <w:gridSpan w:val="2"/>
            <w:vMerge/>
            <w:tcBorders>
              <w:left w:val="single" w:sz="4" w:space="0" w:color="000000"/>
              <w:right w:val="single" w:sz="4" w:space="0" w:color="000000"/>
            </w:tcBorders>
            <w:shd w:val="clear" w:color="auto" w:fill="D2D2D2"/>
          </w:tcPr>
          <w:p>
            <w:pPr/>
          </w:p>
        </w:tc>
        <w:tc>
          <w:tcPr>
            <w:tcW w:w="1210" w:type="dxa"/>
            <w:gridSpan w:val="2"/>
            <w:vMerge/>
            <w:tcBorders>
              <w:left w:val="single" w:sz="13" w:space="0" w:color="D2D2D2"/>
              <w:right w:val="single" w:sz="4" w:space="0" w:color="000000"/>
            </w:tcBorders>
          </w:tcPr>
          <w:p>
            <w:pPr/>
          </w:p>
        </w:tc>
      </w:tr>
      <w:tr>
        <w:trPr>
          <w:trHeight w:val="156" w:hRule="exact"/>
        </w:trPr>
        <w:tc>
          <w:tcPr>
            <w:tcW w:w="1184" w:type="dxa"/>
            <w:vMerge/>
            <w:tcBorders>
              <w:left w:val="single" w:sz="4" w:space="0" w:color="000000"/>
              <w:right w:val="single" w:sz="4" w:space="0" w:color="000000"/>
            </w:tcBorders>
            <w:shd w:val="clear" w:color="auto" w:fill="D2D2D2"/>
          </w:tcPr>
          <w:p>
            <w:pPr/>
          </w:p>
        </w:tc>
        <w:tc>
          <w:tcPr>
            <w:tcW w:w="1211" w:type="dxa"/>
            <w:vMerge/>
            <w:tcBorders>
              <w:left w:val="single" w:sz="10" w:space="0" w:color="D2D2D2"/>
              <w:right w:val="single" w:sz="9" w:space="0" w:color="D2D2D2"/>
            </w:tcBorders>
          </w:tcPr>
          <w:p>
            <w:pPr/>
          </w:p>
        </w:tc>
        <w:tc>
          <w:tcPr>
            <w:tcW w:w="1170" w:type="dxa"/>
            <w:gridSpan w:val="2"/>
            <w:vMerge w:val="restart"/>
            <w:tcBorders>
              <w:top w:val="nil" w:sz="6" w:space="0" w:color="auto"/>
              <w:left w:val="single" w:sz="4" w:space="0" w:color="000000"/>
              <w:right w:val="single" w:sz="4" w:space="0" w:color="000000"/>
            </w:tcBorders>
            <w:shd w:val="clear" w:color="auto" w:fill="D2D2D2"/>
          </w:tcPr>
          <w:p>
            <w:pPr/>
          </w:p>
        </w:tc>
        <w:tc>
          <w:tcPr>
            <w:tcW w:w="1218" w:type="dxa"/>
            <w:gridSpan w:val="2"/>
            <w:vMerge/>
            <w:tcBorders>
              <w:left w:val="single" w:sz="9" w:space="0" w:color="D2D2D2"/>
              <w:right w:val="single" w:sz="9" w:space="0" w:color="D2D2D2"/>
            </w:tcBorders>
          </w:tcPr>
          <w:p>
            <w:pPr/>
          </w:p>
        </w:tc>
        <w:tc>
          <w:tcPr>
            <w:tcW w:w="1173" w:type="dxa"/>
            <w:gridSpan w:val="2"/>
            <w:vMerge/>
            <w:tcBorders>
              <w:left w:val="single" w:sz="4" w:space="0" w:color="000000"/>
              <w:bottom w:val="nil" w:sz="6" w:space="0" w:color="auto"/>
              <w:right w:val="single" w:sz="4" w:space="0" w:color="000000"/>
            </w:tcBorders>
            <w:shd w:val="clear" w:color="auto" w:fill="D2D2D2"/>
          </w:tcPr>
          <w:p>
            <w:pPr/>
          </w:p>
        </w:tc>
        <w:tc>
          <w:tcPr>
            <w:tcW w:w="1241" w:type="dxa"/>
            <w:gridSpan w:val="2"/>
            <w:vMerge/>
            <w:tcBorders>
              <w:left w:val="single" w:sz="9" w:space="0" w:color="D2D2D2"/>
              <w:right w:val="single" w:sz="9" w:space="0" w:color="D2D2D2"/>
            </w:tcBorders>
          </w:tcPr>
          <w:p>
            <w:pPr/>
          </w:p>
        </w:tc>
        <w:tc>
          <w:tcPr>
            <w:tcW w:w="1152" w:type="dxa"/>
            <w:gridSpan w:val="2"/>
            <w:vMerge/>
            <w:tcBorders>
              <w:left w:val="single" w:sz="4" w:space="0" w:color="000000"/>
              <w:right w:val="single" w:sz="4" w:space="0" w:color="000000"/>
            </w:tcBorders>
            <w:shd w:val="clear" w:color="auto" w:fill="D2D2D2"/>
          </w:tcPr>
          <w:p>
            <w:pPr/>
          </w:p>
        </w:tc>
        <w:tc>
          <w:tcPr>
            <w:tcW w:w="1210" w:type="dxa"/>
            <w:gridSpan w:val="2"/>
            <w:vMerge/>
            <w:tcBorders>
              <w:left w:val="single" w:sz="13" w:space="0" w:color="D2D2D2"/>
              <w:right w:val="single" w:sz="4" w:space="0" w:color="000000"/>
            </w:tcBorders>
          </w:tcPr>
          <w:p>
            <w:pPr/>
          </w:p>
        </w:tc>
      </w:tr>
      <w:tr>
        <w:trPr>
          <w:trHeight w:val="166" w:hRule="exact"/>
        </w:trPr>
        <w:tc>
          <w:tcPr>
            <w:tcW w:w="1184" w:type="dxa"/>
            <w:vMerge/>
            <w:tcBorders>
              <w:left w:val="single" w:sz="4" w:space="0" w:color="000000"/>
              <w:bottom w:val="single" w:sz="4" w:space="0" w:color="000000"/>
              <w:right w:val="single" w:sz="4" w:space="0" w:color="000000"/>
            </w:tcBorders>
            <w:shd w:val="clear" w:color="auto" w:fill="D2D2D2"/>
          </w:tcPr>
          <w:p>
            <w:pPr/>
          </w:p>
        </w:tc>
        <w:tc>
          <w:tcPr>
            <w:tcW w:w="1211" w:type="dxa"/>
            <w:vMerge/>
            <w:tcBorders>
              <w:left w:val="single" w:sz="10" w:space="0" w:color="D2D2D2"/>
              <w:bottom w:val="single" w:sz="4" w:space="0" w:color="000000"/>
              <w:right w:val="single" w:sz="9" w:space="0" w:color="D2D2D2"/>
            </w:tcBorders>
          </w:tcPr>
          <w:p>
            <w:pPr/>
          </w:p>
        </w:tc>
        <w:tc>
          <w:tcPr>
            <w:tcW w:w="1170" w:type="dxa"/>
            <w:gridSpan w:val="2"/>
            <w:vMerge/>
            <w:tcBorders>
              <w:left w:val="single" w:sz="4" w:space="0" w:color="000000"/>
              <w:bottom w:val="single" w:sz="4" w:space="0" w:color="000000"/>
              <w:right w:val="single" w:sz="4" w:space="0" w:color="000000"/>
            </w:tcBorders>
            <w:shd w:val="clear" w:color="auto" w:fill="D2D2D2"/>
          </w:tcPr>
          <w:p>
            <w:pPr/>
          </w:p>
        </w:tc>
        <w:tc>
          <w:tcPr>
            <w:tcW w:w="1218" w:type="dxa"/>
            <w:gridSpan w:val="2"/>
            <w:vMerge/>
            <w:tcBorders>
              <w:left w:val="single" w:sz="9" w:space="0" w:color="D2D2D2"/>
              <w:bottom w:val="single" w:sz="4" w:space="0" w:color="000000"/>
              <w:right w:val="single" w:sz="9" w:space="0" w:color="D2D2D2"/>
            </w:tcBorders>
          </w:tcPr>
          <w:p>
            <w:pPr/>
          </w:p>
        </w:tc>
        <w:tc>
          <w:tcPr>
            <w:tcW w:w="1173"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241" w:type="dxa"/>
            <w:gridSpan w:val="2"/>
            <w:vMerge/>
            <w:tcBorders>
              <w:left w:val="single" w:sz="9" w:space="0" w:color="D2D2D2"/>
              <w:bottom w:val="single" w:sz="4" w:space="0" w:color="000000"/>
              <w:right w:val="single" w:sz="9" w:space="0" w:color="D2D2D2"/>
            </w:tcBorders>
          </w:tcPr>
          <w:p>
            <w:pPr/>
          </w:p>
        </w:tc>
        <w:tc>
          <w:tcPr>
            <w:tcW w:w="1152" w:type="dxa"/>
            <w:gridSpan w:val="2"/>
            <w:vMerge/>
            <w:tcBorders>
              <w:left w:val="single" w:sz="4" w:space="0" w:color="000000"/>
              <w:bottom w:val="single" w:sz="4" w:space="0" w:color="000000"/>
              <w:right w:val="single" w:sz="4" w:space="0" w:color="000000"/>
            </w:tcBorders>
            <w:shd w:val="clear" w:color="auto" w:fill="D2D2D2"/>
          </w:tcPr>
          <w:p>
            <w:pPr/>
          </w:p>
        </w:tc>
        <w:tc>
          <w:tcPr>
            <w:tcW w:w="1210" w:type="dxa"/>
            <w:gridSpan w:val="2"/>
            <w:vMerge/>
            <w:tcBorders>
              <w:left w:val="single" w:sz="13" w:space="0" w:color="D2D2D2"/>
              <w:bottom w:val="single" w:sz="4" w:space="0" w:color="000000"/>
              <w:right w:val="single" w:sz="4" w:space="0" w:color="000000"/>
            </w:tcBorders>
          </w:tcPr>
          <w:p>
            <w:pPr/>
          </w:p>
        </w:tc>
      </w:tr>
      <w:tr>
        <w:trPr>
          <w:trHeight w:val="392" w:hRule="exact"/>
        </w:trPr>
        <w:tc>
          <w:tcPr>
            <w:tcW w:w="9560" w:type="dxa"/>
            <w:gridSpan w:val="1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051"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66" w:hRule="exact"/>
        </w:trPr>
        <w:tc>
          <w:tcPr>
            <w:tcW w:w="2395" w:type="dxa"/>
            <w:gridSpan w:val="2"/>
            <w:vMerge w:val="restart"/>
            <w:tcBorders>
              <w:top w:val="single" w:sz="4" w:space="0" w:color="000000"/>
              <w:left w:val="single" w:sz="4" w:space="0" w:color="000000"/>
              <w:right w:val="single" w:sz="4" w:space="0" w:color="000000"/>
            </w:tcBorders>
            <w:shd w:val="clear" w:color="auto" w:fill="D2D2D2"/>
          </w:tcPr>
          <w:p>
            <w:pPr/>
          </w:p>
        </w:tc>
        <w:tc>
          <w:tcPr>
            <w:tcW w:w="996" w:type="dxa"/>
            <w:vMerge w:val="restart"/>
            <w:tcBorders>
              <w:top w:val="single" w:sz="4" w:space="0" w:color="000000"/>
              <w:left w:val="single" w:sz="4" w:space="0" w:color="000000"/>
              <w:right w:val="single" w:sz="4" w:space="0" w:color="000000"/>
            </w:tcBorders>
            <w:shd w:val="clear" w:color="auto" w:fill="D2D2D2"/>
          </w:tcPr>
          <w:p>
            <w:pPr/>
          </w:p>
        </w:tc>
        <w:tc>
          <w:tcPr>
            <w:tcW w:w="851" w:type="dxa"/>
            <w:gridSpan w:val="2"/>
            <w:vMerge w:val="restart"/>
            <w:tcBorders>
              <w:top w:val="single" w:sz="4" w:space="0" w:color="000000"/>
              <w:left w:val="single" w:sz="4" w:space="0" w:color="000000"/>
              <w:right w:val="single" w:sz="4" w:space="0" w:color="000000"/>
            </w:tcBorders>
            <w:shd w:val="clear" w:color="auto" w:fill="D2D2D2"/>
          </w:tcPr>
          <w:p>
            <w:pPr/>
          </w:p>
        </w:tc>
        <w:tc>
          <w:tcPr>
            <w:tcW w:w="992"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992"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97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40" w:right="19"/>
              <w:jc w:val="center"/>
              <w:rPr>
                <w:rFonts w:ascii="宋体" w:hAnsi="宋体" w:cs="宋体" w:eastAsia="宋体" w:hint="default"/>
                <w:sz w:val="18"/>
                <w:szCs w:val="18"/>
              </w:rPr>
            </w:pPr>
            <w:r>
              <w:rPr>
                <w:rFonts w:ascii="宋体" w:hAnsi="宋体" w:cs="宋体" w:eastAsia="宋体" w:hint="default"/>
                <w:sz w:val="18"/>
                <w:szCs w:val="18"/>
              </w:rPr>
              <w:t>持有有限售 条件的股份 数量</w:t>
            </w:r>
          </w:p>
        </w:tc>
        <w:tc>
          <w:tcPr>
            <w:tcW w:w="101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62" w:right="41"/>
              <w:jc w:val="center"/>
              <w:rPr>
                <w:rFonts w:ascii="宋体" w:hAnsi="宋体" w:cs="宋体" w:eastAsia="宋体" w:hint="default"/>
                <w:sz w:val="18"/>
                <w:szCs w:val="18"/>
              </w:rPr>
            </w:pPr>
            <w:r>
              <w:rPr>
                <w:rFonts w:ascii="宋体" w:hAnsi="宋体" w:cs="宋体" w:eastAsia="宋体" w:hint="default"/>
                <w:sz w:val="18"/>
                <w:szCs w:val="18"/>
              </w:rPr>
              <w:t>持有无限售 条件的股份 数量</w:t>
            </w:r>
          </w:p>
        </w:tc>
        <w:tc>
          <w:tcPr>
            <w:tcW w:w="1348"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8"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2395" w:type="dxa"/>
            <w:gridSpan w:val="2"/>
            <w:vMerge/>
            <w:tcBorders>
              <w:left w:val="single" w:sz="4" w:space="0" w:color="000000"/>
              <w:bottom w:val="nil" w:sz="6" w:space="0" w:color="auto"/>
              <w:right w:val="single" w:sz="4" w:space="0" w:color="000000"/>
            </w:tcBorders>
            <w:shd w:val="clear" w:color="auto" w:fill="D2D2D2"/>
          </w:tcPr>
          <w:p>
            <w:pPr/>
          </w:p>
        </w:tc>
        <w:tc>
          <w:tcPr>
            <w:tcW w:w="996" w:type="dxa"/>
            <w:vMerge/>
            <w:tcBorders>
              <w:left w:val="single" w:sz="4" w:space="0" w:color="000000"/>
              <w:bottom w:val="nil" w:sz="6" w:space="0" w:color="auto"/>
              <w:right w:val="single" w:sz="4" w:space="0" w:color="000000"/>
            </w:tcBorders>
            <w:shd w:val="clear" w:color="auto" w:fill="D2D2D2"/>
          </w:tcPr>
          <w:p>
            <w:pPr/>
          </w:p>
        </w:tc>
        <w:tc>
          <w:tcPr>
            <w:tcW w:w="851" w:type="dxa"/>
            <w:gridSpan w:val="2"/>
            <w:vMerge/>
            <w:tcBorders>
              <w:left w:val="single" w:sz="4" w:space="0" w:color="000000"/>
              <w:bottom w:val="nil" w:sz="6" w:space="0" w:color="auto"/>
              <w:right w:val="single" w:sz="4" w:space="0" w:color="000000"/>
            </w:tcBorders>
            <w:shd w:val="clear" w:color="auto" w:fill="D2D2D2"/>
          </w:tcPr>
          <w:p>
            <w:pPr/>
          </w:p>
        </w:tc>
        <w:tc>
          <w:tcPr>
            <w:tcW w:w="99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20" w:right="41" w:hanging="180"/>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99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40" w:right="41"/>
              <w:jc w:val="left"/>
              <w:rPr>
                <w:rFonts w:ascii="宋体" w:hAnsi="宋体" w:cs="宋体" w:eastAsia="宋体" w:hint="default"/>
                <w:sz w:val="18"/>
                <w:szCs w:val="18"/>
              </w:rPr>
            </w:pPr>
            <w:r>
              <w:rPr>
                <w:rFonts w:ascii="宋体" w:hAnsi="宋体" w:cs="宋体" w:eastAsia="宋体" w:hint="default"/>
                <w:sz w:val="18"/>
                <w:szCs w:val="18"/>
              </w:rPr>
              <w:t>报告期内增 减变动情况</w:t>
            </w:r>
          </w:p>
        </w:tc>
        <w:tc>
          <w:tcPr>
            <w:tcW w:w="972" w:type="dxa"/>
            <w:vMerge/>
            <w:tcBorders>
              <w:left w:val="single" w:sz="4" w:space="0" w:color="000000"/>
              <w:right w:val="single" w:sz="4" w:space="0" w:color="000000"/>
            </w:tcBorders>
            <w:shd w:val="clear" w:color="auto" w:fill="D2D2D2"/>
          </w:tcPr>
          <w:p>
            <w:pPr/>
          </w:p>
        </w:tc>
        <w:tc>
          <w:tcPr>
            <w:tcW w:w="1014" w:type="dxa"/>
            <w:vMerge/>
            <w:tcBorders>
              <w:left w:val="single" w:sz="4" w:space="0" w:color="000000"/>
              <w:right w:val="single" w:sz="4" w:space="0" w:color="000000"/>
            </w:tcBorders>
            <w:shd w:val="clear" w:color="auto" w:fill="D2D2D2"/>
          </w:tcPr>
          <w:p>
            <w:pPr/>
          </w:p>
        </w:tc>
        <w:tc>
          <w:tcPr>
            <w:tcW w:w="1348" w:type="dxa"/>
            <w:gridSpan w:val="3"/>
            <w:vMerge/>
            <w:tcBorders>
              <w:left w:val="single" w:sz="4" w:space="0" w:color="000000"/>
              <w:right w:val="single" w:sz="4" w:space="0" w:color="000000"/>
            </w:tcBorders>
            <w:shd w:val="clear" w:color="auto" w:fill="D2D2D2"/>
          </w:tcPr>
          <w:p>
            <w:pPr/>
          </w:p>
        </w:tc>
      </w:tr>
      <w:tr>
        <w:trPr>
          <w:trHeight w:val="141" w:hRule="exact"/>
        </w:trPr>
        <w:tc>
          <w:tcPr>
            <w:tcW w:w="2395"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9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35"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851"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0"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992" w:type="dxa"/>
            <w:gridSpan w:val="2"/>
            <w:vMerge/>
            <w:tcBorders>
              <w:left w:val="single" w:sz="4" w:space="0" w:color="000000"/>
              <w:right w:val="single" w:sz="4" w:space="0" w:color="000000"/>
            </w:tcBorders>
            <w:shd w:val="clear" w:color="auto" w:fill="D2D2D2"/>
          </w:tcPr>
          <w:p>
            <w:pPr/>
          </w:p>
        </w:tc>
        <w:tc>
          <w:tcPr>
            <w:tcW w:w="992" w:type="dxa"/>
            <w:gridSpan w:val="2"/>
            <w:vMerge/>
            <w:tcBorders>
              <w:left w:val="single" w:sz="4" w:space="0" w:color="000000"/>
              <w:right w:val="single" w:sz="4" w:space="0" w:color="000000"/>
            </w:tcBorders>
            <w:shd w:val="clear" w:color="auto" w:fill="D2D2D2"/>
          </w:tcPr>
          <w:p>
            <w:pPr/>
          </w:p>
        </w:tc>
        <w:tc>
          <w:tcPr>
            <w:tcW w:w="972" w:type="dxa"/>
            <w:vMerge/>
            <w:tcBorders>
              <w:left w:val="single" w:sz="4" w:space="0" w:color="000000"/>
              <w:right w:val="single" w:sz="4" w:space="0" w:color="000000"/>
            </w:tcBorders>
            <w:shd w:val="clear" w:color="auto" w:fill="D2D2D2"/>
          </w:tcPr>
          <w:p>
            <w:pPr/>
          </w:p>
        </w:tc>
        <w:tc>
          <w:tcPr>
            <w:tcW w:w="1014" w:type="dxa"/>
            <w:vMerge/>
            <w:tcBorders>
              <w:left w:val="single" w:sz="4" w:space="0" w:color="000000"/>
              <w:right w:val="single" w:sz="4" w:space="0" w:color="000000"/>
            </w:tcBorders>
            <w:shd w:val="clear" w:color="auto" w:fill="D2D2D2"/>
          </w:tcPr>
          <w:p>
            <w:pPr/>
          </w:p>
        </w:tc>
        <w:tc>
          <w:tcPr>
            <w:tcW w:w="1348" w:type="dxa"/>
            <w:gridSpan w:val="3"/>
            <w:vMerge/>
            <w:tcBorders>
              <w:left w:val="single" w:sz="4" w:space="0" w:color="000000"/>
              <w:bottom w:val="single" w:sz="4" w:space="0" w:color="000000"/>
              <w:right w:val="single" w:sz="4" w:space="0" w:color="000000"/>
            </w:tcBorders>
            <w:shd w:val="clear" w:color="auto" w:fill="D2D2D2"/>
          </w:tcPr>
          <w:p>
            <w:pPr/>
          </w:p>
        </w:tc>
      </w:tr>
      <w:tr>
        <w:trPr>
          <w:trHeight w:val="251" w:hRule="exact"/>
        </w:trPr>
        <w:tc>
          <w:tcPr>
            <w:tcW w:w="2395" w:type="dxa"/>
            <w:gridSpan w:val="2"/>
            <w:vMerge/>
            <w:tcBorders>
              <w:left w:val="single" w:sz="4" w:space="0" w:color="000000"/>
              <w:bottom w:val="nil" w:sz="6" w:space="0" w:color="auto"/>
              <w:right w:val="single" w:sz="4" w:space="0" w:color="000000"/>
            </w:tcBorders>
            <w:shd w:val="clear" w:color="auto" w:fill="D2D2D2"/>
          </w:tcPr>
          <w:p>
            <w:pPr/>
          </w:p>
        </w:tc>
        <w:tc>
          <w:tcPr>
            <w:tcW w:w="996" w:type="dxa"/>
            <w:vMerge/>
            <w:tcBorders>
              <w:left w:val="single" w:sz="4" w:space="0" w:color="000000"/>
              <w:bottom w:val="nil" w:sz="6" w:space="0" w:color="auto"/>
              <w:right w:val="single" w:sz="4" w:space="0" w:color="000000"/>
            </w:tcBorders>
            <w:shd w:val="clear" w:color="auto" w:fill="D2D2D2"/>
          </w:tcPr>
          <w:p>
            <w:pPr/>
          </w:p>
        </w:tc>
        <w:tc>
          <w:tcPr>
            <w:tcW w:w="851" w:type="dxa"/>
            <w:gridSpan w:val="2"/>
            <w:vMerge/>
            <w:tcBorders>
              <w:left w:val="single" w:sz="4" w:space="0" w:color="000000"/>
              <w:bottom w:val="nil" w:sz="6" w:space="0" w:color="auto"/>
              <w:right w:val="single" w:sz="4" w:space="0" w:color="000000"/>
            </w:tcBorders>
            <w:shd w:val="clear" w:color="auto" w:fill="D2D2D2"/>
          </w:tcPr>
          <w:p>
            <w:pPr/>
          </w:p>
        </w:tc>
        <w:tc>
          <w:tcPr>
            <w:tcW w:w="992" w:type="dxa"/>
            <w:gridSpan w:val="2"/>
            <w:vMerge/>
            <w:tcBorders>
              <w:left w:val="single" w:sz="4" w:space="0" w:color="000000"/>
              <w:right w:val="single" w:sz="4" w:space="0" w:color="000000"/>
            </w:tcBorders>
            <w:shd w:val="clear" w:color="auto" w:fill="D2D2D2"/>
          </w:tcPr>
          <w:p>
            <w:pPr/>
          </w:p>
        </w:tc>
        <w:tc>
          <w:tcPr>
            <w:tcW w:w="992" w:type="dxa"/>
            <w:gridSpan w:val="2"/>
            <w:vMerge/>
            <w:tcBorders>
              <w:left w:val="single" w:sz="4" w:space="0" w:color="000000"/>
              <w:right w:val="single" w:sz="4" w:space="0" w:color="000000"/>
            </w:tcBorders>
            <w:shd w:val="clear" w:color="auto" w:fill="D2D2D2"/>
          </w:tcPr>
          <w:p>
            <w:pPr/>
          </w:p>
        </w:tc>
        <w:tc>
          <w:tcPr>
            <w:tcW w:w="972" w:type="dxa"/>
            <w:vMerge/>
            <w:tcBorders>
              <w:left w:val="single" w:sz="4" w:space="0" w:color="000000"/>
              <w:right w:val="single" w:sz="4" w:space="0" w:color="000000"/>
            </w:tcBorders>
            <w:shd w:val="clear" w:color="auto" w:fill="D2D2D2"/>
          </w:tcPr>
          <w:p>
            <w:pPr/>
          </w:p>
        </w:tc>
        <w:tc>
          <w:tcPr>
            <w:tcW w:w="1014" w:type="dxa"/>
            <w:vMerge/>
            <w:tcBorders>
              <w:left w:val="single" w:sz="4" w:space="0" w:color="000000"/>
              <w:right w:val="single" w:sz="4" w:space="0" w:color="000000"/>
            </w:tcBorders>
            <w:shd w:val="clear" w:color="auto" w:fill="D2D2D2"/>
          </w:tcPr>
          <w:p>
            <w:pPr/>
          </w:p>
        </w:tc>
        <w:tc>
          <w:tcPr>
            <w:tcW w:w="85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left="59"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4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left="63"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2395" w:type="dxa"/>
            <w:gridSpan w:val="2"/>
            <w:vMerge w:val="restart"/>
            <w:tcBorders>
              <w:top w:val="nil" w:sz="6" w:space="0" w:color="auto"/>
              <w:left w:val="single" w:sz="4" w:space="0" w:color="000000"/>
              <w:right w:val="single" w:sz="4" w:space="0" w:color="000000"/>
            </w:tcBorders>
            <w:shd w:val="clear" w:color="auto" w:fill="D2D2D2"/>
          </w:tcPr>
          <w:p>
            <w:pPr/>
          </w:p>
        </w:tc>
        <w:tc>
          <w:tcPr>
            <w:tcW w:w="996" w:type="dxa"/>
            <w:vMerge w:val="restart"/>
            <w:tcBorders>
              <w:top w:val="nil" w:sz="6" w:space="0" w:color="auto"/>
              <w:left w:val="single" w:sz="4" w:space="0" w:color="000000"/>
              <w:right w:val="single" w:sz="4" w:space="0" w:color="000000"/>
            </w:tcBorders>
            <w:shd w:val="clear" w:color="auto" w:fill="D2D2D2"/>
          </w:tcPr>
          <w:p>
            <w:pPr/>
          </w:p>
        </w:tc>
        <w:tc>
          <w:tcPr>
            <w:tcW w:w="851" w:type="dxa"/>
            <w:gridSpan w:val="2"/>
            <w:vMerge w:val="restart"/>
            <w:tcBorders>
              <w:top w:val="nil" w:sz="6" w:space="0" w:color="auto"/>
              <w:left w:val="single" w:sz="4" w:space="0" w:color="000000"/>
              <w:right w:val="single" w:sz="4" w:space="0" w:color="000000"/>
            </w:tcBorders>
            <w:shd w:val="clear" w:color="auto" w:fill="D2D2D2"/>
          </w:tcPr>
          <w:p>
            <w:pPr/>
          </w:p>
        </w:tc>
        <w:tc>
          <w:tcPr>
            <w:tcW w:w="992" w:type="dxa"/>
            <w:gridSpan w:val="2"/>
            <w:vMerge/>
            <w:tcBorders>
              <w:left w:val="single" w:sz="4" w:space="0" w:color="000000"/>
              <w:bottom w:val="nil" w:sz="6" w:space="0" w:color="auto"/>
              <w:right w:val="single" w:sz="4" w:space="0" w:color="000000"/>
            </w:tcBorders>
            <w:shd w:val="clear" w:color="auto" w:fill="D2D2D2"/>
          </w:tcPr>
          <w:p>
            <w:pPr/>
          </w:p>
        </w:tc>
        <w:tc>
          <w:tcPr>
            <w:tcW w:w="992" w:type="dxa"/>
            <w:gridSpan w:val="2"/>
            <w:vMerge/>
            <w:tcBorders>
              <w:left w:val="single" w:sz="4" w:space="0" w:color="000000"/>
              <w:bottom w:val="nil" w:sz="6" w:space="0" w:color="auto"/>
              <w:right w:val="single" w:sz="4" w:space="0" w:color="000000"/>
            </w:tcBorders>
            <w:shd w:val="clear" w:color="auto" w:fill="D2D2D2"/>
          </w:tcPr>
          <w:p>
            <w:pPr/>
          </w:p>
        </w:tc>
        <w:tc>
          <w:tcPr>
            <w:tcW w:w="972" w:type="dxa"/>
            <w:vMerge/>
            <w:tcBorders>
              <w:left w:val="single" w:sz="4" w:space="0" w:color="000000"/>
              <w:right w:val="single" w:sz="4" w:space="0" w:color="000000"/>
            </w:tcBorders>
            <w:shd w:val="clear" w:color="auto" w:fill="D2D2D2"/>
          </w:tcPr>
          <w:p>
            <w:pPr/>
          </w:p>
        </w:tc>
        <w:tc>
          <w:tcPr>
            <w:tcW w:w="1014" w:type="dxa"/>
            <w:vMerge/>
            <w:tcBorders>
              <w:left w:val="single" w:sz="4" w:space="0" w:color="000000"/>
              <w:right w:val="single" w:sz="4" w:space="0" w:color="000000"/>
            </w:tcBorders>
            <w:shd w:val="clear" w:color="auto" w:fill="D2D2D2"/>
          </w:tcPr>
          <w:p>
            <w:pPr/>
          </w:p>
        </w:tc>
        <w:tc>
          <w:tcPr>
            <w:tcW w:w="850" w:type="dxa"/>
            <w:gridSpan w:val="2"/>
            <w:vMerge/>
            <w:tcBorders>
              <w:left w:val="single" w:sz="4" w:space="0" w:color="000000"/>
              <w:right w:val="single" w:sz="4" w:space="0" w:color="000000"/>
            </w:tcBorders>
            <w:shd w:val="clear" w:color="auto" w:fill="D2D2D2"/>
          </w:tcPr>
          <w:p>
            <w:pPr/>
          </w:p>
        </w:tc>
        <w:tc>
          <w:tcPr>
            <w:tcW w:w="498" w:type="dxa"/>
            <w:vMerge/>
            <w:tcBorders>
              <w:left w:val="single" w:sz="4" w:space="0" w:color="000000"/>
              <w:right w:val="single" w:sz="4" w:space="0" w:color="000000"/>
            </w:tcBorders>
            <w:shd w:val="clear" w:color="auto" w:fill="D2D2D2"/>
          </w:tcPr>
          <w:p>
            <w:pPr/>
          </w:p>
        </w:tc>
      </w:tr>
      <w:tr>
        <w:trPr>
          <w:trHeight w:val="161" w:hRule="exact"/>
        </w:trPr>
        <w:tc>
          <w:tcPr>
            <w:tcW w:w="2395" w:type="dxa"/>
            <w:gridSpan w:val="2"/>
            <w:vMerge/>
            <w:tcBorders>
              <w:left w:val="single" w:sz="4" w:space="0" w:color="000000"/>
              <w:bottom w:val="single" w:sz="4" w:space="0" w:color="000000"/>
              <w:right w:val="single" w:sz="4" w:space="0" w:color="000000"/>
            </w:tcBorders>
            <w:shd w:val="clear" w:color="auto" w:fill="D2D2D2"/>
          </w:tcPr>
          <w:p>
            <w:pPr/>
          </w:p>
        </w:tc>
        <w:tc>
          <w:tcPr>
            <w:tcW w:w="996" w:type="dxa"/>
            <w:vMerge/>
            <w:tcBorders>
              <w:left w:val="single" w:sz="4" w:space="0" w:color="000000"/>
              <w:bottom w:val="single" w:sz="4" w:space="0" w:color="000000"/>
              <w:right w:val="single" w:sz="4" w:space="0" w:color="000000"/>
            </w:tcBorders>
            <w:shd w:val="clear" w:color="auto" w:fill="D2D2D2"/>
          </w:tcPr>
          <w:p>
            <w:pPr/>
          </w:p>
        </w:tc>
        <w:tc>
          <w:tcPr>
            <w:tcW w:w="851" w:type="dxa"/>
            <w:gridSpan w:val="2"/>
            <w:vMerge/>
            <w:tcBorders>
              <w:left w:val="single" w:sz="4" w:space="0" w:color="000000"/>
              <w:bottom w:val="single" w:sz="4" w:space="0" w:color="000000"/>
              <w:right w:val="single" w:sz="4" w:space="0" w:color="000000"/>
            </w:tcBorders>
            <w:shd w:val="clear" w:color="auto" w:fill="D2D2D2"/>
          </w:tcPr>
          <w:p>
            <w:pPr/>
          </w:p>
        </w:tc>
        <w:tc>
          <w:tcPr>
            <w:tcW w:w="992"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992"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972" w:type="dxa"/>
            <w:vMerge/>
            <w:tcBorders>
              <w:left w:val="single" w:sz="4" w:space="0" w:color="000000"/>
              <w:bottom w:val="single" w:sz="4" w:space="0" w:color="000000"/>
              <w:right w:val="single" w:sz="4" w:space="0" w:color="000000"/>
            </w:tcBorders>
            <w:shd w:val="clear" w:color="auto" w:fill="D2D2D2"/>
          </w:tcPr>
          <w:p>
            <w:pPr/>
          </w:p>
        </w:tc>
        <w:tc>
          <w:tcPr>
            <w:tcW w:w="1014" w:type="dxa"/>
            <w:vMerge/>
            <w:tcBorders>
              <w:left w:val="single" w:sz="4" w:space="0" w:color="000000"/>
              <w:bottom w:val="single" w:sz="4" w:space="0" w:color="000000"/>
              <w:right w:val="single" w:sz="4" w:space="0" w:color="000000"/>
            </w:tcBorders>
            <w:shd w:val="clear" w:color="auto" w:fill="D2D2D2"/>
          </w:tcPr>
          <w:p>
            <w:pPr/>
          </w:p>
        </w:tc>
        <w:tc>
          <w:tcPr>
            <w:tcW w:w="850" w:type="dxa"/>
            <w:gridSpan w:val="2"/>
            <w:vMerge/>
            <w:tcBorders>
              <w:left w:val="single" w:sz="4" w:space="0" w:color="000000"/>
              <w:bottom w:val="single" w:sz="4" w:space="0" w:color="000000"/>
              <w:right w:val="single" w:sz="4" w:space="0" w:color="000000"/>
            </w:tcBorders>
            <w:shd w:val="clear" w:color="auto" w:fill="D2D2D2"/>
          </w:tcPr>
          <w:p>
            <w:pPr/>
          </w:p>
        </w:tc>
        <w:tc>
          <w:tcPr>
            <w:tcW w:w="498"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2395"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1" w:right="32"/>
              <w:jc w:val="left"/>
              <w:rPr>
                <w:rFonts w:ascii="宋体" w:hAnsi="宋体" w:cs="宋体" w:eastAsia="宋体" w:hint="default"/>
                <w:sz w:val="18"/>
                <w:szCs w:val="18"/>
              </w:rPr>
            </w:pPr>
            <w:r>
              <w:rPr>
                <w:rFonts w:ascii="宋体" w:hAnsi="宋体" w:cs="宋体" w:eastAsia="宋体" w:hint="default"/>
                <w:sz w:val="18"/>
                <w:szCs w:val="18"/>
              </w:rPr>
              <w:t>中国电子科技网络信息安全有 限公司</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3" w:right="0"/>
              <w:jc w:val="left"/>
              <w:rPr>
                <w:rFonts w:ascii="Times New Roman" w:hAnsi="Times New Roman" w:cs="Times New Roman" w:eastAsia="Times New Roman" w:hint="default"/>
                <w:sz w:val="18"/>
                <w:szCs w:val="18"/>
              </w:rPr>
            </w:pPr>
            <w:r>
              <w:rPr>
                <w:rFonts w:ascii="Times New Roman"/>
                <w:sz w:val="18"/>
              </w:rPr>
              <w:t>37.79%</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8" w:right="0"/>
              <w:jc w:val="left"/>
              <w:rPr>
                <w:rFonts w:ascii="Times New Roman" w:hAnsi="Times New Roman" w:cs="Times New Roman" w:eastAsia="Times New Roman" w:hint="default"/>
                <w:sz w:val="18"/>
                <w:szCs w:val="18"/>
              </w:rPr>
            </w:pPr>
            <w:r>
              <w:rPr>
                <w:rFonts w:ascii="Times New Roman"/>
                <w:sz w:val="18"/>
              </w:rPr>
              <w:t>316,776,656</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10,865,876</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305,910,780</w:t>
            </w:r>
          </w:p>
        </w:tc>
        <w:tc>
          <w:tcPr>
            <w:tcW w:w="850" w:type="dxa"/>
            <w:gridSpan w:val="2"/>
            <w:tcBorders>
              <w:top w:val="single" w:sz="44" w:space="0" w:color="D2D2D2"/>
              <w:left w:val="single" w:sz="4" w:space="0" w:color="000000"/>
              <w:bottom w:val="single" w:sz="4" w:space="0" w:color="000000"/>
              <w:right w:val="single" w:sz="4" w:space="0" w:color="000000"/>
            </w:tcBorders>
          </w:tcPr>
          <w:p>
            <w:pPr/>
          </w:p>
        </w:tc>
        <w:tc>
          <w:tcPr>
            <w:tcW w:w="498" w:type="dxa"/>
            <w:tcBorders>
              <w:top w:val="single" w:sz="44" w:space="0" w:color="D2D2D2"/>
              <w:left w:val="single" w:sz="4" w:space="0" w:color="000000"/>
              <w:bottom w:val="single" w:sz="4" w:space="0" w:color="000000"/>
              <w:right w:val="single" w:sz="4" w:space="0" w:color="000000"/>
            </w:tcBorders>
          </w:tcPr>
          <w:p>
            <w:pPr/>
          </w:p>
        </w:tc>
      </w:tr>
      <w:tr>
        <w:trPr>
          <w:trHeight w:val="674" w:hRule="exact"/>
        </w:trPr>
        <w:tc>
          <w:tcPr>
            <w:tcW w:w="2395"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1" w:right="18"/>
              <w:jc w:val="left"/>
              <w:rPr>
                <w:rFonts w:ascii="Times New Roman" w:hAnsi="Times New Roman" w:cs="Times New Roman" w:eastAsia="Times New Roman" w:hint="default"/>
                <w:sz w:val="18"/>
                <w:szCs w:val="18"/>
              </w:rPr>
            </w:pPr>
            <w:r>
              <w:rPr>
                <w:rFonts w:ascii="宋体" w:hAnsi="宋体" w:cs="宋体" w:eastAsia="宋体" w:hint="default"/>
                <w:sz w:val="18"/>
                <w:szCs w:val="18"/>
              </w:rPr>
              <w:t>建信基金－工商银行－中航信 </w:t>
            </w:r>
            <w:r>
              <w:rPr>
                <w:rFonts w:ascii="宋体" w:hAnsi="宋体" w:cs="宋体" w:eastAsia="宋体" w:hint="default"/>
                <w:spacing w:val="-8"/>
                <w:sz w:val="18"/>
                <w:szCs w:val="18"/>
              </w:rPr>
              <w:t>托－中航信托</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天启（</w:t>
            </w:r>
            <w:r>
              <w:rPr>
                <w:rFonts w:ascii="Times New Roman" w:hAnsi="Times New Roman" w:cs="Times New Roman" w:eastAsia="Times New Roman" w:hint="default"/>
                <w:spacing w:val="-8"/>
                <w:sz w:val="18"/>
                <w:szCs w:val="18"/>
              </w:rPr>
              <w:t>2016</w:t>
            </w: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293</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354" w:right="0"/>
              <w:jc w:val="left"/>
              <w:rPr>
                <w:rFonts w:ascii="Times New Roman" w:hAnsi="Times New Roman" w:cs="Times New Roman" w:eastAsia="Times New Roman" w:hint="default"/>
                <w:sz w:val="18"/>
                <w:szCs w:val="18"/>
              </w:rPr>
            </w:pPr>
            <w:r>
              <w:rPr>
                <w:rFonts w:ascii="Times New Roman"/>
                <w:sz w:val="18"/>
              </w:rPr>
              <w:t>4.53%</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37,986,504</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78" w:right="0"/>
              <w:jc w:val="left"/>
              <w:rPr>
                <w:rFonts w:ascii="Times New Roman" w:hAnsi="Times New Roman" w:cs="Times New Roman" w:eastAsia="Times New Roman" w:hint="default"/>
                <w:sz w:val="18"/>
                <w:szCs w:val="18"/>
              </w:rPr>
            </w:pPr>
            <w:r>
              <w:rPr>
                <w:rFonts w:ascii="Times New Roman"/>
                <w:sz w:val="18"/>
              </w:rPr>
              <w:t>-1,999,913</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0</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37,986,504</w:t>
            </w:r>
          </w:p>
        </w:tc>
        <w:tc>
          <w:tcPr>
            <w:tcW w:w="850" w:type="dxa"/>
            <w:gridSpan w:val="2"/>
            <w:tcBorders>
              <w:top w:val="single" w:sz="4" w:space="0" w:color="000000"/>
              <w:left w:val="single" w:sz="4" w:space="0" w:color="000000"/>
              <w:bottom w:val="single" w:sz="4" w:space="0" w:color="000000"/>
              <w:right w:val="single" w:sz="4" w:space="0" w:color="000000"/>
            </w:tcBorders>
          </w:tcPr>
          <w:p>
            <w:pPr/>
          </w:p>
        </w:tc>
        <w:tc>
          <w:tcPr>
            <w:tcW w:w="4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410"/>
        <w:gridCol w:w="992"/>
        <w:gridCol w:w="851"/>
        <w:gridCol w:w="143"/>
        <w:gridCol w:w="850"/>
        <w:gridCol w:w="992"/>
        <w:gridCol w:w="634"/>
        <w:gridCol w:w="359"/>
        <w:gridCol w:w="992"/>
        <w:gridCol w:w="850"/>
        <w:gridCol w:w="498"/>
      </w:tblGrid>
      <w:tr>
        <w:trPr>
          <w:trHeight w:val="674"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35"/>
              <w:jc w:val="left"/>
              <w:rPr>
                <w:rFonts w:ascii="宋体" w:hAnsi="宋体" w:cs="宋体" w:eastAsia="宋体" w:hint="default"/>
                <w:sz w:val="18"/>
                <w:szCs w:val="18"/>
              </w:rPr>
            </w:pPr>
            <w:r>
              <w:rPr>
                <w:rFonts w:ascii="宋体" w:hAnsi="宋体" w:cs="宋体" w:eastAsia="宋体" w:hint="default"/>
                <w:sz w:val="18"/>
                <w:szCs w:val="18"/>
              </w:rPr>
              <w:t>号建信基金定增投资集合资金 信托计划</w:t>
            </w:r>
          </w:p>
        </w:tc>
        <w:tc>
          <w:tcPr>
            <w:tcW w:w="992"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gridSpan w:val="2"/>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3" w:type="dxa"/>
            <w:gridSpan w:val="2"/>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4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香港中央结算有限公司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境外法人</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3.51%</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8" w:right="0"/>
              <w:jc w:val="left"/>
              <w:rPr>
                <w:rFonts w:ascii="Times New Roman" w:hAnsi="Times New Roman" w:cs="Times New Roman" w:eastAsia="Times New Roman" w:hint="default"/>
                <w:sz w:val="18"/>
                <w:szCs w:val="18"/>
              </w:rPr>
            </w:pPr>
            <w:r>
              <w:rPr>
                <w:rFonts w:ascii="Times New Roman"/>
                <w:sz w:val="18"/>
              </w:rPr>
              <w:t>29,416,004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871,579</w:t>
            </w:r>
          </w:p>
        </w:tc>
        <w:tc>
          <w:tcPr>
            <w:tcW w:w="9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29,416,004</w:t>
            </w:r>
          </w:p>
        </w:tc>
        <w:tc>
          <w:tcPr>
            <w:tcW w:w="850" w:type="dxa"/>
            <w:tcBorders>
              <w:top w:val="single" w:sz="4" w:space="0" w:color="000000"/>
              <w:left w:val="single" w:sz="4" w:space="0" w:color="000000"/>
              <w:bottom w:val="single" w:sz="4" w:space="0" w:color="000000"/>
              <w:right w:val="single" w:sz="4" w:space="0" w:color="000000"/>
            </w:tcBorders>
          </w:tcPr>
          <w:p>
            <w:pPr/>
          </w:p>
        </w:tc>
        <w:tc>
          <w:tcPr>
            <w:tcW w:w="4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中电科投资控股有限公司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2.51%</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8" w:right="0"/>
              <w:jc w:val="left"/>
              <w:rPr>
                <w:rFonts w:ascii="Times New Roman" w:hAnsi="Times New Roman" w:cs="Times New Roman" w:eastAsia="Times New Roman" w:hint="default"/>
                <w:sz w:val="18"/>
                <w:szCs w:val="18"/>
              </w:rPr>
            </w:pPr>
            <w:r>
              <w:rPr>
                <w:rFonts w:ascii="Times New Roman"/>
                <w:sz w:val="18"/>
              </w:rPr>
              <w:t>21,066,012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4,767,199</w:t>
            </w:r>
          </w:p>
        </w:tc>
        <w:tc>
          <w:tcPr>
            <w:tcW w:w="9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0" w:right="0"/>
              <w:jc w:val="left"/>
              <w:rPr>
                <w:rFonts w:ascii="Times New Roman" w:hAnsi="Times New Roman" w:cs="Times New Roman" w:eastAsia="Times New Roman" w:hint="default"/>
                <w:sz w:val="18"/>
                <w:szCs w:val="18"/>
              </w:rPr>
            </w:pPr>
            <w:r>
              <w:rPr>
                <w:rFonts w:ascii="Times New Roman"/>
                <w:sz w:val="18"/>
              </w:rPr>
              <w:t>16,298,813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4,767,199</w:t>
            </w:r>
          </w:p>
        </w:tc>
        <w:tc>
          <w:tcPr>
            <w:tcW w:w="850" w:type="dxa"/>
            <w:tcBorders>
              <w:top w:val="single" w:sz="4" w:space="0" w:color="000000"/>
              <w:left w:val="single" w:sz="4" w:space="0" w:color="000000"/>
              <w:bottom w:val="single" w:sz="4" w:space="0" w:color="000000"/>
              <w:right w:val="single" w:sz="4" w:space="0" w:color="000000"/>
            </w:tcBorders>
          </w:tcPr>
          <w:p>
            <w:pPr/>
          </w:p>
        </w:tc>
        <w:tc>
          <w:tcPr>
            <w:tcW w:w="4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四川发展投资有限公司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2.32%</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8" w:right="0"/>
              <w:jc w:val="left"/>
              <w:rPr>
                <w:rFonts w:ascii="Times New Roman" w:hAnsi="Times New Roman" w:cs="Times New Roman" w:eastAsia="Times New Roman" w:hint="default"/>
                <w:sz w:val="18"/>
                <w:szCs w:val="18"/>
              </w:rPr>
            </w:pPr>
            <w:r>
              <w:rPr>
                <w:rFonts w:ascii="Times New Roman"/>
                <w:sz w:val="18"/>
              </w:rPr>
              <w:t>19,439,960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-6,503,803</w:t>
            </w:r>
            <w:r>
              <w:rPr>
                <w:rFonts w:ascii="Times New Roman"/>
                <w:sz w:val="18"/>
              </w:rPr>
            </w:r>
          </w:p>
        </w:tc>
        <w:tc>
          <w:tcPr>
            <w:tcW w:w="9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19,439,960</w:t>
            </w:r>
          </w:p>
        </w:tc>
        <w:tc>
          <w:tcPr>
            <w:tcW w:w="850" w:type="dxa"/>
            <w:tcBorders>
              <w:top w:val="single" w:sz="4" w:space="0" w:color="000000"/>
              <w:left w:val="single" w:sz="4" w:space="0" w:color="000000"/>
              <w:bottom w:val="single" w:sz="4" w:space="0" w:color="000000"/>
              <w:right w:val="single" w:sz="4" w:space="0" w:color="000000"/>
            </w:tcBorders>
          </w:tcPr>
          <w:p>
            <w:pPr/>
          </w:p>
        </w:tc>
        <w:tc>
          <w:tcPr>
            <w:tcW w:w="4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35"/>
              <w:jc w:val="both"/>
              <w:rPr>
                <w:rFonts w:ascii="宋体" w:hAnsi="宋体" w:cs="宋体" w:eastAsia="宋体" w:hint="default"/>
                <w:sz w:val="18"/>
                <w:szCs w:val="18"/>
              </w:rPr>
            </w:pPr>
            <w:r>
              <w:rPr>
                <w:rFonts w:ascii="宋体" w:hAnsi="宋体" w:cs="宋体" w:eastAsia="宋体" w:hint="default"/>
                <w:sz w:val="18"/>
                <w:szCs w:val="18"/>
              </w:rPr>
              <w:t>建信基金－兴业银行－建信群 星璀璨裕晋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号特定多个客户 资产管理计划</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1.85%</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15,537,352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-2,500,000</w:t>
            </w:r>
            <w:r>
              <w:rPr>
                <w:rFonts w:ascii="Times New Roman"/>
                <w:sz w:val="18"/>
              </w:rPr>
            </w:r>
          </w:p>
        </w:tc>
        <w:tc>
          <w:tcPr>
            <w:tcW w:w="9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15,537,352</w:t>
            </w:r>
          </w:p>
        </w:tc>
        <w:tc>
          <w:tcPr>
            <w:tcW w:w="850" w:type="dxa"/>
            <w:tcBorders>
              <w:top w:val="single" w:sz="4" w:space="0" w:color="000000"/>
              <w:left w:val="single" w:sz="4" w:space="0" w:color="000000"/>
              <w:bottom w:val="single" w:sz="4" w:space="0" w:color="000000"/>
              <w:right w:val="single" w:sz="4" w:space="0" w:color="000000"/>
            </w:tcBorders>
          </w:tcPr>
          <w:p>
            <w:pPr/>
          </w:p>
        </w:tc>
        <w:tc>
          <w:tcPr>
            <w:tcW w:w="4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5"/>
              <w:jc w:val="both"/>
              <w:rPr>
                <w:rFonts w:ascii="宋体" w:hAnsi="宋体" w:cs="宋体" w:eastAsia="宋体" w:hint="default"/>
                <w:sz w:val="18"/>
                <w:szCs w:val="18"/>
              </w:rPr>
            </w:pPr>
            <w:r>
              <w:rPr>
                <w:rFonts w:ascii="宋体" w:hAnsi="宋体" w:cs="宋体" w:eastAsia="宋体" w:hint="default"/>
                <w:sz w:val="18"/>
                <w:szCs w:val="18"/>
              </w:rPr>
              <w:t>中国建设银行股份有限公司－ 富国中证军工指数分级证券投 资基金</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1.64%</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13,789,046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4,171,192</w:t>
            </w:r>
          </w:p>
        </w:tc>
        <w:tc>
          <w:tcPr>
            <w:tcW w:w="9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13,789,046</w:t>
            </w:r>
          </w:p>
        </w:tc>
        <w:tc>
          <w:tcPr>
            <w:tcW w:w="850" w:type="dxa"/>
            <w:tcBorders>
              <w:top w:val="single" w:sz="4" w:space="0" w:color="000000"/>
              <w:left w:val="single" w:sz="4" w:space="0" w:color="000000"/>
              <w:bottom w:val="single" w:sz="4" w:space="0" w:color="000000"/>
              <w:right w:val="single" w:sz="4" w:space="0" w:color="000000"/>
            </w:tcBorders>
          </w:tcPr>
          <w:p>
            <w:pPr/>
          </w:p>
        </w:tc>
        <w:tc>
          <w:tcPr>
            <w:tcW w:w="4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于美艳</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1.64%</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8" w:right="0"/>
              <w:jc w:val="left"/>
              <w:rPr>
                <w:rFonts w:ascii="Times New Roman" w:hAnsi="Times New Roman" w:cs="Times New Roman" w:eastAsia="Times New Roman" w:hint="default"/>
                <w:sz w:val="18"/>
                <w:szCs w:val="18"/>
              </w:rPr>
            </w:pPr>
            <w:r>
              <w:rPr>
                <w:rFonts w:ascii="Times New Roman"/>
                <w:sz w:val="18"/>
              </w:rPr>
              <w:t>13,707,296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8,223,471</w:t>
            </w:r>
          </w:p>
        </w:tc>
        <w:tc>
          <w:tcPr>
            <w:tcW w:w="9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13,707,296</w:t>
            </w:r>
          </w:p>
        </w:tc>
        <w:tc>
          <w:tcPr>
            <w:tcW w:w="850" w:type="dxa"/>
            <w:tcBorders>
              <w:top w:val="single" w:sz="4" w:space="0" w:color="000000"/>
              <w:left w:val="single" w:sz="4" w:space="0" w:color="000000"/>
              <w:bottom w:val="single" w:sz="4" w:space="0" w:color="000000"/>
              <w:right w:val="single" w:sz="4" w:space="0" w:color="000000"/>
            </w:tcBorders>
          </w:tcPr>
          <w:p>
            <w:pPr/>
          </w:p>
        </w:tc>
        <w:tc>
          <w:tcPr>
            <w:tcW w:w="4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全国社保基金一零八组合</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1.40%</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5" w:right="0"/>
              <w:jc w:val="left"/>
              <w:rPr>
                <w:rFonts w:ascii="Times New Roman" w:hAnsi="Times New Roman" w:cs="Times New Roman" w:eastAsia="Times New Roman" w:hint="default"/>
                <w:sz w:val="18"/>
                <w:szCs w:val="18"/>
              </w:rPr>
            </w:pPr>
            <w:r>
              <w:rPr>
                <w:rFonts w:ascii="Times New Roman"/>
                <w:sz w:val="18"/>
              </w:rPr>
              <w:t>11,727,398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11,727,398</w:t>
            </w:r>
          </w:p>
        </w:tc>
        <w:tc>
          <w:tcPr>
            <w:tcW w:w="850" w:type="dxa"/>
            <w:tcBorders>
              <w:top w:val="single" w:sz="4" w:space="0" w:color="000000"/>
              <w:left w:val="single" w:sz="4" w:space="0" w:color="000000"/>
              <w:bottom w:val="single" w:sz="4" w:space="0" w:color="000000"/>
              <w:right w:val="single" w:sz="4" w:space="0" w:color="000000"/>
            </w:tcBorders>
          </w:tcPr>
          <w:p>
            <w:pPr/>
          </w:p>
        </w:tc>
        <w:tc>
          <w:tcPr>
            <w:tcW w:w="4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35"/>
              <w:jc w:val="both"/>
              <w:rPr>
                <w:rFonts w:ascii="宋体" w:hAnsi="宋体" w:cs="宋体" w:eastAsia="宋体" w:hint="default"/>
                <w:sz w:val="18"/>
                <w:szCs w:val="18"/>
              </w:rPr>
            </w:pPr>
            <w:r>
              <w:rPr>
                <w:rFonts w:ascii="宋体" w:hAnsi="宋体" w:cs="宋体" w:eastAsia="宋体" w:hint="default"/>
                <w:sz w:val="18"/>
                <w:szCs w:val="18"/>
              </w:rPr>
              <w:t>东海基金－浦发银行－云南国 际信托－云南信托锦瑟年华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号集合资金信托计划</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1.22%</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55" w:right="0"/>
              <w:jc w:val="left"/>
              <w:rPr>
                <w:rFonts w:ascii="Times New Roman" w:hAnsi="Times New Roman" w:cs="Times New Roman" w:eastAsia="Times New Roman" w:hint="default"/>
                <w:sz w:val="18"/>
                <w:szCs w:val="18"/>
              </w:rPr>
            </w:pPr>
            <w:r>
              <w:rPr>
                <w:rFonts w:ascii="Times New Roman"/>
                <w:sz w:val="18"/>
              </w:rPr>
              <w:t>10,254,011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-6,044,800</w:t>
            </w:r>
            <w:r>
              <w:rPr>
                <w:rFonts w:ascii="Times New Roman"/>
                <w:sz w:val="18"/>
              </w:rPr>
            </w:r>
          </w:p>
        </w:tc>
        <w:tc>
          <w:tcPr>
            <w:tcW w:w="9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10,254,011</w:t>
            </w:r>
          </w:p>
        </w:tc>
        <w:tc>
          <w:tcPr>
            <w:tcW w:w="850" w:type="dxa"/>
            <w:tcBorders>
              <w:top w:val="single" w:sz="4" w:space="0" w:color="000000"/>
              <w:left w:val="single" w:sz="4" w:space="0" w:color="000000"/>
              <w:bottom w:val="single" w:sz="4" w:space="0" w:color="000000"/>
              <w:right w:val="single" w:sz="4" w:space="0" w:color="000000"/>
            </w:tcBorders>
          </w:tcPr>
          <w:p>
            <w:pPr/>
          </w:p>
        </w:tc>
        <w:tc>
          <w:tcPr>
            <w:tcW w:w="4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40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战略投资者或一般法人因配售新股成为前</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名股东的情况（如有</w:t>
            </w:r>
            <w:r>
              <w:rPr>
                <w:rFonts w:ascii="宋体" w:hAnsi="宋体" w:cs="宋体" w:eastAsia="宋体" w:hint="default"/>
                <w:spacing w:val="-90"/>
                <w:sz w:val="18"/>
                <w:szCs w:val="18"/>
              </w:rPr>
              <w:t>）</w:t>
            </w: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6169" w:type="dxa"/>
            <w:gridSpan w:val="9"/>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629" w:hRule="exact"/>
        </w:trPr>
        <w:tc>
          <w:tcPr>
            <w:tcW w:w="3402"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6169" w:type="dxa"/>
            <w:gridSpan w:val="9"/>
            <w:vMerge w:val="restart"/>
            <w:tcBorders>
              <w:top w:val="single" w:sz="4" w:space="0" w:color="000000"/>
              <w:left w:val="single" w:sz="9" w:space="0" w:color="D2D2D2"/>
              <w:right w:val="single" w:sz="4" w:space="0" w:color="000000"/>
            </w:tcBorders>
          </w:tcPr>
          <w:p>
            <w:pPr>
              <w:pStyle w:val="TableParagraph"/>
              <w:spacing w:line="304" w:lineRule="auto" w:before="51"/>
              <w:ind w:left="16"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、中国电子科技网络信息安全有限公司为公司第一大股东，中国电子科技集 团有限公司为公司实际控制人；</w:t>
            </w:r>
            <w:r>
              <w:rPr>
                <w:rFonts w:ascii="Times New Roman" w:hAnsi="Times New Roman" w:cs="Times New Roman" w:eastAsia="Times New Roman" w:hint="default"/>
                <w:sz w:val="18"/>
                <w:szCs w:val="18"/>
              </w:rPr>
              <w:t>2</w:t>
            </w:r>
            <w:r>
              <w:rPr>
                <w:rFonts w:ascii="宋体" w:hAnsi="宋体" w:cs="宋体" w:eastAsia="宋体" w:hint="default"/>
                <w:sz w:val="18"/>
                <w:szCs w:val="18"/>
              </w:rPr>
              <w:t>、中国电子科技网络信息安全有限公司和中 电科投资控股有限公司均为中国电子科技集团有限公司的全资公司；</w:t>
            </w:r>
            <w:r>
              <w:rPr>
                <w:rFonts w:ascii="Times New Roman" w:hAnsi="Times New Roman" w:cs="Times New Roman" w:eastAsia="Times New Roman" w:hint="default"/>
                <w:sz w:val="18"/>
                <w:szCs w:val="18"/>
              </w:rPr>
              <w:t>3</w:t>
            </w:r>
            <w:r>
              <w:rPr>
                <w:rFonts w:ascii="宋体" w:hAnsi="宋体" w:cs="宋体" w:eastAsia="宋体" w:hint="default"/>
                <w:sz w:val="18"/>
                <w:szCs w:val="18"/>
              </w:rPr>
              <w:t>、未知 其他股东之间是否存在关联关系，也未知其他股东是否属于《上市公司收购管 理办法》规定的一致行动人。</w:t>
            </w:r>
          </w:p>
        </w:tc>
      </w:tr>
      <w:tr>
        <w:trPr>
          <w:trHeight w:val="392" w:hRule="exact"/>
        </w:trPr>
        <w:tc>
          <w:tcPr>
            <w:tcW w:w="3402"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上述股东关联关系或一致行动的说明</w:t>
            </w:r>
          </w:p>
        </w:tc>
        <w:tc>
          <w:tcPr>
            <w:tcW w:w="6169" w:type="dxa"/>
            <w:gridSpan w:val="9"/>
            <w:vMerge/>
            <w:tcBorders>
              <w:left w:val="single" w:sz="9" w:space="0" w:color="D2D2D2"/>
              <w:right w:val="single" w:sz="4" w:space="0" w:color="000000"/>
            </w:tcBorders>
          </w:tcPr>
          <w:p>
            <w:pPr/>
          </w:p>
        </w:tc>
      </w:tr>
      <w:tr>
        <w:trPr>
          <w:trHeight w:val="629" w:hRule="exact"/>
        </w:trPr>
        <w:tc>
          <w:tcPr>
            <w:tcW w:w="3402"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6169" w:type="dxa"/>
            <w:gridSpan w:val="9"/>
            <w:vMerge/>
            <w:tcBorders>
              <w:left w:val="single" w:sz="9" w:space="0" w:color="D2D2D2"/>
              <w:bottom w:val="single" w:sz="4" w:space="0" w:color="000000"/>
              <w:right w:val="single" w:sz="4" w:space="0" w:color="000000"/>
            </w:tcBorders>
          </w:tcPr>
          <w:p>
            <w:pPr/>
          </w:p>
        </w:tc>
      </w:tr>
      <w:tr>
        <w:trPr>
          <w:trHeight w:val="397" w:hRule="exact"/>
        </w:trPr>
        <w:tc>
          <w:tcPr>
            <w:tcW w:w="957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210" w:hRule="exact"/>
        </w:trPr>
        <w:tc>
          <w:tcPr>
            <w:tcW w:w="4396" w:type="dxa"/>
            <w:gridSpan w:val="4"/>
            <w:tcBorders>
              <w:top w:val="single" w:sz="4" w:space="0" w:color="000000"/>
              <w:left w:val="single" w:sz="4" w:space="0" w:color="000000"/>
              <w:bottom w:val="nil" w:sz="6" w:space="0" w:color="auto"/>
              <w:right w:val="single" w:sz="4" w:space="0" w:color="000000"/>
            </w:tcBorders>
            <w:shd w:val="clear" w:color="auto" w:fill="D2D2D2"/>
          </w:tcPr>
          <w:p>
            <w:pPr/>
          </w:p>
        </w:tc>
        <w:tc>
          <w:tcPr>
            <w:tcW w:w="2476"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00"/>
              <w:ind w:left="1052" w:right="61" w:hanging="990"/>
              <w:jc w:val="left"/>
              <w:rPr>
                <w:rFonts w:ascii="宋体" w:hAnsi="宋体" w:cs="宋体" w:eastAsia="宋体" w:hint="default"/>
                <w:sz w:val="18"/>
                <w:szCs w:val="18"/>
              </w:rPr>
            </w:pPr>
            <w:r>
              <w:rPr>
                <w:rFonts w:ascii="宋体" w:hAnsi="宋体" w:cs="宋体" w:eastAsia="宋体" w:hint="default"/>
                <w:sz w:val="18"/>
                <w:szCs w:val="18"/>
              </w:rPr>
              <w:t>报告期末持有无限售条件股份 数量</w:t>
            </w:r>
          </w:p>
        </w:tc>
        <w:tc>
          <w:tcPr>
            <w:tcW w:w="2699"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2" w:hRule="exact"/>
        </w:trPr>
        <w:tc>
          <w:tcPr>
            <w:tcW w:w="4396" w:type="dxa"/>
            <w:gridSpan w:val="4"/>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2476" w:type="dxa"/>
            <w:gridSpan w:val="3"/>
            <w:vMerge/>
            <w:tcBorders>
              <w:left w:val="single" w:sz="4" w:space="0" w:color="000000"/>
              <w:right w:val="single" w:sz="4" w:space="0" w:color="000000"/>
            </w:tcBorders>
            <w:shd w:val="clear" w:color="auto" w:fill="D2D2D2"/>
          </w:tcPr>
          <w:p>
            <w:pPr/>
          </w:p>
        </w:tc>
        <w:tc>
          <w:tcPr>
            <w:tcW w:w="2699" w:type="dxa"/>
            <w:gridSpan w:val="4"/>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4396" w:type="dxa"/>
            <w:gridSpan w:val="4"/>
            <w:vMerge/>
            <w:tcBorders>
              <w:left w:val="single" w:sz="4" w:space="0" w:color="000000"/>
              <w:bottom w:val="nil" w:sz="6" w:space="0" w:color="auto"/>
              <w:right w:val="single" w:sz="4" w:space="0" w:color="000000"/>
            </w:tcBorders>
            <w:shd w:val="clear" w:color="auto" w:fill="D2D2D2"/>
          </w:tcPr>
          <w:p>
            <w:pPr/>
          </w:p>
        </w:tc>
        <w:tc>
          <w:tcPr>
            <w:tcW w:w="2476" w:type="dxa"/>
            <w:gridSpan w:val="3"/>
            <w:vMerge/>
            <w:tcBorders>
              <w:left w:val="single" w:sz="4" w:space="0" w:color="000000"/>
              <w:right w:val="single" w:sz="4" w:space="0" w:color="000000"/>
            </w:tcBorders>
            <w:shd w:val="clear" w:color="auto" w:fill="D2D2D2"/>
          </w:tcPr>
          <w:p>
            <w:pPr/>
          </w:p>
        </w:tc>
        <w:tc>
          <w:tcPr>
            <w:tcW w:w="135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0"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4396" w:type="dxa"/>
            <w:gridSpan w:val="4"/>
            <w:tcBorders>
              <w:top w:val="nil" w:sz="6" w:space="0" w:color="auto"/>
              <w:left w:val="single" w:sz="4" w:space="0" w:color="000000"/>
              <w:bottom w:val="single" w:sz="4" w:space="0" w:color="000000"/>
              <w:right w:val="single" w:sz="4" w:space="0" w:color="000000"/>
            </w:tcBorders>
            <w:shd w:val="clear" w:color="auto" w:fill="D2D2D2"/>
          </w:tcPr>
          <w:p>
            <w:pPr/>
          </w:p>
        </w:tc>
        <w:tc>
          <w:tcPr>
            <w:tcW w:w="2476" w:type="dxa"/>
            <w:gridSpan w:val="3"/>
            <w:vMerge/>
            <w:tcBorders>
              <w:left w:val="single" w:sz="4" w:space="0" w:color="000000"/>
              <w:bottom w:val="single" w:sz="4" w:space="0" w:color="000000"/>
              <w:right w:val="single" w:sz="4" w:space="0" w:color="000000"/>
            </w:tcBorders>
            <w:shd w:val="clear" w:color="auto" w:fill="D2D2D2"/>
          </w:tcPr>
          <w:p>
            <w:pPr/>
          </w:p>
        </w:tc>
        <w:tc>
          <w:tcPr>
            <w:tcW w:w="1352" w:type="dxa"/>
            <w:gridSpan w:val="2"/>
            <w:vMerge/>
            <w:tcBorders>
              <w:left w:val="single" w:sz="4" w:space="0" w:color="000000"/>
              <w:bottom w:val="single" w:sz="4" w:space="0" w:color="000000"/>
              <w:right w:val="single" w:sz="4" w:space="0" w:color="000000"/>
            </w:tcBorders>
            <w:shd w:val="clear" w:color="auto" w:fill="D2D2D2"/>
          </w:tcPr>
          <w:p>
            <w:pPr/>
          </w:p>
        </w:tc>
        <w:tc>
          <w:tcPr>
            <w:tcW w:w="1348" w:type="dxa"/>
            <w:gridSpan w:val="2"/>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439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中国电子科技网络信息安全有限公司</w:t>
            </w:r>
          </w:p>
        </w:tc>
        <w:tc>
          <w:tcPr>
            <w:tcW w:w="2476" w:type="dxa"/>
            <w:gridSpan w:val="3"/>
            <w:tcBorders>
              <w:top w:val="single" w:sz="18" w:space="0" w:color="D2D2D2"/>
              <w:left w:val="single" w:sz="4" w:space="0" w:color="000000"/>
              <w:bottom w:val="single" w:sz="4" w:space="0" w:color="000000"/>
              <w:right w:val="single" w:sz="4" w:space="0" w:color="000000"/>
            </w:tcBorders>
          </w:tcPr>
          <w:p>
            <w:pPr>
              <w:pStyle w:val="TableParagraph"/>
              <w:spacing w:line="240" w:lineRule="auto" w:before="73"/>
              <w:ind w:left="1543" w:right="0"/>
              <w:jc w:val="left"/>
              <w:rPr>
                <w:rFonts w:ascii="Times New Roman" w:hAnsi="Times New Roman" w:cs="Times New Roman" w:eastAsia="Times New Roman" w:hint="default"/>
                <w:sz w:val="18"/>
                <w:szCs w:val="18"/>
              </w:rPr>
            </w:pPr>
            <w:r>
              <w:rPr>
                <w:rFonts w:ascii="Times New Roman"/>
                <w:sz w:val="18"/>
              </w:rPr>
              <w:t>305,910,780</w:t>
            </w:r>
          </w:p>
        </w:tc>
        <w:tc>
          <w:tcPr>
            <w:tcW w:w="13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5" w:right="0"/>
              <w:jc w:val="left"/>
              <w:rPr>
                <w:rFonts w:ascii="Times New Roman" w:hAnsi="Times New Roman" w:cs="Times New Roman" w:eastAsia="Times New Roman" w:hint="default"/>
                <w:sz w:val="18"/>
                <w:szCs w:val="18"/>
              </w:rPr>
            </w:pPr>
            <w:r>
              <w:rPr>
                <w:rFonts w:ascii="Times New Roman"/>
                <w:sz w:val="18"/>
              </w:rPr>
              <w:t>305,910,780</w:t>
            </w:r>
          </w:p>
        </w:tc>
      </w:tr>
      <w:tr>
        <w:trPr>
          <w:trHeight w:val="714" w:hRule="exact"/>
        </w:trPr>
        <w:tc>
          <w:tcPr>
            <w:tcW w:w="439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建信基金－工商银行－中航信托－中航信托</w:t>
            </w:r>
            <w:r>
              <w:rPr>
                <w:rFonts w:ascii="Times New Roman" w:hAnsi="Times New Roman" w:cs="Times New Roman" w:eastAsia="Times New Roman" w:hint="default"/>
                <w:sz w:val="18"/>
                <w:szCs w:val="18"/>
              </w:rPr>
              <w:t>·</w:t>
            </w:r>
            <w:r>
              <w:rPr>
                <w:rFonts w:ascii="宋体" w:hAnsi="宋体" w:cs="宋体" w:eastAsia="宋体" w:hint="default"/>
                <w:sz w:val="18"/>
                <w:szCs w:val="18"/>
              </w:rPr>
              <w:t>天启</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2016</w:t>
            </w:r>
            <w:r>
              <w:rPr>
                <w:rFonts w:ascii="宋体" w:hAnsi="宋体" w:cs="宋体" w:eastAsia="宋体" w:hint="default"/>
                <w:sz w:val="18"/>
                <w:szCs w:val="18"/>
              </w:rPr>
              <w:t>）</w:t>
            </w:r>
            <w:r>
              <w:rPr>
                <w:rFonts w:ascii="Times New Roman" w:hAnsi="Times New Roman" w:cs="Times New Roman" w:eastAsia="Times New Roman" w:hint="default"/>
                <w:sz w:val="18"/>
                <w:szCs w:val="18"/>
              </w:rPr>
              <w:t>293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号建信基金定增投资集合资金信托计划</w:t>
            </w:r>
          </w:p>
        </w:tc>
        <w:tc>
          <w:tcPr>
            <w:tcW w:w="247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633" w:right="0"/>
              <w:jc w:val="left"/>
              <w:rPr>
                <w:rFonts w:ascii="Times New Roman" w:hAnsi="Times New Roman" w:cs="Times New Roman" w:eastAsia="Times New Roman" w:hint="default"/>
                <w:sz w:val="18"/>
                <w:szCs w:val="18"/>
              </w:rPr>
            </w:pPr>
            <w:r>
              <w:rPr>
                <w:rFonts w:ascii="Times New Roman"/>
                <w:sz w:val="18"/>
              </w:rPr>
              <w:t>37,986,504</w:t>
            </w:r>
          </w:p>
        </w:tc>
        <w:tc>
          <w:tcPr>
            <w:tcW w:w="13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05" w:right="0"/>
              <w:jc w:val="left"/>
              <w:rPr>
                <w:rFonts w:ascii="Times New Roman" w:hAnsi="Times New Roman" w:cs="Times New Roman" w:eastAsia="Times New Roman" w:hint="default"/>
                <w:sz w:val="18"/>
                <w:szCs w:val="18"/>
              </w:rPr>
            </w:pPr>
            <w:r>
              <w:rPr>
                <w:rFonts w:ascii="Times New Roman"/>
                <w:sz w:val="18"/>
              </w:rPr>
              <w:t>37,986,504</w:t>
            </w:r>
          </w:p>
        </w:tc>
      </w:tr>
      <w:tr>
        <w:trPr>
          <w:trHeight w:val="402" w:hRule="exact"/>
        </w:trPr>
        <w:tc>
          <w:tcPr>
            <w:tcW w:w="439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香港中央结算有限公司</w:t>
            </w:r>
          </w:p>
        </w:tc>
        <w:tc>
          <w:tcPr>
            <w:tcW w:w="247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33" w:right="0"/>
              <w:jc w:val="left"/>
              <w:rPr>
                <w:rFonts w:ascii="Times New Roman" w:hAnsi="Times New Roman" w:cs="Times New Roman" w:eastAsia="Times New Roman" w:hint="default"/>
                <w:sz w:val="18"/>
                <w:szCs w:val="18"/>
              </w:rPr>
            </w:pPr>
            <w:r>
              <w:rPr>
                <w:rFonts w:ascii="Times New Roman"/>
                <w:sz w:val="18"/>
              </w:rPr>
              <w:t>29,416,004</w:t>
            </w:r>
          </w:p>
        </w:tc>
        <w:tc>
          <w:tcPr>
            <w:tcW w:w="13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5" w:right="0"/>
              <w:jc w:val="left"/>
              <w:rPr>
                <w:rFonts w:ascii="Times New Roman" w:hAnsi="Times New Roman" w:cs="Times New Roman" w:eastAsia="Times New Roman" w:hint="default"/>
                <w:sz w:val="18"/>
                <w:szCs w:val="18"/>
              </w:rPr>
            </w:pPr>
            <w:r>
              <w:rPr>
                <w:rFonts w:ascii="Times New Roman"/>
                <w:sz w:val="18"/>
              </w:rPr>
              <w:t>29,416,004</w:t>
            </w:r>
          </w:p>
        </w:tc>
      </w:tr>
      <w:tr>
        <w:trPr>
          <w:trHeight w:val="402" w:hRule="exact"/>
        </w:trPr>
        <w:tc>
          <w:tcPr>
            <w:tcW w:w="439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四川发展投资有限公司</w:t>
            </w:r>
          </w:p>
        </w:tc>
        <w:tc>
          <w:tcPr>
            <w:tcW w:w="247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33" w:right="0"/>
              <w:jc w:val="left"/>
              <w:rPr>
                <w:rFonts w:ascii="Times New Roman" w:hAnsi="Times New Roman" w:cs="Times New Roman" w:eastAsia="Times New Roman" w:hint="default"/>
                <w:sz w:val="18"/>
                <w:szCs w:val="18"/>
              </w:rPr>
            </w:pPr>
            <w:r>
              <w:rPr>
                <w:rFonts w:ascii="Times New Roman"/>
                <w:sz w:val="18"/>
              </w:rPr>
              <w:t>19,439,960</w:t>
            </w:r>
          </w:p>
        </w:tc>
        <w:tc>
          <w:tcPr>
            <w:tcW w:w="13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5" w:right="0"/>
              <w:jc w:val="left"/>
              <w:rPr>
                <w:rFonts w:ascii="Times New Roman" w:hAnsi="Times New Roman" w:cs="Times New Roman" w:eastAsia="Times New Roman" w:hint="default"/>
                <w:sz w:val="18"/>
                <w:szCs w:val="18"/>
              </w:rPr>
            </w:pPr>
            <w:r>
              <w:rPr>
                <w:rFonts w:ascii="Times New Roman"/>
                <w:sz w:val="18"/>
              </w:rPr>
              <w:t>19,439,960</w:t>
            </w:r>
          </w:p>
        </w:tc>
      </w:tr>
      <w:tr>
        <w:trPr>
          <w:trHeight w:val="714" w:hRule="exact"/>
        </w:trPr>
        <w:tc>
          <w:tcPr>
            <w:tcW w:w="4396" w:type="dxa"/>
            <w:gridSpan w:val="4"/>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42"/>
              <w:jc w:val="left"/>
              <w:rPr>
                <w:rFonts w:ascii="宋体" w:hAnsi="宋体" w:cs="宋体" w:eastAsia="宋体" w:hint="default"/>
                <w:sz w:val="18"/>
                <w:szCs w:val="18"/>
              </w:rPr>
            </w:pPr>
            <w:r>
              <w:rPr>
                <w:rFonts w:ascii="宋体" w:hAnsi="宋体" w:cs="宋体" w:eastAsia="宋体" w:hint="default"/>
                <w:sz w:val="18"/>
                <w:szCs w:val="18"/>
              </w:rPr>
              <w:t>建信基金－兴业银行－建信群星璀璨裕晋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号特定多个 客户资产管理计划</w:t>
            </w:r>
          </w:p>
        </w:tc>
        <w:tc>
          <w:tcPr>
            <w:tcW w:w="247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633" w:right="0"/>
              <w:jc w:val="left"/>
              <w:rPr>
                <w:rFonts w:ascii="Times New Roman" w:hAnsi="Times New Roman" w:cs="Times New Roman" w:eastAsia="Times New Roman" w:hint="default"/>
                <w:sz w:val="18"/>
                <w:szCs w:val="18"/>
              </w:rPr>
            </w:pPr>
            <w:r>
              <w:rPr>
                <w:rFonts w:ascii="Times New Roman"/>
                <w:sz w:val="18"/>
              </w:rPr>
              <w:t>15,537,352</w:t>
            </w:r>
          </w:p>
        </w:tc>
        <w:tc>
          <w:tcPr>
            <w:tcW w:w="13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05" w:right="0"/>
              <w:jc w:val="left"/>
              <w:rPr>
                <w:rFonts w:ascii="Times New Roman" w:hAnsi="Times New Roman" w:cs="Times New Roman" w:eastAsia="Times New Roman" w:hint="default"/>
                <w:sz w:val="18"/>
                <w:szCs w:val="18"/>
              </w:rPr>
            </w:pPr>
            <w:r>
              <w:rPr>
                <w:rFonts w:ascii="Times New Roman"/>
                <w:sz w:val="18"/>
              </w:rPr>
              <w:t>15,537,352</w:t>
            </w:r>
          </w:p>
        </w:tc>
      </w:tr>
      <w:tr>
        <w:trPr>
          <w:trHeight w:val="714" w:hRule="exact"/>
        </w:trPr>
        <w:tc>
          <w:tcPr>
            <w:tcW w:w="4396" w:type="dxa"/>
            <w:gridSpan w:val="4"/>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3"/>
              <w:jc w:val="left"/>
              <w:rPr>
                <w:rFonts w:ascii="宋体" w:hAnsi="宋体" w:cs="宋体" w:eastAsia="宋体" w:hint="default"/>
                <w:sz w:val="18"/>
                <w:szCs w:val="18"/>
              </w:rPr>
            </w:pPr>
            <w:r>
              <w:rPr>
                <w:rFonts w:ascii="宋体" w:hAnsi="宋体" w:cs="宋体" w:eastAsia="宋体" w:hint="default"/>
                <w:sz w:val="18"/>
                <w:szCs w:val="18"/>
              </w:rPr>
              <w:t>中国建设银行股份有限公司－富国中证军工指数分级证 券投资基金</w:t>
            </w:r>
          </w:p>
        </w:tc>
        <w:tc>
          <w:tcPr>
            <w:tcW w:w="247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633" w:right="0"/>
              <w:jc w:val="left"/>
              <w:rPr>
                <w:rFonts w:ascii="Times New Roman" w:hAnsi="Times New Roman" w:cs="Times New Roman" w:eastAsia="Times New Roman" w:hint="default"/>
                <w:sz w:val="18"/>
                <w:szCs w:val="18"/>
              </w:rPr>
            </w:pPr>
            <w:r>
              <w:rPr>
                <w:rFonts w:ascii="Times New Roman"/>
                <w:sz w:val="18"/>
              </w:rPr>
              <w:t>13,789,046</w:t>
            </w:r>
          </w:p>
        </w:tc>
        <w:tc>
          <w:tcPr>
            <w:tcW w:w="13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05" w:right="0"/>
              <w:jc w:val="left"/>
              <w:rPr>
                <w:rFonts w:ascii="Times New Roman" w:hAnsi="Times New Roman" w:cs="Times New Roman" w:eastAsia="Times New Roman" w:hint="default"/>
                <w:sz w:val="18"/>
                <w:szCs w:val="18"/>
              </w:rPr>
            </w:pPr>
            <w:r>
              <w:rPr>
                <w:rFonts w:ascii="Times New Roman"/>
                <w:sz w:val="18"/>
              </w:rPr>
              <w:t>13,789,046</w:t>
            </w:r>
          </w:p>
        </w:tc>
      </w:tr>
      <w:tr>
        <w:trPr>
          <w:trHeight w:val="402" w:hRule="exact"/>
        </w:trPr>
        <w:tc>
          <w:tcPr>
            <w:tcW w:w="439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于美艳</w:t>
            </w:r>
          </w:p>
        </w:tc>
        <w:tc>
          <w:tcPr>
            <w:tcW w:w="247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33" w:right="0"/>
              <w:jc w:val="left"/>
              <w:rPr>
                <w:rFonts w:ascii="Times New Roman" w:hAnsi="Times New Roman" w:cs="Times New Roman" w:eastAsia="Times New Roman" w:hint="default"/>
                <w:sz w:val="18"/>
                <w:szCs w:val="18"/>
              </w:rPr>
            </w:pPr>
            <w:r>
              <w:rPr>
                <w:rFonts w:ascii="Times New Roman"/>
                <w:sz w:val="18"/>
              </w:rPr>
              <w:t>13,707,296</w:t>
            </w:r>
          </w:p>
        </w:tc>
        <w:tc>
          <w:tcPr>
            <w:tcW w:w="13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5" w:right="0"/>
              <w:jc w:val="left"/>
              <w:rPr>
                <w:rFonts w:ascii="Times New Roman" w:hAnsi="Times New Roman" w:cs="Times New Roman" w:eastAsia="Times New Roman" w:hint="default"/>
                <w:sz w:val="18"/>
                <w:szCs w:val="18"/>
              </w:rPr>
            </w:pPr>
            <w:r>
              <w:rPr>
                <w:rFonts w:ascii="Times New Roman"/>
                <w:sz w:val="18"/>
              </w:rPr>
              <w:t>13,707,296</w:t>
            </w:r>
          </w:p>
        </w:tc>
      </w:tr>
      <w:tr>
        <w:trPr>
          <w:trHeight w:val="402" w:hRule="exact"/>
        </w:trPr>
        <w:tc>
          <w:tcPr>
            <w:tcW w:w="439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全国社保基金一零八组合</w:t>
            </w:r>
          </w:p>
        </w:tc>
        <w:tc>
          <w:tcPr>
            <w:tcW w:w="247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40" w:right="0"/>
              <w:jc w:val="left"/>
              <w:rPr>
                <w:rFonts w:ascii="Times New Roman" w:hAnsi="Times New Roman" w:cs="Times New Roman" w:eastAsia="Times New Roman" w:hint="default"/>
                <w:sz w:val="18"/>
                <w:szCs w:val="18"/>
              </w:rPr>
            </w:pPr>
            <w:r>
              <w:rPr>
                <w:rFonts w:ascii="Times New Roman"/>
                <w:sz w:val="18"/>
              </w:rPr>
              <w:t>11,727,398</w:t>
            </w:r>
          </w:p>
        </w:tc>
        <w:tc>
          <w:tcPr>
            <w:tcW w:w="13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2" w:right="0"/>
              <w:jc w:val="left"/>
              <w:rPr>
                <w:rFonts w:ascii="Times New Roman" w:hAnsi="Times New Roman" w:cs="Times New Roman" w:eastAsia="Times New Roman" w:hint="default"/>
                <w:sz w:val="18"/>
                <w:szCs w:val="18"/>
              </w:rPr>
            </w:pPr>
            <w:r>
              <w:rPr>
                <w:rFonts w:ascii="Times New Roman"/>
                <w:sz w:val="18"/>
              </w:rPr>
              <w:t>11,727,398</w:t>
            </w:r>
          </w:p>
        </w:tc>
      </w:tr>
      <w:tr>
        <w:trPr>
          <w:trHeight w:val="402" w:hRule="exact"/>
        </w:trPr>
        <w:tc>
          <w:tcPr>
            <w:tcW w:w="439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东海基金－浦发银行－云南国际信托－云南信托锦瑟年</w:t>
            </w:r>
          </w:p>
        </w:tc>
        <w:tc>
          <w:tcPr>
            <w:tcW w:w="247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40" w:right="0"/>
              <w:jc w:val="left"/>
              <w:rPr>
                <w:rFonts w:ascii="Times New Roman" w:hAnsi="Times New Roman" w:cs="Times New Roman" w:eastAsia="Times New Roman" w:hint="default"/>
                <w:sz w:val="18"/>
                <w:szCs w:val="18"/>
              </w:rPr>
            </w:pPr>
            <w:r>
              <w:rPr>
                <w:rFonts w:ascii="Times New Roman"/>
                <w:sz w:val="18"/>
              </w:rPr>
              <w:t>10,254,011</w:t>
            </w:r>
          </w:p>
        </w:tc>
        <w:tc>
          <w:tcPr>
            <w:tcW w:w="13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2" w:right="0"/>
              <w:jc w:val="left"/>
              <w:rPr>
                <w:rFonts w:ascii="Times New Roman" w:hAnsi="Times New Roman" w:cs="Times New Roman" w:eastAsia="Times New Roman" w:hint="default"/>
                <w:sz w:val="18"/>
                <w:szCs w:val="18"/>
              </w:rPr>
            </w:pPr>
            <w:r>
              <w:rPr>
                <w:rFonts w:ascii="Times New Roman"/>
                <w:sz w:val="18"/>
              </w:rPr>
              <w:t>10,254,011</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4396"/>
        <w:gridCol w:w="2476"/>
        <w:gridCol w:w="1352"/>
        <w:gridCol w:w="1348"/>
      </w:tblGrid>
      <w:tr>
        <w:trPr>
          <w:trHeight w:val="362" w:hRule="exact"/>
        </w:trPr>
        <w:tc>
          <w:tcPr>
            <w:tcW w:w="4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号集合资金信托计划</w:t>
            </w:r>
          </w:p>
        </w:tc>
        <w:tc>
          <w:tcPr>
            <w:tcW w:w="2476"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李新</w:t>
            </w:r>
          </w:p>
        </w:tc>
        <w:tc>
          <w:tcPr>
            <w:tcW w:w="2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8,456,728</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5" w:right="0"/>
              <w:jc w:val="left"/>
              <w:rPr>
                <w:rFonts w:ascii="Times New Roman" w:hAnsi="Times New Roman" w:cs="Times New Roman" w:eastAsia="Times New Roman" w:hint="default"/>
                <w:sz w:val="18"/>
                <w:szCs w:val="18"/>
              </w:rPr>
            </w:pPr>
            <w:r>
              <w:rPr>
                <w:rFonts w:ascii="Times New Roman"/>
                <w:sz w:val="18"/>
              </w:rPr>
              <w:t>8,456,728</w:t>
            </w:r>
          </w:p>
        </w:tc>
      </w:tr>
      <w:tr>
        <w:trPr>
          <w:trHeight w:val="1026" w:hRule="exact"/>
        </w:trPr>
        <w:tc>
          <w:tcPr>
            <w:tcW w:w="4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名无限售流通股股东之间，以及前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w:t>
            </w:r>
          </w:p>
          <w:p>
            <w:pPr>
              <w:pStyle w:val="TableParagraph"/>
              <w:spacing w:line="302" w:lineRule="auto" w:before="61"/>
              <w:ind w:left="22" w:right="132"/>
              <w:jc w:val="left"/>
              <w:rPr>
                <w:rFonts w:ascii="宋体" w:hAnsi="宋体" w:cs="宋体" w:eastAsia="宋体" w:hint="default"/>
                <w:sz w:val="18"/>
                <w:szCs w:val="18"/>
              </w:rPr>
            </w:pPr>
            <w:r>
              <w:rPr>
                <w:rFonts w:ascii="宋体" w:hAnsi="宋体" w:cs="宋体" w:eastAsia="宋体" w:hint="default"/>
                <w:sz w:val="18"/>
                <w:szCs w:val="18"/>
              </w:rPr>
              <w:t>通股股东和前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名股东之间关联关系或一致行动的说 明</w:t>
            </w:r>
          </w:p>
        </w:tc>
        <w:tc>
          <w:tcPr>
            <w:tcW w:w="5175" w:type="dxa"/>
            <w:gridSpan w:val="3"/>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01"/>
              <w:jc w:val="both"/>
              <w:rPr>
                <w:rFonts w:ascii="宋体" w:hAnsi="宋体" w:cs="宋体" w:eastAsia="宋体" w:hint="default"/>
                <w:sz w:val="18"/>
                <w:szCs w:val="18"/>
              </w:rPr>
            </w:pPr>
            <w:r>
              <w:rPr>
                <w:rFonts w:ascii="宋体" w:hAnsi="宋体" w:cs="宋体" w:eastAsia="宋体" w:hint="default"/>
                <w:sz w:val="18"/>
                <w:szCs w:val="18"/>
              </w:rPr>
              <w:t>中国电子科技网络信息安全有限公司为公司第一大股东，未知股 东之间是否存在关联关系，也未知是否属于《上市公司收购管理 办法》规定的一致行动人。</w:t>
            </w:r>
          </w:p>
        </w:tc>
      </w:tr>
      <w:tr>
        <w:trPr>
          <w:trHeight w:val="714" w:hRule="exact"/>
        </w:trPr>
        <w:tc>
          <w:tcPr>
            <w:tcW w:w="4396"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1"/>
              <w:ind w:left="22" w:right="-58"/>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名普通股股东参与融资融券业务情况说明（如有）</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5175" w:type="dxa"/>
            <w:gridSpan w:val="3"/>
            <w:tcBorders>
              <w:top w:val="single" w:sz="4" w:space="0" w:color="000000"/>
              <w:left w:val="single" w:sz="13" w:space="0" w:color="FFFFFF"/>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于美艳参与融资融券业务，信用账户持股数量为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13,617,296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p>
        </w:tc>
      </w:tr>
    </w:tbl>
    <w:p>
      <w:pPr>
        <w:pStyle w:val="BodyText"/>
        <w:spacing w:line="240" w:lineRule="auto" w:before="51"/>
        <w:ind w:right="1022"/>
        <w:jc w:val="left"/>
      </w:pPr>
      <w:r>
        <w:rPr/>
        <w:pict>
          <v:group style="position:absolute;margin-left:276.760010pt;margin-top:-35.718285pt;width:258.3pt;height:7.8pt;mso-position-horizontal-relative:page;mso-position-vertical-relative:paragraph;z-index:-1003336" coordorigin="5535,-714" coordsize="5166,156">
            <v:shape style="position:absolute;left:5535;top:-714;width:5166;height:156" coordorigin="5535,-714" coordsize="5166,156" path="m5535,-558l10700,-558,10700,-714,5535,-714,5535,-558xe" filled="true" fillcolor="#ffffff" stroked="false">
              <v:path arrowok="t"/>
              <v:fill type="solid"/>
            </v:shape>
            <w10:wrap type="none"/>
          </v:group>
        </w:pict>
      </w: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3"/>
        <w:ind w:right="102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pStyle w:val="BodyText"/>
        <w:spacing w:line="240" w:lineRule="auto" w:before="102"/>
        <w:ind w:right="1022"/>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9"/>
        <w:rPr>
          <w:rFonts w:ascii="宋体" w:hAnsi="宋体" w:cs="宋体" w:eastAsia="宋体" w:hint="default"/>
          <w:sz w:val="25"/>
          <w:szCs w:val="25"/>
        </w:rPr>
      </w:pPr>
    </w:p>
    <w:p>
      <w:pPr>
        <w:pStyle w:val="Heading3"/>
        <w:spacing w:line="240" w:lineRule="auto"/>
        <w:ind w:right="1022"/>
        <w:jc w:val="left"/>
        <w:rPr>
          <w:b w:val="0"/>
          <w:bCs w:val="0"/>
        </w:rPr>
      </w:pPr>
      <w:bookmarkStart w:name="2、公司控股股东情况" w:id="113"/>
      <w:bookmarkEnd w:id="113"/>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8412"/>
        <w:jc w:val="left"/>
      </w:pPr>
      <w:r>
        <w:rPr/>
        <w:t>控股股东性质：中央国有控股 控股股东类型：法人</w:t>
      </w:r>
    </w:p>
    <w:tbl>
      <w:tblPr>
        <w:tblW w:w="0" w:type="auto"/>
        <w:jc w:val="left"/>
        <w:tblInd w:w="149" w:type="dxa"/>
        <w:tblLayout w:type="fixed"/>
        <w:tblCellMar>
          <w:top w:w="0" w:type="dxa"/>
          <w:left w:w="0" w:type="dxa"/>
          <w:bottom w:w="0" w:type="dxa"/>
          <w:right w:w="0" w:type="dxa"/>
        </w:tblCellMar>
        <w:tblLook w:val="01E0"/>
      </w:tblPr>
      <w:tblGrid>
        <w:gridCol w:w="1997"/>
        <w:gridCol w:w="1122"/>
        <w:gridCol w:w="1559"/>
        <w:gridCol w:w="1843"/>
        <w:gridCol w:w="3047"/>
      </w:tblGrid>
      <w:tr>
        <w:trPr>
          <w:trHeight w:val="714" w:hRule="exact"/>
        </w:trPr>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53"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5" w:right="81" w:hanging="26"/>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 </w:t>
            </w:r>
            <w:r>
              <w:rPr>
                <w:rFonts w:ascii="宋体" w:hAnsi="宋体" w:cs="宋体" w:eastAsia="宋体" w:hint="default"/>
                <w:sz w:val="18"/>
                <w:szCs w:val="18"/>
              </w:rPr>
              <w:t>单位负责人</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成立日期</w:t>
            </w: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76"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3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78"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2274"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22" w:right="162"/>
              <w:jc w:val="left"/>
              <w:rPr>
                <w:rFonts w:ascii="宋体" w:hAnsi="宋体" w:cs="宋体" w:eastAsia="宋体" w:hint="default"/>
                <w:sz w:val="18"/>
                <w:szCs w:val="18"/>
              </w:rPr>
            </w:pPr>
            <w:r>
              <w:rPr>
                <w:rFonts w:ascii="宋体" w:hAnsi="宋体" w:cs="宋体" w:eastAsia="宋体" w:hint="default"/>
                <w:sz w:val="18"/>
                <w:szCs w:val="18"/>
              </w:rPr>
              <w:t>中国电子科技网络信息 安全有限公司</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卿昱</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91510122332070267C</w:t>
            </w:r>
          </w:p>
        </w:tc>
        <w:tc>
          <w:tcPr>
            <w:tcW w:w="30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left"/>
              <w:rPr>
                <w:rFonts w:ascii="宋体" w:hAnsi="宋体" w:cs="宋体" w:eastAsia="宋体" w:hint="default"/>
                <w:sz w:val="18"/>
                <w:szCs w:val="18"/>
              </w:rPr>
            </w:pPr>
            <w:r>
              <w:rPr>
                <w:rFonts w:ascii="宋体" w:hAnsi="宋体" w:cs="宋体" w:eastAsia="宋体" w:hint="default"/>
                <w:spacing w:val="-5"/>
                <w:sz w:val="18"/>
                <w:szCs w:val="18"/>
              </w:rPr>
              <w:t>计算机网络信息系统、信息安全、电磁</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5"/>
                <w:sz w:val="18"/>
                <w:szCs w:val="18"/>
              </w:rPr>
              <w:t>及频谱安全研究、开发及技术服务；计</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5"/>
                <w:sz w:val="18"/>
                <w:szCs w:val="18"/>
              </w:rPr>
              <w:t>算机软硬件、电磁防护、基础材料和元</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5"/>
                <w:sz w:val="18"/>
                <w:szCs w:val="18"/>
              </w:rPr>
              <w:t>器件技术开发、生产、销售、测评技术</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服务、技术转让及信息技术咨询服务； </w:t>
            </w:r>
            <w:r>
              <w:rPr>
                <w:rFonts w:ascii="宋体" w:hAnsi="宋体" w:cs="宋体" w:eastAsia="宋体" w:hint="default"/>
                <w:spacing w:val="-5"/>
                <w:sz w:val="18"/>
                <w:szCs w:val="18"/>
              </w:rPr>
              <w:t>系统集成及工程建设；从事货物进出口</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或技术进出口的对外经营业务。</w:t>
            </w:r>
          </w:p>
        </w:tc>
      </w:tr>
      <w:tr>
        <w:trPr>
          <w:trHeight w:val="1026" w:hRule="exact"/>
        </w:trPr>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62"/>
              <w:jc w:val="both"/>
              <w:rPr>
                <w:rFonts w:ascii="宋体" w:hAnsi="宋体" w:cs="宋体" w:eastAsia="宋体" w:hint="default"/>
                <w:sz w:val="18"/>
                <w:szCs w:val="18"/>
              </w:rPr>
            </w:pPr>
            <w:r>
              <w:rPr>
                <w:rFonts w:ascii="宋体" w:hAnsi="宋体" w:cs="宋体" w:eastAsia="宋体" w:hint="default"/>
                <w:sz w:val="18"/>
                <w:szCs w:val="18"/>
              </w:rPr>
              <w:t>控股股东报告期内控股 和参股的其他境内外上 市公司的股权情况</w:t>
            </w:r>
          </w:p>
        </w:tc>
        <w:tc>
          <w:tcPr>
            <w:tcW w:w="757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68"/>
        <w:ind w:right="1022"/>
        <w:jc w:val="left"/>
      </w:pPr>
      <w:r>
        <w:rPr/>
        <w:t>控股股东报告期内变更</w:t>
      </w:r>
    </w:p>
    <w:p>
      <w:pPr>
        <w:pStyle w:val="BodyText"/>
        <w:spacing w:line="338" w:lineRule="auto" w:before="117"/>
        <w:ind w:right="76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公司报告期控股股东未发生变更。</w:t>
      </w:r>
    </w:p>
    <w:p>
      <w:pPr>
        <w:spacing w:line="240" w:lineRule="auto" w:before="1"/>
        <w:rPr>
          <w:rFonts w:ascii="宋体" w:hAnsi="宋体" w:cs="宋体" w:eastAsia="宋体" w:hint="default"/>
          <w:sz w:val="21"/>
          <w:szCs w:val="21"/>
        </w:rPr>
      </w:pPr>
    </w:p>
    <w:p>
      <w:pPr>
        <w:pStyle w:val="Heading3"/>
        <w:spacing w:line="240" w:lineRule="auto"/>
        <w:ind w:right="1022"/>
        <w:jc w:val="left"/>
        <w:rPr>
          <w:b w:val="0"/>
          <w:bCs w:val="0"/>
        </w:rPr>
      </w:pPr>
      <w:bookmarkStart w:name="3、公司实际控制人及其一致行动人" w:id="114"/>
      <w:bookmarkEnd w:id="114"/>
      <w:r>
        <w:rPr>
          <w:b w:val="0"/>
          <w:bCs w:val="0"/>
        </w:rPr>
      </w:r>
      <w:r>
        <w:rPr>
          <w:rFonts w:ascii="Times New Roman" w:hAnsi="Times New Roman" w:cs="Times New Roman" w:eastAsia="Times New Roman" w:hint="default"/>
        </w:rPr>
        <w:t>3</w:t>
      </w:r>
      <w:r>
        <w:rPr/>
        <w:t>、公司实际控制人及其一致行动人</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7872"/>
        <w:jc w:val="left"/>
      </w:pPr>
      <w:r>
        <w:rPr/>
        <w:t>实际控制人性质：中央国资管理机构 实际控制人类型：法人</w:t>
      </w:r>
    </w:p>
    <w:tbl>
      <w:tblPr>
        <w:tblW w:w="0" w:type="auto"/>
        <w:jc w:val="left"/>
        <w:tblInd w:w="149" w:type="dxa"/>
        <w:tblLayout w:type="fixed"/>
        <w:tblCellMar>
          <w:top w:w="0" w:type="dxa"/>
          <w:left w:w="0" w:type="dxa"/>
          <w:bottom w:w="0" w:type="dxa"/>
          <w:right w:w="0" w:type="dxa"/>
        </w:tblCellMar>
        <w:tblLook w:val="01E0"/>
      </w:tblPr>
      <w:tblGrid>
        <w:gridCol w:w="1998"/>
        <w:gridCol w:w="1264"/>
        <w:gridCol w:w="1559"/>
        <w:gridCol w:w="1843"/>
        <w:gridCol w:w="2904"/>
      </w:tblGrid>
      <w:tr>
        <w:trPr>
          <w:trHeight w:val="714" w:hRule="exact"/>
        </w:trPr>
        <w:tc>
          <w:tcPr>
            <w:tcW w:w="19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63" w:right="0"/>
              <w:jc w:val="left"/>
              <w:rPr>
                <w:rFonts w:ascii="宋体" w:hAnsi="宋体" w:cs="宋体" w:eastAsia="宋体" w:hint="default"/>
                <w:sz w:val="18"/>
                <w:szCs w:val="18"/>
              </w:rPr>
            </w:pPr>
            <w:r>
              <w:rPr>
                <w:rFonts w:ascii="宋体" w:hAnsi="宋体" w:cs="宋体" w:eastAsia="宋体" w:hint="default"/>
                <w:sz w:val="18"/>
                <w:szCs w:val="18"/>
              </w:rPr>
              <w:t>实际控制人名称</w:t>
            </w:r>
          </w:p>
        </w:tc>
        <w:tc>
          <w:tcPr>
            <w:tcW w:w="12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66" w:right="60" w:hanging="206"/>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 位负责人</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成立日期</w:t>
            </w: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组织机构代码</w:t>
            </w:r>
          </w:p>
        </w:tc>
        <w:tc>
          <w:tcPr>
            <w:tcW w:w="2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07"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1338" w:hRule="exact"/>
        </w:trPr>
        <w:tc>
          <w:tcPr>
            <w:tcW w:w="1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65"/>
              <w:jc w:val="left"/>
              <w:rPr>
                <w:rFonts w:ascii="宋体" w:hAnsi="宋体" w:cs="宋体" w:eastAsia="宋体" w:hint="default"/>
                <w:sz w:val="18"/>
                <w:szCs w:val="18"/>
              </w:rPr>
            </w:pPr>
            <w:r>
              <w:rPr>
                <w:rFonts w:ascii="宋体" w:hAnsi="宋体" w:cs="宋体" w:eastAsia="宋体" w:hint="default"/>
                <w:sz w:val="18"/>
                <w:szCs w:val="18"/>
              </w:rPr>
              <w:t>中国电子科技集团有限 公司</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熊群力</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39"/>
              <w:jc w:val="center"/>
              <w:rPr>
                <w:rFonts w:ascii="Times New Roman" w:hAnsi="Times New Roman" w:cs="Times New Roman" w:eastAsia="Times New Roman" w:hint="default"/>
                <w:sz w:val="18"/>
                <w:szCs w:val="18"/>
              </w:rPr>
            </w:pPr>
            <w:r>
              <w:rPr>
                <w:rFonts w:ascii="Times New Roman"/>
                <w:sz w:val="18"/>
              </w:rPr>
              <w:t>91110000710929498G</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主要从事国家重要大型电子信息系 </w:t>
            </w:r>
            <w:r>
              <w:rPr>
                <w:rFonts w:ascii="宋体" w:hAnsi="宋体" w:cs="宋体" w:eastAsia="宋体" w:hint="default"/>
                <w:spacing w:val="-2"/>
                <w:sz w:val="18"/>
                <w:szCs w:val="18"/>
              </w:rPr>
              <w:t>统的工程建设，重大装备、通信与电</w:t>
            </w:r>
            <w:r>
              <w:rPr>
                <w:rFonts w:ascii="宋体" w:hAnsi="宋体" w:cs="宋体" w:eastAsia="宋体" w:hint="default"/>
                <w:sz w:val="18"/>
                <w:szCs w:val="18"/>
              </w:rPr>
              <w:t> </w:t>
            </w:r>
            <w:r>
              <w:rPr>
                <w:rFonts w:ascii="宋体" w:hAnsi="宋体" w:cs="宋体" w:eastAsia="宋体" w:hint="default"/>
                <w:spacing w:val="-2"/>
                <w:sz w:val="18"/>
                <w:szCs w:val="18"/>
              </w:rPr>
              <w:t>子设备、软件和关键元器件的研制生</w:t>
            </w:r>
            <w:r>
              <w:rPr>
                <w:rFonts w:ascii="宋体" w:hAnsi="宋体" w:cs="宋体" w:eastAsia="宋体" w:hint="default"/>
                <w:sz w:val="18"/>
                <w:szCs w:val="18"/>
              </w:rPr>
              <w:t> 产。</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4"/>
          <w:szCs w:val="24"/>
        </w:rPr>
      </w:pPr>
    </w:p>
    <w:p>
      <w:pPr>
        <w:pStyle w:val="BodyText"/>
        <w:spacing w:line="240" w:lineRule="auto" w:before="44"/>
        <w:ind w:left="0" w:right="1141"/>
        <w:jc w:val="right"/>
      </w:pPr>
      <w:r>
        <w:rPr/>
        <w:pict>
          <v:shape style="position:absolute;margin-left:56.459999pt;margin-top:-36.548309pt;width:479.2pt;height:87.5pt;mso-position-horizontal-relative:page;mso-position-vertical-relative:paragraph;z-index:14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98"/>
                    <w:gridCol w:w="1264"/>
                    <w:gridCol w:w="1559"/>
                    <w:gridCol w:w="1843"/>
                    <w:gridCol w:w="2904"/>
                  </w:tblGrid>
                  <w:tr>
                    <w:trPr>
                      <w:trHeight w:val="714" w:hRule="exact"/>
                    </w:trPr>
                    <w:tc>
                      <w:tcPr>
                        <w:tcW w:w="19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5"/>
                          <w:jc w:val="left"/>
                          <w:rPr>
                            <w:rFonts w:ascii="宋体" w:hAnsi="宋体" w:cs="宋体" w:eastAsia="宋体" w:hint="default"/>
                            <w:sz w:val="18"/>
                            <w:szCs w:val="18"/>
                          </w:rPr>
                        </w:pPr>
                        <w:r>
                          <w:rPr>
                            <w:rFonts w:ascii="宋体" w:hAnsi="宋体" w:cs="宋体" w:eastAsia="宋体" w:hint="default"/>
                            <w:sz w:val="18"/>
                            <w:szCs w:val="18"/>
                          </w:rPr>
                          <w:t>中电科投资控股有限公 司</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夏传浩</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9111000071783888XG</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pacing w:val="-3"/>
                            <w:sz w:val="18"/>
                            <w:szCs w:val="18"/>
                          </w:rPr>
                          <w:t>投资管理、股权投资、投资咨询；产</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权经纪。</w:t>
                        </w:r>
                      </w:p>
                    </w:tc>
                  </w:tr>
                  <w:tr>
                    <w:trPr>
                      <w:trHeight w:val="1026" w:hRule="exact"/>
                    </w:trPr>
                    <w:tc>
                      <w:tcPr>
                        <w:tcW w:w="19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5"/>
                          <w:jc w:val="both"/>
                          <w:rPr>
                            <w:rFonts w:ascii="宋体" w:hAnsi="宋体" w:cs="宋体" w:eastAsia="宋体" w:hint="default"/>
                            <w:sz w:val="18"/>
                            <w:szCs w:val="18"/>
                          </w:rPr>
                        </w:pPr>
                        <w:r>
                          <w:rPr>
                            <w:rFonts w:ascii="宋体" w:hAnsi="宋体" w:cs="宋体" w:eastAsia="宋体" w:hint="default"/>
                            <w:sz w:val="18"/>
                            <w:szCs w:val="18"/>
                          </w:rPr>
                          <w:t>实际控制人报告期内控 制的其他境内外上市公 司的股权情况</w:t>
                        </w:r>
                      </w:p>
                    </w:tc>
                    <w:tc>
                      <w:tcPr>
                        <w:tcW w:w="7570" w:type="dxa"/>
                        <w:gridSpan w:val="4"/>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5"/>
                          <w:jc w:val="both"/>
                          <w:rPr>
                            <w:rFonts w:ascii="宋体" w:hAnsi="宋体" w:cs="宋体" w:eastAsia="宋体" w:hint="default"/>
                            <w:sz w:val="18"/>
                            <w:szCs w:val="18"/>
                          </w:rPr>
                        </w:pPr>
                        <w:r>
                          <w:rPr>
                            <w:rFonts w:ascii="宋体" w:hAnsi="宋体" w:cs="宋体" w:eastAsia="宋体" w:hint="default"/>
                            <w:spacing w:val="-4"/>
                            <w:sz w:val="18"/>
                            <w:szCs w:val="18"/>
                          </w:rPr>
                          <w:t>间接控制安徽四创电子股份有限公司、上海华东电脑股份有限公司、广州杰赛科技股份有限公司</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z w:val="18"/>
                            <w:szCs w:val="18"/>
                          </w:rPr>
                          <w:t>太极计算机股份有限公司、国睿科技股份有限公司、杭州海康威视数字技术股份有限公司、 凤 凰光学股份有限公司、成都天奥电子股份有限公司等境内上市公司。</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7"/>
          <w:szCs w:val="17"/>
        </w:rPr>
      </w:pPr>
    </w:p>
    <w:p>
      <w:pPr>
        <w:pStyle w:val="BodyText"/>
        <w:spacing w:line="240" w:lineRule="auto" w:before="44"/>
        <w:ind w:right="1022"/>
        <w:jc w:val="left"/>
      </w:pPr>
      <w:r>
        <w:rPr/>
        <w:t>实际控制人报告期内变更</w:t>
      </w:r>
    </w:p>
    <w:p>
      <w:pPr>
        <w:pStyle w:val="BodyText"/>
        <w:spacing w:line="348" w:lineRule="auto" w:before="117"/>
        <w:ind w:right="67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公司报告期实际控制人未发生变更。 公司与实际控制人之间的产权及控制关系的方框图</w:t>
      </w:r>
    </w:p>
    <w:p>
      <w:pPr>
        <w:spacing w:line="240" w:lineRule="auto" w:before="4"/>
        <w:rPr>
          <w:rFonts w:ascii="宋体" w:hAnsi="宋体" w:cs="宋体" w:eastAsia="宋体" w:hint="default"/>
          <w:sz w:val="18"/>
          <w:szCs w:val="18"/>
        </w:rPr>
      </w:pPr>
    </w:p>
    <w:p>
      <w:pPr>
        <w:spacing w:line="3315" w:lineRule="exact"/>
        <w:ind w:left="1356" w:right="0" w:firstLine="0"/>
        <w:rPr>
          <w:rFonts w:ascii="宋体" w:hAnsi="宋体" w:cs="宋体" w:eastAsia="宋体" w:hint="default"/>
          <w:sz w:val="20"/>
          <w:szCs w:val="20"/>
        </w:rPr>
      </w:pPr>
      <w:r>
        <w:rPr>
          <w:rFonts w:ascii="宋体" w:hAnsi="宋体" w:cs="宋体" w:eastAsia="宋体" w:hint="default"/>
          <w:position w:val="-65"/>
          <w:sz w:val="20"/>
          <w:szCs w:val="20"/>
        </w:rPr>
        <w:drawing>
          <wp:inline distT="0" distB="0" distL="0" distR="0">
            <wp:extent cx="4592204" cy="2105025"/>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12" cstate="print"/>
                    <a:stretch>
                      <a:fillRect/>
                    </a:stretch>
                  </pic:blipFill>
                  <pic:spPr>
                    <a:xfrm>
                      <a:off x="0" y="0"/>
                      <a:ext cx="4592204" cy="2105025"/>
                    </a:xfrm>
                    <a:prstGeom prst="rect">
                      <a:avLst/>
                    </a:prstGeom>
                  </pic:spPr>
                </pic:pic>
              </a:graphicData>
            </a:graphic>
          </wp:inline>
        </w:drawing>
      </w:r>
      <w:r>
        <w:rPr>
          <w:rFonts w:ascii="宋体" w:hAnsi="宋体" w:cs="宋体" w:eastAsia="宋体" w:hint="default"/>
          <w:position w:val="-65"/>
          <w:sz w:val="20"/>
          <w:szCs w:val="20"/>
        </w:rPr>
      </w:r>
    </w:p>
    <w:p>
      <w:pPr>
        <w:spacing w:line="240" w:lineRule="auto" w:before="10"/>
        <w:rPr>
          <w:rFonts w:ascii="宋体" w:hAnsi="宋体" w:cs="宋体" w:eastAsia="宋体" w:hint="default"/>
          <w:sz w:val="20"/>
          <w:szCs w:val="20"/>
        </w:rPr>
      </w:pPr>
    </w:p>
    <w:p>
      <w:pPr>
        <w:pStyle w:val="BodyText"/>
        <w:spacing w:line="240" w:lineRule="auto"/>
        <w:ind w:right="1022"/>
        <w:jc w:val="left"/>
      </w:pPr>
      <w:r>
        <w:rPr/>
        <w:t>实际控制人通过信托或其他资产管理方式控制公司</w:t>
      </w:r>
    </w:p>
    <w:p>
      <w:pPr>
        <w:spacing w:line="240" w:lineRule="auto" w:before="3"/>
        <w:rPr>
          <w:rFonts w:ascii="宋体" w:hAnsi="宋体" w:cs="宋体" w:eastAsia="宋体" w:hint="default"/>
          <w:sz w:val="21"/>
          <w:szCs w:val="21"/>
        </w:rPr>
      </w:pPr>
    </w:p>
    <w:p>
      <w:pPr>
        <w:pStyle w:val="BodyText"/>
        <w:spacing w:line="240" w:lineRule="auto"/>
        <w:ind w:right="10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1022"/>
        <w:jc w:val="left"/>
        <w:rPr>
          <w:b w:val="0"/>
          <w:bCs w:val="0"/>
        </w:rPr>
      </w:pPr>
      <w:bookmarkStart w:name="4、其他持股在10%以上的法人股东" w:id="115"/>
      <w:bookmarkEnd w:id="115"/>
      <w:r>
        <w:rPr>
          <w:b w:val="0"/>
          <w:bCs w:val="0"/>
        </w:rPr>
      </w:r>
      <w:r>
        <w:rPr>
          <w:rFonts w:ascii="Times New Roman" w:hAnsi="Times New Roman" w:cs="Times New Roman" w:eastAsia="Times New Roman" w:hint="default"/>
        </w:rPr>
        <w:t>4</w:t>
      </w:r>
      <w:r>
        <w:rPr/>
        <w:t>、其他持股在</w:t>
      </w:r>
      <w:r>
        <w:rPr>
          <w:spacing w:val="-57"/>
        </w:rPr>
        <w:t> </w:t>
      </w:r>
      <w:r>
        <w:rPr>
          <w:rFonts w:ascii="Times New Roman" w:hAnsi="Times New Roman" w:cs="Times New Roman" w:eastAsia="Times New Roman" w:hint="default"/>
        </w:rPr>
        <w:t>10%</w:t>
      </w:r>
      <w:r>
        <w:rPr/>
        <w:t>以上的法人股东</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1022"/>
        <w:jc w:val="left"/>
        <w:rPr>
          <w:b w:val="0"/>
          <w:bCs w:val="0"/>
        </w:rPr>
      </w:pPr>
      <w:bookmarkStart w:name="5、控股股东、实际控制人、重组方及其他承诺主体股份限制减持情况" w:id="116"/>
      <w:bookmarkEnd w:id="116"/>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Heading4"/>
        <w:spacing w:line="256" w:lineRule="auto" w:before="75"/>
        <w:ind w:right="1132" w:firstLine="420"/>
        <w:jc w:val="both"/>
      </w:pPr>
      <w:r>
        <w:rPr>
          <w:spacing w:val="-1"/>
        </w:rPr>
        <w:t>中电科投资控股有限公司在</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8</w:t>
      </w:r>
      <w:r>
        <w:rPr>
          <w:spacing w:val="-1"/>
        </w:rPr>
        <w:t>月</w:t>
      </w:r>
      <w:r>
        <w:rPr>
          <w:rFonts w:ascii="Times New Roman" w:hAnsi="Times New Roman" w:cs="Times New Roman" w:eastAsia="Times New Roman" w:hint="default"/>
          <w:spacing w:val="-1"/>
        </w:rPr>
        <w:t>30</w:t>
      </w:r>
      <w:r>
        <w:rPr>
          <w:spacing w:val="-1"/>
        </w:rPr>
        <w:t>日至</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2</w:t>
      </w:r>
      <w:r>
        <w:rPr>
          <w:spacing w:val="-1"/>
        </w:rPr>
        <w:t>月</w:t>
      </w:r>
      <w:r>
        <w:rPr>
          <w:rFonts w:ascii="Times New Roman" w:hAnsi="Times New Roman" w:cs="Times New Roman" w:eastAsia="Times New Roman" w:hint="default"/>
          <w:spacing w:val="-1"/>
        </w:rPr>
        <w:t>28</w:t>
      </w:r>
      <w:r>
        <w:rPr>
          <w:spacing w:val="-1"/>
        </w:rPr>
        <w:t>日期间，通过深圳证券交易所交易系统集中</w:t>
      </w:r>
      <w:r>
        <w:rPr/>
        <w:t> 竞价交易累计增持公司股份</w:t>
      </w:r>
      <w:r>
        <w:rPr>
          <w:rFonts w:ascii="Times New Roman" w:hAnsi="Times New Roman" w:cs="Times New Roman" w:eastAsia="Times New Roman" w:hint="default"/>
        </w:rPr>
        <w:t>5,407,399</w:t>
      </w:r>
      <w:r>
        <w:rPr/>
        <w:t>股，占公司总股本的</w:t>
      </w:r>
      <w:r>
        <w:rPr>
          <w:rFonts w:ascii="Times New Roman" w:hAnsi="Times New Roman" w:cs="Times New Roman" w:eastAsia="Times New Roman" w:hint="default"/>
        </w:rPr>
        <w:t>0.65%</w:t>
      </w:r>
      <w:r>
        <w:rPr/>
        <w:t>。中电科投资控股有限公司承诺在法定期 限内不减持所持有的卫士通股份。</w:t>
      </w:r>
    </w:p>
    <w:p>
      <w:pPr>
        <w:spacing w:after="0" w:line="256"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286" w:right="1022"/>
        <w:jc w:val="left"/>
        <w:rPr>
          <w:b w:val="0"/>
          <w:bCs w:val="0"/>
        </w:rPr>
      </w:pPr>
      <w:bookmarkStart w:name="第七节 优先股相关情况" w:id="117"/>
      <w:bookmarkEnd w:id="117"/>
      <w:r>
        <w:rPr>
          <w:b w:val="0"/>
          <w:bCs w:val="0"/>
        </w:rPr>
      </w:r>
      <w:bookmarkStart w:name="_bookmark5" w:id="118"/>
      <w:bookmarkEnd w:id="118"/>
      <w:r>
        <w:rPr>
          <w:b w:val="0"/>
          <w:bCs w:val="0"/>
        </w:rPr>
      </w:r>
      <w:r>
        <w:rPr/>
        <w:t>第七节</w:t>
      </w:r>
      <w:r>
        <w:rPr>
          <w:spacing w:val="-8"/>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pStyle w:val="BodyText"/>
        <w:spacing w:line="340" w:lineRule="auto" w:before="44"/>
        <w:ind w:right="85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报告期公司不存在优先股。</w:t>
      </w:r>
    </w:p>
    <w:p>
      <w:pPr>
        <w:spacing w:after="0" w:line="3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1680" w:right="1022"/>
        <w:jc w:val="left"/>
        <w:rPr>
          <w:b w:val="0"/>
          <w:bCs w:val="0"/>
        </w:rPr>
      </w:pPr>
      <w:bookmarkStart w:name="第八节 董事、监事、高级管理人员和员工情况" w:id="119"/>
      <w:bookmarkEnd w:id="119"/>
      <w:r>
        <w:rPr>
          <w:b w:val="0"/>
          <w:bCs w:val="0"/>
        </w:rPr>
      </w:r>
      <w:bookmarkStart w:name="_bookmark6" w:id="120"/>
      <w:bookmarkEnd w:id="120"/>
      <w:r>
        <w:rPr>
          <w:b w:val="0"/>
          <w:bCs w:val="0"/>
        </w:rPr>
      </w:r>
      <w:r>
        <w:rPr/>
        <w:t>第八节</w:t>
      </w:r>
      <w:r>
        <w:rPr>
          <w:spacing w:val="-16"/>
        </w:rPr>
        <w:t> </w:t>
      </w:r>
      <w:r>
        <w:rPr/>
        <w:t>董事、监事、高级管理人员和员工情况</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1022"/>
        <w:jc w:val="left"/>
        <w:rPr>
          <w:b w:val="0"/>
          <w:bCs w:val="0"/>
        </w:rPr>
      </w:pPr>
      <w:bookmarkStart w:name="一、董事、监事和高级管理人员持股变动" w:id="121"/>
      <w:bookmarkEnd w:id="121"/>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533"/>
        <w:gridCol w:w="425"/>
        <w:gridCol w:w="425"/>
        <w:gridCol w:w="1276"/>
        <w:gridCol w:w="1330"/>
        <w:gridCol w:w="798"/>
        <w:gridCol w:w="798"/>
        <w:gridCol w:w="798"/>
        <w:gridCol w:w="798"/>
        <w:gridCol w:w="798"/>
      </w:tblGrid>
      <w:tr>
        <w:trPr>
          <w:trHeight w:val="1025"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80" w:right="80"/>
              <w:jc w:val="left"/>
              <w:rPr>
                <w:rFonts w:ascii="宋体" w:hAnsi="宋体" w:cs="宋体" w:eastAsia="宋体" w:hint="default"/>
                <w:sz w:val="18"/>
                <w:szCs w:val="18"/>
              </w:rPr>
            </w:pPr>
            <w:r>
              <w:rPr>
                <w:rFonts w:ascii="宋体" w:hAnsi="宋体" w:cs="宋体" w:eastAsia="宋体" w:hint="default"/>
                <w:sz w:val="18"/>
                <w:szCs w:val="18"/>
              </w:rPr>
              <w:t>任职 状态</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26"/>
              <w:jc w:val="right"/>
              <w:rPr>
                <w:rFonts w:ascii="宋体" w:hAnsi="宋体" w:cs="宋体" w:eastAsia="宋体" w:hint="default"/>
                <w:sz w:val="18"/>
                <w:szCs w:val="18"/>
              </w:rPr>
            </w:pPr>
            <w:r>
              <w:rPr>
                <w:rFonts w:ascii="宋体" w:hAnsi="宋体" w:cs="宋体" w:eastAsia="宋体" w:hint="default"/>
                <w:sz w:val="18"/>
                <w:szCs w:val="18"/>
              </w:rPr>
              <w:t>年龄</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9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18"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4" w:firstLine="10"/>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19"/>
                <w:sz w:val="18"/>
                <w:szCs w:val="18"/>
              </w:rPr>
              <w:t>变动（股）</w:t>
            </w:r>
            <w:r>
              <w:rPr>
                <w:rFonts w:ascii="宋体" w:hAnsi="宋体" w:cs="宋体" w:eastAsia="宋体" w:hint="default"/>
                <w:sz w:val="18"/>
                <w:szCs w:val="18"/>
              </w:rPr>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卿昱</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卿昱</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3,120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3,120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王文胜</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段启广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雷利民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1,607,952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1,607,952</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王忠海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42"/>
              <w:jc w:val="left"/>
              <w:rPr>
                <w:rFonts w:ascii="宋体" w:hAnsi="宋体" w:cs="宋体" w:eastAsia="宋体" w:hint="default"/>
                <w:sz w:val="18"/>
                <w:szCs w:val="18"/>
              </w:rPr>
            </w:pPr>
            <w:r>
              <w:rPr>
                <w:rFonts w:ascii="宋体" w:hAnsi="宋体" w:cs="宋体" w:eastAsia="宋体" w:hint="default"/>
                <w:sz w:val="18"/>
                <w:szCs w:val="18"/>
              </w:rPr>
              <w:t>董事、总 经理</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曹德骏</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周玮</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冯渊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李成刚</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32,000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许晓平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黄南平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沈逸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许晓平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2"/>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533"/>
        <w:gridCol w:w="425"/>
        <w:gridCol w:w="425"/>
        <w:gridCol w:w="1276"/>
        <w:gridCol w:w="1330"/>
        <w:gridCol w:w="798"/>
        <w:gridCol w:w="798"/>
        <w:gridCol w:w="798"/>
        <w:gridCol w:w="798"/>
        <w:gridCol w:w="798"/>
      </w:tblGrid>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程虹</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38"/>
              <w:jc w:val="righ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张述</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38"/>
              <w:jc w:val="righ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王忠海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2"/>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38"/>
              <w:jc w:val="right"/>
              <w:rPr>
                <w:rFonts w:ascii="宋体" w:hAnsi="宋体" w:cs="宋体" w:eastAsia="宋体" w:hint="default"/>
                <w:sz w:val="18"/>
                <w:szCs w:val="18"/>
              </w:rPr>
            </w:pPr>
            <w:r>
              <w:rPr>
                <w:rFonts w:ascii="宋体" w:hAnsi="宋体" w:cs="宋体" w:eastAsia="宋体" w:hint="default"/>
                <w:sz w:val="18"/>
                <w:szCs w:val="18"/>
              </w:rPr>
              <w:t>离任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魏洪宽</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38"/>
              <w:jc w:val="righ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赵秀玲</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38"/>
              <w:jc w:val="righ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周俊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38"/>
              <w:jc w:val="righ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董贵山</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2"/>
              <w:jc w:val="left"/>
              <w:rPr>
                <w:rFonts w:ascii="宋体" w:hAnsi="宋体" w:cs="宋体" w:eastAsia="宋体" w:hint="default"/>
                <w:sz w:val="18"/>
                <w:szCs w:val="18"/>
              </w:rPr>
            </w:pPr>
            <w:r>
              <w:rPr>
                <w:rFonts w:ascii="宋体" w:hAnsi="宋体" w:cs="宋体" w:eastAsia="宋体" w:hint="default"/>
                <w:sz w:val="18"/>
                <w:szCs w:val="18"/>
              </w:rPr>
              <w:t>副总经 理、总工 程师</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38"/>
              <w:jc w:val="righ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黄仁亮</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38"/>
              <w:jc w:val="righ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刘志惠</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2"/>
              <w:jc w:val="left"/>
              <w:rPr>
                <w:rFonts w:ascii="宋体" w:hAnsi="宋体" w:cs="宋体" w:eastAsia="宋体" w:hint="default"/>
                <w:sz w:val="18"/>
                <w:szCs w:val="18"/>
              </w:rPr>
            </w:pPr>
            <w:r>
              <w:rPr>
                <w:rFonts w:ascii="宋体" w:hAnsi="宋体" w:cs="宋体" w:eastAsia="宋体" w:hint="default"/>
                <w:sz w:val="18"/>
                <w:szCs w:val="18"/>
              </w:rPr>
              <w:t>副总经 理、财务 总监</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38"/>
              <w:jc w:val="righ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雷利民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38"/>
              <w:jc w:val="right"/>
              <w:rPr>
                <w:rFonts w:ascii="宋体" w:hAnsi="宋体" w:cs="宋体" w:eastAsia="宋体" w:hint="default"/>
                <w:sz w:val="18"/>
                <w:szCs w:val="18"/>
              </w:rPr>
            </w:pPr>
            <w:r>
              <w:rPr>
                <w:rFonts w:ascii="宋体" w:hAnsi="宋体" w:cs="宋体" w:eastAsia="宋体" w:hint="default"/>
                <w:sz w:val="18"/>
                <w:szCs w:val="18"/>
              </w:rPr>
              <w:t>离任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杨甫</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2"/>
              <w:jc w:val="left"/>
              <w:rPr>
                <w:rFonts w:ascii="宋体" w:hAnsi="宋体" w:cs="宋体" w:eastAsia="宋体" w:hint="default"/>
                <w:sz w:val="18"/>
                <w:szCs w:val="18"/>
              </w:rPr>
            </w:pPr>
            <w:r>
              <w:rPr>
                <w:rFonts w:ascii="宋体" w:hAnsi="宋体" w:cs="宋体" w:eastAsia="宋体" w:hint="default"/>
                <w:sz w:val="18"/>
                <w:szCs w:val="18"/>
              </w:rPr>
              <w:t>常务副总 经理</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38"/>
              <w:jc w:val="right"/>
              <w:rPr>
                <w:rFonts w:ascii="宋体" w:hAnsi="宋体" w:cs="宋体" w:eastAsia="宋体" w:hint="default"/>
                <w:sz w:val="18"/>
                <w:szCs w:val="18"/>
              </w:rPr>
            </w:pPr>
            <w:r>
              <w:rPr>
                <w:rFonts w:ascii="宋体" w:hAnsi="宋体" w:cs="宋体" w:eastAsia="宋体" w:hint="default"/>
                <w:sz w:val="18"/>
                <w:szCs w:val="18"/>
              </w:rPr>
              <w:t>离任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周文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38"/>
              <w:jc w:val="right"/>
              <w:rPr>
                <w:rFonts w:ascii="宋体" w:hAnsi="宋体" w:cs="宋体" w:eastAsia="宋体" w:hint="default"/>
                <w:sz w:val="18"/>
                <w:szCs w:val="18"/>
              </w:rPr>
            </w:pPr>
            <w:r>
              <w:rPr>
                <w:rFonts w:ascii="宋体" w:hAnsi="宋体" w:cs="宋体" w:eastAsia="宋体" w:hint="default"/>
                <w:sz w:val="18"/>
                <w:szCs w:val="18"/>
              </w:rPr>
              <w:t>离任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胡凯春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2"/>
              <w:jc w:val="left"/>
              <w:rPr>
                <w:rFonts w:ascii="宋体" w:hAnsi="宋体" w:cs="宋体" w:eastAsia="宋体" w:hint="default"/>
                <w:sz w:val="18"/>
                <w:szCs w:val="18"/>
              </w:rPr>
            </w:pPr>
            <w:r>
              <w:rPr>
                <w:rFonts w:ascii="宋体" w:hAnsi="宋体" w:cs="宋体" w:eastAsia="宋体" w:hint="default"/>
                <w:sz w:val="18"/>
                <w:szCs w:val="18"/>
              </w:rPr>
              <w:t>董秘、副 总经理</w:t>
            </w:r>
          </w:p>
        </w:tc>
        <w:tc>
          <w:tcPr>
            <w:tcW w:w="53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49,280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49,280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隆永红</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38"/>
              <w:jc w:val="right"/>
              <w:rPr>
                <w:rFonts w:ascii="宋体" w:hAnsi="宋体" w:cs="宋体" w:eastAsia="宋体" w:hint="default"/>
                <w:sz w:val="18"/>
                <w:szCs w:val="18"/>
              </w:rPr>
            </w:pPr>
            <w:r>
              <w:rPr>
                <w:rFonts w:ascii="宋体" w:hAnsi="宋体" w:cs="宋体" w:eastAsia="宋体" w:hint="default"/>
                <w:sz w:val="18"/>
                <w:szCs w:val="18"/>
              </w:rPr>
              <w:t>离任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00"/>
              <w:jc w:val="right"/>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1,692,352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1,692,352</w:t>
            </w:r>
          </w:p>
        </w:tc>
      </w:tr>
    </w:tbl>
    <w:p>
      <w:pPr>
        <w:spacing w:line="240" w:lineRule="auto" w:before="2"/>
        <w:rPr>
          <w:rFonts w:ascii="宋体" w:hAnsi="宋体" w:cs="宋体" w:eastAsia="宋体" w:hint="default"/>
          <w:b/>
          <w:bCs/>
          <w:sz w:val="18"/>
          <w:szCs w:val="18"/>
        </w:rPr>
      </w:pPr>
    </w:p>
    <w:p>
      <w:pPr>
        <w:pStyle w:val="Heading2"/>
        <w:spacing w:line="240" w:lineRule="auto" w:before="26"/>
        <w:ind w:right="1022"/>
        <w:jc w:val="left"/>
        <w:rPr>
          <w:b w:val="0"/>
          <w:bCs w:val="0"/>
        </w:rPr>
      </w:pPr>
      <w:bookmarkStart w:name="二、公司董事、监事、高级管理人员变动情况" w:id="122"/>
      <w:bookmarkEnd w:id="122"/>
      <w:r>
        <w:rPr>
          <w:b w:val="0"/>
          <w:bCs w:val="0"/>
        </w:rPr>
      </w:r>
      <w:r>
        <w:rPr/>
        <w:t>二、公司董事、监事、高级管理人员变动情况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0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994"/>
        <w:gridCol w:w="1842"/>
        <w:gridCol w:w="1276"/>
        <w:gridCol w:w="1843"/>
        <w:gridCol w:w="3614"/>
      </w:tblGrid>
      <w:tr>
        <w:trPr>
          <w:trHeight w:val="402"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0"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1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5"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类型</w:t>
            </w: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3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李成刚</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许晓平</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黄南平</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994"/>
        <w:gridCol w:w="1842"/>
        <w:gridCol w:w="1276"/>
        <w:gridCol w:w="1843"/>
        <w:gridCol w:w="3614"/>
      </w:tblGrid>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沈逸</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王忠海</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雷利民</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杨甫</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常务副总经理</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解聘</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工作变动</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周文</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解聘</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工作变动</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隆永红</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解聘</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主动辞职</w:t>
            </w:r>
          </w:p>
        </w:tc>
      </w:tr>
    </w:tbl>
    <w:p>
      <w:pPr>
        <w:spacing w:line="240" w:lineRule="auto" w:before="2"/>
        <w:rPr>
          <w:rFonts w:ascii="宋体" w:hAnsi="宋体" w:cs="宋体" w:eastAsia="宋体" w:hint="default"/>
          <w:sz w:val="18"/>
          <w:szCs w:val="18"/>
        </w:rPr>
      </w:pPr>
    </w:p>
    <w:p>
      <w:pPr>
        <w:pStyle w:val="Heading2"/>
        <w:spacing w:line="240" w:lineRule="auto" w:before="26"/>
        <w:ind w:right="0"/>
        <w:jc w:val="both"/>
        <w:rPr>
          <w:b w:val="0"/>
          <w:bCs w:val="0"/>
        </w:rPr>
      </w:pPr>
      <w:bookmarkStart w:name="三、任职情况" w:id="123"/>
      <w:bookmarkEnd w:id="123"/>
      <w:r>
        <w:rPr>
          <w:b w:val="0"/>
          <w:bCs w:val="0"/>
        </w:rPr>
      </w:r>
      <w:r>
        <w:rPr/>
        <w:t>三、任职情况</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left="514" w:right="1122" w:hanging="360"/>
        <w:jc w:val="left"/>
      </w:pPr>
      <w:r>
        <w:rPr/>
        <w:t>公司现任董事、监事、高级管理人员专业背景、主要工作经历以及目前在公司的主要职责 董事长卿昱女士：历任中国电子科技集团公司第三十研究所研究室副主任、主任、副总工程师、副所长；</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月至</w:t>
      </w:r>
    </w:p>
    <w:p>
      <w:pPr>
        <w:pStyle w:val="BodyText"/>
        <w:spacing w:line="214" w:lineRule="exact"/>
        <w:ind w:right="0"/>
        <w:jc w:val="both"/>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月，任中国电子科技网络信息安全有限公司副总经理；</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月，任中国电子科技集团公司第三十研</w:t>
      </w:r>
    </w:p>
    <w:p>
      <w:pPr>
        <w:pStyle w:val="BodyText"/>
        <w:spacing w:line="300" w:lineRule="auto" w:before="63"/>
        <w:ind w:right="1129"/>
        <w:jc w:val="both"/>
      </w:pPr>
      <w:r>
        <w:rPr>
          <w:spacing w:val="-2"/>
        </w:rPr>
        <w:t>究所党委副书记；</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4</w:t>
      </w:r>
      <w:r>
        <w:rPr>
          <w:spacing w:val="-2"/>
        </w:rPr>
        <w:t>月至今，任本公司董事；</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4</w:t>
      </w:r>
      <w:r>
        <w:rPr>
          <w:spacing w:val="-2"/>
        </w:rPr>
        <w:t>月至今，任中国电子科技集团公司第三十研究所咨询审议委员会</w:t>
      </w:r>
      <w:r>
        <w:rPr>
          <w:spacing w:val="-55"/>
        </w:rPr>
        <w:t> </w:t>
      </w:r>
      <w:r>
        <w:rPr>
          <w:spacing w:val="-55"/>
        </w:rPr>
      </w:r>
      <w:r>
        <w:rPr>
          <w:spacing w:val="-2"/>
        </w:rPr>
        <w:t>主任；</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5</w:t>
      </w:r>
      <w:r>
        <w:rPr>
          <w:spacing w:val="-2"/>
        </w:rPr>
        <w:t>月至今，任中国电子科技集团公司第三十研究所所长；</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月至今，任中国电子科技网络信息安全有限公</w:t>
      </w:r>
      <w:r>
        <w:rPr>
          <w:spacing w:val="-55"/>
        </w:rPr>
        <w:t> </w:t>
      </w:r>
      <w:r>
        <w:rPr>
          <w:spacing w:val="-55"/>
        </w:rPr>
      </w:r>
      <w:r>
        <w:rPr>
          <w:spacing w:val="-2"/>
        </w:rPr>
        <w:t>司董事长、党委书记；</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月至今，任中国电子科技集团公司第三十研究所所长、党委书记；</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4</w:t>
      </w:r>
      <w:r>
        <w:rPr>
          <w:spacing w:val="-2"/>
        </w:rPr>
        <w:t>月至今，任本公司</w:t>
      </w:r>
      <w:r>
        <w:rPr>
          <w:spacing w:val="-56"/>
        </w:rPr>
        <w:t> </w:t>
      </w:r>
      <w:r>
        <w:rPr>
          <w:spacing w:val="-56"/>
        </w:rPr>
      </w:r>
      <w:r>
        <w:rPr/>
        <w:t>董事长。</w:t>
      </w:r>
    </w:p>
    <w:p>
      <w:pPr>
        <w:pStyle w:val="BodyText"/>
        <w:spacing w:line="307" w:lineRule="auto" w:before="31"/>
        <w:ind w:right="1022" w:firstLine="360"/>
        <w:jc w:val="left"/>
      </w:pPr>
      <w:r>
        <w:rPr>
          <w:spacing w:val="-2"/>
        </w:rPr>
        <w:t>副董事长王文胜先生：历任中国电子科技集团公司第三十研究所研究室副主任、事业部主任、副总工程师、副所长、本</w:t>
      </w:r>
      <w:r>
        <w:rPr/>
        <w:t> 公司董事；</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月，任中国电子科技网络信息安全有限公司副总经理；</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月至今，任中国电子科技网 </w:t>
      </w:r>
      <w:r>
        <w:rPr>
          <w:spacing w:val="-2"/>
        </w:rPr>
        <w:t>络信息安全有限公司董事、常务副总经理、党委副书记、中国电子科技集团公司第三十研究所常务副所长；</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4</w:t>
      </w:r>
      <w:r>
        <w:rPr>
          <w:spacing w:val="-2"/>
        </w:rPr>
        <w:t>月至今，</w:t>
      </w:r>
      <w:r>
        <w:rPr>
          <w:spacing w:val="-59"/>
        </w:rPr>
        <w:t> </w:t>
      </w:r>
      <w:r>
        <w:rPr/>
        <w:t>任本公司副董事长。</w:t>
      </w:r>
    </w:p>
    <w:p>
      <w:pPr>
        <w:pStyle w:val="BodyText"/>
        <w:spacing w:line="300" w:lineRule="auto" w:before="26"/>
        <w:ind w:right="1122" w:firstLine="360"/>
        <w:jc w:val="left"/>
      </w:pPr>
      <w:r>
        <w:rPr/>
        <w:t>董事段启广先生：历任中国电子科技集团公司第十研究所财务处副处长、处长、副总会计师、总会计师；</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月至 今，任中国电子科技网络信息安全有限公司董事、总会计师；</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月至今，任本公司董事。</w:t>
      </w:r>
    </w:p>
    <w:p>
      <w:pPr>
        <w:pStyle w:val="BodyText"/>
        <w:spacing w:line="309" w:lineRule="auto" w:before="13"/>
        <w:ind w:right="1022" w:firstLine="360"/>
        <w:jc w:val="left"/>
      </w:pPr>
      <w:r>
        <w:rPr>
          <w:spacing w:val="-2"/>
        </w:rPr>
        <w:t>董事雷利民先生：历任中国电子科技集团公司第三十研究所研究室副主任、主任、所长助理、党政业务处处长、本公司</w:t>
      </w:r>
      <w:r>
        <w:rPr/>
        <w:t> </w:t>
      </w:r>
      <w:r>
        <w:rPr>
          <w:spacing w:val="-3"/>
        </w:rPr>
        <w:t>副总经理；</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5</w:t>
      </w:r>
      <w:r>
        <w:rPr>
          <w:spacing w:val="-3"/>
        </w:rPr>
        <w:t>月至</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4</w:t>
      </w:r>
      <w:r>
        <w:rPr>
          <w:spacing w:val="-3"/>
        </w:rPr>
        <w:t>月，任本公司总经理；</w:t>
      </w: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1</w:t>
      </w:r>
      <w:r>
        <w:rPr>
          <w:spacing w:val="-3"/>
        </w:rPr>
        <w:t>月至</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1</w:t>
      </w:r>
      <w:r>
        <w:rPr>
          <w:spacing w:val="-3"/>
        </w:rPr>
        <w:t>月，任中国电子科技网络信息安全有限公司董事；</w:t>
      </w:r>
      <w:r>
        <w:rPr>
          <w:spacing w:val="-69"/>
        </w:rPr>
        <w:t> </w:t>
      </w:r>
      <w:r>
        <w:rPr>
          <w:spacing w:val="-69"/>
        </w:rPr>
      </w:r>
      <w:r>
        <w:rPr>
          <w:rFonts w:ascii="Times New Roman" w:hAnsi="Times New Roman" w:cs="Times New Roman" w:eastAsia="Times New Roman" w:hint="default"/>
        </w:rPr>
        <w:t>2001</w:t>
      </w:r>
      <w:r>
        <w:rPr/>
        <w:t>年至今，任本公司董事。</w:t>
      </w:r>
    </w:p>
    <w:p>
      <w:pPr>
        <w:pStyle w:val="BodyText"/>
        <w:spacing w:line="312" w:lineRule="auto" w:before="5"/>
        <w:ind w:right="1032" w:firstLine="360"/>
        <w:jc w:val="left"/>
      </w:pPr>
      <w:r>
        <w:rPr/>
        <w:t>董事、总经理王忠海先生：历任中国电子科技集团公司第三十研究所纪审法规处处长、本公司副总经理、董事会秘书、 </w:t>
      </w:r>
      <w:r>
        <w:rPr>
          <w:spacing w:val="-2"/>
        </w:rPr>
        <w:t>财务总监、中国电子科技集团公司资产经营部资本运营处处长、中电科投资控股有限公司总经理助理、中国电子科技网络信</w:t>
      </w:r>
      <w:r>
        <w:rPr>
          <w:spacing w:val="-66"/>
        </w:rPr>
        <w:t> </w:t>
      </w:r>
      <w:r>
        <w:rPr>
          <w:spacing w:val="-66"/>
        </w:rPr>
      </w:r>
      <w:r>
        <w:rPr/>
        <w:t>息安全有限公司投资管理部总经理、总经理助理、总经济师、董事会秘书；</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月，任本公司监事会主席； </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月至今，任本公司董事、总经理。</w:t>
      </w:r>
    </w:p>
    <w:p>
      <w:pPr>
        <w:pStyle w:val="BodyText"/>
        <w:spacing w:line="300" w:lineRule="auto" w:before="3"/>
        <w:ind w:right="1035" w:firstLine="360"/>
        <w:jc w:val="left"/>
      </w:pPr>
      <w:r>
        <w:rPr>
          <w:spacing w:val="-5"/>
        </w:rPr>
        <w:t>董事王虎先生：历任成都工投资产经营有限公司主办会计、四川发展国际控股有限公司总经理助理、财务部总经理；</w:t>
      </w:r>
      <w:r>
        <w:rPr>
          <w:rFonts w:ascii="Times New Roman" w:hAnsi="Times New Roman" w:cs="Times New Roman" w:eastAsia="Times New Roman" w:hint="default"/>
          <w:spacing w:val="-5"/>
        </w:rPr>
        <w:t>2018</w:t>
      </w:r>
      <w:r>
        <w:rPr>
          <w:rFonts w:ascii="Times New Roman" w:hAnsi="Times New Roman" w:cs="Times New Roman" w:eastAsia="Times New Roman" w:hint="default"/>
        </w:rPr>
        <w:t> </w:t>
      </w:r>
      <w:r>
        <w:rPr>
          <w:spacing w:val="-3"/>
        </w:rPr>
        <w:t>年</w:t>
      </w:r>
      <w:r>
        <w:rPr>
          <w:rFonts w:ascii="Times New Roman" w:hAnsi="Times New Roman" w:cs="Times New Roman" w:eastAsia="Times New Roman" w:hint="default"/>
          <w:spacing w:val="-3"/>
        </w:rPr>
        <w:t>11</w:t>
      </w:r>
      <w:r>
        <w:rPr>
          <w:spacing w:val="-3"/>
        </w:rPr>
        <w:t>月至今，任天韵国际控股有限公司执行董事；</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1</w:t>
      </w:r>
      <w:r>
        <w:rPr>
          <w:spacing w:val="-3"/>
        </w:rPr>
        <w:t>月至今，任四川发展国际控股有限公司财务总监；</w:t>
      </w:r>
      <w:r>
        <w:rPr>
          <w:rFonts w:ascii="Times New Roman" w:hAnsi="Times New Roman" w:cs="Times New Roman" w:eastAsia="Times New Roman" w:hint="default"/>
          <w:spacing w:val="-3"/>
        </w:rPr>
        <w:t>2016</w:t>
      </w:r>
      <w:r>
        <w:rPr>
          <w:spacing w:val="-3"/>
        </w:rPr>
        <w:t>年</w:t>
      </w:r>
      <w:r>
        <w:rPr>
          <w:rFonts w:ascii="Times New Roman" w:hAnsi="Times New Roman" w:cs="Times New Roman" w:eastAsia="Times New Roman" w:hint="default"/>
          <w:spacing w:val="-3"/>
        </w:rPr>
        <w:t>8</w:t>
      </w:r>
      <w:r>
        <w:rPr>
          <w:spacing w:val="-3"/>
        </w:rPr>
        <w:t>月至今，</w:t>
      </w:r>
      <w:r>
        <w:rPr>
          <w:spacing w:val="-81"/>
        </w:rPr>
        <w:t> </w:t>
      </w:r>
      <w:r>
        <w:rPr/>
        <w:t>任本公司董事。</w:t>
      </w:r>
    </w:p>
    <w:p>
      <w:pPr>
        <w:pStyle w:val="BodyText"/>
        <w:spacing w:line="309" w:lineRule="auto" w:before="31"/>
        <w:ind w:right="1032" w:firstLine="360"/>
        <w:jc w:val="left"/>
      </w:pPr>
      <w:r>
        <w:rPr>
          <w:spacing w:val="-2"/>
        </w:rPr>
        <w:t>独立董事曹德骏先生：历任西南财经大学旅游管理学院副院长、国际商学院副院长、外事处处长、美国纽约州立奥尔巴</w:t>
      </w:r>
      <w:r>
        <w:rPr/>
        <w:t> 尼大学孔子学院中方院长；</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月至今，任西南财经大学商学院教授、教授委员会主席、博士生导师；</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7</w:t>
      </w:r>
      <w:r>
        <w:rPr/>
        <w:t>月至今， 任本公司独立董事。</w:t>
      </w:r>
    </w:p>
    <w:p>
      <w:pPr>
        <w:pStyle w:val="BodyText"/>
        <w:spacing w:line="300" w:lineRule="auto" w:before="24"/>
        <w:ind w:right="1122" w:firstLine="360"/>
        <w:jc w:val="left"/>
      </w:pPr>
      <w:r>
        <w:rPr/>
        <w:t>独立董事周玮先生：历任西南科技大学专业教师、北京大学博士后；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8</w:t>
      </w:r>
      <w:r>
        <w:rPr/>
        <w:t>月至今，任西南财经大学金融学院专业教 师、会计学副研究员；</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8</w:t>
      </w:r>
      <w:r>
        <w:rPr/>
        <w:t>月至今，任本公司独立董事。</w:t>
      </w:r>
    </w:p>
    <w:p>
      <w:pPr>
        <w:pStyle w:val="BodyText"/>
        <w:spacing w:line="309" w:lineRule="auto" w:before="13"/>
        <w:ind w:right="1032" w:firstLine="360"/>
        <w:jc w:val="left"/>
      </w:pPr>
      <w:r>
        <w:rPr/>
        <w:t>独立董事冯渊女士：历任四川华信（集团）会计师事务所经理、副总经理、中国证券监督管理委员会发审委专职委员、 </w:t>
      </w:r>
      <w:r>
        <w:rPr>
          <w:spacing w:val="-2"/>
        </w:rPr>
        <w:t>华西证券投行总部质量控制部总经理；</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2</w:t>
      </w:r>
      <w:r>
        <w:rPr>
          <w:spacing w:val="-2"/>
        </w:rPr>
        <w:t>月至今，任四川华信（集团）会计师事务所合伙人；</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4</w:t>
      </w:r>
      <w:r>
        <w:rPr>
          <w:spacing w:val="-2"/>
        </w:rPr>
        <w:t>月至今，任本公</w:t>
      </w:r>
      <w:r>
        <w:rPr>
          <w:spacing w:val="-56"/>
        </w:rPr>
        <w:t> </w:t>
      </w:r>
      <w:r>
        <w:rPr>
          <w:spacing w:val="-56"/>
        </w:rPr>
      </w:r>
      <w:r>
        <w:rPr/>
        <w:t>司独立董事。</w:t>
      </w:r>
    </w:p>
    <w:p>
      <w:pPr>
        <w:pStyle w:val="BodyText"/>
        <w:spacing w:line="309" w:lineRule="auto" w:before="24"/>
        <w:ind w:right="1131" w:firstLine="360"/>
        <w:jc w:val="both"/>
      </w:pPr>
      <w:r>
        <w:rPr>
          <w:spacing w:val="-2"/>
        </w:rPr>
        <w:t>监事会主席许晓平先生：历任中国电子科技集团公司第三十研究所副所长、中国电子科技集团公司科技部副主任（主持</w:t>
      </w:r>
      <w:r>
        <w:rPr/>
        <w:t> </w:t>
      </w:r>
      <w:r>
        <w:rPr>
          <w:spacing w:val="-2"/>
        </w:rPr>
        <w:t>工作）；</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4</w:t>
      </w:r>
      <w:r>
        <w:rPr>
          <w:spacing w:val="-2"/>
        </w:rPr>
        <w:t>月至</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月，任中国电子科技集团公司第三十研究所党委书记兼副所长；</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9</w:t>
      </w:r>
      <w:r>
        <w:rPr>
          <w:spacing w:val="-2"/>
        </w:rPr>
        <w:t>月至</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4</w:t>
      </w:r>
      <w:r>
        <w:rPr>
          <w:spacing w:val="-2"/>
        </w:rPr>
        <w:t>月，任本</w:t>
      </w:r>
      <w:r>
        <w:rPr>
          <w:spacing w:val="-46"/>
        </w:rPr>
        <w:t> </w:t>
      </w:r>
      <w:r>
        <w:rPr>
          <w:spacing w:val="-46"/>
        </w:rPr>
      </w:r>
      <w:r>
        <w:rPr/>
        <w:t>公司副董事长；</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10</w:t>
      </w:r>
      <w:r>
        <w:rPr/>
        <w:t>月至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月，任中国电子科技网络信息安全有限公司总经理；</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月，任中国</w:t>
      </w:r>
    </w:p>
    <w:p>
      <w:pPr>
        <w:spacing w:after="0" w:line="309"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before="44"/>
        <w:ind w:right="1032"/>
        <w:jc w:val="left"/>
      </w:pPr>
      <w:r>
        <w:rPr>
          <w:spacing w:val="-3"/>
        </w:rPr>
        <w:t>电子科技网络信息安全有限公司董事；</w:t>
      </w:r>
      <w:r>
        <w:rPr>
          <w:rFonts w:ascii="Times New Roman" w:hAnsi="Times New Roman" w:cs="Times New Roman" w:eastAsia="Times New Roman" w:hint="default"/>
          <w:spacing w:val="-3"/>
        </w:rPr>
        <w:t>2016</w:t>
      </w:r>
      <w:r>
        <w:rPr>
          <w:spacing w:val="-3"/>
        </w:rPr>
        <w:t>年</w:t>
      </w:r>
      <w:r>
        <w:rPr>
          <w:rFonts w:ascii="Times New Roman" w:hAnsi="Times New Roman" w:cs="Times New Roman" w:eastAsia="Times New Roman" w:hint="default"/>
          <w:spacing w:val="-3"/>
        </w:rPr>
        <w:t>8</w:t>
      </w:r>
      <w:r>
        <w:rPr>
          <w:spacing w:val="-3"/>
        </w:rPr>
        <w:t>月至</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1</w:t>
      </w:r>
      <w:r>
        <w:rPr>
          <w:spacing w:val="-3"/>
        </w:rPr>
        <w:t>月，任中国电子科技集团公司第三十三研究所所长、党委副书记、</w:t>
      </w:r>
      <w:r>
        <w:rPr>
          <w:spacing w:val="-84"/>
        </w:rPr>
        <w:t> </w:t>
      </w:r>
      <w:r>
        <w:rPr>
          <w:spacing w:val="-84"/>
        </w:rPr>
      </w:r>
      <w:r>
        <w:rPr>
          <w:spacing w:val="-2"/>
        </w:rPr>
        <w:t>咨询审议委员会主任；</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月至今，任中国电子科技网络信息安全有限公司监事会主席；</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4</w:t>
      </w:r>
      <w:r>
        <w:rPr>
          <w:spacing w:val="-2"/>
        </w:rPr>
        <w:t>月至今，任本公司监事</w:t>
      </w:r>
      <w:r>
        <w:rPr>
          <w:spacing w:val="-54"/>
        </w:rPr>
        <w:t> </w:t>
      </w:r>
      <w:r>
        <w:rPr>
          <w:spacing w:val="-54"/>
        </w:rPr>
      </w:r>
      <w:r>
        <w:rPr/>
        <w:t>会主席。</w:t>
      </w:r>
    </w:p>
    <w:p>
      <w:pPr>
        <w:pStyle w:val="BodyText"/>
        <w:spacing w:line="300" w:lineRule="auto" w:before="31"/>
        <w:ind w:right="1139" w:firstLine="360"/>
        <w:jc w:val="both"/>
      </w:pPr>
      <w:r>
        <w:rPr/>
        <w:t>监事程虹女士：曾任中国电子科技集团公司第三十研究所计审法规处副处长；</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w:t>
      </w:r>
      <w:r>
        <w:rPr/>
        <w:t>月至今，任中国电子科技集团公 司第三十研究所纪检监察审计处处长；</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月至今，任中国电子科技网络信息安全有限公司纪检监察审计部主任；</w:t>
      </w:r>
      <w:r>
        <w:rPr>
          <w:rFonts w:ascii="Times New Roman" w:hAnsi="Times New Roman" w:cs="Times New Roman" w:eastAsia="Times New Roman" w:hint="default"/>
        </w:rPr>
        <w:t>2011 </w:t>
      </w:r>
      <w:r>
        <w:rPr/>
        <w:t>年</w:t>
      </w:r>
      <w:r>
        <w:rPr>
          <w:rFonts w:ascii="Times New Roman" w:hAnsi="Times New Roman" w:cs="Times New Roman" w:eastAsia="Times New Roman" w:hint="default"/>
        </w:rPr>
        <w:t>5</w:t>
      </w:r>
      <w:r>
        <w:rPr/>
        <w:t>月至今，任本公司监事。</w:t>
      </w:r>
    </w:p>
    <w:p>
      <w:pPr>
        <w:pStyle w:val="BodyText"/>
        <w:spacing w:line="309" w:lineRule="auto" w:before="13"/>
        <w:ind w:right="1132" w:firstLine="360"/>
        <w:jc w:val="both"/>
      </w:pPr>
      <w:r>
        <w:rPr>
          <w:spacing w:val="-2"/>
        </w:rPr>
        <w:t>职工监事张述先生：曾先后在本公司办公室、发展规划部、市场部、项目管理部、税控事业部、行政部、信息中心与保</w:t>
      </w:r>
      <w:r>
        <w:rPr/>
        <w:t> 障部、生产检验中心工作；</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月到</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2</w:t>
      </w:r>
      <w:r>
        <w:rPr/>
        <w:t>月，任公司生产检验中心部门总经理；现任公司总经理助理；</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月至 今，任本公司职工监事。</w:t>
      </w:r>
    </w:p>
    <w:p>
      <w:pPr>
        <w:pStyle w:val="BodyText"/>
        <w:spacing w:line="316" w:lineRule="auto" w:before="24"/>
        <w:ind w:right="1042" w:firstLine="360"/>
        <w:jc w:val="both"/>
      </w:pPr>
      <w:r>
        <w:rPr>
          <w:spacing w:val="-2"/>
        </w:rPr>
        <w:t>副总经理魏洪宽先生：历任本公司项目管理部经理、产品部主任、政府行业销售部经理、电子商务安全部经理、总经理</w:t>
      </w:r>
      <w:r>
        <w:rPr/>
        <w:t> </w:t>
      </w:r>
      <w:r>
        <w:rPr>
          <w:spacing w:val="-2"/>
        </w:rPr>
        <w:t>助理、副总经理、中国电子科技网络信息安全有限公司经营发展部副总经理、总经理；</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4</w:t>
      </w:r>
      <w:r>
        <w:rPr>
          <w:spacing w:val="-2"/>
        </w:rPr>
        <w:t>月至今，任本公司副总经理。</w:t>
      </w:r>
    </w:p>
    <w:p>
      <w:pPr>
        <w:pStyle w:val="BodyText"/>
        <w:spacing w:line="300" w:lineRule="auto"/>
        <w:ind w:left="514" w:right="1022"/>
        <w:jc w:val="left"/>
      </w:pPr>
      <w:r>
        <w:rPr/>
        <w:t>副总经理赵秀玲女士：历任本公司市场部主任、市场总监、电子政务事业部经理；</w:t>
      </w:r>
      <w:r>
        <w:rPr>
          <w:rFonts w:ascii="Times New Roman" w:hAnsi="Times New Roman" w:cs="Times New Roman" w:eastAsia="Times New Roman" w:hint="default"/>
        </w:rPr>
        <w:t>2003</w:t>
      </w:r>
      <w:r>
        <w:rPr/>
        <w:t>年至今，任本公司副总经理。 副总经理周俊先生：曾任中国电子科技集团公司第三十研究所专业部副主任；</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8</w:t>
      </w:r>
      <w:r>
        <w:rPr/>
        <w:t>月至今，任本公司副总经理。 </w:t>
      </w:r>
      <w:r>
        <w:rPr>
          <w:spacing w:val="-2"/>
        </w:rPr>
        <w:t>副总经理、总工程师董贵山先生：历任本公司研发部经理、事业部副总经理、副总工程师、中国电子科技集团公司第三</w:t>
      </w:r>
    </w:p>
    <w:p>
      <w:pPr>
        <w:pStyle w:val="BodyText"/>
        <w:spacing w:line="316" w:lineRule="auto" w:before="31"/>
        <w:ind w:right="1022"/>
        <w:jc w:val="left"/>
      </w:pPr>
      <w:r>
        <w:rPr>
          <w:spacing w:val="-2"/>
        </w:rPr>
        <w:t>十研究所三十所专项副总师、高级专家、副总工程师、中国电子科技集团有限公司网络空间安全专业领域首席专家、中国电</w:t>
      </w:r>
      <w:r>
        <w:rPr>
          <w:spacing w:val="-66"/>
        </w:rPr>
        <w:t> </w:t>
      </w:r>
      <w:r>
        <w:rPr>
          <w:spacing w:val="-66"/>
        </w:rPr>
      </w:r>
      <w:r>
        <w:rPr/>
        <w:t>子科技网络信息安全有限公司副总工程师；</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月至今，任本公司副总经理、总工程师。</w:t>
      </w:r>
    </w:p>
    <w:p>
      <w:pPr>
        <w:pStyle w:val="BodyText"/>
        <w:spacing w:line="316" w:lineRule="auto"/>
        <w:ind w:right="1132" w:firstLine="360"/>
        <w:jc w:val="both"/>
      </w:pPr>
      <w:r>
        <w:rPr>
          <w:spacing w:val="-2"/>
        </w:rPr>
        <w:t>副总经理黄仁亮先生：历任中国电子科技集团公司第三十研究所计划处副处长、成都三零嘉微电子有限公司常务副总经</w:t>
      </w:r>
      <w:r>
        <w:rPr/>
        <w:t> 理、总经理、成都三零瑞通移动通信有限公司总经理；</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月至今，任本公司副总经理。</w:t>
      </w:r>
    </w:p>
    <w:p>
      <w:pPr>
        <w:pStyle w:val="BodyText"/>
        <w:spacing w:line="309" w:lineRule="auto"/>
        <w:ind w:right="1133" w:firstLine="360"/>
        <w:jc w:val="both"/>
      </w:pPr>
      <w:r>
        <w:rPr>
          <w:spacing w:val="-2"/>
        </w:rPr>
        <w:t>副总经理、财务总监刘志惠女士：历任本公司证券部经理、证券事务代表、内部审计部主任、中国电子科技集团公司第</w:t>
      </w:r>
      <w:r>
        <w:rPr/>
        <w:t> 三十研究所财务处副处长、中国电子科技网络信息安全有限公司财务部副总经理；</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月至今，任本公司副总经理、财 务总监。</w:t>
      </w:r>
    </w:p>
    <w:p>
      <w:pPr>
        <w:pStyle w:val="BodyText"/>
        <w:spacing w:line="240" w:lineRule="auto" w:before="65"/>
        <w:ind w:right="1022"/>
        <w:jc w:val="left"/>
      </w:pPr>
      <w:r>
        <w:rPr/>
        <w:t>在股东单位任职情况</w:t>
      </w:r>
    </w:p>
    <w:p>
      <w:pPr>
        <w:pStyle w:val="BodyText"/>
        <w:spacing w:line="240" w:lineRule="auto" w:before="117"/>
        <w:ind w:right="10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710"/>
        <w:gridCol w:w="2977"/>
        <w:gridCol w:w="1418"/>
        <w:gridCol w:w="1632"/>
        <w:gridCol w:w="1487"/>
        <w:gridCol w:w="1345"/>
      </w:tblGrid>
      <w:tr>
        <w:trPr>
          <w:trHeight w:val="714" w:hRule="exact"/>
        </w:trPr>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9" w:right="78"/>
              <w:jc w:val="left"/>
              <w:rPr>
                <w:rFonts w:ascii="宋体" w:hAnsi="宋体" w:cs="宋体" w:eastAsia="宋体" w:hint="default"/>
                <w:sz w:val="18"/>
                <w:szCs w:val="18"/>
              </w:rPr>
            </w:pPr>
            <w:r>
              <w:rPr>
                <w:rFonts w:ascii="宋体" w:hAnsi="宋体" w:cs="宋体" w:eastAsia="宋体" w:hint="default"/>
                <w:sz w:val="18"/>
                <w:szCs w:val="18"/>
              </w:rPr>
              <w:t>任职人 员姓名</w:t>
            </w:r>
          </w:p>
        </w:tc>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股东单位名称</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3" w:right="72" w:hanging="360"/>
              <w:jc w:val="left"/>
              <w:rPr>
                <w:rFonts w:ascii="宋体" w:hAnsi="宋体" w:cs="宋体" w:eastAsia="宋体" w:hint="default"/>
                <w:sz w:val="18"/>
                <w:szCs w:val="18"/>
              </w:rPr>
            </w:pPr>
            <w:r>
              <w:rPr>
                <w:rFonts w:ascii="宋体" w:hAnsi="宋体" w:cs="宋体" w:eastAsia="宋体" w:hint="default"/>
                <w:sz w:val="18"/>
                <w:szCs w:val="18"/>
              </w:rPr>
              <w:t>在股东单位担任 的职务</w:t>
            </w:r>
          </w:p>
        </w:tc>
        <w:tc>
          <w:tcPr>
            <w:tcW w:w="16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4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27" w:right="36" w:hanging="90"/>
              <w:jc w:val="left"/>
              <w:rPr>
                <w:rFonts w:ascii="宋体" w:hAnsi="宋体" w:cs="宋体" w:eastAsia="宋体" w:hint="default"/>
                <w:sz w:val="18"/>
                <w:szCs w:val="18"/>
              </w:rPr>
            </w:pPr>
            <w:r>
              <w:rPr>
                <w:rFonts w:ascii="宋体" w:hAnsi="宋体" w:cs="宋体" w:eastAsia="宋体" w:hint="default"/>
                <w:sz w:val="18"/>
                <w:szCs w:val="18"/>
              </w:rPr>
              <w:t>在股东单位是否 领取报酬津贴</w:t>
            </w:r>
          </w:p>
        </w:tc>
      </w:tr>
      <w:tr>
        <w:trPr>
          <w:trHeight w:val="402"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卿昱</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1"/>
              <w:jc w:val="center"/>
              <w:rPr>
                <w:rFonts w:ascii="宋体" w:hAnsi="宋体" w:cs="宋体" w:eastAsia="宋体" w:hint="default"/>
                <w:sz w:val="18"/>
                <w:szCs w:val="18"/>
              </w:rPr>
            </w:pPr>
            <w:r>
              <w:rPr>
                <w:rFonts w:ascii="宋体" w:hAnsi="宋体" w:cs="宋体" w:eastAsia="宋体" w:hint="default"/>
                <w:sz w:val="18"/>
                <w:szCs w:val="18"/>
              </w:rPr>
              <w:t>中国电子科技网络信息安全有限公司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党委书记、董事</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87"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卿昱</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1"/>
              <w:jc w:val="center"/>
              <w:rPr>
                <w:rFonts w:ascii="宋体" w:hAnsi="宋体" w:cs="宋体" w:eastAsia="宋体" w:hint="default"/>
                <w:sz w:val="18"/>
                <w:szCs w:val="18"/>
              </w:rPr>
            </w:pPr>
            <w:r>
              <w:rPr>
                <w:rFonts w:ascii="宋体" w:hAnsi="宋体" w:cs="宋体" w:eastAsia="宋体" w:hint="default"/>
                <w:sz w:val="18"/>
                <w:szCs w:val="18"/>
              </w:rPr>
              <w:t>中国电子科技网络信息安全有限公司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87"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卿昱</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1"/>
              <w:jc w:val="center"/>
              <w:rPr>
                <w:rFonts w:ascii="宋体" w:hAnsi="宋体" w:cs="宋体" w:eastAsia="宋体" w:hint="default"/>
                <w:sz w:val="18"/>
                <w:szCs w:val="18"/>
              </w:rPr>
            </w:pPr>
            <w:r>
              <w:rPr>
                <w:rFonts w:ascii="宋体" w:hAnsi="宋体" w:cs="宋体" w:eastAsia="宋体" w:hint="default"/>
                <w:sz w:val="18"/>
                <w:szCs w:val="18"/>
              </w:rPr>
              <w:t>中国电子科技网络信息安全有限公司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王文胜</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1"/>
              <w:jc w:val="center"/>
              <w:rPr>
                <w:rFonts w:ascii="宋体" w:hAnsi="宋体" w:cs="宋体" w:eastAsia="宋体" w:hint="default"/>
                <w:sz w:val="18"/>
                <w:szCs w:val="18"/>
              </w:rPr>
            </w:pPr>
            <w:r>
              <w:rPr>
                <w:rFonts w:ascii="宋体" w:hAnsi="宋体" w:cs="宋体" w:eastAsia="宋体" w:hint="default"/>
                <w:sz w:val="18"/>
                <w:szCs w:val="18"/>
              </w:rPr>
              <w:t>中国电子科技网络信息安全有限公司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r>
              <w:rPr>
                <w:rFonts w:ascii="宋体" w:hAnsi="宋体" w:cs="宋体" w:eastAsia="宋体" w:hint="default"/>
                <w:spacing w:val="-80"/>
                <w:sz w:val="18"/>
                <w:szCs w:val="18"/>
              </w:rPr>
              <w:t>、</w:t>
            </w:r>
            <w:r>
              <w:rPr>
                <w:rFonts w:ascii="宋体" w:hAnsi="宋体" w:cs="宋体" w:eastAsia="宋体" w:hint="default"/>
                <w:sz w:val="18"/>
                <w:szCs w:val="18"/>
              </w:rPr>
              <w:t>党委副书记</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87"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王文胜</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1"/>
              <w:jc w:val="center"/>
              <w:rPr>
                <w:rFonts w:ascii="宋体" w:hAnsi="宋体" w:cs="宋体" w:eastAsia="宋体" w:hint="default"/>
                <w:sz w:val="18"/>
                <w:szCs w:val="18"/>
              </w:rPr>
            </w:pPr>
            <w:r>
              <w:rPr>
                <w:rFonts w:ascii="宋体" w:hAnsi="宋体" w:cs="宋体" w:eastAsia="宋体" w:hint="default"/>
                <w:sz w:val="18"/>
                <w:szCs w:val="18"/>
              </w:rPr>
              <w:t>中国电子科技网络信息安全有限公司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常务副总经理</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87"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王文胜</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1"/>
              <w:jc w:val="center"/>
              <w:rPr>
                <w:rFonts w:ascii="宋体" w:hAnsi="宋体" w:cs="宋体" w:eastAsia="宋体" w:hint="default"/>
                <w:sz w:val="18"/>
                <w:szCs w:val="18"/>
              </w:rPr>
            </w:pPr>
            <w:r>
              <w:rPr>
                <w:rFonts w:ascii="宋体" w:hAnsi="宋体" w:cs="宋体" w:eastAsia="宋体" w:hint="default"/>
                <w:sz w:val="18"/>
                <w:szCs w:val="18"/>
              </w:rPr>
              <w:t>中国电子科技网络信息安全有限公司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段启广</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1"/>
              <w:jc w:val="center"/>
              <w:rPr>
                <w:rFonts w:ascii="宋体" w:hAnsi="宋体" w:cs="宋体" w:eastAsia="宋体" w:hint="default"/>
                <w:sz w:val="18"/>
                <w:szCs w:val="18"/>
              </w:rPr>
            </w:pPr>
            <w:r>
              <w:rPr>
                <w:rFonts w:ascii="宋体" w:hAnsi="宋体" w:cs="宋体" w:eastAsia="宋体" w:hint="default"/>
                <w:sz w:val="18"/>
                <w:szCs w:val="18"/>
              </w:rPr>
              <w:t>中国电子科技网络信息安全有限公司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87"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段启广</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1"/>
              <w:jc w:val="center"/>
              <w:rPr>
                <w:rFonts w:ascii="宋体" w:hAnsi="宋体" w:cs="宋体" w:eastAsia="宋体" w:hint="default"/>
                <w:sz w:val="18"/>
                <w:szCs w:val="18"/>
              </w:rPr>
            </w:pPr>
            <w:r>
              <w:rPr>
                <w:rFonts w:ascii="宋体" w:hAnsi="宋体" w:cs="宋体" w:eastAsia="宋体" w:hint="default"/>
                <w:sz w:val="18"/>
                <w:szCs w:val="18"/>
              </w:rPr>
              <w:t>中国电子科技网络信息安全有限公司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总会计师</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87"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雷利民</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1"/>
              <w:jc w:val="center"/>
              <w:rPr>
                <w:rFonts w:ascii="宋体" w:hAnsi="宋体" w:cs="宋体" w:eastAsia="宋体" w:hint="default"/>
                <w:sz w:val="18"/>
                <w:szCs w:val="18"/>
              </w:rPr>
            </w:pPr>
            <w:r>
              <w:rPr>
                <w:rFonts w:ascii="宋体" w:hAnsi="宋体" w:cs="宋体" w:eastAsia="宋体" w:hint="default"/>
                <w:sz w:val="18"/>
                <w:szCs w:val="18"/>
              </w:rPr>
              <w:t>中国电子科技网络信息安全有限公司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许晓平</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1"/>
              <w:jc w:val="center"/>
              <w:rPr>
                <w:rFonts w:ascii="宋体" w:hAnsi="宋体" w:cs="宋体" w:eastAsia="宋体" w:hint="default"/>
                <w:sz w:val="18"/>
                <w:szCs w:val="18"/>
              </w:rPr>
            </w:pPr>
            <w:r>
              <w:rPr>
                <w:rFonts w:ascii="宋体" w:hAnsi="宋体" w:cs="宋体" w:eastAsia="宋体" w:hint="default"/>
                <w:sz w:val="18"/>
                <w:szCs w:val="18"/>
              </w:rPr>
              <w:t>中国电子科技网络信息安全有限公司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87"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许晓平</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1"/>
              <w:jc w:val="center"/>
              <w:rPr>
                <w:rFonts w:ascii="宋体" w:hAnsi="宋体" w:cs="宋体" w:eastAsia="宋体" w:hint="default"/>
                <w:sz w:val="18"/>
                <w:szCs w:val="18"/>
              </w:rPr>
            </w:pPr>
            <w:r>
              <w:rPr>
                <w:rFonts w:ascii="宋体" w:hAnsi="宋体" w:cs="宋体" w:eastAsia="宋体" w:hint="default"/>
                <w:sz w:val="18"/>
                <w:szCs w:val="18"/>
              </w:rPr>
              <w:t>中国电子科技网络信息安全有限公司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许晓平</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1"/>
              <w:jc w:val="center"/>
              <w:rPr>
                <w:rFonts w:ascii="宋体" w:hAnsi="宋体" w:cs="宋体" w:eastAsia="宋体" w:hint="default"/>
                <w:sz w:val="18"/>
                <w:szCs w:val="18"/>
              </w:rPr>
            </w:pPr>
            <w:r>
              <w:rPr>
                <w:rFonts w:ascii="宋体" w:hAnsi="宋体" w:cs="宋体" w:eastAsia="宋体" w:hint="default"/>
                <w:sz w:val="18"/>
                <w:szCs w:val="18"/>
              </w:rPr>
              <w:t>中国电子科技网络信息安全有限公司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程虹</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1"/>
              <w:jc w:val="center"/>
              <w:rPr>
                <w:rFonts w:ascii="宋体" w:hAnsi="宋体" w:cs="宋体" w:eastAsia="宋体" w:hint="default"/>
                <w:sz w:val="18"/>
                <w:szCs w:val="18"/>
              </w:rPr>
            </w:pPr>
            <w:r>
              <w:rPr>
                <w:rFonts w:ascii="宋体" w:hAnsi="宋体" w:cs="宋体" w:eastAsia="宋体" w:hint="default"/>
                <w:sz w:val="18"/>
                <w:szCs w:val="18"/>
              </w:rPr>
              <w:t>中国电子科技网络信息安全有限公司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3"/>
              <w:jc w:val="left"/>
              <w:rPr>
                <w:rFonts w:ascii="宋体" w:hAnsi="宋体" w:cs="宋体" w:eastAsia="宋体" w:hint="default"/>
                <w:sz w:val="18"/>
                <w:szCs w:val="18"/>
              </w:rPr>
            </w:pPr>
            <w:r>
              <w:rPr>
                <w:rFonts w:ascii="宋体" w:hAnsi="宋体" w:cs="宋体" w:eastAsia="宋体" w:hint="default"/>
                <w:sz w:val="18"/>
                <w:szCs w:val="18"/>
              </w:rPr>
              <w:t>纪检监察审计部 主任</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87"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10"/>
        <w:gridCol w:w="2977"/>
        <w:gridCol w:w="1418"/>
        <w:gridCol w:w="1632"/>
        <w:gridCol w:w="1487"/>
        <w:gridCol w:w="1345"/>
      </w:tblGrid>
      <w:tr>
        <w:trPr>
          <w:trHeight w:val="71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魏洪宽</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中国电子科技网络信息安全有限公司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3"/>
              <w:jc w:val="left"/>
              <w:rPr>
                <w:rFonts w:ascii="宋体" w:hAnsi="宋体" w:cs="宋体" w:eastAsia="宋体" w:hint="default"/>
                <w:sz w:val="18"/>
                <w:szCs w:val="18"/>
              </w:rPr>
            </w:pPr>
            <w:r>
              <w:rPr>
                <w:rFonts w:ascii="宋体" w:hAnsi="宋体" w:cs="宋体" w:eastAsia="宋体" w:hint="default"/>
                <w:sz w:val="18"/>
                <w:szCs w:val="18"/>
              </w:rPr>
              <w:t>经营发展部总经 理</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刘志惠</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中国电子科技网络信息安全有限公司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财务部副总经理</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李成刚</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中国电子科技网络信息安全有限公司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党委书记</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李成刚</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中国电子科技网络信息安全有限公司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51"/>
        <w:ind w:right="1022"/>
        <w:jc w:val="left"/>
      </w:pPr>
      <w:r>
        <w:rPr/>
        <w:t>在其他单位任职情况</w:t>
      </w:r>
    </w:p>
    <w:p>
      <w:pPr>
        <w:pStyle w:val="BodyText"/>
        <w:spacing w:line="240" w:lineRule="auto" w:before="117"/>
        <w:ind w:right="10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710"/>
        <w:gridCol w:w="3119"/>
        <w:gridCol w:w="1134"/>
        <w:gridCol w:w="1702"/>
        <w:gridCol w:w="1528"/>
        <w:gridCol w:w="1376"/>
      </w:tblGrid>
      <w:tr>
        <w:trPr>
          <w:trHeight w:val="713" w:hRule="exact"/>
        </w:trPr>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9" w:right="78"/>
              <w:jc w:val="left"/>
              <w:rPr>
                <w:rFonts w:ascii="宋体" w:hAnsi="宋体" w:cs="宋体" w:eastAsia="宋体" w:hint="default"/>
                <w:sz w:val="18"/>
                <w:szCs w:val="18"/>
              </w:rPr>
            </w:pPr>
            <w:r>
              <w:rPr>
                <w:rFonts w:ascii="宋体" w:hAnsi="宋体" w:cs="宋体" w:eastAsia="宋体" w:hint="default"/>
                <w:sz w:val="18"/>
                <w:szCs w:val="18"/>
              </w:rPr>
              <w:t>任职人 员姓名</w:t>
            </w:r>
          </w:p>
        </w:tc>
        <w:tc>
          <w:tcPr>
            <w:tcW w:w="3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13"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1" w:right="110"/>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4"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1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42" w:right="53" w:hanging="90"/>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402"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卿昱</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中国电子科技集团公司第三十研究所</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所长</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8"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卿昱</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中国电子科技集团公司第三十研究所</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党委书记</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8"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卿昱</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成都三零凯天通信实业有限公司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8"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卿昱</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中电科（北京）网络信息安全有限公司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8"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卿昱</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中电科网络空间研究院有限公司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8"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卿昱</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四川信息安全与通信保密杂志社</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常务副社长</w:t>
            </w:r>
          </w:p>
        </w:tc>
        <w:tc>
          <w:tcPr>
            <w:tcW w:w="1702" w:type="dxa"/>
            <w:tcBorders>
              <w:top w:val="single" w:sz="4" w:space="0" w:color="000000"/>
              <w:left w:val="single" w:sz="4" w:space="0" w:color="000000"/>
              <w:bottom w:val="single" w:sz="4" w:space="0" w:color="000000"/>
              <w:right w:val="single" w:sz="4" w:space="0" w:color="000000"/>
            </w:tcBorders>
          </w:tcPr>
          <w:p>
            <w:pPr/>
          </w:p>
        </w:tc>
        <w:tc>
          <w:tcPr>
            <w:tcW w:w="1528"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卿昱</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中国电子科技集团公司第三十研究所</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党委副书记</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卿昱</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中国电子科技集团公司第三十研究所</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99"/>
              <w:jc w:val="left"/>
              <w:rPr>
                <w:rFonts w:ascii="宋体" w:hAnsi="宋体" w:cs="宋体" w:eastAsia="宋体" w:hint="default"/>
                <w:sz w:val="18"/>
                <w:szCs w:val="18"/>
              </w:rPr>
            </w:pPr>
            <w:r>
              <w:rPr>
                <w:rFonts w:ascii="宋体" w:hAnsi="宋体" w:cs="宋体" w:eastAsia="宋体" w:hint="default"/>
                <w:sz w:val="18"/>
                <w:szCs w:val="18"/>
              </w:rPr>
              <w:t>咨询审议委 员会主任</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卿昱</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成都三零普瑞科技有限公司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卿昱</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成都国信安信息产业基地有限公司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卿昱</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上海三零卫士信息安全有限公司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王文胜</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中国电子科技集团公司第三十研究所</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常务副所长</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8"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王文胜</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成都三零凯天通信实业有限公司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8"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王文胜</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上海三零卫士信息安全有限公司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王文胜</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上海三零卫士信息安全有限公司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8"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王文胜</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中国电子科技集团公司第三十研究所</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副所长</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雷利民</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四川卫士通信息安全平台技术有限公司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8"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雷利民</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成都卫士通信息安全技术有限公司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8"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雷利民</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成都卫士通信息安全技术有限公司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8"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雷利民</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成都卫士通信息安全技术有限公司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8"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雷利民</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成都三零嘉微电子有限公司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8"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雷利民</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成都三零瑞通移动通信有限公司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8"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雷利民</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成都三零盛安信息系统有限公司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8"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雷利民</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中电科（北京）网络信息安全有限公司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8"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雷利民</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中电科（天津）网络信息安全有限公司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8"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710"/>
        <w:gridCol w:w="3119"/>
        <w:gridCol w:w="1134"/>
        <w:gridCol w:w="1702"/>
        <w:gridCol w:w="1528"/>
        <w:gridCol w:w="1376"/>
      </w:tblGrid>
      <w:tr>
        <w:trPr>
          <w:trHeight w:val="402"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王忠海</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成都三零凯天通信实业有限公司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8"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王忠海</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太原鹏跃电子科技有限公司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8"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王忠海</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成都深思科技有限公司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8"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王忠海</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成都国信安信息产业基地有限公司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王忠海</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上海三零卫士信息安全有限公司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王虎</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四川发展国际控股有限公司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
              <w:jc w:val="left"/>
              <w:rPr>
                <w:rFonts w:ascii="宋体" w:hAnsi="宋体" w:cs="宋体" w:eastAsia="宋体" w:hint="default"/>
                <w:sz w:val="18"/>
                <w:szCs w:val="18"/>
              </w:rPr>
            </w:pPr>
            <w:r>
              <w:rPr>
                <w:rFonts w:ascii="宋体" w:hAnsi="宋体" w:cs="宋体" w:eastAsia="宋体" w:hint="default"/>
                <w:sz w:val="18"/>
                <w:szCs w:val="18"/>
              </w:rPr>
              <w:t>总经理助理、 财务部总经</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理</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8"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王虎</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天韵国际控股有限公司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8"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周玮</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四川大西洋焊接材料股份有限公司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8"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周玮</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中科院成都信息技术股份有限公司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8"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冯渊</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四川华信（集团）会计师事务所</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合伙人</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8"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冯渊</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威马农机股份有限公司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8"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冯渊</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成都市兴蓉环境股份有限公司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8"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冯渊</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四川水井坊股份有限公司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8"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冯渊</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南京圣和医药股份有限公司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8"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冯渊</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四川天味食品股份有限公司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8"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冯渊</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成都唐源电气股份有限公司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8"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许晓平</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成都三零凯天通信实业有限公司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8"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许晓平</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山西中电科技特种装备有限公司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8"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许晓平</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中国电子科技集团公司第三十研究所</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党委书记、副 所长</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338"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许晓平</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中国电子科技集团公司第三十三研究所</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所长、咨询审 议委员会主 任、党委副书 记</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许晓平</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上海三零卫士信息安全有限公司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程虹</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中国电子科技集团公司第三十研究所</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9"/>
              <w:jc w:val="left"/>
              <w:rPr>
                <w:rFonts w:ascii="宋体" w:hAnsi="宋体" w:cs="宋体" w:eastAsia="宋体" w:hint="default"/>
                <w:sz w:val="18"/>
                <w:szCs w:val="18"/>
              </w:rPr>
            </w:pPr>
            <w:r>
              <w:rPr>
                <w:rFonts w:ascii="宋体" w:hAnsi="宋体" w:cs="宋体" w:eastAsia="宋体" w:hint="default"/>
                <w:sz w:val="18"/>
                <w:szCs w:val="18"/>
              </w:rPr>
              <w:t>纪检监察审 计处处长</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8"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张述</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中电科（北京）网络信息安全有限公司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8"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赵秀玲</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成都三零豪赛网络安全技术有限公司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执行董事、总 经理</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8"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赵秀玲</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成都三零盛安信息系统有限公司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8"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赵秀玲</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成都三零瑞通移动通信有限公司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8"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赵秀玲</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成都卫士通信息安全技术有限公司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8"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周俊</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四川卫士通信息安全平台技术有限公司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8"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710"/>
        <w:gridCol w:w="3119"/>
        <w:gridCol w:w="1134"/>
        <w:gridCol w:w="1702"/>
        <w:gridCol w:w="1528"/>
        <w:gridCol w:w="1376"/>
      </w:tblGrid>
      <w:tr>
        <w:trPr>
          <w:trHeight w:val="402"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周俊</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成都三零嘉微电子有限公司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8"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周俊</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成都三零瑞通移动通信有限公司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8"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周俊</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成都卫士通信息安全技术有限公司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8"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董贵山</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中国电子科技集团公司第三十研究所</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副总工程师</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8"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黄仁亮</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四川卫士通信息安全平台技术有限公司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8"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黄仁亮</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成都三零瑞通移动通信有限公司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8"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黄仁亮</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成都三零嘉微电子有限公司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8"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黄仁亮</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中电科（北京）网络信息安全有限公司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8"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黄仁亮</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中电科（北京）网络信息安全有限公司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8"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黄仁亮</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中电科（天津）网络信息安全有限公司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8"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黄仁亮</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成都卫士通信息安全技术有限公司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8"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刘志惠</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成都深思科技有限公司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8"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刘志惠</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成都欣瑞资产管理有限公司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8"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刘志惠</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中国电子科技集团公司第三十研究所</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9"/>
              <w:jc w:val="left"/>
              <w:rPr>
                <w:rFonts w:ascii="宋体" w:hAnsi="宋体" w:cs="宋体" w:eastAsia="宋体" w:hint="default"/>
                <w:sz w:val="18"/>
                <w:szCs w:val="18"/>
              </w:rPr>
            </w:pPr>
            <w:r>
              <w:rPr>
                <w:rFonts w:ascii="宋体" w:hAnsi="宋体" w:cs="宋体" w:eastAsia="宋体" w:hint="default"/>
                <w:sz w:val="18"/>
                <w:szCs w:val="18"/>
              </w:rPr>
              <w:t>财务处副处 长</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李成刚</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成都新欣神风电子科技有限公司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8"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李成刚</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成都深思科技有限公司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8"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李成刚</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四川信息安全与通信保密杂志社</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社长</w:t>
            </w:r>
          </w:p>
        </w:tc>
        <w:tc>
          <w:tcPr>
            <w:tcW w:w="1702" w:type="dxa"/>
            <w:tcBorders>
              <w:top w:val="single" w:sz="4" w:space="0" w:color="000000"/>
              <w:left w:val="single" w:sz="4" w:space="0" w:color="000000"/>
              <w:bottom w:val="single" w:sz="4" w:space="0" w:color="000000"/>
              <w:right w:val="single" w:sz="4" w:space="0" w:color="000000"/>
            </w:tcBorders>
          </w:tcPr>
          <w:p>
            <w:pPr/>
          </w:p>
        </w:tc>
        <w:tc>
          <w:tcPr>
            <w:tcW w:w="1528"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李成刚</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厦门雅迅网络股份有限公司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黄南平</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成都三零盛安信息系统有限公司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8"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杨甫</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四川卫士通信息安全平台技术有限公司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8"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杨甫</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成都三零嘉微电子有限公司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8"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杨甫</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成都三零瑞通移动通信有限公司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8"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杨甫</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成都三零盛安信息系统有限公司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8"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杨甫</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中电科（北京）网络信息安全有限公司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8"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杨甫</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中电科（天津）网络信息安全有限公司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8"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杨甫</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成都卫士通信息安全技术有限公司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8"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周文</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中电科（北京）网络信息安全有限公司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8"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周文</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中电科（北京）网络信息安全有限公司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8"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周文</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成都卫士通信息安全技术有限公司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8"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胡凯春</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成都摩宝网络科技有限公司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8"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胡凯春</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成都卫士通信息安全技术有限公司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8"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胡凯春</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成都三零豪赛网络安全技术有限公司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8"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胡凯春</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四川卫士通信息安全平台技术有限公司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8"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710"/>
        <w:gridCol w:w="3119"/>
        <w:gridCol w:w="1134"/>
        <w:gridCol w:w="1702"/>
        <w:gridCol w:w="1528"/>
        <w:gridCol w:w="1376"/>
      </w:tblGrid>
      <w:tr>
        <w:trPr>
          <w:trHeight w:val="402"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胡凯春</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成都三零嘉微电子有限公司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8"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胡凯春</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成都三零瑞通移动通信有限公司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8"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胡凯春</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成都三零盛安信息系统有限公司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8"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right="1022"/>
        <w:jc w:val="left"/>
      </w:pPr>
      <w:r>
        <w:rPr/>
        <w:t>公司现任及报告期内离任董事、监事和高级管理人员近三年证券监管机构处罚的情况</w:t>
      </w:r>
    </w:p>
    <w:p>
      <w:pPr>
        <w:pStyle w:val="BodyText"/>
        <w:spacing w:line="240" w:lineRule="auto" w:before="117"/>
        <w:ind w:right="10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1022"/>
        <w:jc w:val="left"/>
        <w:rPr>
          <w:b w:val="0"/>
          <w:bCs w:val="0"/>
        </w:rPr>
      </w:pPr>
      <w:bookmarkStart w:name="四、董事、监事、高级管理人员报酬情况" w:id="124"/>
      <w:bookmarkEnd w:id="124"/>
      <w:r>
        <w:rPr>
          <w:b w:val="0"/>
          <w:bCs w:val="0"/>
        </w:rPr>
      </w:r>
      <w:r>
        <w:rPr/>
        <w:t>四、董事、监事、高级管理人员报酬情况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22"/>
        <w:jc w:val="left"/>
      </w:pPr>
      <w:r>
        <w:rPr/>
        <w:t>董事、监事、高级管理人员报酬的决策程序、确定依据、实际支付情况</w:t>
      </w:r>
    </w:p>
    <w:p>
      <w:pPr>
        <w:pStyle w:val="BodyText"/>
        <w:spacing w:line="240" w:lineRule="auto" w:before="115"/>
        <w:ind w:right="1022"/>
        <w:jc w:val="left"/>
      </w:pPr>
      <w:r>
        <w:rPr>
          <w:rFonts w:ascii="Times New Roman" w:hAnsi="Times New Roman" w:cs="Times New Roman" w:eastAsia="Times New Roman" w:hint="default"/>
        </w:rPr>
        <w:t>1</w:t>
      </w:r>
      <w:r>
        <w:rPr/>
        <w:t>、公司独立董事津贴</w:t>
      </w:r>
      <w:r>
        <w:rPr>
          <w:rFonts w:ascii="Times New Roman" w:hAnsi="Times New Roman" w:cs="Times New Roman" w:eastAsia="Times New Roman" w:hint="default"/>
        </w:rPr>
        <w:t>10</w:t>
      </w:r>
      <w:r>
        <w:rPr/>
        <w:t>万元</w:t>
      </w:r>
      <w:r>
        <w:rPr>
          <w:rFonts w:ascii="Times New Roman" w:hAnsi="Times New Roman" w:cs="Times New Roman" w:eastAsia="Times New Roman" w:hint="default"/>
        </w:rPr>
        <w:t>/</w:t>
      </w:r>
      <w:r>
        <w:rPr/>
        <w:t>年，其他董事、全体监事不领取津贴。在公司任职的董事、监事按其工作岗位确定薪酬。</w:t>
      </w:r>
    </w:p>
    <w:p>
      <w:pPr>
        <w:pStyle w:val="BodyText"/>
        <w:spacing w:line="302" w:lineRule="auto" w:before="103"/>
        <w:ind w:right="1122"/>
        <w:jc w:val="left"/>
      </w:pPr>
      <w:r>
        <w:rPr>
          <w:rFonts w:ascii="Times New Roman" w:hAnsi="Times New Roman" w:cs="Times New Roman" w:eastAsia="Times New Roman" w:hint="default"/>
        </w:rPr>
        <w:t>2</w:t>
      </w:r>
      <w:r>
        <w:rPr/>
        <w:t>、依据公司《董事会薪酬与考核委员会工作制度》，公司高级管理人员薪酬经由薪酬与考核委员会考核，报经董事会批准</w:t>
      </w:r>
      <w:r>
        <w:rPr>
          <w:spacing w:val="-83"/>
        </w:rPr>
        <w:t> </w:t>
      </w:r>
      <w:r>
        <w:rPr>
          <w:spacing w:val="-83"/>
        </w:rPr>
      </w:r>
      <w:r>
        <w:rPr/>
        <w:t>后授权实施。</w:t>
      </w:r>
    </w:p>
    <w:p>
      <w:pPr>
        <w:pStyle w:val="BodyText"/>
        <w:spacing w:line="240" w:lineRule="auto" w:before="69"/>
        <w:ind w:right="1022"/>
        <w:jc w:val="left"/>
      </w:pPr>
      <w:r>
        <w:rPr/>
        <w:t>公司报告期内董事、监事和高级管理人员报酬情况</w:t>
      </w:r>
    </w:p>
    <w:p>
      <w:pPr>
        <w:pStyle w:val="BodyText"/>
        <w:spacing w:line="240" w:lineRule="auto" w:before="116"/>
        <w:ind w:left="0" w:right="1130"/>
        <w:jc w:val="right"/>
      </w:pPr>
      <w:r>
        <w:rPr/>
        <w:t>单位：万元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714"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8" w:right="47" w:hanging="181"/>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7" w:right="47"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卿昱</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王文胜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段启广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雷利民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王忠海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曹德骏</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冯渊</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李成刚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许晓平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黄南平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许晓平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程虹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王忠海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魏洪宽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赵秀玲</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周俊</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董贵山</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副总经理、总工 程师</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黄仁亮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刘志惠</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副总经理、财务 总监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雷利民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杨甫</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常务副总经理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胡凯春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董秘、副总经理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隆永红</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472.19</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1022"/>
        <w:jc w:val="left"/>
      </w:pPr>
      <w:r>
        <w:rPr/>
        <w:t>公司董事、高级管理人员报告期内被授予的股权激励情况</w:t>
      </w:r>
    </w:p>
    <w:p>
      <w:pPr>
        <w:pStyle w:val="BodyText"/>
        <w:spacing w:line="240" w:lineRule="auto" w:before="117"/>
        <w:ind w:right="10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1022"/>
        <w:jc w:val="left"/>
        <w:rPr>
          <w:b w:val="0"/>
          <w:bCs w:val="0"/>
        </w:rPr>
      </w:pPr>
      <w:bookmarkStart w:name="五、公司员工情况" w:id="125"/>
      <w:bookmarkEnd w:id="125"/>
      <w:r>
        <w:rPr>
          <w:b w:val="0"/>
          <w:bCs w:val="0"/>
        </w:rPr>
      </w:r>
      <w:r>
        <w:rPr/>
        <w:t>五、公司员工情况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022"/>
        <w:jc w:val="left"/>
        <w:rPr>
          <w:b w:val="0"/>
          <w:bCs w:val="0"/>
        </w:rPr>
      </w:pPr>
      <w:bookmarkStart w:name="1、员工数量、专业构成及教育程度" w:id="126"/>
      <w:bookmarkEnd w:id="126"/>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4766"/>
        <w:gridCol w:w="4792"/>
      </w:tblGrid>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1,351</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727</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2,078</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2,078</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39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 w:right="2"/>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584"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343</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1,463</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专业人员</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103</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2,078</w:t>
            </w:r>
          </w:p>
        </w:tc>
      </w:tr>
      <w:tr>
        <w:trPr>
          <w:trHeight w:val="39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0"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博士</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硕士</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1,206</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专科及以下</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323</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2,078</w:t>
            </w:r>
          </w:p>
        </w:tc>
      </w:tr>
    </w:tbl>
    <w:p>
      <w:pPr>
        <w:spacing w:line="240" w:lineRule="auto" w:before="3"/>
        <w:rPr>
          <w:rFonts w:ascii="宋体" w:hAnsi="宋体" w:cs="宋体" w:eastAsia="宋体" w:hint="default"/>
          <w:b/>
          <w:bCs/>
          <w:sz w:val="19"/>
          <w:szCs w:val="19"/>
        </w:rPr>
      </w:pPr>
    </w:p>
    <w:p>
      <w:pPr>
        <w:pStyle w:val="Heading3"/>
        <w:spacing w:line="240" w:lineRule="auto" w:before="35"/>
        <w:ind w:right="1022"/>
        <w:jc w:val="left"/>
        <w:rPr>
          <w:b w:val="0"/>
          <w:bCs w:val="0"/>
        </w:rPr>
      </w:pPr>
      <w:bookmarkStart w:name="2、薪酬政策" w:id="127"/>
      <w:bookmarkEnd w:id="127"/>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032" w:firstLine="360"/>
        <w:jc w:val="left"/>
      </w:pPr>
      <w:r>
        <w:rPr>
          <w:spacing w:val="-2"/>
        </w:rPr>
        <w:t>公司在严格遵守《劳动合同法》等相关法律法规的基础上，遵循各尽其能、按劳分配的原则，坚持员工薪酬水平与公司</w:t>
      </w:r>
      <w:r>
        <w:rPr/>
        <w:t> 经济效益同步增长的原则制定薪酬制度。按照员工岗位职责、岗位技能、工作绩效、定岗地区等综合因素设计员工的薪酬， </w:t>
      </w:r>
      <w:r>
        <w:rPr>
          <w:spacing w:val="-4"/>
        </w:rPr>
        <w:t>适当向岗位风险大、岗位责任重、技术含量高以及创新型岗位倾斜。同时，公司参考同行业薪酬水平，兼顾公司的实际情况，</w:t>
      </w:r>
      <w:r>
        <w:rPr>
          <w:spacing w:val="-44"/>
        </w:rPr>
        <w:t> </w:t>
      </w:r>
      <w:r>
        <w:rPr>
          <w:spacing w:val="-44"/>
        </w:rPr>
      </w:r>
      <w:r>
        <w:rPr/>
        <w:t>适时进行薪酬调整。努力构建公平且有竞争力的薪酬体系及绩效考核体系，以调动员工的工作积极性，提升公司整体绩效， 保留和吸引优秀人才，为公司的战略发展提供人力资源保障。</w:t>
      </w:r>
    </w:p>
    <w:p>
      <w:pPr>
        <w:pStyle w:val="BodyText"/>
        <w:spacing w:line="240" w:lineRule="auto" w:before="59"/>
        <w:ind w:right="1022"/>
        <w:jc w:val="left"/>
      </w:pPr>
      <w:r>
        <w:rPr/>
        <w:t>公司需遵守《深圳证券交易所行业信息披露指引第</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上市公司从事软件与信息技术服务业务》的披露要求</w:t>
      </w:r>
    </w:p>
    <w:p>
      <w:pPr>
        <w:pStyle w:val="BodyText"/>
        <w:spacing w:line="302" w:lineRule="auto" w:before="102"/>
        <w:ind w:right="1118" w:firstLine="360"/>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17"/>
        </w:rPr>
        <w:t> </w:t>
      </w:r>
      <w:r>
        <w:rPr/>
        <w:t>年职工薪酬总额（计入成本部分）为</w:t>
      </w:r>
      <w:r>
        <w:rPr>
          <w:spacing w:val="-56"/>
        </w:rPr>
        <w:t> </w:t>
      </w:r>
      <w:r>
        <w:rPr>
          <w:rFonts w:ascii="Times New Roman" w:hAnsi="Times New Roman" w:cs="Times New Roman" w:eastAsia="Times New Roman" w:hint="default"/>
        </w:rPr>
        <w:t>390,693,106.47</w:t>
      </w:r>
      <w:r>
        <w:rPr>
          <w:rFonts w:ascii="Times New Roman" w:hAnsi="Times New Roman" w:cs="Times New Roman" w:eastAsia="Times New Roman" w:hint="default"/>
          <w:spacing w:val="-17"/>
        </w:rPr>
        <w:t> </w:t>
      </w:r>
      <w:r>
        <w:rPr/>
        <w:t>元，占公司成本总额的</w:t>
      </w:r>
      <w:r>
        <w:rPr>
          <w:spacing w:val="-56"/>
        </w:rPr>
        <w:t> </w:t>
      </w:r>
      <w:r>
        <w:rPr>
          <w:rFonts w:ascii="Times New Roman" w:hAnsi="Times New Roman" w:cs="Times New Roman" w:eastAsia="Times New Roman" w:hint="default"/>
        </w:rPr>
        <w:t>21.4%</w:t>
      </w:r>
      <w:r>
        <w:rPr/>
        <w:t>。职工薪酬总额根据公司利润进 行核算发放，薪酬总额与公司利润紧密联动。核心技术人员薪酬在工资总额中的占比高于人数占比。</w:t>
      </w:r>
    </w:p>
    <w:p>
      <w:pPr>
        <w:spacing w:line="240" w:lineRule="auto" w:before="2"/>
        <w:rPr>
          <w:rFonts w:ascii="宋体" w:hAnsi="宋体" w:cs="宋体" w:eastAsia="宋体" w:hint="default"/>
          <w:sz w:val="23"/>
          <w:szCs w:val="23"/>
        </w:rPr>
      </w:pPr>
    </w:p>
    <w:p>
      <w:pPr>
        <w:pStyle w:val="Heading3"/>
        <w:spacing w:line="240" w:lineRule="auto"/>
        <w:ind w:right="1022"/>
        <w:jc w:val="left"/>
        <w:rPr>
          <w:b w:val="0"/>
          <w:bCs w:val="0"/>
        </w:rPr>
      </w:pPr>
      <w:bookmarkStart w:name="3、培训计划" w:id="128"/>
      <w:bookmarkEnd w:id="128"/>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8"/>
        <w:rPr>
          <w:rFonts w:ascii="宋体" w:hAnsi="宋体" w:cs="宋体" w:eastAsia="宋体" w:hint="default"/>
          <w:b/>
          <w:bCs/>
          <w:sz w:val="26"/>
          <w:szCs w:val="26"/>
        </w:rPr>
      </w:pPr>
    </w:p>
    <w:p>
      <w:pPr>
        <w:pStyle w:val="BodyText"/>
        <w:spacing w:line="307" w:lineRule="auto"/>
        <w:ind w:right="1131" w:firstLine="360"/>
        <w:jc w:val="both"/>
      </w:pPr>
      <w:r>
        <w:rPr>
          <w:spacing w:val="-2"/>
        </w:rPr>
        <w:t>公司高度重视人才发展和培养。</w:t>
      </w:r>
      <w:r>
        <w:rPr>
          <w:rFonts w:ascii="Times New Roman" w:hAnsi="Times New Roman" w:cs="Times New Roman" w:eastAsia="Times New Roman" w:hint="default"/>
          <w:spacing w:val="-2"/>
        </w:rPr>
        <w:t>2018</w:t>
      </w:r>
      <w:r>
        <w:rPr>
          <w:spacing w:val="-2"/>
        </w:rPr>
        <w:t>年，公司以发展战略为牵引、以业务发展方向为目标，坚持突出重点、分类开展的</w:t>
      </w:r>
      <w:r>
        <w:rPr/>
        <w:t> </w:t>
      </w:r>
      <w:r>
        <w:rPr>
          <w:spacing w:val="-2"/>
        </w:rPr>
        <w:t>工作原则，围绕公司年度重点工作，有计划、分类别、分层次地开展各类培训活动。培训涉及管理能力、专业技术、产品知</w:t>
      </w:r>
      <w:r>
        <w:rPr>
          <w:spacing w:val="-72"/>
        </w:rPr>
        <w:t> </w:t>
      </w:r>
      <w:r>
        <w:rPr>
          <w:spacing w:val="-72"/>
        </w:rPr>
      </w:r>
      <w:r>
        <w:rPr>
          <w:spacing w:val="-2"/>
        </w:rPr>
        <w:t>识、操作技能、安全保密以及企业文化等方面。重点策划并组织实施</w:t>
      </w:r>
      <w:r>
        <w:rPr>
          <w:rFonts w:ascii="Times New Roman" w:hAnsi="Times New Roman" w:cs="Times New Roman" w:eastAsia="Times New Roman" w:hint="default"/>
          <w:spacing w:val="-2"/>
        </w:rPr>
        <w:t>“</w:t>
      </w:r>
      <w:r>
        <w:rPr>
          <w:spacing w:val="-2"/>
        </w:rPr>
        <w:t>精英计划</w:t>
      </w:r>
      <w:r>
        <w:rPr>
          <w:rFonts w:ascii="Times New Roman" w:hAnsi="Times New Roman" w:cs="Times New Roman" w:eastAsia="Times New Roman" w:hint="default"/>
          <w:spacing w:val="-2"/>
        </w:rPr>
        <w:t>”</w:t>
      </w:r>
      <w:r>
        <w:rPr>
          <w:spacing w:val="-2"/>
        </w:rPr>
        <w:t>专项人才发展项目，针对青年管理和技术骨</w:t>
      </w:r>
      <w:r>
        <w:rPr>
          <w:spacing w:val="-44"/>
        </w:rPr>
        <w:t> </w:t>
      </w:r>
      <w:r>
        <w:rPr>
          <w:spacing w:val="-44"/>
        </w:rPr>
      </w:r>
      <w:r>
        <w:rPr/>
        <w:t>干，实施有针对性的专项培养。进一步提升了公司人才队伍职业素质和专业素养。</w:t>
      </w:r>
    </w:p>
    <w:p>
      <w:pPr>
        <w:spacing w:line="240" w:lineRule="auto" w:before="12"/>
        <w:rPr>
          <w:rFonts w:ascii="宋体" w:hAnsi="宋体" w:cs="宋体" w:eastAsia="宋体" w:hint="default"/>
          <w:sz w:val="22"/>
          <w:szCs w:val="22"/>
        </w:rPr>
      </w:pPr>
    </w:p>
    <w:p>
      <w:pPr>
        <w:pStyle w:val="Heading3"/>
        <w:spacing w:line="240" w:lineRule="auto"/>
        <w:ind w:right="1022"/>
        <w:jc w:val="left"/>
        <w:rPr>
          <w:b w:val="0"/>
          <w:bCs w:val="0"/>
        </w:rPr>
      </w:pPr>
      <w:bookmarkStart w:name="4、劳务外包情况" w:id="129"/>
      <w:bookmarkEnd w:id="129"/>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3221"/>
        <w:jc w:val="center"/>
        <w:rPr>
          <w:b w:val="0"/>
          <w:bCs w:val="0"/>
        </w:rPr>
      </w:pPr>
      <w:bookmarkStart w:name="第九节 公司治理" w:id="130"/>
      <w:bookmarkEnd w:id="130"/>
      <w:r>
        <w:rPr>
          <w:b w:val="0"/>
          <w:bCs w:val="0"/>
        </w:rPr>
      </w:r>
      <w:bookmarkStart w:name="_bookmark7" w:id="131"/>
      <w:bookmarkEnd w:id="131"/>
      <w:r>
        <w:rPr>
          <w:b w:val="0"/>
          <w:bCs w:val="0"/>
        </w:rPr>
      </w:r>
      <w:r>
        <w:rPr/>
        <w:t>第九节</w:t>
      </w:r>
      <w:r>
        <w:rPr>
          <w:spacing w:val="-5"/>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both"/>
        <w:rPr>
          <w:b w:val="0"/>
          <w:bCs w:val="0"/>
        </w:rPr>
      </w:pPr>
      <w:bookmarkStart w:name="一、公司治理的基本状况" w:id="132"/>
      <w:bookmarkEnd w:id="132"/>
      <w:r>
        <w:rPr>
          <w:b w:val="0"/>
          <w:bCs w:val="0"/>
        </w:rPr>
      </w:r>
      <w:r>
        <w:rPr/>
        <w:t>一、公司治理的基本状况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131" w:firstLine="360"/>
        <w:jc w:val="both"/>
      </w:pPr>
      <w:r>
        <w:rPr>
          <w:spacing w:val="-2"/>
        </w:rPr>
        <w:t>公司严格按照《公司法》、《证券法》、《上市公司治理准则》、深圳证券交易所《股票上市规则》、《中小企业板上</w:t>
      </w:r>
      <w:r>
        <w:rPr/>
        <w:t> </w:t>
      </w:r>
      <w:r>
        <w:rPr>
          <w:spacing w:val="-2"/>
        </w:rPr>
        <w:t>市公司规范运作指引》等有关法律法规和规范性指引的要求，不断完善公司治理结构，建立健全内部管理和控制制度，加强</w:t>
      </w:r>
      <w:r>
        <w:rPr>
          <w:spacing w:val="-66"/>
        </w:rPr>
        <w:t> </w:t>
      </w:r>
      <w:r>
        <w:rPr>
          <w:spacing w:val="-66"/>
        </w:rPr>
      </w:r>
      <w:r>
        <w:rPr/>
        <w:t>运作规范，公司治理的实际情况符合中国证监会有关上市公司治理的规范性文件的要求。</w:t>
      </w:r>
    </w:p>
    <w:p>
      <w:pPr>
        <w:pStyle w:val="BodyText"/>
        <w:spacing w:line="316" w:lineRule="auto" w:before="19"/>
        <w:ind w:left="514" w:right="1022" w:hanging="62"/>
        <w:jc w:val="left"/>
      </w:pPr>
      <w:r>
        <w:rPr>
          <w:rFonts w:ascii="宋体" w:hAnsi="宋体" w:cs="宋体" w:eastAsia="宋体" w:hint="default"/>
          <w:b/>
          <w:bCs/>
        </w:rPr>
        <w:t>（一）股东和股东大会</w:t>
      </w:r>
      <w:r>
        <w:rPr>
          <w:rFonts w:ascii="宋体" w:hAnsi="宋体" w:cs="宋体" w:eastAsia="宋体" w:hint="default"/>
          <w:b/>
          <w:bCs/>
          <w:w w:val="99"/>
        </w:rPr>
        <w:t> </w:t>
      </w:r>
      <w:r>
        <w:rPr>
          <w:spacing w:val="-2"/>
        </w:rPr>
        <w:t>公司严格按照《公司法》、《上市公司股东大会规则》、《公司章程》和《公司股东大会议事规则》的规定和要求，规</w:t>
      </w:r>
    </w:p>
    <w:p>
      <w:pPr>
        <w:pStyle w:val="BodyText"/>
        <w:spacing w:line="316" w:lineRule="auto" w:before="19"/>
        <w:ind w:right="1022"/>
        <w:jc w:val="left"/>
      </w:pPr>
      <w:r>
        <w:rPr>
          <w:spacing w:val="-2"/>
        </w:rPr>
        <w:t>范股东大会的召集、召开、表决程序，能够平等对待所有股东，确保全体股东特别是中小股东享有平等地位，充分行使自己</w:t>
      </w:r>
      <w:r>
        <w:rPr>
          <w:spacing w:val="-66"/>
        </w:rPr>
        <w:t> </w:t>
      </w:r>
      <w:r>
        <w:rPr>
          <w:spacing w:val="-66"/>
        </w:rPr>
      </w:r>
      <w:r>
        <w:rPr/>
        <w:t>的权利。</w:t>
      </w:r>
    </w:p>
    <w:p>
      <w:pPr>
        <w:spacing w:line="316" w:lineRule="auto" w:before="19"/>
        <w:ind w:left="516" w:right="1022" w:hanging="54"/>
        <w:jc w:val="left"/>
        <w:rPr>
          <w:rFonts w:ascii="宋体" w:hAnsi="宋体" w:cs="宋体" w:eastAsia="宋体" w:hint="default"/>
          <w:sz w:val="18"/>
          <w:szCs w:val="18"/>
        </w:rPr>
      </w:pPr>
      <w:r>
        <w:rPr>
          <w:rFonts w:ascii="宋体" w:hAnsi="宋体" w:cs="宋体" w:eastAsia="宋体" w:hint="default"/>
          <w:b/>
          <w:bCs/>
          <w:sz w:val="18"/>
          <w:szCs w:val="18"/>
        </w:rPr>
        <w:t>（二）公司与控股股东、实际控制人</w:t>
      </w:r>
      <w:r>
        <w:rPr>
          <w:rFonts w:ascii="宋体" w:hAnsi="宋体" w:cs="宋体" w:eastAsia="宋体" w:hint="default"/>
          <w:b/>
          <w:bCs/>
          <w:w w:val="99"/>
          <w:sz w:val="18"/>
          <w:szCs w:val="18"/>
        </w:rPr>
        <w:t> </w:t>
      </w:r>
      <w:r>
        <w:rPr>
          <w:rFonts w:ascii="宋体" w:hAnsi="宋体" w:cs="宋体" w:eastAsia="宋体" w:hint="default"/>
          <w:spacing w:val="-2"/>
          <w:sz w:val="18"/>
          <w:szCs w:val="18"/>
        </w:rPr>
        <w:t>报告期内公司控股股东及实际控制人行为规范，能依法行使其权利并承担相应的义务，没有超越公司股东大会直接或间</w:t>
      </w:r>
    </w:p>
    <w:p>
      <w:pPr>
        <w:pStyle w:val="BodyText"/>
        <w:spacing w:line="316" w:lineRule="auto" w:before="19"/>
        <w:ind w:right="1022"/>
        <w:jc w:val="left"/>
      </w:pPr>
      <w:r>
        <w:rPr>
          <w:spacing w:val="-2"/>
        </w:rPr>
        <w:t>接干预公司的决策和生产经营活动。公司在业务、人员、资产、机构、财务等方面完全独立，公司董事会、监事会和内部机</w:t>
      </w:r>
      <w:r>
        <w:rPr>
          <w:spacing w:val="-70"/>
        </w:rPr>
        <w:t> </w:t>
      </w:r>
      <w:r>
        <w:rPr>
          <w:spacing w:val="-70"/>
        </w:rPr>
      </w:r>
      <w:r>
        <w:rPr/>
        <w:t>构能够独立运作。</w:t>
      </w:r>
    </w:p>
    <w:p>
      <w:pPr>
        <w:pStyle w:val="BodyText"/>
        <w:spacing w:line="316" w:lineRule="auto" w:before="19"/>
        <w:ind w:left="516" w:right="1022" w:hanging="54"/>
        <w:jc w:val="left"/>
      </w:pPr>
      <w:r>
        <w:rPr>
          <w:rFonts w:ascii="宋体" w:hAnsi="宋体" w:cs="宋体" w:eastAsia="宋体" w:hint="default"/>
          <w:b/>
          <w:bCs/>
        </w:rPr>
        <w:t>（三）董事与董事会</w:t>
      </w:r>
      <w:r>
        <w:rPr>
          <w:rFonts w:ascii="宋体" w:hAnsi="宋体" w:cs="宋体" w:eastAsia="宋体" w:hint="default"/>
          <w:b/>
          <w:bCs/>
          <w:w w:val="99"/>
        </w:rPr>
        <w:t> </w:t>
      </w:r>
      <w:r>
        <w:rPr>
          <w:spacing w:val="-4"/>
        </w:rPr>
        <w:t>公司按照《公司法》、《公司章程》及《董事会议事规则》等的规定和要求选举董事，报告期内公司董事会有董事九名，</w:t>
      </w:r>
    </w:p>
    <w:p>
      <w:pPr>
        <w:pStyle w:val="BodyText"/>
        <w:spacing w:line="316" w:lineRule="auto" w:before="19"/>
        <w:ind w:right="1022"/>
        <w:jc w:val="left"/>
      </w:pPr>
      <w:r>
        <w:rPr>
          <w:spacing w:val="-7"/>
        </w:rPr>
        <w:t>其中独立董事三名，达到全体董事的三分之一。公司全体董事能够按照法律、法规以及《中小企业板上市公司规范运作指引》、</w:t>
      </w:r>
      <w:r>
        <w:rPr>
          <w:spacing w:val="-52"/>
        </w:rPr>
        <w:t> </w:t>
      </w:r>
      <w:r>
        <w:rPr>
          <w:spacing w:val="-52"/>
        </w:rPr>
      </w:r>
      <w:r>
        <w:rPr>
          <w:spacing w:val="-2"/>
        </w:rPr>
        <w:t>公司《董事会议事规则》、《独立董事工作制度》等的规定开展工作，认真出席董事会和股东大会，积极参加培训，学习有</w:t>
      </w:r>
      <w:r>
        <w:rPr>
          <w:spacing w:val="-67"/>
        </w:rPr>
        <w:t> </w:t>
      </w:r>
      <w:r>
        <w:rPr>
          <w:spacing w:val="-67"/>
        </w:rPr>
      </w:r>
      <w:r>
        <w:rPr/>
        <w:t>关法律法规，以诚信、勤勉、尽责的态度认真履行董事职责。</w:t>
      </w:r>
    </w:p>
    <w:p>
      <w:pPr>
        <w:pStyle w:val="BodyText"/>
        <w:spacing w:line="316" w:lineRule="auto" w:before="19"/>
        <w:ind w:right="1131" w:firstLine="360"/>
        <w:jc w:val="both"/>
      </w:pPr>
      <w:r>
        <w:rPr>
          <w:spacing w:val="-2"/>
        </w:rPr>
        <w:t>公司董事会下设审计委员会、薪酬与考核委员会、提名委员会和战略委员会四个专门委员会，在促进公司规范运作、健</w:t>
      </w:r>
      <w:r>
        <w:rPr/>
        <w:t> 康持续发展等方面发挥了重要的作用。</w:t>
      </w:r>
    </w:p>
    <w:p>
      <w:pPr>
        <w:pStyle w:val="BodyText"/>
        <w:spacing w:line="316" w:lineRule="auto" w:before="19"/>
        <w:ind w:left="516" w:right="1022" w:hanging="54"/>
        <w:jc w:val="left"/>
      </w:pPr>
      <w:r>
        <w:rPr>
          <w:rFonts w:ascii="宋体" w:hAnsi="宋体" w:cs="宋体" w:eastAsia="宋体" w:hint="default"/>
          <w:b/>
          <w:bCs/>
        </w:rPr>
        <w:t>（四）监事与监事会</w:t>
      </w:r>
      <w:r>
        <w:rPr>
          <w:rFonts w:ascii="宋体" w:hAnsi="宋体" w:cs="宋体" w:eastAsia="宋体" w:hint="default"/>
          <w:b/>
          <w:bCs/>
          <w:w w:val="99"/>
        </w:rPr>
        <w:t> </w:t>
      </w:r>
      <w:r>
        <w:rPr>
          <w:spacing w:val="-2"/>
        </w:rPr>
        <w:t>公司严格按照法律、法规及《公司章程》、《监事会议事规则》等相关规定选举监事，公司监事会现有三名监事，其中</w:t>
      </w:r>
    </w:p>
    <w:p>
      <w:pPr>
        <w:pStyle w:val="BodyText"/>
        <w:spacing w:line="316" w:lineRule="auto" w:before="19"/>
        <w:ind w:right="1130"/>
        <w:jc w:val="both"/>
      </w:pPr>
      <w:r>
        <w:rPr>
          <w:spacing w:val="-2"/>
        </w:rPr>
        <w:t>职工监事一名，由公司职工代表大会选举产生。公司全体监事能够按照法律、法规和《监事会议事规则》等的要求，从保护</w:t>
      </w:r>
      <w:r>
        <w:rPr>
          <w:spacing w:val="-68"/>
        </w:rPr>
        <w:t> </w:t>
      </w:r>
      <w:r>
        <w:rPr>
          <w:spacing w:val="-68"/>
        </w:rPr>
      </w:r>
      <w:r>
        <w:rPr>
          <w:spacing w:val="-2"/>
        </w:rPr>
        <w:t>股东利益出发，认真履行职责，对公司财务以及公司董事、其他高级管理人员履行职责的合法合规性进行监督，忠实、勤勉</w:t>
      </w:r>
      <w:r>
        <w:rPr>
          <w:spacing w:val="-67"/>
        </w:rPr>
        <w:t> </w:t>
      </w:r>
      <w:r>
        <w:rPr>
          <w:spacing w:val="-67"/>
        </w:rPr>
      </w:r>
      <w:r>
        <w:rPr/>
        <w:t>地维护公司及股东的合法权益。</w:t>
      </w:r>
    </w:p>
    <w:p>
      <w:pPr>
        <w:pStyle w:val="BodyText"/>
        <w:spacing w:line="316" w:lineRule="auto" w:before="19"/>
        <w:ind w:left="516" w:right="1022" w:hanging="54"/>
        <w:jc w:val="left"/>
      </w:pPr>
      <w:r>
        <w:rPr>
          <w:rFonts w:ascii="宋体" w:hAnsi="宋体" w:cs="宋体" w:eastAsia="宋体" w:hint="default"/>
          <w:b/>
          <w:bCs/>
        </w:rPr>
        <w:t>（五）利益相关者</w:t>
      </w:r>
      <w:r>
        <w:rPr>
          <w:rFonts w:ascii="宋体" w:hAnsi="宋体" w:cs="宋体" w:eastAsia="宋体" w:hint="default"/>
          <w:b/>
          <w:bCs/>
          <w:w w:val="99"/>
        </w:rPr>
        <w:t> </w:t>
      </w:r>
      <w:r>
        <w:rPr>
          <w:spacing w:val="-2"/>
        </w:rPr>
        <w:t>公司充分尊重和维护相关利益者的合法权益，实现社会、股东、公司、员工等各方面利益的协调平衡，诚信对待供应商</w:t>
      </w:r>
    </w:p>
    <w:p>
      <w:pPr>
        <w:pStyle w:val="BodyText"/>
        <w:spacing w:line="240" w:lineRule="auto" w:before="19"/>
        <w:ind w:right="0"/>
        <w:jc w:val="both"/>
      </w:pPr>
      <w:r>
        <w:rPr/>
        <w:t>和客户，切实维护职工的合法权益，重视社会责任，共同推动公司持续、健康、快速发展。</w:t>
      </w:r>
    </w:p>
    <w:p>
      <w:pPr>
        <w:pStyle w:val="BodyText"/>
        <w:spacing w:line="316" w:lineRule="auto" w:before="76"/>
        <w:ind w:left="516" w:right="1022" w:hanging="54"/>
        <w:jc w:val="left"/>
      </w:pPr>
      <w:r>
        <w:rPr>
          <w:rFonts w:ascii="宋体" w:hAnsi="宋体" w:cs="宋体" w:eastAsia="宋体" w:hint="default"/>
          <w:b/>
          <w:bCs/>
        </w:rPr>
        <w:t>（六）信息披露</w:t>
      </w:r>
      <w:r>
        <w:rPr>
          <w:rFonts w:ascii="宋体" w:hAnsi="宋体" w:cs="宋体" w:eastAsia="宋体" w:hint="default"/>
          <w:b/>
          <w:bCs/>
          <w:w w:val="99"/>
        </w:rPr>
        <w:t> </w:t>
      </w:r>
      <w:r>
        <w:rPr>
          <w:spacing w:val="-2"/>
        </w:rPr>
        <w:t>公司指定《证券时报》、《中国证券报》和巨潮资讯网（</w:t>
      </w:r>
      <w:hyperlink r:id="rId11">
        <w:r>
          <w:rPr>
            <w:rFonts w:ascii="Times New Roman" w:hAnsi="Times New Roman" w:cs="Times New Roman" w:eastAsia="Times New Roman" w:hint="default"/>
            <w:spacing w:val="-2"/>
          </w:rPr>
          <w:t>http://www.cninfo.com.cn</w:t>
        </w:r>
      </w:hyperlink>
      <w:r>
        <w:rPr>
          <w:spacing w:val="-2"/>
        </w:rPr>
        <w:t>）为公司信息披露的指定报纸和网站，</w:t>
      </w:r>
    </w:p>
    <w:p>
      <w:pPr>
        <w:pStyle w:val="BodyText"/>
        <w:spacing w:line="316" w:lineRule="auto"/>
        <w:ind w:right="1132"/>
        <w:jc w:val="both"/>
      </w:pPr>
      <w:r>
        <w:rPr>
          <w:spacing w:val="-2"/>
        </w:rPr>
        <w:t>还通过深圳证券交易所互动平台、电话和接待来访等方式加强与投资者的沟通与交流；公司严格按照有关法律法规及公司制</w:t>
      </w:r>
      <w:r>
        <w:rPr>
          <w:spacing w:val="-64"/>
        </w:rPr>
        <w:t> </w:t>
      </w:r>
      <w:r>
        <w:rPr>
          <w:spacing w:val="-64"/>
        </w:rPr>
      </w:r>
      <w:r>
        <w:rPr>
          <w:spacing w:val="-2"/>
        </w:rPr>
        <w:t>定的《信息披露管理制度》、《投资者关系管理制度》、《内幕信息知情人登记管理制度》、《对外报送未公开重大信息管</w:t>
      </w:r>
      <w:r>
        <w:rPr>
          <w:spacing w:val="-68"/>
        </w:rPr>
        <w:t> </w:t>
      </w:r>
      <w:r>
        <w:rPr>
          <w:spacing w:val="-68"/>
        </w:rPr>
      </w:r>
      <w:r>
        <w:rPr/>
        <w:t>理制度》等的要求，真实、准确、完整、及时的披露有关信息，确保所有股东有平等的机会获得信息。</w:t>
      </w:r>
    </w:p>
    <w:p>
      <w:pPr>
        <w:pStyle w:val="BodyText"/>
        <w:spacing w:line="316" w:lineRule="auto" w:before="19"/>
        <w:ind w:left="514" w:right="1022" w:hanging="52"/>
        <w:jc w:val="left"/>
      </w:pPr>
      <w:r>
        <w:rPr>
          <w:rFonts w:ascii="宋体" w:hAnsi="宋体" w:cs="宋体" w:eastAsia="宋体" w:hint="default"/>
          <w:b/>
          <w:bCs/>
        </w:rPr>
        <w:t>（七）考核与激励</w:t>
      </w:r>
      <w:r>
        <w:rPr>
          <w:rFonts w:ascii="宋体" w:hAnsi="宋体" w:cs="宋体" w:eastAsia="宋体" w:hint="default"/>
          <w:b/>
          <w:bCs/>
          <w:w w:val="99"/>
        </w:rPr>
        <w:t> </w:t>
      </w:r>
      <w:r>
        <w:rPr>
          <w:spacing w:val="-2"/>
        </w:rPr>
        <w:t>公司高级管理人员的聘任严格依据相关法律、法规及公司制度的规定，由董事会审议决定；依据公司《董事会薪酬与考</w:t>
      </w:r>
    </w:p>
    <w:p>
      <w:pPr>
        <w:pStyle w:val="BodyText"/>
        <w:spacing w:line="240" w:lineRule="auto" w:before="19"/>
        <w:ind w:right="0"/>
        <w:jc w:val="both"/>
      </w:pPr>
      <w:r>
        <w:rPr/>
        <w:t>核委员会工作制度》，高级管理人员薪酬由薪酬与考核委员会考核，并报经董事会批准后授权实施。</w:t>
      </w:r>
    </w:p>
    <w:p>
      <w:pPr>
        <w:pStyle w:val="BodyText"/>
        <w:spacing w:line="360" w:lineRule="auto" w:before="77"/>
        <w:ind w:left="534" w:right="1022" w:hanging="72"/>
        <w:jc w:val="left"/>
      </w:pPr>
      <w:r>
        <w:rPr>
          <w:rFonts w:ascii="宋体" w:hAnsi="宋体" w:cs="宋体" w:eastAsia="宋体" w:hint="default"/>
          <w:b/>
          <w:bCs/>
        </w:rPr>
        <w:t>（八）内部审计</w:t>
      </w:r>
      <w:r>
        <w:rPr>
          <w:rFonts w:ascii="宋体" w:hAnsi="宋体" w:cs="宋体" w:eastAsia="宋体" w:hint="default"/>
          <w:b/>
          <w:bCs/>
          <w:w w:val="99"/>
        </w:rPr>
        <w:t> </w:t>
      </w:r>
      <w:r>
        <w:rPr>
          <w:spacing w:val="-1"/>
        </w:rPr>
        <w:t>公司设内部审计部专职人员，负责公司内部审计工作，并直接向审计委员会汇报工作。在公司董事会的监督与指导下，</w:t>
      </w:r>
    </w:p>
    <w:p>
      <w:pPr>
        <w:pStyle w:val="BodyText"/>
        <w:spacing w:line="221" w:lineRule="exact"/>
        <w:ind w:right="0"/>
        <w:jc w:val="both"/>
      </w:pPr>
      <w:r>
        <w:rPr/>
        <w:t>内部审计部依法独立开展公司内部审计、督查工作，采取定期与不定期检查方式，对公司和分子公司财务、重大项目、生产</w:t>
      </w:r>
    </w:p>
    <w:p>
      <w:pPr>
        <w:pStyle w:val="BodyText"/>
        <w:spacing w:line="240" w:lineRule="auto" w:before="77"/>
        <w:ind w:right="0"/>
        <w:jc w:val="both"/>
      </w:pPr>
      <w:r>
        <w:rPr/>
        <w:t>经营活动等进行审计、核查，对公司和分子公司内部管理体系、内部控制的情况进行监督检查。</w:t>
      </w:r>
    </w:p>
    <w:p>
      <w:pPr>
        <w:spacing w:after="0" w:line="240" w:lineRule="auto"/>
        <w:jc w:val="both"/>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1022"/>
        <w:jc w:val="left"/>
      </w:pPr>
      <w:r>
        <w:rPr/>
        <w:t>公司治理的实际状况与中国证监会发布的有关上市公司治理的规范性文件是否存在重大差异</w:t>
      </w:r>
    </w:p>
    <w:p>
      <w:pPr>
        <w:pStyle w:val="BodyText"/>
        <w:spacing w:line="340" w:lineRule="auto" w:before="116"/>
        <w:ind w:right="355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公司治理的实际状况与中国证监会发布的有关上市公司治理的规范性文件不存在重大差异。</w:t>
      </w:r>
    </w:p>
    <w:p>
      <w:pPr>
        <w:spacing w:line="240" w:lineRule="auto" w:before="3"/>
        <w:rPr>
          <w:rFonts w:ascii="宋体" w:hAnsi="宋体" w:cs="宋体" w:eastAsia="宋体" w:hint="default"/>
          <w:sz w:val="19"/>
          <w:szCs w:val="19"/>
        </w:rPr>
      </w:pPr>
    </w:p>
    <w:p>
      <w:pPr>
        <w:pStyle w:val="Heading2"/>
        <w:spacing w:line="240" w:lineRule="auto"/>
        <w:ind w:right="1022"/>
        <w:jc w:val="left"/>
        <w:rPr>
          <w:b w:val="0"/>
          <w:bCs w:val="0"/>
        </w:rPr>
      </w:pPr>
      <w:bookmarkStart w:name="二、公司相对于控股股东在业务、人员、资产、机构、财务等方面的独立情况" w:id="133"/>
      <w:bookmarkEnd w:id="133"/>
      <w:r>
        <w:rPr>
          <w:b w:val="0"/>
          <w:bCs w:val="0"/>
        </w:rPr>
      </w:r>
      <w:r>
        <w:rPr/>
        <w:t>二、公司相对于控股股东在业务、人员、资产、机构、财务等方面的独立情况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032" w:firstLine="360"/>
        <w:jc w:val="left"/>
      </w:pPr>
      <w:r>
        <w:rPr/>
        <w:t>公司严格按照《公司法》和《公司章程》规范运作，建立健全公司的法人治理结构，与控股股东在业务、人员、资产、 机构、财务等方面完全分开，具有独立完整的业务及自主经营能力。</w:t>
      </w:r>
    </w:p>
    <w:p>
      <w:pPr>
        <w:spacing w:line="240" w:lineRule="auto" w:before="10"/>
        <w:rPr>
          <w:rFonts w:ascii="宋体" w:hAnsi="宋体" w:cs="宋体" w:eastAsia="宋体" w:hint="default"/>
          <w:sz w:val="20"/>
          <w:szCs w:val="20"/>
        </w:rPr>
      </w:pPr>
    </w:p>
    <w:p>
      <w:pPr>
        <w:pStyle w:val="Heading2"/>
        <w:spacing w:line="240" w:lineRule="auto"/>
        <w:ind w:right="1022"/>
        <w:jc w:val="left"/>
        <w:rPr>
          <w:b w:val="0"/>
          <w:bCs w:val="0"/>
        </w:rPr>
      </w:pPr>
      <w:bookmarkStart w:name="三、同业竞争情况" w:id="134"/>
      <w:bookmarkEnd w:id="134"/>
      <w:r>
        <w:rPr>
          <w:b w:val="0"/>
          <w:bCs w:val="0"/>
        </w:rPr>
      </w:r>
      <w:r>
        <w:rPr/>
        <w:t>三、同业竞争情况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0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1022"/>
        <w:jc w:val="left"/>
        <w:rPr>
          <w:b w:val="0"/>
          <w:bCs w:val="0"/>
        </w:rPr>
      </w:pPr>
      <w:bookmarkStart w:name="四、报告期内召开的年度股东大会和临时股东大会的有关情况" w:id="135"/>
      <w:bookmarkEnd w:id="135"/>
      <w:r>
        <w:rPr>
          <w:b w:val="0"/>
          <w:bCs w:val="0"/>
        </w:rPr>
      </w:r>
      <w:r>
        <w:rPr/>
        <w:t>四、报告期内召开的年度股东大会和临时股东大会的有关情况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022"/>
        <w:jc w:val="left"/>
        <w:rPr>
          <w:b w:val="0"/>
          <w:bCs w:val="0"/>
        </w:rPr>
      </w:pPr>
      <w:bookmarkStart w:name="1、本报告期股东大会情况" w:id="136"/>
      <w:bookmarkEnd w:id="136"/>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6"/>
        <w:gridCol w:w="1240"/>
        <w:gridCol w:w="1418"/>
        <w:gridCol w:w="1559"/>
        <w:gridCol w:w="1560"/>
        <w:gridCol w:w="21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会议类型</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2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02"/>
              <w:jc w:val="center"/>
              <w:rPr>
                <w:rFonts w:ascii="宋体" w:hAnsi="宋体" w:cs="宋体" w:eastAsia="宋体" w:hint="default"/>
                <w:sz w:val="18"/>
                <w:szCs w:val="18"/>
              </w:rPr>
            </w:pPr>
            <w:r>
              <w:rPr>
                <w:rFonts w:ascii="宋体" w:hAnsi="宋体" w:cs="宋体" w:eastAsia="宋体" w:hint="default"/>
                <w:sz w:val="18"/>
                <w:szCs w:val="18"/>
              </w:rPr>
              <w:t>年度股东大会</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42.12%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95"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2018-023</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2017</w:t>
            </w:r>
            <w:r>
              <w:rPr>
                <w:rFonts w:ascii="Times New Roman" w:hAnsi="Times New Roman" w:cs="Times New Roman" w:eastAsia="Times New Roman" w:hint="default"/>
                <w:sz w:val="18"/>
                <w:szCs w:val="18"/>
              </w:rPr>
              <w:t> </w:t>
            </w:r>
            <w:r>
              <w:rPr>
                <w:rFonts w:ascii="宋体" w:hAnsi="宋体" w:cs="宋体" w:eastAsia="宋体" w:hint="default"/>
                <w:sz w:val="18"/>
                <w:szCs w:val="18"/>
              </w:rPr>
              <w:t>年度股东大 会决议公告；巨潮资讯网。</w:t>
            </w:r>
          </w:p>
        </w:tc>
      </w:tr>
      <w:tr>
        <w:trPr>
          <w:trHeight w:val="102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02"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 股东大会</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02"/>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41.01%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9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3"/>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2018-049</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 </w:t>
            </w:r>
            <w:r>
              <w:rPr>
                <w:rFonts w:ascii="宋体" w:hAnsi="宋体" w:cs="宋体" w:eastAsia="宋体" w:hint="default"/>
                <w:spacing w:val="-2"/>
                <w:sz w:val="18"/>
                <w:szCs w:val="18"/>
              </w:rPr>
              <w:t>时股东大会决议公告；巨潮</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资讯网。</w:t>
            </w:r>
          </w:p>
        </w:tc>
      </w:tr>
    </w:tbl>
    <w:p>
      <w:pPr>
        <w:spacing w:line="240" w:lineRule="auto" w:before="2"/>
        <w:rPr>
          <w:rFonts w:ascii="宋体" w:hAnsi="宋体" w:cs="宋体" w:eastAsia="宋体" w:hint="default"/>
          <w:b/>
          <w:bCs/>
          <w:sz w:val="19"/>
          <w:szCs w:val="19"/>
        </w:rPr>
      </w:pPr>
    </w:p>
    <w:p>
      <w:pPr>
        <w:pStyle w:val="Heading3"/>
        <w:spacing w:line="240" w:lineRule="auto" w:before="35"/>
        <w:ind w:right="1022"/>
        <w:jc w:val="left"/>
        <w:rPr>
          <w:b w:val="0"/>
          <w:bCs w:val="0"/>
        </w:rPr>
      </w:pPr>
      <w:bookmarkStart w:name="2、表决权恢复的优先股股东请求召开临时股东大会" w:id="137"/>
      <w:bookmarkEnd w:id="137"/>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022"/>
        <w:jc w:val="left"/>
        <w:rPr>
          <w:b w:val="0"/>
          <w:bCs w:val="0"/>
        </w:rPr>
      </w:pPr>
      <w:bookmarkStart w:name="五、报告期内独立董事履行职责的情况" w:id="138"/>
      <w:bookmarkEnd w:id="138"/>
      <w:r>
        <w:rPr>
          <w:b w:val="0"/>
          <w:bCs w:val="0"/>
        </w:rPr>
      </w:r>
      <w:r>
        <w:rPr/>
        <w:t>五、报告期内独立董事履行职责的情况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22"/>
        <w:jc w:val="left"/>
        <w:rPr>
          <w:b w:val="0"/>
          <w:bCs w:val="0"/>
        </w:rPr>
      </w:pPr>
      <w:bookmarkStart w:name="1、独立董事出席董事会及股东大会的情况" w:id="139"/>
      <w:bookmarkEnd w:id="139"/>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427"/>
        <w:gridCol w:w="1164"/>
        <w:gridCol w:w="1164"/>
        <w:gridCol w:w="1163"/>
        <w:gridCol w:w="1164"/>
        <w:gridCol w:w="1163"/>
        <w:gridCol w:w="1163"/>
        <w:gridCol w:w="1163"/>
      </w:tblGrid>
      <w:tr>
        <w:trPr>
          <w:trHeight w:val="402" w:hRule="exact"/>
        </w:trPr>
        <w:tc>
          <w:tcPr>
            <w:tcW w:w="9571"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6"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5" w:right="36"/>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05" w:right="36" w:hanging="270"/>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07" w:right="35" w:hanging="270"/>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485" w:right="35" w:hanging="450"/>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5" w:right="35"/>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95" w:right="35"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曹德骏</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沈逸</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周玮</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r>
    </w:tbl>
    <w:p>
      <w:pPr>
        <w:pStyle w:val="BodyText"/>
        <w:spacing w:line="360" w:lineRule="auto" w:before="51"/>
        <w:ind w:right="8052"/>
        <w:jc w:val="left"/>
      </w:pPr>
      <w:r>
        <w:rPr/>
        <w:t>连续两次未亲自出席董事会的说明 无</w:t>
      </w:r>
    </w:p>
    <w:p>
      <w:pPr>
        <w:spacing w:after="0" w:line="36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both"/>
        <w:rPr>
          <w:b w:val="0"/>
          <w:bCs w:val="0"/>
        </w:rPr>
      </w:pPr>
      <w:bookmarkStart w:name="2、独立董事对公司有关事项提出异议的情况" w:id="140"/>
      <w:bookmarkEnd w:id="140"/>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both"/>
      </w:pPr>
      <w:r>
        <w:rPr/>
        <w:t>独立董事对公司有关事项是否提出异议</w:t>
      </w:r>
    </w:p>
    <w:p>
      <w:pPr>
        <w:pStyle w:val="BodyText"/>
        <w:spacing w:line="340" w:lineRule="auto" w:before="116"/>
        <w:ind w:right="697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报告期内独立董事对公司有关事项未提出异议。</w:t>
      </w:r>
    </w:p>
    <w:p>
      <w:pPr>
        <w:spacing w:line="240" w:lineRule="auto" w:before="12"/>
        <w:rPr>
          <w:rFonts w:ascii="宋体" w:hAnsi="宋体" w:cs="宋体" w:eastAsia="宋体" w:hint="default"/>
          <w:sz w:val="20"/>
          <w:szCs w:val="20"/>
        </w:rPr>
      </w:pPr>
    </w:p>
    <w:p>
      <w:pPr>
        <w:pStyle w:val="Heading3"/>
        <w:spacing w:line="240" w:lineRule="auto"/>
        <w:ind w:right="0"/>
        <w:jc w:val="both"/>
        <w:rPr>
          <w:b w:val="0"/>
          <w:bCs w:val="0"/>
        </w:rPr>
      </w:pPr>
      <w:bookmarkStart w:name="3、独立董事履行职责的其他说明" w:id="141"/>
      <w:bookmarkEnd w:id="141"/>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both"/>
      </w:pPr>
      <w:r>
        <w:rPr/>
        <w:t>独立董事对公司有关建议是否被采纳</w:t>
      </w:r>
    </w:p>
    <w:p>
      <w:pPr>
        <w:pStyle w:val="BodyText"/>
        <w:spacing w:line="338" w:lineRule="auto" w:before="116"/>
        <w:ind w:right="679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独立董事对公司有关建议被采纳或未被采纳的说明</w:t>
      </w:r>
    </w:p>
    <w:p>
      <w:pPr>
        <w:pStyle w:val="BodyText"/>
        <w:spacing w:line="316" w:lineRule="auto" w:before="42"/>
        <w:ind w:right="1022" w:firstLine="380"/>
        <w:jc w:val="left"/>
      </w:pPr>
      <w:r>
        <w:rPr/>
        <w:t>报告期内，公司独立董事根据《公司法》、《公司章程》、《公司独立董事工作制度》等的规定，切实履行独立董事 </w:t>
      </w:r>
      <w:r>
        <w:rPr>
          <w:spacing w:val="-2"/>
        </w:rPr>
        <w:t>职责，对公司日常经营及日常管理等情况进行了解和监督，积极参加相关会议，与公司其他董事、监事、高管及外部审计机</w:t>
      </w:r>
      <w:r>
        <w:rPr>
          <w:spacing w:val="-66"/>
        </w:rPr>
        <w:t> </w:t>
      </w:r>
      <w:r>
        <w:rPr>
          <w:spacing w:val="-66"/>
        </w:rPr>
      </w:r>
      <w:r>
        <w:rPr>
          <w:spacing w:val="-2"/>
        </w:rPr>
        <w:t>构进行良好的沟通交流，对关联交易、募集资金使用等情况发表独立意见，得到了公司的重视和采纳，对促进公司相关业务</w:t>
      </w:r>
      <w:r>
        <w:rPr>
          <w:spacing w:val="-66"/>
        </w:rPr>
        <w:t> </w:t>
      </w:r>
      <w:r>
        <w:rPr>
          <w:spacing w:val="-66"/>
        </w:rPr>
      </w:r>
      <w:r>
        <w:rPr/>
        <w:t>规范化、提升公司治理水平及保护中小股东权益起到了积极作用。</w:t>
      </w:r>
    </w:p>
    <w:p>
      <w:pPr>
        <w:spacing w:line="240" w:lineRule="auto" w:before="10"/>
        <w:rPr>
          <w:rFonts w:ascii="宋体" w:hAnsi="宋体" w:cs="宋体" w:eastAsia="宋体" w:hint="default"/>
          <w:sz w:val="20"/>
          <w:szCs w:val="20"/>
        </w:rPr>
      </w:pPr>
    </w:p>
    <w:p>
      <w:pPr>
        <w:pStyle w:val="Heading2"/>
        <w:spacing w:line="240" w:lineRule="auto"/>
        <w:ind w:right="0"/>
        <w:jc w:val="both"/>
        <w:rPr>
          <w:b w:val="0"/>
          <w:bCs w:val="0"/>
        </w:rPr>
      </w:pPr>
      <w:bookmarkStart w:name="六、董事会下设专门委员会在报告期内履行职责情况" w:id="142"/>
      <w:bookmarkEnd w:id="142"/>
      <w:r>
        <w:rPr>
          <w:b w:val="0"/>
          <w:bCs w:val="0"/>
        </w:rPr>
      </w:r>
      <w:r>
        <w:rPr/>
        <w:t>六、董事会下设专门委员会在报告期内履行职责情况</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left="514" w:right="1122"/>
        <w:jc w:val="left"/>
      </w:pPr>
      <w:r>
        <w:rPr>
          <w:rFonts w:ascii="Times New Roman" w:hAnsi="Times New Roman" w:cs="Times New Roman" w:eastAsia="Times New Roman" w:hint="default"/>
        </w:rPr>
        <w:t>1</w:t>
      </w:r>
      <w:r>
        <w:rPr/>
        <w:t>、审计委员会 报告期内，公司董事会审计委员会共召开了</w:t>
      </w:r>
      <w:r>
        <w:rPr>
          <w:rFonts w:ascii="Times New Roman" w:hAnsi="Times New Roman" w:cs="Times New Roman" w:eastAsia="Times New Roman" w:hint="default"/>
        </w:rPr>
        <w:t>4</w:t>
      </w:r>
      <w:r>
        <w:rPr/>
        <w:t>次会议，分别审议并通过了：《公司</w:t>
      </w:r>
      <w:r>
        <w:rPr>
          <w:rFonts w:ascii="Times New Roman" w:hAnsi="Times New Roman" w:cs="Times New Roman" w:eastAsia="Times New Roman" w:hint="default"/>
        </w:rPr>
        <w:t>2017</w:t>
      </w:r>
      <w:r>
        <w:rPr/>
        <w:t>年度财务报告》、《公司</w:t>
      </w:r>
      <w:r>
        <w:rPr>
          <w:rFonts w:ascii="Times New Roman" w:hAnsi="Times New Roman" w:cs="Times New Roman" w:eastAsia="Times New Roman" w:hint="default"/>
        </w:rPr>
        <w:t>2017</w:t>
      </w:r>
      <w:r>
        <w:rPr/>
        <w:t>年</w:t>
      </w:r>
    </w:p>
    <w:p>
      <w:pPr>
        <w:pStyle w:val="BodyText"/>
        <w:spacing w:line="230" w:lineRule="exact"/>
        <w:ind w:right="0"/>
        <w:jc w:val="both"/>
      </w:pPr>
      <w:r>
        <w:rPr/>
        <w:t>度内部控制自我评价报告》、《公司</w:t>
      </w:r>
      <w:r>
        <w:rPr>
          <w:rFonts w:ascii="Times New Roman" w:hAnsi="Times New Roman" w:cs="Times New Roman" w:eastAsia="Times New Roman" w:hint="default"/>
        </w:rPr>
        <w:t>2017</w:t>
      </w:r>
      <w:r>
        <w:rPr/>
        <w:t>年度募集资金存放与使用情况的审计报告》、《公司</w:t>
      </w:r>
      <w:r>
        <w:rPr>
          <w:rFonts w:ascii="Times New Roman" w:hAnsi="Times New Roman" w:cs="Times New Roman" w:eastAsia="Times New Roman" w:hint="default"/>
        </w:rPr>
        <w:t>2017</w:t>
      </w:r>
      <w:r>
        <w:rPr/>
        <w:t>年度关联交易及关联资金</w:t>
      </w:r>
    </w:p>
    <w:p>
      <w:pPr>
        <w:pStyle w:val="BodyText"/>
        <w:spacing w:line="300" w:lineRule="auto" w:before="63"/>
        <w:ind w:right="1042"/>
        <w:jc w:val="both"/>
      </w:pPr>
      <w:r>
        <w:rPr>
          <w:spacing w:val="-5"/>
        </w:rPr>
        <w:t>往来的审计报告》、《公司内部审计</w:t>
      </w:r>
      <w:r>
        <w:rPr>
          <w:rFonts w:ascii="Times New Roman" w:hAnsi="Times New Roman" w:cs="Times New Roman" w:eastAsia="Times New Roman" w:hint="default"/>
          <w:spacing w:val="-5"/>
        </w:rPr>
        <w:t>2017</w:t>
      </w:r>
      <w:r>
        <w:rPr>
          <w:spacing w:val="-5"/>
        </w:rPr>
        <w:t>年度工作总结及</w:t>
      </w:r>
      <w:r>
        <w:rPr>
          <w:rFonts w:ascii="Times New Roman" w:hAnsi="Times New Roman" w:cs="Times New Roman" w:eastAsia="Times New Roman" w:hint="default"/>
          <w:spacing w:val="-5"/>
        </w:rPr>
        <w:t>2018</w:t>
      </w:r>
      <w:r>
        <w:rPr>
          <w:spacing w:val="-5"/>
        </w:rPr>
        <w:t>年度工作计划》、《公司</w:t>
      </w:r>
      <w:r>
        <w:rPr>
          <w:rFonts w:ascii="Times New Roman" w:hAnsi="Times New Roman" w:cs="Times New Roman" w:eastAsia="Times New Roman" w:hint="default"/>
          <w:spacing w:val="-5"/>
        </w:rPr>
        <w:t>2018</w:t>
      </w:r>
      <w:r>
        <w:rPr>
          <w:spacing w:val="-5"/>
        </w:rPr>
        <w:t>年一季度财务报告》、《公司</w:t>
      </w:r>
      <w:r>
        <w:rPr>
          <w:rFonts w:ascii="Times New Roman" w:hAnsi="Times New Roman" w:cs="Times New Roman" w:eastAsia="Times New Roman" w:hint="default"/>
          <w:spacing w:val="-5"/>
        </w:rPr>
        <w:t>2018</w:t>
      </w:r>
      <w:r>
        <w:rPr>
          <w:rFonts w:ascii="Times New Roman" w:hAnsi="Times New Roman" w:cs="Times New Roman" w:eastAsia="Times New Roman" w:hint="default"/>
          <w:spacing w:val="3"/>
        </w:rPr>
        <w:t> </w:t>
      </w:r>
      <w:r>
        <w:rPr>
          <w:spacing w:val="-2"/>
        </w:rPr>
        <w:t>年第一季度募集资金存放与使用情况的审计报告》、《公司</w:t>
      </w:r>
      <w:r>
        <w:rPr>
          <w:rFonts w:ascii="Times New Roman" w:hAnsi="Times New Roman" w:cs="Times New Roman" w:eastAsia="Times New Roman" w:hint="default"/>
          <w:spacing w:val="-2"/>
        </w:rPr>
        <w:t>2018</w:t>
      </w:r>
      <w:r>
        <w:rPr>
          <w:spacing w:val="-2"/>
        </w:rPr>
        <w:t>年第一季度关联交易及关联资金往来的审计报告》、《公司</w:t>
      </w:r>
      <w:r>
        <w:rPr>
          <w:spacing w:val="-62"/>
        </w:rPr>
        <w:t> </w:t>
      </w:r>
      <w:r>
        <w:rPr>
          <w:spacing w:val="-62"/>
        </w:rPr>
      </w:r>
      <w:r>
        <w:rPr>
          <w:spacing w:val="-2"/>
        </w:rPr>
        <w:t>内部审计</w:t>
      </w:r>
      <w:r>
        <w:rPr>
          <w:rFonts w:ascii="Times New Roman" w:hAnsi="Times New Roman" w:cs="Times New Roman" w:eastAsia="Times New Roman" w:hint="default"/>
          <w:spacing w:val="-2"/>
        </w:rPr>
        <w:t>2018</w:t>
      </w:r>
      <w:r>
        <w:rPr>
          <w:spacing w:val="-2"/>
        </w:rPr>
        <w:t>年一季度工作总结及第二季度工作计划》、《公司</w:t>
      </w:r>
      <w:r>
        <w:rPr>
          <w:rFonts w:ascii="Times New Roman" w:hAnsi="Times New Roman" w:cs="Times New Roman" w:eastAsia="Times New Roman" w:hint="default"/>
          <w:spacing w:val="-2"/>
        </w:rPr>
        <w:t>2018</w:t>
      </w:r>
      <w:r>
        <w:rPr>
          <w:spacing w:val="-2"/>
        </w:rPr>
        <w:t>年半年度财务报告》、《公司</w:t>
      </w:r>
      <w:r>
        <w:rPr>
          <w:rFonts w:ascii="Times New Roman" w:hAnsi="Times New Roman" w:cs="Times New Roman" w:eastAsia="Times New Roman" w:hint="default"/>
          <w:spacing w:val="-2"/>
        </w:rPr>
        <w:t>2018</w:t>
      </w:r>
      <w:r>
        <w:rPr>
          <w:spacing w:val="-2"/>
        </w:rPr>
        <w:t>年半年度募集资金存</w:t>
      </w:r>
      <w:r>
        <w:rPr>
          <w:spacing w:val="-55"/>
        </w:rPr>
        <w:t> </w:t>
      </w:r>
      <w:r>
        <w:rPr>
          <w:spacing w:val="-2"/>
        </w:rPr>
        <w:t>放与使用情况的审计报告》、《公司</w:t>
      </w:r>
      <w:r>
        <w:rPr>
          <w:rFonts w:ascii="Times New Roman" w:hAnsi="Times New Roman" w:cs="Times New Roman" w:eastAsia="Times New Roman" w:hint="default"/>
          <w:spacing w:val="-2"/>
        </w:rPr>
        <w:t>2018</w:t>
      </w:r>
      <w:r>
        <w:rPr>
          <w:spacing w:val="-2"/>
        </w:rPr>
        <w:t>年半年度关联交易及关联资金往来的审计报告》、《公司内部审计</w:t>
      </w:r>
      <w:r>
        <w:rPr>
          <w:rFonts w:ascii="Times New Roman" w:hAnsi="Times New Roman" w:cs="Times New Roman" w:eastAsia="Times New Roman" w:hint="default"/>
          <w:spacing w:val="-2"/>
        </w:rPr>
        <w:t>2018</w:t>
      </w:r>
      <w:r>
        <w:rPr>
          <w:spacing w:val="-2"/>
        </w:rPr>
        <w:t>年半年度工</w:t>
      </w:r>
      <w:r>
        <w:rPr>
          <w:spacing w:val="-60"/>
        </w:rPr>
        <w:t> </w:t>
      </w:r>
      <w:r>
        <w:rPr>
          <w:spacing w:val="-6"/>
        </w:rPr>
        <w:t>作总结及第三季度工作计划》、《公司</w:t>
      </w:r>
      <w:r>
        <w:rPr>
          <w:rFonts w:ascii="Times New Roman" w:hAnsi="Times New Roman" w:cs="Times New Roman" w:eastAsia="Times New Roman" w:hint="default"/>
          <w:spacing w:val="-6"/>
        </w:rPr>
        <w:t>2018</w:t>
      </w:r>
      <w:r>
        <w:rPr>
          <w:spacing w:val="-6"/>
        </w:rPr>
        <w:t>年三季度财务报告》、《公司</w:t>
      </w:r>
      <w:r>
        <w:rPr>
          <w:rFonts w:ascii="Times New Roman" w:hAnsi="Times New Roman" w:cs="Times New Roman" w:eastAsia="Times New Roman" w:hint="default"/>
          <w:spacing w:val="-6"/>
        </w:rPr>
        <w:t>2018</w:t>
      </w:r>
      <w:r>
        <w:rPr>
          <w:spacing w:val="-6"/>
        </w:rPr>
        <w:t>年三季度募集资金存放与使用情况的审计报告》、</w:t>
      </w:r>
    </w:p>
    <w:p>
      <w:pPr>
        <w:pStyle w:val="BodyText"/>
        <w:spacing w:line="240" w:lineRule="auto" w:before="13"/>
        <w:ind w:right="0"/>
        <w:jc w:val="both"/>
      </w:pPr>
      <w:r>
        <w:rPr/>
        <w:t>《公司</w:t>
      </w:r>
      <w:r>
        <w:rPr>
          <w:rFonts w:ascii="Times New Roman" w:hAnsi="Times New Roman" w:cs="Times New Roman" w:eastAsia="Times New Roman" w:hint="default"/>
        </w:rPr>
        <w:t>2018</w:t>
      </w:r>
      <w:r>
        <w:rPr/>
        <w:t>年第三季度关联交易及关联资金往来的审计报告</w:t>
      </w:r>
      <w:r>
        <w:rPr>
          <w:spacing w:val="-88"/>
        </w:rPr>
        <w:t>》</w:t>
      </w:r>
      <w:r>
        <w:rPr>
          <w:spacing w:val="-176"/>
        </w:rPr>
        <w:t>、</w:t>
      </w:r>
      <w:r>
        <w:rPr/>
        <w:t>《公司</w:t>
      </w:r>
      <w:r>
        <w:rPr>
          <w:spacing w:val="-2"/>
        </w:rPr>
        <w:t>内</w:t>
      </w:r>
      <w:r>
        <w:rPr/>
        <w:t>部审计</w:t>
      </w:r>
      <w:r>
        <w:rPr>
          <w:rFonts w:ascii="Times New Roman" w:hAnsi="Times New Roman" w:cs="Times New Roman" w:eastAsia="Times New Roman" w:hint="default"/>
        </w:rPr>
        <w:t>2018</w:t>
      </w:r>
      <w:r>
        <w:rPr/>
        <w:t>年三季度工作总结及第四季度工作计划</w:t>
      </w:r>
      <w:r>
        <w:rPr>
          <w:spacing w:val="-88"/>
        </w:rPr>
        <w:t>》</w:t>
      </w:r>
      <w:r>
        <w:rPr/>
        <w:t>、</w:t>
      </w:r>
    </w:p>
    <w:p>
      <w:pPr>
        <w:pStyle w:val="BodyText"/>
        <w:spacing w:line="240" w:lineRule="auto" w:before="64"/>
        <w:ind w:right="0"/>
        <w:jc w:val="both"/>
      </w:pPr>
      <w:r>
        <w:rPr/>
        <w:t>《其他需向审计委员会报告的检查情况》、《关于变更会计师事务所的议案》等。</w:t>
      </w:r>
    </w:p>
    <w:p>
      <w:pPr>
        <w:pStyle w:val="BodyText"/>
        <w:spacing w:line="338" w:lineRule="auto" w:before="117"/>
        <w:ind w:left="514" w:right="1122"/>
        <w:jc w:val="left"/>
      </w:pPr>
      <w:r>
        <w:rPr>
          <w:rFonts w:ascii="Times New Roman" w:hAnsi="Times New Roman" w:cs="Times New Roman" w:eastAsia="Times New Roman" w:hint="default"/>
        </w:rPr>
        <w:t>2</w:t>
      </w:r>
      <w:r>
        <w:rPr/>
        <w:t>、薪酬与考核委员会 报告期内，公司薪酬与考核委员会召开了</w:t>
      </w:r>
      <w:r>
        <w:rPr>
          <w:rFonts w:ascii="Times New Roman" w:hAnsi="Times New Roman" w:cs="Times New Roman" w:eastAsia="Times New Roman" w:hint="default"/>
        </w:rPr>
        <w:t>1</w:t>
      </w:r>
      <w:r>
        <w:rPr/>
        <w:t>次会议，讨论了公司高级管理人员的</w:t>
      </w:r>
      <w:r>
        <w:rPr>
          <w:rFonts w:ascii="Times New Roman" w:hAnsi="Times New Roman" w:cs="Times New Roman" w:eastAsia="Times New Roman" w:hint="default"/>
        </w:rPr>
        <w:t>2017</w:t>
      </w:r>
      <w:r>
        <w:rPr/>
        <w:t>年度工作绩效，并确定了薪酬方案</w:t>
      </w:r>
    </w:p>
    <w:p>
      <w:pPr>
        <w:pStyle w:val="BodyText"/>
        <w:spacing w:line="218" w:lineRule="exact"/>
        <w:ind w:right="0"/>
        <w:jc w:val="both"/>
      </w:pPr>
      <w:r>
        <w:rPr/>
        <w:t>提交董事会审议。</w:t>
      </w:r>
    </w:p>
    <w:p>
      <w:pPr>
        <w:spacing w:line="240" w:lineRule="auto" w:before="13"/>
        <w:rPr>
          <w:rFonts w:ascii="宋体" w:hAnsi="宋体" w:cs="宋体" w:eastAsia="宋体" w:hint="default"/>
          <w:sz w:val="24"/>
          <w:szCs w:val="24"/>
        </w:rPr>
      </w:pPr>
    </w:p>
    <w:p>
      <w:pPr>
        <w:pStyle w:val="Heading2"/>
        <w:spacing w:line="240" w:lineRule="auto"/>
        <w:ind w:right="0"/>
        <w:jc w:val="both"/>
        <w:rPr>
          <w:b w:val="0"/>
          <w:bCs w:val="0"/>
        </w:rPr>
      </w:pPr>
      <w:bookmarkStart w:name="七、监事会工作情况" w:id="143"/>
      <w:bookmarkEnd w:id="143"/>
      <w:r>
        <w:rPr>
          <w:b w:val="0"/>
          <w:bCs w:val="0"/>
        </w:rPr>
      </w:r>
      <w:r>
        <w:rPr/>
        <w:t>七、监事会工作情况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both"/>
      </w:pPr>
      <w:r>
        <w:rPr/>
        <w:t>监事会在报告期内的监督活动中发现公司是否存在风险</w:t>
      </w:r>
    </w:p>
    <w:p>
      <w:pPr>
        <w:pStyle w:val="BodyText"/>
        <w:spacing w:line="340" w:lineRule="auto" w:before="116"/>
        <w:ind w:right="769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监事会对报告期内的监督事项无异议。</w:t>
      </w:r>
    </w:p>
    <w:p>
      <w:pPr>
        <w:spacing w:line="240" w:lineRule="auto" w:before="3"/>
        <w:rPr>
          <w:rFonts w:ascii="宋体" w:hAnsi="宋体" w:cs="宋体" w:eastAsia="宋体" w:hint="default"/>
          <w:sz w:val="19"/>
          <w:szCs w:val="19"/>
        </w:rPr>
      </w:pPr>
    </w:p>
    <w:p>
      <w:pPr>
        <w:pStyle w:val="Heading2"/>
        <w:spacing w:line="240" w:lineRule="auto"/>
        <w:ind w:right="0"/>
        <w:jc w:val="both"/>
        <w:rPr>
          <w:b w:val="0"/>
          <w:bCs w:val="0"/>
        </w:rPr>
      </w:pPr>
      <w:bookmarkStart w:name="八、高级管理人员的考评及激励情况" w:id="144"/>
      <w:bookmarkEnd w:id="144"/>
      <w:r>
        <w:rPr>
          <w:b w:val="0"/>
          <w:bCs w:val="0"/>
        </w:rPr>
      </w:r>
      <w:r>
        <w:rPr/>
        <w:t>八、高级管理人员的考评及激励情况</w:t>
      </w:r>
      <w:r>
        <w:rPr>
          <w:b w:val="0"/>
          <w:bCs w:val="0"/>
        </w:rPr>
      </w:r>
    </w:p>
    <w:p>
      <w:pPr>
        <w:spacing w:line="240" w:lineRule="auto" w:before="8"/>
        <w:rPr>
          <w:rFonts w:ascii="宋体" w:hAnsi="宋体" w:cs="宋体" w:eastAsia="宋体" w:hint="default"/>
          <w:b/>
          <w:bCs/>
          <w:sz w:val="26"/>
          <w:szCs w:val="26"/>
        </w:rPr>
      </w:pPr>
    </w:p>
    <w:p>
      <w:pPr>
        <w:pStyle w:val="BodyText"/>
        <w:spacing w:line="316" w:lineRule="auto"/>
        <w:ind w:right="1131" w:firstLine="360"/>
        <w:jc w:val="both"/>
      </w:pPr>
      <w:r>
        <w:rPr>
          <w:spacing w:val="-2"/>
        </w:rPr>
        <w:t>公司建立了公正、有效的高级管理人员的绩效评价标准和激励约束机制。报告期内，公司董事会和薪酬与考核委员会按</w:t>
      </w:r>
      <w:r>
        <w:rPr/>
        <w:t> </w:t>
      </w:r>
      <w:r>
        <w:rPr>
          <w:spacing w:val="-2"/>
        </w:rPr>
        <w:t>照公司《董事会薪酬与考核委员会实施细则》的规定及要求，按年度对公司高级管理人员的业绩和履职情况进行考评。报告</w:t>
      </w:r>
      <w:r>
        <w:rPr>
          <w:spacing w:val="-66"/>
        </w:rPr>
        <w:t> </w:t>
      </w:r>
      <w:r>
        <w:rPr>
          <w:spacing w:val="-66"/>
        </w:rPr>
      </w:r>
      <w:r>
        <w:rPr>
          <w:spacing w:val="-2"/>
        </w:rPr>
        <w:t>期内，公司董事会依据公司年度经营业绩状况，高级管理人员的岗位职责和年度工作目标完成情况，经过综合考评，根据考</w:t>
      </w:r>
    </w:p>
    <w:p>
      <w:pPr>
        <w:spacing w:after="0" w:line="316"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r>
        <w:rPr/>
        <w:pict>
          <v:shape style="position:absolute;margin-left:367.713989pt;margin-top:393.139984pt;width:167.2pt;height:46.85pt;mso-position-horizontal-relative:page;mso-position-vertical-relative:page;z-index:-1003264" type="#_x0000_t202" filled="false" stroked="false">
            <v:textbox inset="0,0,0,0">
              <w:txbxContent>
                <w:p>
                  <w:pPr>
                    <w:spacing w:line="240" w:lineRule="auto" w:before="0"/>
                    <w:rPr>
                      <w:rFonts w:ascii="宋体" w:hAnsi="宋体" w:cs="宋体" w:eastAsia="宋体" w:hint="default"/>
                      <w:b/>
                      <w:bCs/>
                      <w:sz w:val="18"/>
                      <w:szCs w:val="18"/>
                    </w:rPr>
                  </w:pPr>
                </w:p>
                <w:p>
                  <w:pPr>
                    <w:pStyle w:val="BodyText"/>
                    <w:spacing w:line="240" w:lineRule="auto" w:before="127"/>
                    <w:ind w:left="0" w:right="0"/>
                    <w:jc w:val="left"/>
                  </w:pPr>
                  <w:r>
                    <w:rPr/>
                    <w:t>事、</w:t>
                  </w:r>
                </w:p>
              </w:txbxContent>
            </v:textbox>
            <w10:wrap type="none"/>
          </v:shape>
        </w:pict>
      </w:r>
      <w:r>
        <w:rPr/>
        <w:pict>
          <v:shape style="position:absolute;margin-left:259.703003pt;margin-top:631.119995pt;width:275.2pt;height:46.8pt;mso-position-horizontal-relative:page;mso-position-vertical-relative:page;z-index:-1003240" type="#_x0000_t202" filled="false" stroked="false">
            <v:textbox inset="0,0,0,0">
              <w:txbxContent>
                <w:p>
                  <w:pPr>
                    <w:spacing w:line="240" w:lineRule="auto" w:before="8"/>
                    <w:rPr>
                      <w:rFonts w:ascii="宋体" w:hAnsi="宋体" w:cs="宋体" w:eastAsia="宋体" w:hint="default"/>
                      <w:b/>
                      <w:bCs/>
                      <w:sz w:val="21"/>
                      <w:szCs w:val="21"/>
                    </w:rPr>
                  </w:pPr>
                </w:p>
                <w:p>
                  <w:pPr>
                    <w:pStyle w:val="BodyText"/>
                    <w:spacing w:line="240" w:lineRule="auto"/>
                    <w:ind w:left="0" w:right="0"/>
                    <w:jc w:val="left"/>
                  </w:pPr>
                  <w:r>
                    <w:rPr/>
                    <w:t>一般缺陷是指除上述重大缺陷、</w:t>
                  </w:r>
                </w:p>
              </w:txbxContent>
            </v:textbox>
            <w10:wrap type="none"/>
          </v:shape>
        </w:pict>
      </w:r>
      <w:r>
        <w:rPr/>
        <w:pict>
          <v:group style="position:absolute;margin-left:382.839996pt;margin-top:631.119995pt;width:152.1pt;height:64.95pt;mso-position-horizontal-relative:page;mso-position-vertical-relative:page;z-index:-1003216" coordorigin="7657,12622" coordsize="3042,1299">
            <v:group style="position:absolute;left:7657;top:12622;width:3042;height:936" coordorigin="7657,12622" coordsize="3042,936">
              <v:shape style="position:absolute;left:7657;top:12622;width:3042;height:936" coordorigin="7657,12622" coordsize="3042,936" path="m7657,13558l10698,13558,10698,12622,7657,12622,7657,13558xe" filled="true" fillcolor="#ffffff" stroked="false">
                <v:path arrowok="t"/>
                <v:fill type="solid"/>
              </v:shape>
            </v:group>
            <v:group style="position:absolute;left:7680;top:13569;width:2996;height:352" coordorigin="7680,13569" coordsize="2996,352">
              <v:shape style="position:absolute;left:7680;top:13569;width:2996;height:352" coordorigin="7680,13569" coordsize="2996,352" path="m7680,13921l10675,13921,10675,13569,7680,13569,7680,13921xe" filled="true" fillcolor="#ffffff" stroked="false">
                <v:path arrowok="t"/>
                <v:fill type="solid"/>
              </v:shape>
            </v:group>
            <w10:wrap type="none"/>
          </v:group>
        </w:pict>
      </w:r>
    </w:p>
    <w:p>
      <w:pPr>
        <w:pStyle w:val="BodyText"/>
        <w:spacing w:line="240" w:lineRule="auto" w:before="44"/>
        <w:ind w:right="1022"/>
        <w:jc w:val="left"/>
      </w:pPr>
      <w:r>
        <w:rPr/>
        <w:t>评结果拟定高级管理人员的薪酬绩效初步方案并提请审议批准，促进了高级管理人员良好地履行职责。</w:t>
      </w:r>
    </w:p>
    <w:p>
      <w:pPr>
        <w:spacing w:line="240" w:lineRule="auto" w:before="2"/>
        <w:rPr>
          <w:rFonts w:ascii="宋体" w:hAnsi="宋体" w:cs="宋体" w:eastAsia="宋体" w:hint="default"/>
          <w:sz w:val="25"/>
          <w:szCs w:val="25"/>
        </w:rPr>
      </w:pPr>
    </w:p>
    <w:p>
      <w:pPr>
        <w:pStyle w:val="Heading2"/>
        <w:spacing w:line="240" w:lineRule="auto"/>
        <w:ind w:right="1022"/>
        <w:jc w:val="left"/>
        <w:rPr>
          <w:b w:val="0"/>
          <w:bCs w:val="0"/>
        </w:rPr>
      </w:pPr>
      <w:bookmarkStart w:name="九、内部控制评价报告" w:id="145"/>
      <w:bookmarkEnd w:id="145"/>
      <w:r>
        <w:rPr>
          <w:b w:val="0"/>
          <w:bCs w:val="0"/>
        </w:rPr>
      </w:r>
      <w:r>
        <w:rPr/>
        <w:t>九、内部控制评价报告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022"/>
        <w:jc w:val="left"/>
        <w:rPr>
          <w:b w:val="0"/>
          <w:bCs w:val="0"/>
        </w:rPr>
      </w:pPr>
      <w:bookmarkStart w:name="1、报告期内发现的内部控制重大缺陷的具体情况" w:id="146"/>
      <w:bookmarkEnd w:id="146"/>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2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3"/>
        <w:spacing w:line="240" w:lineRule="auto"/>
        <w:ind w:right="1022"/>
        <w:jc w:val="left"/>
        <w:rPr>
          <w:b w:val="0"/>
          <w:bCs w:val="0"/>
        </w:rPr>
      </w:pPr>
      <w:bookmarkStart w:name="2、内控自我评价报告" w:id="147"/>
      <w:bookmarkEnd w:id="147"/>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830"/>
        <w:gridCol w:w="3688"/>
        <w:gridCol w:w="3051"/>
      </w:tblGrid>
      <w:tr>
        <w:trPr>
          <w:trHeight w:val="402" w:hRule="exact"/>
        </w:trPr>
        <w:tc>
          <w:tcPr>
            <w:tcW w:w="28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73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162" w:hRule="exact"/>
        </w:trPr>
        <w:tc>
          <w:tcPr>
            <w:tcW w:w="28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739" w:type="dxa"/>
            <w:gridSpan w:val="2"/>
            <w:vMerge w:val="restart"/>
            <w:tcBorders>
              <w:top w:val="single" w:sz="4" w:space="0" w:color="000000"/>
              <w:left w:val="single" w:sz="9" w:space="0" w:color="D2D2D2"/>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《成都卫士通信息产业股份有限公司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年内部控制自我评价报告</w:t>
            </w:r>
            <w:r>
              <w:rPr>
                <w:rFonts w:ascii="宋体" w:hAnsi="宋体" w:cs="宋体" w:eastAsia="宋体" w:hint="default"/>
                <w:spacing w:val="-90"/>
                <w:sz w:val="18"/>
                <w:szCs w:val="18"/>
              </w:rPr>
              <w:t>》</w:t>
            </w:r>
            <w:r>
              <w:rPr>
                <w:rFonts w:ascii="宋体" w:hAnsi="宋体" w:cs="宋体" w:eastAsia="宋体" w:hint="default"/>
                <w:sz w:val="18"/>
                <w:szCs w:val="18"/>
              </w:rPr>
              <w:t>，巨潮资讯网</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w:t>
            </w:r>
            <w:hyperlink r:id="rId11">
              <w:r>
                <w:rPr>
                  <w:rFonts w:ascii="Times New Roman" w:hAnsi="Times New Roman" w:cs="Times New Roman" w:eastAsia="Times New Roman" w:hint="default"/>
                  <w:sz w:val="18"/>
                  <w:szCs w:val="18"/>
                </w:rPr>
                <w:t>htt</w:t>
              </w:r>
              <w:r>
                <w:rPr>
                  <w:rFonts w:ascii="Times New Roman" w:hAnsi="Times New Roman" w:cs="Times New Roman" w:eastAsia="Times New Roman" w:hint="default"/>
                  <w:w w:val="99"/>
                  <w:sz w:val="18"/>
                  <w:szCs w:val="18"/>
                </w:rPr>
                <w:t>p://w</w:t>
              </w:r>
              <w:r>
                <w:rPr>
                  <w:rFonts w:ascii="Times New Roman" w:hAnsi="Times New Roman" w:cs="Times New Roman" w:eastAsia="Times New Roman" w:hint="default"/>
                  <w:spacing w:val="-1"/>
                  <w:w w:val="99"/>
                  <w:sz w:val="18"/>
                  <w:szCs w:val="18"/>
                </w:rPr>
                <w:t>w</w:t>
              </w:r>
              <w:r>
                <w:rPr>
                  <w:rFonts w:ascii="Times New Roman" w:hAnsi="Times New Roman" w:cs="Times New Roman" w:eastAsia="Times New Roman" w:hint="default"/>
                  <w:spacing w:val="-13"/>
                  <w:w w:val="99"/>
                  <w:sz w:val="18"/>
                  <w:szCs w:val="18"/>
                </w:rPr>
                <w:t>w</w:t>
              </w:r>
              <w:r>
                <w:rPr>
                  <w:rFonts w:ascii="Times New Roman" w:hAnsi="Times New Roman" w:cs="Times New Roman" w:eastAsia="Times New Roman" w:hint="default"/>
                  <w:sz w:val="18"/>
                  <w:szCs w:val="18"/>
                </w:rPr>
                <w:t>.cninfo.com</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z w:val="18"/>
                  <w:szCs w:val="18"/>
                </w:rPr>
                <w:t>cn</w:t>
              </w:r>
              <w:r>
                <w:rPr>
                  <w:rFonts w:ascii="Times New Roman" w:hAnsi="Times New Roman" w:cs="Times New Roman" w:eastAsia="Times New Roman" w:hint="default"/>
                  <w:spacing w:val="2"/>
                  <w:sz w:val="18"/>
                  <w:szCs w:val="18"/>
                </w:rPr>
                <w:t>/</w:t>
              </w:r>
            </w:hyperlink>
            <w:r>
              <w:rPr>
                <w:rFonts w:ascii="宋体" w:hAnsi="宋体" w:cs="宋体" w:eastAsia="宋体" w:hint="default"/>
                <w:spacing w:val="-90"/>
                <w:sz w:val="18"/>
                <w:szCs w:val="18"/>
              </w:rPr>
              <w:t>）。</w:t>
            </w:r>
            <w:r>
              <w:rPr>
                <w:rFonts w:ascii="宋体" w:hAnsi="宋体" w:cs="宋体" w:eastAsia="宋体" w:hint="default"/>
                <w:sz w:val="18"/>
                <w:szCs w:val="18"/>
              </w:rPr>
            </w:r>
          </w:p>
        </w:tc>
      </w:tr>
      <w:tr>
        <w:trPr>
          <w:trHeight w:val="391" w:hRule="exact"/>
        </w:trPr>
        <w:tc>
          <w:tcPr>
            <w:tcW w:w="28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739" w:type="dxa"/>
            <w:gridSpan w:val="2"/>
            <w:vMerge/>
            <w:tcBorders>
              <w:left w:val="single" w:sz="9" w:space="0" w:color="D2D2D2"/>
              <w:right w:val="single" w:sz="4" w:space="0" w:color="000000"/>
            </w:tcBorders>
          </w:tcPr>
          <w:p>
            <w:pPr/>
          </w:p>
        </w:tc>
      </w:tr>
      <w:tr>
        <w:trPr>
          <w:trHeight w:val="161" w:hRule="exact"/>
        </w:trPr>
        <w:tc>
          <w:tcPr>
            <w:tcW w:w="28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739" w:type="dxa"/>
            <w:gridSpan w:val="2"/>
            <w:vMerge/>
            <w:tcBorders>
              <w:left w:val="single" w:sz="9" w:space="0" w:color="D2D2D2"/>
              <w:bottom w:val="single" w:sz="4" w:space="0" w:color="000000"/>
              <w:right w:val="single" w:sz="4" w:space="0" w:color="000000"/>
            </w:tcBorders>
          </w:tcPr>
          <w:p>
            <w:pPr/>
          </w:p>
        </w:tc>
      </w:tr>
      <w:tr>
        <w:trPr>
          <w:trHeight w:val="714" w:hRule="exact"/>
        </w:trPr>
        <w:tc>
          <w:tcPr>
            <w:tcW w:w="28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95"/>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 合并财务报表资产总额的比例</w:t>
            </w:r>
          </w:p>
        </w:tc>
        <w:tc>
          <w:tcPr>
            <w:tcW w:w="673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715" w:hRule="exact"/>
        </w:trPr>
        <w:tc>
          <w:tcPr>
            <w:tcW w:w="28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95"/>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 合并财务报表营业收入的比例</w:t>
            </w:r>
          </w:p>
        </w:tc>
        <w:tc>
          <w:tcPr>
            <w:tcW w:w="673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956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1" w:hRule="exact"/>
        </w:trPr>
        <w:tc>
          <w:tcPr>
            <w:tcW w:w="28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6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2658" w:hRule="exact"/>
        </w:trPr>
        <w:tc>
          <w:tcPr>
            <w:tcW w:w="2830" w:type="dxa"/>
            <w:tcBorders>
              <w:top w:val="single" w:sz="4" w:space="0" w:color="000000"/>
              <w:left w:val="single" w:sz="4" w:space="0" w:color="000000"/>
              <w:bottom w:val="nil" w:sz="6" w:space="0" w:color="auto"/>
              <w:right w:val="single" w:sz="4" w:space="0" w:color="000000"/>
            </w:tcBorders>
            <w:shd w:val="clear" w:color="auto" w:fill="D2D2D2"/>
          </w:tcPr>
          <w:p>
            <w:pPr/>
          </w:p>
        </w:tc>
        <w:tc>
          <w:tcPr>
            <w:tcW w:w="3688" w:type="dxa"/>
            <w:vMerge w:val="restart"/>
            <w:tcBorders>
              <w:top w:val="single" w:sz="4" w:space="0" w:color="000000"/>
              <w:left w:val="single" w:sz="9" w:space="0" w:color="D2D2D2"/>
              <w:right w:val="single" w:sz="9" w:space="0" w:color="FFFFFF"/>
            </w:tcBorders>
          </w:tcPr>
          <w:p>
            <w:pPr>
              <w:pStyle w:val="TableParagraph"/>
              <w:spacing w:line="307" w:lineRule="auto" w:before="52"/>
              <w:ind w:left="22" w:right="-48"/>
              <w:jc w:val="left"/>
              <w:rPr>
                <w:rFonts w:ascii="宋体" w:hAnsi="宋体" w:cs="宋体" w:eastAsia="宋体" w:hint="default"/>
                <w:sz w:val="18"/>
                <w:szCs w:val="18"/>
              </w:rPr>
            </w:pPr>
            <w:r>
              <w:rPr>
                <w:rFonts w:ascii="宋体" w:hAnsi="宋体" w:cs="宋体" w:eastAsia="宋体" w:hint="default"/>
                <w:spacing w:val="-8"/>
                <w:sz w:val="18"/>
                <w:szCs w:val="18"/>
              </w:rPr>
              <w:t>出现以下情形的（包括但不限于），一般应认定</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8"/>
                <w:sz w:val="18"/>
                <w:szCs w:val="18"/>
              </w:rPr>
              <w:t>为财务报告内部控制重大缺陷：（</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）发现董</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监事和高级管理人员重大舞弊；（</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）发现当期</w:t>
            </w:r>
            <w:r>
              <w:rPr>
                <w:rFonts w:ascii="宋体" w:hAnsi="宋体" w:cs="宋体" w:eastAsia="宋体" w:hint="default"/>
                <w:spacing w:val="-75"/>
                <w:sz w:val="18"/>
                <w:szCs w:val="18"/>
              </w:rPr>
              <w:t> </w:t>
            </w:r>
            <w:r>
              <w:rPr>
                <w:rFonts w:ascii="宋体" w:hAnsi="宋体" w:cs="宋体" w:eastAsia="宋体" w:hint="default"/>
                <w:sz w:val="18"/>
                <w:szCs w:val="18"/>
              </w:rPr>
              <w:t>财务报表存在重大错报，而内部控制在运行过 </w:t>
            </w:r>
            <w:r>
              <w:rPr>
                <w:rFonts w:ascii="宋体" w:hAnsi="宋体" w:cs="宋体" w:eastAsia="宋体" w:hint="default"/>
                <w:spacing w:val="-5"/>
                <w:sz w:val="18"/>
                <w:szCs w:val="18"/>
              </w:rPr>
              <w:t>程中未能发现该错报；（</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）公司审计委员会和</w:t>
            </w:r>
            <w:r>
              <w:rPr>
                <w:rFonts w:ascii="宋体" w:hAnsi="宋体" w:cs="宋体" w:eastAsia="宋体" w:hint="default"/>
                <w:spacing w:val="-75"/>
                <w:sz w:val="18"/>
                <w:szCs w:val="18"/>
              </w:rPr>
              <w:t> </w:t>
            </w:r>
            <w:r>
              <w:rPr>
                <w:rFonts w:ascii="宋体" w:hAnsi="宋体" w:cs="宋体" w:eastAsia="宋体" w:hint="default"/>
                <w:spacing w:val="-5"/>
                <w:sz w:val="18"/>
                <w:szCs w:val="18"/>
              </w:rPr>
              <w:t>内部审计机构对内部控制的监督无效；（</w:t>
            </w: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）控</w:t>
            </w:r>
            <w:r>
              <w:rPr>
                <w:rFonts w:ascii="宋体" w:hAnsi="宋体" w:cs="宋体" w:eastAsia="宋体" w:hint="default"/>
                <w:spacing w:val="-75"/>
                <w:sz w:val="18"/>
                <w:szCs w:val="18"/>
              </w:rPr>
              <w:t> </w:t>
            </w:r>
            <w:r>
              <w:rPr>
                <w:rFonts w:ascii="宋体" w:hAnsi="宋体" w:cs="宋体" w:eastAsia="宋体" w:hint="default"/>
                <w:spacing w:val="-15"/>
                <w:sz w:val="18"/>
                <w:szCs w:val="18"/>
              </w:rPr>
              <w:t>制环境无效；（</w:t>
            </w:r>
            <w:r>
              <w:rPr>
                <w:rFonts w:ascii="Times New Roman" w:hAnsi="Times New Roman" w:cs="Times New Roman" w:eastAsia="Times New Roman" w:hint="default"/>
                <w:spacing w:val="-15"/>
                <w:sz w:val="18"/>
                <w:szCs w:val="18"/>
              </w:rPr>
              <w:t>5</w:t>
            </w:r>
            <w:r>
              <w:rPr>
                <w:rFonts w:ascii="宋体" w:hAnsi="宋体" w:cs="宋体" w:eastAsia="宋体" w:hint="default"/>
                <w:spacing w:val="-15"/>
                <w:sz w:val="18"/>
                <w:szCs w:val="18"/>
              </w:rPr>
              <w:t>）</w:t>
            </w:r>
            <w:r>
              <w:rPr>
                <w:rFonts w:ascii="宋体" w:hAnsi="宋体" w:cs="宋体" w:eastAsia="宋体" w:hint="default"/>
                <w:spacing w:val="-37"/>
                <w:sz w:val="18"/>
                <w:szCs w:val="18"/>
              </w:rPr>
              <w:t> </w:t>
            </w:r>
            <w:r>
              <w:rPr>
                <w:rFonts w:ascii="宋体" w:hAnsi="宋体" w:cs="宋体" w:eastAsia="宋体" w:hint="default"/>
                <w:spacing w:val="-11"/>
                <w:sz w:val="18"/>
                <w:szCs w:val="18"/>
              </w:rPr>
              <w:t>风险评估职能无效；（</w:t>
            </w:r>
            <w:r>
              <w:rPr>
                <w:rFonts w:ascii="Times New Roman" w:hAnsi="Times New Roman" w:cs="Times New Roman" w:eastAsia="Times New Roman" w:hint="default"/>
                <w:spacing w:val="-11"/>
                <w:sz w:val="18"/>
                <w:szCs w:val="18"/>
              </w:rPr>
              <w:t>6</w:t>
            </w:r>
            <w:r>
              <w:rPr>
                <w:rFonts w:ascii="宋体" w:hAnsi="宋体" w:cs="宋体" w:eastAsia="宋体" w:hint="default"/>
                <w:spacing w:val="-11"/>
                <w:sz w:val="18"/>
                <w:szCs w:val="18"/>
              </w:rPr>
              <w:t>）</w:t>
            </w:r>
            <w:r>
              <w:rPr>
                <w:rFonts w:ascii="宋体" w:hAnsi="宋体" w:cs="宋体" w:eastAsia="宋体" w:hint="default"/>
                <w:spacing w:val="-37"/>
                <w:sz w:val="18"/>
                <w:szCs w:val="18"/>
              </w:rPr>
              <w:t> </w:t>
            </w:r>
            <w:r>
              <w:rPr>
                <w:rFonts w:ascii="宋体" w:hAnsi="宋体" w:cs="宋体" w:eastAsia="宋体" w:hint="default"/>
                <w:sz w:val="18"/>
                <w:szCs w:val="18"/>
              </w:rPr>
              <w:t>一</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经发现并报告给管理层的重大缺陷在合理的时 </w:t>
            </w:r>
            <w:r>
              <w:rPr>
                <w:rFonts w:ascii="宋体" w:hAnsi="宋体" w:cs="宋体" w:eastAsia="宋体" w:hint="default"/>
                <w:spacing w:val="-5"/>
                <w:sz w:val="18"/>
                <w:szCs w:val="18"/>
              </w:rPr>
              <w:t>间后未加以改正；（</w:t>
            </w:r>
            <w:r>
              <w:rPr>
                <w:rFonts w:ascii="Times New Roman" w:hAnsi="Times New Roman" w:cs="Times New Roman" w:eastAsia="Times New Roman" w:hint="default"/>
                <w:spacing w:val="-5"/>
                <w:sz w:val="18"/>
                <w:szCs w:val="18"/>
              </w:rPr>
              <w:t>7</w:t>
            </w:r>
            <w:r>
              <w:rPr>
                <w:rFonts w:ascii="宋体" w:hAnsi="宋体" w:cs="宋体" w:eastAsia="宋体" w:hint="default"/>
                <w:spacing w:val="-5"/>
                <w:sz w:val="18"/>
                <w:szCs w:val="18"/>
              </w:rPr>
              <w:t>）因会计差错导致的监管</w:t>
            </w:r>
            <w:r>
              <w:rPr>
                <w:rFonts w:ascii="宋体" w:hAnsi="宋体" w:cs="宋体" w:eastAsia="宋体" w:hint="default"/>
                <w:spacing w:val="-75"/>
                <w:sz w:val="18"/>
                <w:szCs w:val="18"/>
              </w:rPr>
              <w:t> </w:t>
            </w:r>
            <w:r>
              <w:rPr>
                <w:rFonts w:ascii="宋体" w:hAnsi="宋体" w:cs="宋体" w:eastAsia="宋体" w:hint="default"/>
                <w:spacing w:val="-5"/>
                <w:sz w:val="18"/>
                <w:szCs w:val="18"/>
              </w:rPr>
              <w:t>机构处罚。出现以下情形的（包括但不限于），</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被认定为</w:t>
            </w:r>
            <w:r>
              <w:rPr>
                <w:rFonts w:ascii="Times New Roman" w:hAnsi="Times New Roman" w:cs="Times New Roman" w:eastAsia="Times New Roman" w:hint="default"/>
                <w:sz w:val="18"/>
                <w:szCs w:val="18"/>
              </w:rPr>
              <w:t>“</w:t>
            </w:r>
            <w:r>
              <w:rPr>
                <w:rFonts w:ascii="宋体" w:hAnsi="宋体" w:cs="宋体" w:eastAsia="宋体" w:hint="default"/>
                <w:sz w:val="18"/>
                <w:szCs w:val="18"/>
              </w:rPr>
              <w:t>重要缺陷</w:t>
            </w:r>
            <w:r>
              <w:rPr>
                <w:rFonts w:ascii="Times New Roman" w:hAnsi="Times New Roman" w:cs="Times New Roman" w:eastAsia="Times New Roman" w:hint="default"/>
                <w:sz w:val="18"/>
                <w:szCs w:val="18"/>
              </w:rPr>
              <w:t>”</w:t>
            </w:r>
            <w:r>
              <w:rPr>
                <w:rFonts w:ascii="宋体" w:hAnsi="宋体" w:cs="宋体" w:eastAsia="宋体" w:hint="default"/>
                <w:sz w:val="18"/>
                <w:szCs w:val="18"/>
              </w:rPr>
              <w:t>，以及存在</w:t>
            </w:r>
            <w:r>
              <w:rPr>
                <w:rFonts w:ascii="Times New Roman" w:hAnsi="Times New Roman" w:cs="Times New Roman" w:eastAsia="Times New Roman" w:hint="default"/>
                <w:sz w:val="18"/>
                <w:szCs w:val="18"/>
              </w:rPr>
              <w:t>“</w:t>
            </w:r>
            <w:r>
              <w:rPr>
                <w:rFonts w:ascii="宋体" w:hAnsi="宋体" w:cs="宋体" w:eastAsia="宋体" w:hint="default"/>
                <w:sz w:val="18"/>
                <w:szCs w:val="18"/>
              </w:rPr>
              <w:t>重大缺陷</w:t>
            </w:r>
            <w:r>
              <w:rPr>
                <w:rFonts w:ascii="Times New Roman" w:hAnsi="Times New Roman" w:cs="Times New Roman" w:eastAsia="Times New Roman" w:hint="default"/>
                <w:sz w:val="18"/>
                <w:szCs w:val="18"/>
              </w:rPr>
              <w:t>”</w:t>
            </w:r>
            <w:r>
              <w:rPr>
                <w:rFonts w:ascii="宋体" w:hAnsi="宋体" w:cs="宋体" w:eastAsia="宋体" w:hint="default"/>
                <w:sz w:val="18"/>
                <w:szCs w:val="18"/>
              </w:rPr>
              <w:t>的 </w:t>
            </w:r>
            <w:r>
              <w:rPr>
                <w:rFonts w:ascii="宋体" w:hAnsi="宋体" w:cs="宋体" w:eastAsia="宋体" w:hint="default"/>
                <w:spacing w:val="-5"/>
                <w:sz w:val="18"/>
                <w:szCs w:val="18"/>
              </w:rPr>
              <w:t>强烈迹象：（</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）未按照会计准则选择和应用会</w:t>
            </w:r>
            <w:r>
              <w:rPr>
                <w:rFonts w:ascii="宋体" w:hAnsi="宋体" w:cs="宋体" w:eastAsia="宋体" w:hint="default"/>
                <w:spacing w:val="-75"/>
                <w:sz w:val="18"/>
                <w:szCs w:val="18"/>
              </w:rPr>
              <w:t> </w:t>
            </w:r>
            <w:r>
              <w:rPr>
                <w:rFonts w:ascii="宋体" w:hAnsi="宋体" w:cs="宋体" w:eastAsia="宋体" w:hint="default"/>
                <w:spacing w:val="-9"/>
                <w:sz w:val="18"/>
                <w:szCs w:val="18"/>
              </w:rPr>
              <w:t>计政策；（</w:t>
            </w:r>
            <w:r>
              <w:rPr>
                <w:rFonts w:ascii="Times New Roman" w:hAnsi="Times New Roman" w:cs="Times New Roman" w:eastAsia="Times New Roman" w:hint="default"/>
                <w:spacing w:val="-9"/>
                <w:sz w:val="18"/>
                <w:szCs w:val="18"/>
              </w:rPr>
              <w:t>2</w:t>
            </w:r>
            <w:r>
              <w:rPr>
                <w:rFonts w:ascii="宋体" w:hAnsi="宋体" w:cs="宋体" w:eastAsia="宋体" w:hint="default"/>
                <w:spacing w:val="-9"/>
                <w:sz w:val="18"/>
                <w:szCs w:val="18"/>
              </w:rPr>
              <w:t>）关键岗位人员舞弊；（</w:t>
            </w:r>
            <w:r>
              <w:rPr>
                <w:rFonts w:ascii="Times New Roman" w:hAnsi="Times New Roman" w:cs="Times New Roman" w:eastAsia="Times New Roman" w:hint="default"/>
                <w:spacing w:val="-9"/>
                <w:sz w:val="18"/>
                <w:szCs w:val="18"/>
              </w:rPr>
              <w:t>3</w:t>
            </w:r>
            <w:r>
              <w:rPr>
                <w:rFonts w:ascii="宋体" w:hAnsi="宋体" w:cs="宋体" w:eastAsia="宋体" w:hint="default"/>
                <w:spacing w:val="-9"/>
                <w:sz w:val="18"/>
                <w:szCs w:val="18"/>
              </w:rPr>
              <w:t>）合规性</w:t>
            </w:r>
            <w:r>
              <w:rPr>
                <w:rFonts w:ascii="宋体" w:hAnsi="宋体" w:cs="宋体" w:eastAsia="宋体" w:hint="default"/>
                <w:spacing w:val="-72"/>
                <w:sz w:val="18"/>
                <w:szCs w:val="18"/>
              </w:rPr>
              <w:t> </w:t>
            </w:r>
            <w:r>
              <w:rPr>
                <w:rFonts w:ascii="宋体" w:hAnsi="宋体" w:cs="宋体" w:eastAsia="宋体" w:hint="default"/>
                <w:sz w:val="18"/>
                <w:szCs w:val="18"/>
              </w:rPr>
              <w:t>监管职能失效，违反法规的行为可能对财务报 </w:t>
            </w:r>
            <w:r>
              <w:rPr>
                <w:rFonts w:ascii="宋体" w:hAnsi="宋体" w:cs="宋体" w:eastAsia="宋体" w:hint="default"/>
                <w:spacing w:val="-5"/>
                <w:sz w:val="18"/>
                <w:szCs w:val="18"/>
              </w:rPr>
              <w:t>告的可靠性产生重大影响；（</w:t>
            </w: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）已向管理层汇</w:t>
            </w:r>
            <w:r>
              <w:rPr>
                <w:rFonts w:ascii="宋体" w:hAnsi="宋体" w:cs="宋体" w:eastAsia="宋体" w:hint="default"/>
                <w:spacing w:val="-75"/>
                <w:sz w:val="18"/>
                <w:szCs w:val="18"/>
              </w:rPr>
              <w:t> </w:t>
            </w:r>
            <w:r>
              <w:rPr>
                <w:rFonts w:ascii="宋体" w:hAnsi="宋体" w:cs="宋体" w:eastAsia="宋体" w:hint="default"/>
                <w:sz w:val="18"/>
                <w:szCs w:val="18"/>
              </w:rPr>
              <w:t>报但经过合理期限后，管理层仍然没有对重要 缺陷进行纠正。 重要缺陷之外的其他控制缺陷。</w:t>
            </w:r>
          </w:p>
        </w:tc>
        <w:tc>
          <w:tcPr>
            <w:tcW w:w="3051" w:type="dxa"/>
            <w:vMerge w:val="restart"/>
            <w:tcBorders>
              <w:top w:val="single" w:sz="4" w:space="0" w:color="000000"/>
              <w:left w:val="single" w:sz="9" w:space="0" w:color="FFFFFF"/>
              <w:right w:val="single" w:sz="4" w:space="0" w:color="000000"/>
            </w:tcBorders>
          </w:tcPr>
          <w:p>
            <w:pPr>
              <w:pStyle w:val="TableParagraph"/>
              <w:spacing w:line="936" w:lineRule="exact"/>
              <w:ind w:left="-7" w:right="-51"/>
              <w:jc w:val="left"/>
              <w:rPr>
                <w:rFonts w:ascii="宋体" w:hAnsi="宋体" w:cs="宋体" w:eastAsia="宋体" w:hint="default"/>
                <w:sz w:val="20"/>
                <w:szCs w:val="20"/>
              </w:rPr>
            </w:pPr>
            <w:r>
              <w:rPr>
                <w:rFonts w:ascii="宋体" w:hAnsi="宋体" w:cs="宋体" w:eastAsia="宋体" w:hint="default"/>
                <w:position w:val="-18"/>
                <w:sz w:val="20"/>
                <w:szCs w:val="20"/>
              </w:rPr>
              <w:pict>
                <v:group style="width:152.1pt;height:46.85pt;mso-position-horizontal-relative:char;mso-position-vertical-relative:line" coordorigin="0,0" coordsize="3042,937">
                  <v:group style="position:absolute;left:0;top:0;width:3042;height:937" coordorigin="0,0" coordsize="3042,937">
                    <v:shape style="position:absolute;left:0;top:0;width:3042;height:937" coordorigin="0,0" coordsize="3042,937" path="m0,936l3041,936,3041,0,0,0,0,936xe" filled="true" fillcolor="#ffffff" stroked="false">
                      <v:path arrowok="t"/>
                      <v:fill type="solid"/>
                    </v:shape>
                  </v:group>
                </v:group>
              </w:pict>
            </w:r>
            <w:r>
              <w:rPr>
                <w:rFonts w:ascii="宋体" w:hAnsi="宋体" w:cs="宋体" w:eastAsia="宋体" w:hint="default"/>
                <w:position w:val="-18"/>
                <w:sz w:val="20"/>
                <w:szCs w:val="20"/>
              </w:rPr>
            </w:r>
          </w:p>
          <w:p>
            <w:pPr>
              <w:pStyle w:val="TableParagraph"/>
              <w:spacing w:line="316" w:lineRule="auto" w:before="51"/>
              <w:ind w:left="16" w:right="20"/>
              <w:jc w:val="left"/>
              <w:rPr>
                <w:rFonts w:ascii="宋体" w:hAnsi="宋体" w:cs="宋体" w:eastAsia="宋体" w:hint="default"/>
                <w:sz w:val="18"/>
                <w:szCs w:val="18"/>
              </w:rPr>
            </w:pPr>
            <w:r>
              <w:rPr>
                <w:rFonts w:ascii="宋体" w:hAnsi="宋体" w:cs="宋体" w:eastAsia="宋体" w:hint="default"/>
                <w:sz w:val="18"/>
                <w:szCs w:val="18"/>
              </w:rPr>
              <w:t>非财务报告缺陷认定主要以缺陷对业 </w:t>
            </w:r>
            <w:r>
              <w:rPr>
                <w:rFonts w:ascii="宋体" w:hAnsi="宋体" w:cs="宋体" w:eastAsia="宋体" w:hint="default"/>
                <w:spacing w:val="-4"/>
                <w:sz w:val="18"/>
                <w:szCs w:val="18"/>
              </w:rPr>
              <w:t>务流程有效性的影响程度、发生的可能</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性作判定。如果缺陷发生的可能性较 </w:t>
            </w:r>
            <w:r>
              <w:rPr>
                <w:rFonts w:ascii="宋体" w:hAnsi="宋体" w:cs="宋体" w:eastAsia="宋体" w:hint="default"/>
                <w:spacing w:val="-4"/>
                <w:sz w:val="18"/>
                <w:szCs w:val="18"/>
              </w:rPr>
              <w:t>小，会降低工作效率或效果、或加大效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果的不确定性、或使之偏离预期目标为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一般缺陷；如果缺陷发生的可能性较 </w:t>
            </w:r>
            <w:r>
              <w:rPr>
                <w:rFonts w:ascii="宋体" w:hAnsi="宋体" w:cs="宋体" w:eastAsia="宋体" w:hint="default"/>
                <w:spacing w:val="-4"/>
                <w:sz w:val="18"/>
                <w:szCs w:val="18"/>
              </w:rPr>
              <w:t>高，会显著降低工作效率或效果、或显</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著加大效果的不确定性、或使之显著偏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离预期目标为重要缺陷；如果缺陷发生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的可能性高，会严重降低工作效率或效</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果、或严重加大效果的不确定性、或使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之严重偏离预期目标为重大缺陷。</w:t>
            </w:r>
          </w:p>
        </w:tc>
      </w:tr>
      <w:tr>
        <w:trPr>
          <w:trHeight w:val="391" w:hRule="exact"/>
        </w:trPr>
        <w:tc>
          <w:tcPr>
            <w:tcW w:w="28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688" w:type="dxa"/>
            <w:vMerge/>
            <w:tcBorders>
              <w:left w:val="single" w:sz="9" w:space="0" w:color="D2D2D2"/>
              <w:right w:val="single" w:sz="9" w:space="0" w:color="FFFFFF"/>
            </w:tcBorders>
          </w:tcPr>
          <w:p>
            <w:pPr/>
          </w:p>
        </w:tc>
        <w:tc>
          <w:tcPr>
            <w:tcW w:w="3051" w:type="dxa"/>
            <w:vMerge/>
            <w:tcBorders>
              <w:left w:val="single" w:sz="9" w:space="0" w:color="FFFFFF"/>
              <w:right w:val="single" w:sz="4" w:space="0" w:color="000000"/>
            </w:tcBorders>
          </w:tcPr>
          <w:p>
            <w:pPr/>
          </w:p>
        </w:tc>
      </w:tr>
      <w:tr>
        <w:trPr>
          <w:trHeight w:val="2657" w:hRule="exact"/>
        </w:trPr>
        <w:tc>
          <w:tcPr>
            <w:tcW w:w="2830" w:type="dxa"/>
            <w:tcBorders>
              <w:top w:val="nil" w:sz="6" w:space="0" w:color="auto"/>
              <w:left w:val="single" w:sz="4" w:space="0" w:color="000000"/>
              <w:bottom w:val="single" w:sz="4" w:space="0" w:color="000000"/>
              <w:right w:val="single" w:sz="4" w:space="0" w:color="000000"/>
            </w:tcBorders>
            <w:shd w:val="clear" w:color="auto" w:fill="D2D2D2"/>
          </w:tcPr>
          <w:p>
            <w:pPr/>
          </w:p>
        </w:tc>
        <w:tc>
          <w:tcPr>
            <w:tcW w:w="3688" w:type="dxa"/>
            <w:vMerge/>
            <w:tcBorders>
              <w:left w:val="single" w:sz="9" w:space="0" w:color="D2D2D2"/>
              <w:bottom w:val="single" w:sz="4" w:space="0" w:color="000000"/>
              <w:right w:val="single" w:sz="9" w:space="0" w:color="FFFFFF"/>
            </w:tcBorders>
          </w:tcPr>
          <w:p>
            <w:pPr/>
          </w:p>
        </w:tc>
        <w:tc>
          <w:tcPr>
            <w:tcW w:w="3051" w:type="dxa"/>
            <w:vMerge/>
            <w:tcBorders>
              <w:left w:val="single" w:sz="9" w:space="0" w:color="FFFFFF"/>
              <w:bottom w:val="single" w:sz="4" w:space="0" w:color="000000"/>
              <w:right w:val="single" w:sz="4" w:space="0" w:color="000000"/>
            </w:tcBorders>
          </w:tcPr>
          <w:p>
            <w:pPr/>
          </w:p>
        </w:tc>
      </w:tr>
      <w:tr>
        <w:trPr>
          <w:trHeight w:val="610" w:hRule="exact"/>
        </w:trPr>
        <w:tc>
          <w:tcPr>
            <w:tcW w:w="2830" w:type="dxa"/>
            <w:tcBorders>
              <w:top w:val="single" w:sz="4" w:space="0" w:color="000000"/>
              <w:left w:val="single" w:sz="4" w:space="0" w:color="000000"/>
              <w:bottom w:val="nil" w:sz="6" w:space="0" w:color="auto"/>
              <w:right w:val="single" w:sz="4" w:space="0" w:color="000000"/>
            </w:tcBorders>
            <w:shd w:val="clear" w:color="auto" w:fill="D2D2D2"/>
          </w:tcPr>
          <w:p>
            <w:pPr/>
          </w:p>
        </w:tc>
        <w:tc>
          <w:tcPr>
            <w:tcW w:w="3688" w:type="dxa"/>
            <w:vMerge w:val="restart"/>
            <w:tcBorders>
              <w:top w:val="single" w:sz="4" w:space="0" w:color="000000"/>
              <w:left w:val="single" w:sz="9" w:space="0" w:color="D2D2D2"/>
              <w:right w:val="single" w:sz="9" w:space="0" w:color="FFFFFF"/>
            </w:tcBorders>
          </w:tcPr>
          <w:p>
            <w:pPr>
              <w:pStyle w:val="TableParagraph"/>
              <w:spacing w:line="316" w:lineRule="auto" w:before="52"/>
              <w:ind w:left="22" w:right="-39"/>
              <w:jc w:val="left"/>
              <w:rPr>
                <w:rFonts w:ascii="宋体" w:hAnsi="宋体" w:cs="宋体" w:eastAsia="宋体" w:hint="default"/>
                <w:sz w:val="18"/>
                <w:szCs w:val="18"/>
              </w:rPr>
            </w:pPr>
            <w:r>
              <w:rPr>
                <w:rFonts w:ascii="宋体" w:hAnsi="宋体" w:cs="宋体" w:eastAsia="宋体" w:hint="default"/>
                <w:spacing w:val="-5"/>
                <w:sz w:val="18"/>
                <w:szCs w:val="18"/>
              </w:rPr>
              <w:t>定量标准以营业收入、资产总额作为衡量指标。</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内部控制缺陷可能导致或导致的损失与利润表</w:t>
            </w:r>
            <w:r>
              <w:rPr>
                <w:rFonts w:ascii="宋体" w:hAnsi="宋体" w:cs="宋体" w:eastAsia="宋体" w:hint="default"/>
                <w:sz w:val="18"/>
                <w:szCs w:val="18"/>
              </w:rPr>
              <w:t> 相关的，以营业收入指标衡量。如果该缺陷单 独或连同其他缺陷可能导致的财务报告错报金 额小于营业收入的</w:t>
            </w:r>
            <w:r>
              <w:rPr>
                <w:rFonts w:ascii="宋体" w:hAnsi="宋体" w:cs="宋体" w:eastAsia="宋体" w:hint="default"/>
                <w:spacing w:val="-34"/>
                <w:sz w:val="18"/>
                <w:szCs w:val="18"/>
              </w:rPr>
              <w:t> </w:t>
            </w: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，则认定为一般缺陷；如</w:t>
            </w:r>
          </w:p>
        </w:tc>
        <w:tc>
          <w:tcPr>
            <w:tcW w:w="3051" w:type="dxa"/>
            <w:vMerge w:val="restart"/>
            <w:tcBorders>
              <w:top w:val="single" w:sz="4" w:space="0" w:color="000000"/>
              <w:left w:val="single" w:sz="9" w:space="0" w:color="FFFFFF"/>
              <w:right w:val="single" w:sz="4" w:space="0" w:color="000000"/>
            </w:tcBorders>
          </w:tcPr>
          <w:p>
            <w:pPr>
              <w:pStyle w:val="TableParagraph"/>
              <w:spacing w:line="316" w:lineRule="auto" w:before="52"/>
              <w:ind w:left="16" w:right="21"/>
              <w:jc w:val="both"/>
              <w:rPr>
                <w:rFonts w:ascii="宋体" w:hAnsi="宋体" w:cs="宋体" w:eastAsia="宋体" w:hint="default"/>
                <w:sz w:val="18"/>
                <w:szCs w:val="18"/>
              </w:rPr>
            </w:pPr>
            <w:r>
              <w:rPr>
                <w:rFonts w:ascii="宋体" w:hAnsi="宋体" w:cs="宋体" w:eastAsia="宋体" w:hint="default"/>
                <w:spacing w:val="-4"/>
                <w:sz w:val="18"/>
                <w:szCs w:val="18"/>
              </w:rPr>
              <w:t>定量标准以营业收入、资产总额作为衡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量指标。内部控制缺陷可能导致或导致</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的损失与利润报表相关的，以营业收入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指标衡量。如果该缺陷单独或连同其他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缺陷可能导致的财务报告错报金额小</w:t>
            </w:r>
          </w:p>
        </w:tc>
      </w:tr>
      <w:tr>
        <w:trPr>
          <w:trHeight w:val="391" w:hRule="exact"/>
        </w:trPr>
        <w:tc>
          <w:tcPr>
            <w:tcW w:w="28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688" w:type="dxa"/>
            <w:vMerge/>
            <w:tcBorders>
              <w:left w:val="single" w:sz="9" w:space="0" w:color="D2D2D2"/>
              <w:right w:val="single" w:sz="9" w:space="0" w:color="FFFFFF"/>
            </w:tcBorders>
          </w:tcPr>
          <w:p>
            <w:pPr/>
          </w:p>
        </w:tc>
        <w:tc>
          <w:tcPr>
            <w:tcW w:w="3051" w:type="dxa"/>
            <w:vMerge/>
            <w:tcBorders>
              <w:left w:val="single" w:sz="9" w:space="0" w:color="FFFFFF"/>
              <w:right w:val="single" w:sz="4" w:space="0" w:color="000000"/>
            </w:tcBorders>
          </w:tcPr>
          <w:p>
            <w:pPr/>
          </w:p>
        </w:tc>
      </w:tr>
      <w:tr>
        <w:trPr>
          <w:trHeight w:val="610" w:hRule="exact"/>
        </w:trPr>
        <w:tc>
          <w:tcPr>
            <w:tcW w:w="2830" w:type="dxa"/>
            <w:tcBorders>
              <w:top w:val="nil" w:sz="6" w:space="0" w:color="auto"/>
              <w:left w:val="single" w:sz="4" w:space="0" w:color="000000"/>
              <w:bottom w:val="single" w:sz="4" w:space="0" w:color="000000"/>
              <w:right w:val="single" w:sz="4" w:space="0" w:color="000000"/>
            </w:tcBorders>
            <w:shd w:val="clear" w:color="auto" w:fill="D2D2D2"/>
          </w:tcPr>
          <w:p>
            <w:pPr/>
          </w:p>
        </w:tc>
        <w:tc>
          <w:tcPr>
            <w:tcW w:w="3688" w:type="dxa"/>
            <w:vMerge/>
            <w:tcBorders>
              <w:left w:val="single" w:sz="9" w:space="0" w:color="D2D2D2"/>
              <w:bottom w:val="single" w:sz="4" w:space="0" w:color="000000"/>
              <w:right w:val="single" w:sz="9" w:space="0" w:color="FFFFFF"/>
            </w:tcBorders>
          </w:tcPr>
          <w:p>
            <w:pPr/>
          </w:p>
        </w:tc>
        <w:tc>
          <w:tcPr>
            <w:tcW w:w="3051" w:type="dxa"/>
            <w:vMerge/>
            <w:tcBorders>
              <w:left w:val="single" w:sz="9" w:space="0" w:color="FFFFFF"/>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8"/>
        <w:rPr>
          <w:rFonts w:ascii="宋体" w:hAnsi="宋体" w:cs="宋体" w:eastAsia="宋体" w:hint="default"/>
          <w:b/>
          <w:bCs/>
          <w:sz w:val="26"/>
          <w:szCs w:val="26"/>
        </w:rPr>
      </w:pPr>
    </w:p>
    <w:p>
      <w:pPr>
        <w:pStyle w:val="BodyText"/>
        <w:spacing w:line="240" w:lineRule="auto" w:before="44"/>
        <w:ind w:left="0" w:right="1140"/>
        <w:jc w:val="right"/>
      </w:pPr>
      <w:r>
        <w:rPr/>
        <w:pict>
          <v:shape style="position:absolute;margin-left:56.459999pt;margin-top:1.191743pt;width:479.2pt;height:270.650pt;mso-position-horizontal-relative:page;mso-position-vertical-relative:paragraph;z-index:15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35"/>
                    <w:gridCol w:w="3683"/>
                    <w:gridCol w:w="3051"/>
                  </w:tblGrid>
                  <w:tr>
                    <w:trPr>
                      <w:trHeight w:val="3795"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683"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10"/>
                          <w:ind w:left="23" w:right="20"/>
                          <w:jc w:val="both"/>
                          <w:rPr>
                            <w:rFonts w:ascii="宋体" w:hAnsi="宋体" w:cs="宋体" w:eastAsia="宋体" w:hint="default"/>
                            <w:sz w:val="18"/>
                            <w:szCs w:val="18"/>
                          </w:rPr>
                        </w:pPr>
                        <w:r>
                          <w:rPr>
                            <w:rFonts w:ascii="宋体" w:hAnsi="宋体" w:cs="宋体" w:eastAsia="宋体" w:hint="default"/>
                            <w:sz w:val="18"/>
                            <w:szCs w:val="18"/>
                          </w:rPr>
                          <w:t>果超过营业收入的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但小于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，则为重要缺 </w:t>
                        </w:r>
                        <w:r>
                          <w:rPr>
                            <w:rFonts w:ascii="宋体" w:hAnsi="宋体" w:cs="宋体" w:eastAsia="宋体" w:hint="default"/>
                            <w:spacing w:val="-4"/>
                            <w:sz w:val="18"/>
                            <w:szCs w:val="18"/>
                          </w:rPr>
                          <w:t>陷；如果超过营业收入的</w:t>
                        </w:r>
                        <w:r>
                          <w:rPr>
                            <w:rFonts w:ascii="宋体" w:hAnsi="宋体" w:cs="宋体" w:eastAsia="宋体" w:hint="default"/>
                            <w:spacing w:val="-43"/>
                            <w:sz w:val="18"/>
                            <w:szCs w:val="18"/>
                          </w:rPr>
                          <w:t> </w:t>
                        </w: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，则认定为重大缺</w:t>
                        </w:r>
                        <w:r>
                          <w:rPr>
                            <w:rFonts w:ascii="宋体" w:hAnsi="宋体" w:cs="宋体" w:eastAsia="宋体" w:hint="default"/>
                            <w:sz w:val="18"/>
                            <w:szCs w:val="18"/>
                          </w:rPr>
                          <w:t> 陷。内部控制缺陷可能导致或导致的损失与资 产管理相关的，以资产总额指标衡量。如果该 缺陷单独或连同其他缺陷可能导致的财务报告 错报金额小于资产总额的</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，则认定为一般缺</w:t>
                        </w:r>
                        <w:r>
                          <w:rPr>
                            <w:rFonts w:ascii="宋体" w:hAnsi="宋体" w:cs="宋体" w:eastAsia="宋体" w:hint="default"/>
                            <w:sz w:val="18"/>
                            <w:szCs w:val="18"/>
                          </w:rPr>
                          <w:t> 陷；如果超过资产总额的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但小于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认定 为重要缺陷；如果超过资产总额</w:t>
                        </w:r>
                        <w:r>
                          <w:rPr>
                            <w:rFonts w:ascii="宋体" w:hAnsi="宋体" w:cs="宋体" w:eastAsia="宋体" w:hint="default"/>
                            <w:spacing w:val="-54"/>
                            <w:sz w:val="18"/>
                            <w:szCs w:val="18"/>
                          </w:rPr>
                          <w:t> </w:t>
                        </w:r>
                        <w:r>
                          <w:rPr>
                            <w:rFonts w:ascii="Times New Roman" w:hAnsi="Times New Roman" w:cs="Times New Roman" w:eastAsia="Times New Roman" w:hint="default"/>
                            <w:spacing w:val="-3"/>
                            <w:sz w:val="18"/>
                            <w:szCs w:val="18"/>
                          </w:rPr>
                          <w:t>2.5%</w:t>
                        </w:r>
                        <w:r>
                          <w:rPr>
                            <w:rFonts w:ascii="宋体" w:hAnsi="宋体" w:cs="宋体" w:eastAsia="宋体" w:hint="default"/>
                            <w:spacing w:val="-3"/>
                            <w:sz w:val="18"/>
                            <w:szCs w:val="18"/>
                          </w:rPr>
                          <w:t>，则认定</w:t>
                        </w:r>
                        <w:r>
                          <w:rPr>
                            <w:rFonts w:ascii="宋体" w:hAnsi="宋体" w:cs="宋体" w:eastAsia="宋体" w:hint="default"/>
                            <w:sz w:val="18"/>
                            <w:szCs w:val="18"/>
                          </w:rPr>
                          <w:t> 为重大缺陷。</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0"/>
                          <w:ind w:left="22" w:right="21"/>
                          <w:jc w:val="left"/>
                          <w:rPr>
                            <w:rFonts w:ascii="宋体" w:hAnsi="宋体" w:cs="宋体" w:eastAsia="宋体" w:hint="default"/>
                            <w:sz w:val="18"/>
                            <w:szCs w:val="18"/>
                          </w:rPr>
                        </w:pPr>
                        <w:r>
                          <w:rPr>
                            <w:rFonts w:ascii="宋体" w:hAnsi="宋体" w:cs="宋体" w:eastAsia="宋体" w:hint="default"/>
                            <w:sz w:val="18"/>
                            <w:szCs w:val="18"/>
                          </w:rPr>
                          <w:t>于营业收入的</w:t>
                        </w:r>
                        <w:r>
                          <w:rPr>
                            <w:rFonts w:ascii="宋体" w:hAnsi="宋体" w:cs="宋体" w:eastAsia="宋体" w:hint="default"/>
                            <w:spacing w:val="-44"/>
                            <w:sz w:val="18"/>
                            <w:szCs w:val="18"/>
                          </w:rPr>
                          <w:t> </w:t>
                        </w:r>
                        <w:r>
                          <w:rPr>
                            <w:rFonts w:ascii="Times New Roman" w:hAnsi="Times New Roman" w:cs="Times New Roman" w:eastAsia="Times New Roman" w:hint="default"/>
                            <w:spacing w:val="-8"/>
                            <w:sz w:val="18"/>
                            <w:szCs w:val="18"/>
                          </w:rPr>
                          <w:t>2%</w:t>
                        </w:r>
                        <w:r>
                          <w:rPr>
                            <w:rFonts w:ascii="宋体" w:hAnsi="宋体" w:cs="宋体" w:eastAsia="宋体" w:hint="default"/>
                            <w:spacing w:val="-8"/>
                            <w:sz w:val="18"/>
                            <w:szCs w:val="18"/>
                          </w:rPr>
                          <w:t>，则认定为一般缺陷</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如果超过营业收入的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但小于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认 定为重要缺陷；如果超过营业收入的 </w:t>
                        </w:r>
                        <w:r>
                          <w:rPr>
                            <w:rFonts w:ascii="Times New Roman" w:hAnsi="Times New Roman" w:cs="Times New Roman" w:eastAsia="Times New Roman" w:hint="default"/>
                            <w:sz w:val="18"/>
                            <w:szCs w:val="18"/>
                          </w:rPr>
                          <w:t>5%</w:t>
                        </w:r>
                        <w:r>
                          <w:rPr>
                            <w:rFonts w:ascii="宋体" w:hAnsi="宋体" w:cs="宋体" w:eastAsia="宋体" w:hint="default"/>
                            <w:sz w:val="18"/>
                            <w:szCs w:val="18"/>
                          </w:rPr>
                          <w:t>，则认定为重大缺陷。内部控制缺 陷可能导致或导致的损失与资产管理 </w:t>
                        </w:r>
                        <w:r>
                          <w:rPr>
                            <w:rFonts w:ascii="宋体" w:hAnsi="宋体" w:cs="宋体" w:eastAsia="宋体" w:hint="default"/>
                            <w:spacing w:val="-4"/>
                            <w:sz w:val="18"/>
                            <w:szCs w:val="18"/>
                          </w:rPr>
                          <w:t>相关的，以资产总额指标衡量。如果该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缺陷单独或连同其他缺陷可能导致的 财务报告错报金额小于资产总额的 </w:t>
                        </w:r>
                        <w:r>
                          <w:rPr>
                            <w:rFonts w:ascii="Times New Roman" w:hAnsi="Times New Roman" w:cs="Times New Roman" w:eastAsia="Times New Roman" w:hint="default"/>
                            <w:sz w:val="18"/>
                            <w:szCs w:val="18"/>
                          </w:rPr>
                          <w:t>1%</w:t>
                        </w:r>
                        <w:r>
                          <w:rPr>
                            <w:rFonts w:ascii="宋体" w:hAnsi="宋体" w:cs="宋体" w:eastAsia="宋体" w:hint="default"/>
                            <w:sz w:val="18"/>
                            <w:szCs w:val="18"/>
                          </w:rPr>
                          <w:t>，则认定为一般缺陷；如果超过资 产总额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但小于</w:t>
                        </w:r>
                        <w:r>
                          <w:rPr>
                            <w:rFonts w:ascii="宋体" w:hAnsi="宋体" w:cs="宋体" w:eastAsia="宋体" w:hint="default"/>
                            <w:spacing w:val="-45"/>
                            <w:sz w:val="18"/>
                            <w:szCs w:val="18"/>
                          </w:rPr>
                          <w:t> </w:t>
                        </w:r>
                        <w:r>
                          <w:rPr>
                            <w:rFonts w:ascii="Times New Roman" w:hAnsi="Times New Roman" w:cs="Times New Roman" w:eastAsia="Times New Roman" w:hint="default"/>
                            <w:spacing w:val="-5"/>
                            <w:sz w:val="18"/>
                            <w:szCs w:val="18"/>
                          </w:rPr>
                          <w:t>2.5%</w:t>
                        </w:r>
                        <w:r>
                          <w:rPr>
                            <w:rFonts w:ascii="宋体" w:hAnsi="宋体" w:cs="宋体" w:eastAsia="宋体" w:hint="default"/>
                            <w:spacing w:val="-5"/>
                            <w:sz w:val="18"/>
                            <w:szCs w:val="18"/>
                          </w:rPr>
                          <w:t>，则认定为重要</w:t>
                        </w:r>
                        <w:r>
                          <w:rPr>
                            <w:rFonts w:ascii="宋体" w:hAnsi="宋体" w:cs="宋体" w:eastAsia="宋体" w:hint="default"/>
                            <w:sz w:val="18"/>
                            <w:szCs w:val="18"/>
                          </w:rPr>
                          <w:t> 缺陷；如果超过资产总额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，则认 定为重大缺陷。</w:t>
                        </w:r>
                      </w:p>
                    </w:tc>
                  </w:tr>
                  <w:tr>
                    <w:trPr>
                      <w:trHeight w:val="402"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7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7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7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7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85"/>
        <w:ind w:right="1022"/>
        <w:jc w:val="left"/>
        <w:rPr>
          <w:b w:val="0"/>
          <w:bCs w:val="0"/>
        </w:rPr>
      </w:pPr>
      <w:bookmarkStart w:name="十、内部控制审计报告或鉴证报告" w:id="148"/>
      <w:bookmarkEnd w:id="148"/>
      <w:r>
        <w:rPr>
          <w:b w:val="0"/>
          <w:bCs w:val="0"/>
        </w:rPr>
      </w:r>
      <w:r>
        <w:rPr/>
        <w:t>十、内部控制审计报告或鉴证报告</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022"/>
        <w:jc w:val="left"/>
      </w:pPr>
      <w:r>
        <w:rPr/>
        <w:t>内部控制鉴证报告</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内部控制鉴证报告中的审议意见段</w:t>
            </w:r>
          </w:p>
        </w:tc>
      </w:tr>
      <w:tr>
        <w:trPr>
          <w:trHeight w:val="714"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85"/>
              <w:jc w:val="left"/>
              <w:rPr>
                <w:rFonts w:ascii="宋体" w:hAnsi="宋体" w:cs="宋体" w:eastAsia="宋体" w:hint="default"/>
                <w:sz w:val="18"/>
                <w:szCs w:val="18"/>
              </w:rPr>
            </w:pPr>
            <w:r>
              <w:rPr>
                <w:rFonts w:ascii="宋体" w:hAnsi="宋体" w:cs="宋体" w:eastAsia="宋体" w:hint="default"/>
                <w:sz w:val="18"/>
                <w:szCs w:val="18"/>
              </w:rPr>
              <w:t>我们认为，卫士通公司于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日在所有重大方面有效地保持了按照财政部颁布的《内部控制基本规范》标准 建立的与财务报表相关的有效的内部控制。</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内控鉴证报告披露情况</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内部控制鉴证报告全文披露日期</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内部控制鉴证报告全文披露索引</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年度内部控制鉴证报告</w:t>
            </w:r>
            <w:r>
              <w:rPr>
                <w:rFonts w:ascii="宋体" w:hAnsi="宋体" w:cs="宋体" w:eastAsia="宋体" w:hint="default"/>
                <w:spacing w:val="-90"/>
                <w:sz w:val="18"/>
                <w:szCs w:val="18"/>
              </w:rPr>
              <w:t>》</w:t>
            </w:r>
            <w:r>
              <w:rPr>
                <w:rFonts w:ascii="宋体" w:hAnsi="宋体" w:cs="宋体" w:eastAsia="宋体" w:hint="default"/>
                <w:sz w:val="18"/>
                <w:szCs w:val="18"/>
              </w:rPr>
              <w:t>，巨潮资讯网（</w:t>
            </w:r>
            <w:r>
              <w:rPr>
                <w:rFonts w:ascii="Times New Roman" w:hAnsi="Times New Roman" w:cs="Times New Roman" w:eastAsia="Times New Roman" w:hint="default"/>
                <w:w w:val="99"/>
                <w:sz w:val="18"/>
                <w:szCs w:val="18"/>
              </w:rPr>
              <w:t>w</w:t>
            </w:r>
            <w:r>
              <w:rPr>
                <w:rFonts w:ascii="Times New Roman" w:hAnsi="Times New Roman" w:cs="Times New Roman" w:eastAsia="Times New Roman" w:hint="default"/>
                <w:spacing w:val="-1"/>
                <w:w w:val="99"/>
                <w:sz w:val="18"/>
                <w:szCs w:val="18"/>
              </w:rPr>
              <w:t>w</w:t>
            </w:r>
            <w:r>
              <w:rPr>
                <w:rFonts w:ascii="Times New Roman" w:hAnsi="Times New Roman" w:cs="Times New Roman" w:eastAsia="Times New Roman" w:hint="default"/>
                <w:spacing w:val="-13"/>
                <w:w w:val="99"/>
                <w:sz w:val="18"/>
                <w:szCs w:val="18"/>
              </w:rPr>
              <w:t>w</w:t>
            </w:r>
            <w:r>
              <w:rPr>
                <w:rFonts w:ascii="Times New Roman" w:hAnsi="Times New Roman" w:cs="Times New Roman" w:eastAsia="Times New Roman" w:hint="default"/>
                <w:sz w:val="18"/>
                <w:szCs w:val="18"/>
              </w:rPr>
              <w:t>.cninfo.com.cn</w:t>
            </w:r>
            <w:r>
              <w:rPr>
                <w:rFonts w:ascii="Times New Roman" w:hAnsi="Times New Roman" w:cs="Times New Roman" w:eastAsia="Times New Roman" w:hint="default"/>
                <w:spacing w:val="1"/>
                <w:sz w:val="18"/>
                <w:szCs w:val="18"/>
              </w:rPr>
              <w:t>)</w:t>
            </w:r>
            <w:r>
              <w:rPr>
                <w:rFonts w:ascii="宋体" w:hAnsi="宋体" w:cs="宋体" w:eastAsia="宋体" w:hint="default"/>
                <w:sz w:val="18"/>
                <w:szCs w:val="18"/>
              </w:rPr>
              <w:t>。</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内控鉴证报告意见类型</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标准意见</w:t>
            </w:r>
          </w:p>
        </w:tc>
      </w:tr>
      <w:tr>
        <w:trPr>
          <w:trHeight w:val="403"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right="1022"/>
        <w:jc w:val="left"/>
      </w:pPr>
      <w:r>
        <w:rPr/>
        <w:t>会计师事务所是否出具非标准意见的内部控制鉴证报告</w:t>
      </w:r>
    </w:p>
    <w:p>
      <w:pPr>
        <w:pStyle w:val="BodyText"/>
        <w:spacing w:line="340" w:lineRule="auto" w:before="116"/>
        <w:ind w:right="463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会计师事务所出具的内部控制鉴证报告与董事会的自我评价报告意见是否一致</w:t>
      </w:r>
    </w:p>
    <w:p>
      <w:pPr>
        <w:pStyle w:val="BodyText"/>
        <w:spacing w:line="240" w:lineRule="auto" w:before="40"/>
        <w:ind w:right="102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126" w:right="1022"/>
        <w:jc w:val="left"/>
        <w:rPr>
          <w:b w:val="0"/>
          <w:bCs w:val="0"/>
        </w:rPr>
      </w:pPr>
      <w:bookmarkStart w:name="第十节 公司债券相关情况" w:id="149"/>
      <w:bookmarkEnd w:id="149"/>
      <w:r>
        <w:rPr>
          <w:b w:val="0"/>
          <w:bCs w:val="0"/>
        </w:rPr>
      </w:r>
      <w:bookmarkStart w:name="_bookmark8" w:id="150"/>
      <w:bookmarkEnd w:id="150"/>
      <w:r>
        <w:rPr>
          <w:b w:val="0"/>
          <w:bCs w:val="0"/>
        </w:rPr>
      </w:r>
      <w:r>
        <w:rPr/>
        <w:t>第十节</w:t>
      </w:r>
      <w:r>
        <w:rPr>
          <w:spacing w:val="-9"/>
        </w:rPr>
        <w:t> </w:t>
      </w:r>
      <w:r>
        <w:rPr/>
        <w:t>公司债券相关情况</w:t>
      </w:r>
      <w:r>
        <w:rPr>
          <w:b w:val="0"/>
          <w:bCs w:val="0"/>
        </w:rPr>
      </w:r>
    </w:p>
    <w:p>
      <w:pPr>
        <w:spacing w:line="240" w:lineRule="auto" w:before="8"/>
        <w:rPr>
          <w:rFonts w:ascii="宋体" w:hAnsi="宋体" w:cs="宋体" w:eastAsia="宋体" w:hint="default"/>
          <w:b/>
          <w:bCs/>
          <w:sz w:val="42"/>
          <w:szCs w:val="42"/>
        </w:rPr>
      </w:pPr>
    </w:p>
    <w:p>
      <w:pPr>
        <w:pStyle w:val="BodyText"/>
        <w:spacing w:line="357" w:lineRule="auto"/>
        <w:ind w:right="2112"/>
        <w:jc w:val="left"/>
      </w:pPr>
      <w:r>
        <w:rPr/>
        <w:t>公司是否存在公开发行并在证券交易所上市，且在年度报告批准报出日未到期或到期未能全额兑付的公司债券 否</w:t>
      </w:r>
    </w:p>
    <w:p>
      <w:pPr>
        <w:spacing w:after="0" w:line="357"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608" w:right="1022"/>
        <w:jc w:val="left"/>
        <w:rPr>
          <w:b w:val="0"/>
          <w:bCs w:val="0"/>
        </w:rPr>
      </w:pPr>
      <w:bookmarkStart w:name="第十一节 财务报告" w:id="151"/>
      <w:bookmarkEnd w:id="151"/>
      <w:r>
        <w:rPr>
          <w:b w:val="0"/>
          <w:bCs w:val="0"/>
        </w:rPr>
      </w:r>
      <w:bookmarkStart w:name="_bookmark9" w:id="152"/>
      <w:bookmarkEnd w:id="152"/>
      <w:r>
        <w:rPr>
          <w:b w:val="0"/>
          <w:bCs w:val="0"/>
        </w:rPr>
      </w:r>
      <w:r>
        <w:rPr/>
        <w:t>第十一节</w:t>
      </w:r>
      <w:r>
        <w:rPr>
          <w:spacing w:val="-6"/>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1022"/>
        <w:jc w:val="left"/>
        <w:rPr>
          <w:b w:val="0"/>
          <w:bCs w:val="0"/>
        </w:rPr>
      </w:pPr>
      <w:bookmarkStart w:name="一、审计报告" w:id="153"/>
      <w:bookmarkEnd w:id="153"/>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4"/>
        <w:gridCol w:w="4785"/>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带强调事项段的无保留意见</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大华会计师事务所</w:t>
            </w:r>
            <w:r>
              <w:rPr>
                <w:rFonts w:ascii="Times New Roman" w:hAnsi="Times New Roman" w:cs="Times New Roman" w:eastAsia="Times New Roman" w:hint="default"/>
                <w:sz w:val="18"/>
                <w:szCs w:val="18"/>
              </w:rPr>
              <w:t>(</w:t>
            </w:r>
            <w:r>
              <w:rPr>
                <w:rFonts w:ascii="宋体" w:hAnsi="宋体" w:cs="宋体" w:eastAsia="宋体" w:hint="default"/>
                <w:sz w:val="18"/>
                <w:szCs w:val="18"/>
              </w:rPr>
              <w:t>特殊普通合伙</w:t>
            </w:r>
            <w:r>
              <w:rPr>
                <w:rFonts w:ascii="Times New Roman" w:hAnsi="Times New Roman" w:cs="Times New Roman" w:eastAsia="Times New Roman" w:hint="default"/>
                <w:sz w:val="18"/>
                <w:szCs w:val="18"/>
              </w:rPr>
              <w:t>)</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大华审字</w:t>
            </w:r>
            <w:r>
              <w:rPr>
                <w:rFonts w:ascii="Times New Roman" w:hAnsi="Times New Roman" w:cs="Times New Roman" w:eastAsia="Times New Roman" w:hint="default"/>
                <w:sz w:val="18"/>
                <w:szCs w:val="18"/>
              </w:rPr>
              <w:t>[2019]003215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钟平修 曹云华</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b/>
          <w:bCs/>
          <w:sz w:val="18"/>
          <w:szCs w:val="18"/>
        </w:rPr>
      </w:pPr>
    </w:p>
    <w:p>
      <w:pPr>
        <w:spacing w:line="240" w:lineRule="auto" w:before="9"/>
        <w:rPr>
          <w:rFonts w:ascii="宋体" w:hAnsi="宋体" w:cs="宋体" w:eastAsia="宋体" w:hint="default"/>
          <w:b/>
          <w:bCs/>
          <w:sz w:val="12"/>
          <w:szCs w:val="12"/>
        </w:rPr>
      </w:pPr>
    </w:p>
    <w:p>
      <w:pPr>
        <w:pStyle w:val="Heading5"/>
        <w:spacing w:line="316" w:lineRule="auto"/>
        <w:ind w:right="0" w:hanging="354"/>
        <w:jc w:val="left"/>
        <w:rPr>
          <w:b w:val="0"/>
          <w:bCs w:val="0"/>
        </w:rPr>
      </w:pPr>
      <w:r>
        <w:rPr>
          <w:w w:val="95"/>
        </w:rPr>
        <w:t>成都卫士通信息产业股份有限公司全体股东：</w:t>
      </w:r>
      <w:r>
        <w:rPr>
          <w:spacing w:val="4"/>
          <w:w w:val="95"/>
        </w:rPr>
        <w:t> </w:t>
      </w:r>
      <w:r>
        <w:rPr>
          <w:spacing w:val="4"/>
          <w:w w:val="95"/>
        </w:rPr>
      </w:r>
      <w:r>
        <w:rPr/>
        <w:t>一、审计意见</w:t>
      </w:r>
      <w:r>
        <w:rPr>
          <w:b w:val="0"/>
          <w:bCs w:val="0"/>
        </w:rPr>
      </w:r>
    </w:p>
    <w:p>
      <w:pPr>
        <w:pStyle w:val="BodyText"/>
        <w:spacing w:line="240" w:lineRule="auto" w:before="51"/>
        <w:ind w:left="153" w:right="0"/>
        <w:jc w:val="left"/>
      </w:pPr>
      <w:r>
        <w:rPr/>
        <w:br w:type="column"/>
      </w:r>
      <w:r>
        <w:rPr/>
        <w:t>审计报告正文</w:t>
      </w:r>
    </w:p>
    <w:p>
      <w:pPr>
        <w:spacing w:after="0" w:line="240" w:lineRule="auto"/>
        <w:jc w:val="left"/>
        <w:sectPr>
          <w:type w:val="continuous"/>
          <w:pgSz w:w="11910" w:h="16840"/>
          <w:pgMar w:top="1060" w:bottom="1160" w:left="980" w:right="0"/>
          <w:cols w:num="2" w:equalWidth="0">
            <w:col w:w="3765" w:space="515"/>
            <w:col w:w="6650"/>
          </w:cols>
        </w:sectPr>
      </w:pPr>
    </w:p>
    <w:p>
      <w:pPr>
        <w:pStyle w:val="BodyText"/>
        <w:spacing w:line="300" w:lineRule="auto" w:before="19"/>
        <w:ind w:right="1130" w:firstLine="360"/>
        <w:jc w:val="both"/>
      </w:pPr>
      <w:r>
        <w:rPr/>
        <w:t>我们审计了成都卫士通信息产业股份有限公司</w:t>
      </w:r>
      <w:r>
        <w:rPr>
          <w:rFonts w:ascii="Times New Roman" w:hAnsi="Times New Roman" w:cs="Times New Roman" w:eastAsia="Times New Roman" w:hint="default"/>
        </w:rPr>
        <w:t>(</w:t>
      </w:r>
      <w:r>
        <w:rPr/>
        <w:t>以下简称</w:t>
      </w:r>
      <w:r>
        <w:rPr>
          <w:rFonts w:ascii="Times New Roman" w:hAnsi="Times New Roman" w:cs="Times New Roman" w:eastAsia="Times New Roman" w:hint="default"/>
        </w:rPr>
        <w:t>“</w:t>
      </w:r>
      <w:r>
        <w:rPr/>
        <w:t>贵公司</w:t>
      </w:r>
      <w:r>
        <w:rPr>
          <w:rFonts w:ascii="Times New Roman" w:hAnsi="Times New Roman" w:cs="Times New Roman" w:eastAsia="Times New Roman" w:hint="default"/>
        </w:rPr>
        <w:t>”</w:t>
      </w:r>
      <w:r>
        <w:rPr/>
        <w:t>或</w:t>
      </w:r>
      <w:r>
        <w:rPr>
          <w:rFonts w:ascii="Times New Roman" w:hAnsi="Times New Roman" w:cs="Times New Roman" w:eastAsia="Times New Roman" w:hint="default"/>
        </w:rPr>
        <w:t>“</w:t>
      </w:r>
      <w:r>
        <w:rPr/>
        <w:t>卫士通公司</w:t>
      </w:r>
      <w:r>
        <w:rPr>
          <w:rFonts w:ascii="Times New Roman" w:hAnsi="Times New Roman" w:cs="Times New Roman" w:eastAsia="Times New Roman" w:hint="default"/>
        </w:rPr>
        <w:t>”)</w:t>
      </w:r>
      <w:r>
        <w:rPr/>
        <w:t>财务报表，包括</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 </w:t>
      </w:r>
      <w:r>
        <w:rPr>
          <w:spacing w:val="-2"/>
        </w:rPr>
        <w:t>并及母公司资产负债表，</w:t>
      </w:r>
      <w:r>
        <w:rPr>
          <w:rFonts w:ascii="Times New Roman" w:hAnsi="Times New Roman" w:cs="Times New Roman" w:eastAsia="Times New Roman" w:hint="default"/>
          <w:spacing w:val="-2"/>
        </w:rPr>
        <w:t>2018</w:t>
      </w:r>
      <w:r>
        <w:rPr>
          <w:spacing w:val="-2"/>
        </w:rPr>
        <w:t>年度的合并及母公司利润表、合并及母公司现金流量表、合并及母公司股东权益变动表以及相</w:t>
      </w:r>
      <w:r>
        <w:rPr>
          <w:spacing w:val="-62"/>
        </w:rPr>
        <w:t> </w:t>
      </w:r>
      <w:r>
        <w:rPr>
          <w:spacing w:val="-62"/>
        </w:rPr>
      </w:r>
      <w:r>
        <w:rPr/>
        <w:t>关财务报表附注。</w:t>
      </w:r>
    </w:p>
    <w:p>
      <w:pPr>
        <w:pStyle w:val="BodyText"/>
        <w:spacing w:line="300" w:lineRule="auto" w:before="31"/>
        <w:ind w:right="1022" w:firstLine="360"/>
        <w:jc w:val="left"/>
      </w:pPr>
      <w:r>
        <w:rPr>
          <w:spacing w:val="-2"/>
        </w:rPr>
        <w:t>我们认为，后附的财务报表在所有重大方面按照企业会计准则的规定编制，公允反映了贵公司</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日的合并及</w:t>
      </w:r>
      <w:r>
        <w:rPr/>
        <w:t> 母公司财务状况以及</w:t>
      </w:r>
      <w:r>
        <w:rPr>
          <w:rFonts w:ascii="Times New Roman" w:hAnsi="Times New Roman" w:cs="Times New Roman" w:eastAsia="Times New Roman" w:hint="default"/>
        </w:rPr>
        <w:t>2018</w:t>
      </w:r>
      <w:r>
        <w:rPr/>
        <w:t>年度的合并及母公司经营成果和现金流量。</w:t>
      </w:r>
    </w:p>
    <w:p>
      <w:pPr>
        <w:pStyle w:val="BodyText"/>
        <w:spacing w:line="319" w:lineRule="auto" w:before="13"/>
        <w:ind w:left="514" w:right="1022" w:hanging="6"/>
        <w:jc w:val="left"/>
      </w:pPr>
      <w:r>
        <w:rPr>
          <w:rFonts w:ascii="宋体" w:hAnsi="宋体" w:cs="宋体" w:eastAsia="宋体" w:hint="default"/>
          <w:b/>
          <w:bCs/>
        </w:rPr>
        <w:t>二、形成审计意见的基础</w:t>
      </w:r>
      <w:r>
        <w:rPr>
          <w:rFonts w:ascii="宋体" w:hAnsi="宋体" w:cs="宋体" w:eastAsia="宋体" w:hint="default"/>
          <w:b/>
          <w:bCs/>
          <w:w w:val="99"/>
        </w:rPr>
        <w:t> </w:t>
      </w:r>
      <w:r>
        <w:rPr>
          <w:spacing w:val="-2"/>
        </w:rPr>
        <w:t>我们按照中国注册会计师审计准则的规定执行了审计工作。审计报告的</w:t>
      </w:r>
      <w:r>
        <w:rPr>
          <w:rFonts w:ascii="Times New Roman" w:hAnsi="Times New Roman" w:cs="Times New Roman" w:eastAsia="Times New Roman" w:hint="default"/>
          <w:spacing w:val="-2"/>
        </w:rPr>
        <w:t>“</w:t>
      </w:r>
      <w:r>
        <w:rPr>
          <w:spacing w:val="-2"/>
        </w:rPr>
        <w:t>注册会计师对财务报表审计的责任</w:t>
      </w:r>
      <w:r>
        <w:rPr>
          <w:rFonts w:ascii="Times New Roman" w:hAnsi="Times New Roman" w:cs="Times New Roman" w:eastAsia="Times New Roman" w:hint="default"/>
          <w:spacing w:val="-2"/>
        </w:rPr>
        <w:t>”</w:t>
      </w:r>
      <w:r>
        <w:rPr>
          <w:spacing w:val="-2"/>
        </w:rPr>
        <w:t>部分进一步</w:t>
      </w:r>
    </w:p>
    <w:p>
      <w:pPr>
        <w:pStyle w:val="BodyText"/>
        <w:spacing w:line="316" w:lineRule="auto"/>
        <w:ind w:right="1022"/>
        <w:jc w:val="left"/>
      </w:pPr>
      <w:r>
        <w:rPr>
          <w:spacing w:val="-2"/>
        </w:rPr>
        <w:t>阐述了我们在这些准则下的责任。按照中国注册会计师职业道德守则，我们独立于贵公司，并履行了职业道德方面的其他责</w:t>
      </w:r>
      <w:r>
        <w:rPr>
          <w:spacing w:val="-66"/>
        </w:rPr>
        <w:t> </w:t>
      </w:r>
      <w:r>
        <w:rPr>
          <w:spacing w:val="-66"/>
        </w:rPr>
      </w:r>
      <w:r>
        <w:rPr/>
        <w:t>任。我们相信，我们获取的审计证据是充分、适当的，为发表审计意见提供了基础。</w:t>
      </w:r>
    </w:p>
    <w:p>
      <w:pPr>
        <w:pStyle w:val="BodyText"/>
        <w:spacing w:line="316" w:lineRule="auto" w:before="19"/>
        <w:ind w:left="514" w:right="1022" w:hanging="6"/>
        <w:jc w:val="left"/>
      </w:pPr>
      <w:r>
        <w:rPr>
          <w:rFonts w:ascii="宋体" w:hAnsi="宋体" w:cs="宋体" w:eastAsia="宋体" w:hint="default"/>
          <w:b/>
          <w:bCs/>
        </w:rPr>
        <w:t>三、强调事项</w:t>
      </w:r>
      <w:r>
        <w:rPr>
          <w:rFonts w:ascii="宋体" w:hAnsi="宋体" w:cs="宋体" w:eastAsia="宋体" w:hint="default"/>
          <w:b/>
          <w:bCs/>
          <w:w w:val="99"/>
        </w:rPr>
        <w:t> </w:t>
      </w:r>
      <w:r>
        <w:rPr>
          <w:spacing w:val="-2"/>
        </w:rPr>
        <w:t>贵公司全资子公司中电科（北京）网络信息安全有限公司（以下简称</w:t>
      </w:r>
      <w:r>
        <w:rPr>
          <w:rFonts w:ascii="Times New Roman" w:hAnsi="Times New Roman" w:cs="Times New Roman" w:eastAsia="Times New Roman" w:hint="default"/>
          <w:spacing w:val="-2"/>
        </w:rPr>
        <w:t>“</w:t>
      </w:r>
      <w:r>
        <w:rPr>
          <w:spacing w:val="-2"/>
        </w:rPr>
        <w:t>北京网安</w:t>
      </w:r>
      <w:r>
        <w:rPr>
          <w:rFonts w:ascii="Times New Roman" w:hAnsi="Times New Roman" w:cs="Times New Roman" w:eastAsia="Times New Roman" w:hint="default"/>
          <w:spacing w:val="-2"/>
        </w:rPr>
        <w:t>”</w:t>
      </w:r>
      <w:r>
        <w:rPr>
          <w:spacing w:val="-2"/>
        </w:rPr>
        <w:t>）向北京金丰科华房地产开发有限公司</w:t>
      </w:r>
    </w:p>
    <w:p>
      <w:pPr>
        <w:pStyle w:val="BodyText"/>
        <w:spacing w:line="300" w:lineRule="auto"/>
        <w:ind w:right="1031"/>
        <w:jc w:val="left"/>
      </w:pPr>
      <w:r>
        <w:rPr>
          <w:spacing w:val="-1"/>
        </w:rPr>
        <w:t>购买位于北京市丰台区花乡四合庄</w:t>
      </w:r>
      <w:r>
        <w:rPr>
          <w:rFonts w:ascii="Times New Roman" w:hAnsi="Times New Roman" w:cs="Times New Roman" w:eastAsia="Times New Roman" w:hint="default"/>
          <w:spacing w:val="-1"/>
        </w:rPr>
        <w:t>1516-15</w:t>
      </w:r>
      <w:r>
        <w:rPr>
          <w:spacing w:val="-1"/>
        </w:rPr>
        <w:t>地块上</w:t>
      </w:r>
      <w:r>
        <w:rPr>
          <w:rFonts w:ascii="Times New Roman" w:hAnsi="Times New Roman" w:cs="Times New Roman" w:eastAsia="Times New Roman" w:hint="default"/>
          <w:spacing w:val="-1"/>
        </w:rPr>
        <w:t>5#</w:t>
      </w:r>
      <w:r>
        <w:rPr>
          <w:spacing w:val="-1"/>
        </w:rPr>
        <w:t>办公商业楼由于涉诉被北京市第二中级人民法院查封，截至审计报告日，</w:t>
      </w:r>
      <w:r>
        <w:rPr>
          <w:spacing w:val="-83"/>
        </w:rPr>
        <w:t> </w:t>
      </w:r>
      <w:r>
        <w:rPr>
          <w:spacing w:val="-83"/>
        </w:rPr>
      </w:r>
      <w:r>
        <w:rPr/>
        <w:t>相关案件尚未审结。上述资产列报于</w:t>
      </w:r>
      <w:r>
        <w:rPr>
          <w:rFonts w:ascii="Times New Roman" w:hAnsi="Times New Roman" w:cs="Times New Roman" w:eastAsia="Times New Roman" w:hint="default"/>
        </w:rPr>
        <w:t>“</w:t>
      </w:r>
      <w:r>
        <w:rPr/>
        <w:t>在建工程</w:t>
      </w:r>
      <w:r>
        <w:rPr>
          <w:rFonts w:ascii="Times New Roman" w:hAnsi="Times New Roman" w:cs="Times New Roman" w:eastAsia="Times New Roman" w:hint="default"/>
        </w:rPr>
        <w:t>”</w:t>
      </w:r>
      <w:r>
        <w:rPr/>
        <w:t>项目，</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日余额</w:t>
      </w:r>
      <w:r>
        <w:rPr>
          <w:rFonts w:ascii="Times New Roman" w:hAnsi="Times New Roman" w:cs="Times New Roman" w:eastAsia="Times New Roman" w:hint="default"/>
        </w:rPr>
        <w:t>116,309.74</w:t>
      </w:r>
      <w:r>
        <w:rPr/>
        <w:t>万元。</w:t>
      </w:r>
    </w:p>
    <w:p>
      <w:pPr>
        <w:pStyle w:val="BodyText"/>
        <w:spacing w:line="316" w:lineRule="auto" w:before="13"/>
        <w:ind w:right="1022" w:firstLine="360"/>
        <w:jc w:val="left"/>
      </w:pPr>
      <w:r>
        <w:rPr>
          <w:spacing w:val="-2"/>
        </w:rPr>
        <w:t>我们提醒财务报表使用者关注，财务报表附注十三（二）描述了北京网安涉诉房产详细情况及最新进展情况。本段内容</w:t>
      </w:r>
      <w:r>
        <w:rPr/>
        <w:t> 不影响已发表的审计意见。</w:t>
      </w:r>
    </w:p>
    <w:p>
      <w:pPr>
        <w:pStyle w:val="BodyText"/>
        <w:spacing w:line="316" w:lineRule="auto" w:before="19"/>
        <w:ind w:left="514" w:right="1022"/>
        <w:jc w:val="left"/>
      </w:pPr>
      <w:r>
        <w:rPr>
          <w:rFonts w:ascii="宋体" w:hAnsi="宋体" w:cs="宋体" w:eastAsia="宋体" w:hint="default"/>
          <w:b/>
          <w:bCs/>
        </w:rPr>
        <w:t>四、关键审计事项</w:t>
      </w:r>
      <w:r>
        <w:rPr>
          <w:rFonts w:ascii="宋体" w:hAnsi="宋体" w:cs="宋体" w:eastAsia="宋体" w:hint="default"/>
          <w:b/>
          <w:bCs/>
          <w:w w:val="99"/>
        </w:rPr>
        <w:t> </w:t>
      </w:r>
      <w:r>
        <w:rPr>
          <w:spacing w:val="-2"/>
        </w:rPr>
        <w:t>关键审计事项是我们根据职业判断，认为对本期财务报表审计最为重要的事项。这些事项的应对以对财务报表整体进行</w:t>
      </w:r>
    </w:p>
    <w:p>
      <w:pPr>
        <w:pStyle w:val="BodyText"/>
        <w:spacing w:line="316" w:lineRule="auto" w:before="19"/>
        <w:ind w:left="514" w:right="5532" w:hanging="360"/>
        <w:jc w:val="left"/>
      </w:pPr>
      <w:r>
        <w:rPr/>
        <w:t>审计并形成审计意见为背景，我们不对这些事项单独发表意见。 我们确定下列事项是需要在审计报告中沟通的关键审计事项： </w:t>
      </w:r>
      <w:r>
        <w:rPr>
          <w:rFonts w:ascii="Times New Roman" w:hAnsi="Times New Roman" w:cs="Times New Roman" w:eastAsia="Times New Roman" w:hint="default"/>
        </w:rPr>
        <w:t>1</w:t>
      </w:r>
      <w:r>
        <w:rPr/>
        <w:t>、收入的确认；</w:t>
      </w:r>
    </w:p>
    <w:p>
      <w:pPr>
        <w:pStyle w:val="BodyText"/>
        <w:spacing w:line="248" w:lineRule="exact"/>
        <w:ind w:left="514" w:right="1022"/>
        <w:jc w:val="left"/>
      </w:pPr>
      <w:r>
        <w:rPr>
          <w:rFonts w:ascii="Times New Roman" w:hAnsi="Times New Roman" w:cs="Times New Roman" w:eastAsia="Times New Roman" w:hint="default"/>
        </w:rPr>
        <w:t>2</w:t>
      </w:r>
      <w:r>
        <w:rPr/>
        <w:t>、存货跌价准备计提。</w:t>
      </w:r>
    </w:p>
    <w:p>
      <w:pPr>
        <w:spacing w:line="316" w:lineRule="auto" w:before="63"/>
        <w:ind w:left="514" w:right="9035" w:hanging="89"/>
        <w:jc w:val="left"/>
        <w:rPr>
          <w:rFonts w:ascii="宋体" w:hAnsi="宋体" w:cs="宋体" w:eastAsia="宋体" w:hint="default"/>
          <w:sz w:val="18"/>
          <w:szCs w:val="18"/>
        </w:rPr>
      </w:pPr>
      <w:r>
        <w:rPr>
          <w:rFonts w:ascii="宋体" w:hAnsi="宋体" w:cs="宋体" w:eastAsia="宋体" w:hint="default"/>
          <w:b/>
          <w:bCs/>
          <w:sz w:val="18"/>
          <w:szCs w:val="18"/>
        </w:rPr>
        <w:t>（一）收入的确认</w:t>
      </w:r>
      <w:r>
        <w:rPr>
          <w:rFonts w:ascii="宋体" w:hAnsi="宋体" w:cs="宋体" w:eastAsia="宋体" w:hint="default"/>
          <w:b/>
          <w:bCs/>
          <w:w w:val="99"/>
          <w:sz w:val="18"/>
          <w:szCs w:val="18"/>
        </w:rPr>
        <w:t> </w:t>
      </w:r>
      <w:r>
        <w:rPr>
          <w:rFonts w:ascii="宋体" w:hAnsi="宋体" w:cs="宋体" w:eastAsia="宋体" w:hint="default"/>
          <w:sz w:val="18"/>
          <w:szCs w:val="18"/>
        </w:rPr>
        <w:t>1.</w:t>
      </w:r>
      <w:r>
        <w:rPr>
          <w:rFonts w:ascii="宋体" w:hAnsi="宋体" w:cs="宋体" w:eastAsia="宋体" w:hint="default"/>
          <w:sz w:val="18"/>
          <w:szCs w:val="18"/>
        </w:rPr>
        <w:t>事项描述</w:t>
      </w:r>
    </w:p>
    <w:p>
      <w:pPr>
        <w:pStyle w:val="BodyText"/>
        <w:spacing w:line="309" w:lineRule="auto" w:before="19"/>
        <w:ind w:right="1022" w:firstLine="360"/>
        <w:jc w:val="left"/>
      </w:pPr>
      <w:r>
        <w:rPr>
          <w:rFonts w:ascii="Times New Roman" w:hAnsi="Times New Roman" w:cs="Times New Roman" w:eastAsia="Times New Roman" w:hint="default"/>
        </w:rPr>
        <w:t>2018</w:t>
      </w:r>
      <w:r>
        <w:rPr/>
        <w:t>年度，卫士通公司营业收入为</w:t>
      </w:r>
      <w:r>
        <w:rPr>
          <w:rFonts w:ascii="Times New Roman" w:hAnsi="Times New Roman" w:cs="Times New Roman" w:eastAsia="Times New Roman" w:hint="default"/>
        </w:rPr>
        <w:t>193,099.84</w:t>
      </w:r>
      <w:r>
        <w:rPr/>
        <w:t>万元，较</w:t>
      </w:r>
      <w:r>
        <w:rPr>
          <w:rFonts w:ascii="Times New Roman" w:hAnsi="Times New Roman" w:cs="Times New Roman" w:eastAsia="Times New Roman" w:hint="default"/>
        </w:rPr>
        <w:t>2017</w:t>
      </w:r>
      <w:r>
        <w:rPr/>
        <w:t>年度营业收入同比下降</w:t>
      </w:r>
      <w:r>
        <w:rPr>
          <w:rFonts w:ascii="Times New Roman" w:hAnsi="Times New Roman" w:cs="Times New Roman" w:eastAsia="Times New Roman" w:hint="default"/>
        </w:rPr>
        <w:t>9.64%</w:t>
      </w:r>
      <w:r>
        <w:rPr/>
        <w:t>。卫士通公司销售密码产品、 </w:t>
      </w:r>
      <w:r>
        <w:rPr>
          <w:spacing w:val="-4"/>
        </w:rPr>
        <w:t>信息安全产品、安全信息产品等信息安全相关产品时，在相关产品到达客户指定地点并得到客户签收后，确认产品销售收入，</w:t>
      </w:r>
      <w:r>
        <w:rPr>
          <w:spacing w:val="-44"/>
        </w:rPr>
        <w:t> </w:t>
      </w:r>
      <w:r>
        <w:rPr>
          <w:spacing w:val="-44"/>
        </w:rPr>
      </w:r>
      <w:r>
        <w:rPr>
          <w:spacing w:val="-2"/>
        </w:rPr>
        <w:t>同时结转产品对应的成本。信息系统集成及信息技术服务收入在资产负债表日提供服务交易的结果能够可靠估计的，采用完</w:t>
      </w:r>
      <w:r>
        <w:rPr>
          <w:spacing w:val="-63"/>
        </w:rPr>
        <w:t> </w:t>
      </w:r>
      <w:r>
        <w:rPr>
          <w:spacing w:val="-63"/>
        </w:rPr>
      </w:r>
      <w:r>
        <w:rPr/>
        <w:t>工百分比法确认提供服务收入。采用完工百分比法时，合同完工进度依据已完工作的测量确定。（</w:t>
      </w:r>
      <w:r>
        <w:rPr>
          <w:rFonts w:ascii="Times New Roman" w:hAnsi="Times New Roman" w:cs="Times New Roman" w:eastAsia="Times New Roman" w:hint="default"/>
        </w:rPr>
        <w:t>1</w:t>
      </w:r>
      <w:r>
        <w:rPr/>
        <w:t>）销售商品收入的发生</w:t>
      </w:r>
      <w:r>
        <w:rPr>
          <w:spacing w:val="-81"/>
        </w:rPr>
        <w:t> </w:t>
      </w:r>
      <w:r>
        <w:rPr>
          <w:spacing w:val="-81"/>
        </w:rPr>
      </w:r>
      <w:r>
        <w:rPr/>
        <w:t>和完整，会对卫士通公司经营成果产生很大影响。（</w:t>
      </w:r>
      <w:r>
        <w:rPr>
          <w:rFonts w:ascii="Times New Roman" w:hAnsi="Times New Roman" w:cs="Times New Roman" w:eastAsia="Times New Roman" w:hint="default"/>
        </w:rPr>
        <w:t>2</w:t>
      </w:r>
      <w:r>
        <w:rPr/>
        <w:t>）根据完工百分比法确认的收入涉及管理层的重大判断和估计，进而</w:t>
      </w:r>
    </w:p>
    <w:p>
      <w:pPr>
        <w:spacing w:after="0" w:line="309" w:lineRule="auto"/>
        <w:jc w:val="left"/>
        <w:sectPr>
          <w:type w:val="continuous"/>
          <w:pgSz w:w="11910" w:h="16840"/>
          <w:pgMar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left="514" w:right="1392" w:hanging="360"/>
        <w:jc w:val="left"/>
      </w:pPr>
      <w:r>
        <w:rPr/>
        <w:t>可能影响卫士通公司是否按照完工百分比法在恰当的会计期间确认收入。因此，我们将收入的确认作为关键审计事项。 关于收入确认的会计政策见附注四、（二十一）；关于收入的披露见附注六、注释</w:t>
      </w:r>
      <w:r>
        <w:rPr>
          <w:rFonts w:ascii="Times New Roman" w:hAnsi="Times New Roman" w:cs="Times New Roman" w:eastAsia="Times New Roman" w:hint="default"/>
        </w:rPr>
        <w:t>29</w:t>
      </w:r>
      <w:r>
        <w:rPr/>
        <w:t>。</w:t>
      </w:r>
    </w:p>
    <w:p>
      <w:pPr>
        <w:pStyle w:val="BodyText"/>
        <w:spacing w:line="316" w:lineRule="auto"/>
        <w:ind w:left="514" w:right="6612"/>
        <w:jc w:val="left"/>
      </w:pPr>
      <w:r>
        <w:rPr>
          <w:rFonts w:ascii="宋体" w:hAnsi="宋体" w:cs="宋体" w:eastAsia="宋体" w:hint="default"/>
        </w:rPr>
        <w:t>2.</w:t>
      </w:r>
      <w:r>
        <w:rPr/>
        <w:t>审计应对 我们对于收入确认所实施的重要审计程序包括：</w:t>
      </w:r>
    </w:p>
    <w:p>
      <w:pPr>
        <w:pStyle w:val="BodyText"/>
        <w:spacing w:line="316" w:lineRule="auto" w:before="19"/>
        <w:ind w:right="1022" w:firstLine="270"/>
        <w:jc w:val="left"/>
      </w:pPr>
      <w:r>
        <w:rPr>
          <w:spacing w:val="-2"/>
        </w:rPr>
        <w:t>（</w:t>
      </w:r>
      <w:r>
        <w:rPr>
          <w:rFonts w:ascii="宋体" w:hAnsi="宋体" w:cs="宋体" w:eastAsia="宋体" w:hint="default"/>
          <w:spacing w:val="-2"/>
        </w:rPr>
        <w:t>1</w:t>
      </w:r>
      <w:r>
        <w:rPr>
          <w:spacing w:val="-2"/>
        </w:rPr>
        <w:t>）了解、评估了管理层对集成服务收入、集成产品收入、软件收入、技术服务收入确认的内部控制的设计，并测试了</w:t>
      </w:r>
      <w:r>
        <w:rPr/>
        <w:t> 关键控制执行的有效性；</w:t>
      </w:r>
    </w:p>
    <w:p>
      <w:pPr>
        <w:pStyle w:val="BodyText"/>
        <w:spacing w:line="316" w:lineRule="auto" w:before="19"/>
        <w:ind w:right="1022" w:firstLine="270"/>
        <w:jc w:val="left"/>
      </w:pPr>
      <w:r>
        <w:rPr>
          <w:spacing w:val="-2"/>
        </w:rPr>
        <w:t>（</w:t>
      </w:r>
      <w:r>
        <w:rPr>
          <w:rFonts w:ascii="宋体" w:hAnsi="宋体" w:cs="宋体" w:eastAsia="宋体" w:hint="default"/>
          <w:spacing w:val="-2"/>
        </w:rPr>
        <w:t>2</w:t>
      </w:r>
      <w:r>
        <w:rPr>
          <w:spacing w:val="-2"/>
        </w:rPr>
        <w:t>）通过检查业务合同及与管理层的访谈，对与收入确认有关的重大风险及报酬转移时点进行了分析评估，进而评估卫</w:t>
      </w:r>
      <w:r>
        <w:rPr/>
        <w:t> 士通公司收入的确认政策；</w:t>
      </w:r>
    </w:p>
    <w:p>
      <w:pPr>
        <w:pStyle w:val="BodyText"/>
        <w:spacing w:line="240" w:lineRule="auto" w:before="19"/>
        <w:ind w:left="424" w:right="1022"/>
        <w:jc w:val="left"/>
      </w:pPr>
      <w:r>
        <w:rPr/>
        <w:t>（</w:t>
      </w:r>
      <w:r>
        <w:rPr>
          <w:rFonts w:ascii="宋体" w:hAnsi="宋体" w:cs="宋体" w:eastAsia="宋体" w:hint="default"/>
        </w:rPr>
        <w:t>3</w:t>
      </w:r>
      <w:r>
        <w:rPr/>
        <w:t>）检查与收入确认相关的支持性文件，包括销售合同、订单、销售发票、客户签收单、回款情况等；</w:t>
      </w:r>
    </w:p>
    <w:p>
      <w:pPr>
        <w:pStyle w:val="BodyText"/>
        <w:spacing w:line="240" w:lineRule="auto" w:before="76"/>
        <w:ind w:left="424" w:right="0"/>
        <w:jc w:val="left"/>
      </w:pPr>
      <w:r>
        <w:rPr/>
        <w:t>（</w:t>
      </w:r>
      <w:r>
        <w:rPr>
          <w:rFonts w:ascii="宋体" w:hAnsi="宋体" w:cs="宋体" w:eastAsia="宋体" w:hint="default"/>
        </w:rPr>
        <w:t>4</w:t>
      </w:r>
      <w:r>
        <w:rPr/>
        <w:t>）针对资产负债表日前后确认的销售收入核对至客户签收单等支持性文件，以评估销售收入是否在恰当的期间确认；</w:t>
      </w:r>
    </w:p>
    <w:p>
      <w:pPr>
        <w:pStyle w:val="BodyText"/>
        <w:spacing w:line="240" w:lineRule="auto" w:before="76"/>
        <w:ind w:left="424" w:right="1022"/>
        <w:jc w:val="left"/>
      </w:pPr>
      <w:r>
        <w:rPr/>
        <w:t>（</w:t>
      </w:r>
      <w:r>
        <w:rPr>
          <w:rFonts w:ascii="宋体" w:hAnsi="宋体" w:cs="宋体" w:eastAsia="宋体" w:hint="default"/>
        </w:rPr>
        <w:t>5</w:t>
      </w:r>
      <w:r>
        <w:rPr/>
        <w:t>）按照产品类别、施工项目对毛利率进行分析，与同行业进行比对，以评估毛利率水平的合理性；</w:t>
      </w:r>
    </w:p>
    <w:p>
      <w:pPr>
        <w:pStyle w:val="BodyText"/>
        <w:tabs>
          <w:tab w:pos="4354" w:val="left" w:leader="none"/>
        </w:tabs>
        <w:spacing w:line="316" w:lineRule="auto" w:before="76"/>
        <w:ind w:left="514" w:right="1590" w:hanging="90"/>
        <w:jc w:val="left"/>
      </w:pPr>
      <w:r>
        <w:rPr/>
        <w:t>（</w:t>
      </w:r>
      <w:r>
        <w:rPr>
          <w:rFonts w:ascii="宋体" w:hAnsi="宋体" w:cs="宋体" w:eastAsia="宋体" w:hint="default"/>
        </w:rPr>
        <w:t>6</w:t>
      </w:r>
      <w:r>
        <w:rPr/>
        <w:t>）结合往来款检查对客户及供应商进行函证</w:t>
        <w:tab/>
        <w:t>。 基于已执行的审计工作和获取的审计证据，我们认为，管理层对收入确认在财务报告中的列报与披露是适当的。</w:t>
      </w:r>
    </w:p>
    <w:p>
      <w:pPr>
        <w:pStyle w:val="Heading5"/>
        <w:spacing w:line="240" w:lineRule="auto" w:before="19"/>
        <w:ind w:left="425" w:right="1022"/>
        <w:jc w:val="left"/>
        <w:rPr>
          <w:b w:val="0"/>
          <w:bCs w:val="0"/>
        </w:rPr>
      </w:pPr>
      <w:r>
        <w:rPr/>
        <w:t>（二）存货跌价准备计提</w:t>
      </w:r>
      <w:r>
        <w:rPr>
          <w:b w:val="0"/>
          <w:bCs w:val="0"/>
        </w:rPr>
      </w:r>
    </w:p>
    <w:p>
      <w:pPr>
        <w:pStyle w:val="BodyText"/>
        <w:spacing w:line="240" w:lineRule="auto" w:before="76"/>
        <w:ind w:left="514" w:right="1022"/>
        <w:jc w:val="left"/>
      </w:pPr>
      <w:r>
        <w:rPr>
          <w:rFonts w:ascii="Times New Roman" w:hAnsi="Times New Roman" w:cs="Times New Roman" w:eastAsia="Times New Roman" w:hint="default"/>
        </w:rPr>
        <w:t>1.</w:t>
      </w:r>
      <w:r>
        <w:rPr/>
        <w:t>事项描述</w:t>
      </w:r>
    </w:p>
    <w:p>
      <w:pPr>
        <w:pStyle w:val="BodyText"/>
        <w:spacing w:line="307" w:lineRule="auto" w:before="63"/>
        <w:ind w:right="1056" w:firstLine="360"/>
        <w:jc w:val="left"/>
      </w:pPr>
      <w:r>
        <w:rPr/>
        <w:t>截至 </w:t>
      </w:r>
      <w:r>
        <w:rPr>
          <w:rFonts w:ascii="Times New Roman" w:hAnsi="Times New Roman" w:cs="Times New Roman" w:eastAsia="Times New Roman" w:hint="default"/>
        </w:rPr>
        <w:t>2018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w:t>
      </w:r>
      <w:r>
        <w:rPr>
          <w:rFonts w:ascii="Times New Roman" w:hAnsi="Times New Roman" w:cs="Times New Roman" w:eastAsia="Times New Roman" w:hint="default"/>
          <w:spacing w:val="21"/>
        </w:rPr>
        <w:t> </w:t>
      </w:r>
      <w:r>
        <w:rPr/>
        <w:t>日，卫士通公司存货在合并财务报表账面余额</w:t>
      </w:r>
      <w:r>
        <w:rPr>
          <w:rFonts w:ascii="Times New Roman" w:hAnsi="Times New Roman" w:cs="Times New Roman" w:eastAsia="Times New Roman" w:hint="default"/>
        </w:rPr>
        <w:t>33,268.54</w:t>
      </w:r>
      <w:r>
        <w:rPr/>
        <w:t>万元，计提存货跌价准备</w:t>
      </w:r>
      <w:r>
        <w:rPr>
          <w:rFonts w:ascii="Times New Roman" w:hAnsi="Times New Roman" w:cs="Times New Roman" w:eastAsia="Times New Roman" w:hint="default"/>
        </w:rPr>
        <w:t>2,286.86</w:t>
      </w:r>
      <w:r>
        <w:rPr/>
        <w:t>万元， 存货账面价值</w:t>
      </w:r>
      <w:r>
        <w:rPr>
          <w:rFonts w:ascii="Times New Roman" w:hAnsi="Times New Roman" w:cs="Times New Roman" w:eastAsia="Times New Roman" w:hint="default"/>
        </w:rPr>
        <w:t>30,981.68</w:t>
      </w:r>
      <w:r>
        <w:rPr/>
        <w:t>万元，占资产总额的</w:t>
      </w:r>
      <w:r>
        <w:rPr>
          <w:rFonts w:ascii="Times New Roman" w:hAnsi="Times New Roman" w:cs="Times New Roman" w:eastAsia="Times New Roman" w:hint="default"/>
        </w:rPr>
        <w:t>4.98%</w:t>
      </w:r>
      <w:r>
        <w:rPr/>
        <w:t>。如附注四、</w:t>
      </w:r>
      <w:r>
        <w:rPr>
          <w:rFonts w:ascii="Times New Roman" w:hAnsi="Times New Roman" w:cs="Times New Roman" w:eastAsia="Times New Roman" w:hint="default"/>
        </w:rPr>
        <w:t>(</w:t>
      </w:r>
      <w:r>
        <w:rPr/>
        <w:t>十</w:t>
      </w:r>
      <w:r>
        <w:rPr>
          <w:rFonts w:ascii="Times New Roman" w:hAnsi="Times New Roman" w:cs="Times New Roman" w:eastAsia="Times New Roman" w:hint="default"/>
        </w:rPr>
        <w:t>)</w:t>
      </w:r>
      <w:r>
        <w:rPr/>
        <w:t>所述，卫士通公司按照单个存货成本高于可变现净值的</w:t>
      </w:r>
      <w:r>
        <w:rPr>
          <w:spacing w:val="-49"/>
        </w:rPr>
        <w:t> </w:t>
      </w:r>
      <w:r>
        <w:rPr>
          <w:spacing w:val="-49"/>
        </w:rPr>
      </w:r>
      <w:r>
        <w:rPr>
          <w:spacing w:val="-2"/>
        </w:rPr>
        <w:t>差额计提存货跌价准备。存货的可变现净值的确定，要求管理层对存货的售价，至完工时将发生的成本、销售费用及相关税</w:t>
      </w:r>
      <w:r>
        <w:rPr>
          <w:spacing w:val="-66"/>
        </w:rPr>
        <w:t> </w:t>
      </w:r>
      <w:r>
        <w:rPr>
          <w:spacing w:val="-66"/>
        </w:rPr>
      </w:r>
      <w:r>
        <w:rPr/>
        <w:t>费进行估计。因此，我们将存货跌价准备计提确定为关键审计事项。</w:t>
      </w:r>
    </w:p>
    <w:p>
      <w:pPr>
        <w:pStyle w:val="BodyText"/>
        <w:spacing w:line="300" w:lineRule="auto" w:before="26"/>
        <w:ind w:left="514" w:right="5712"/>
        <w:jc w:val="left"/>
      </w:pPr>
      <w:r>
        <w:rPr/>
        <w:t>关于存货跌价准备计提的披露见附注六、注释</w:t>
      </w:r>
      <w:r>
        <w:rPr>
          <w:rFonts w:ascii="Times New Roman" w:hAnsi="Times New Roman" w:cs="Times New Roman" w:eastAsia="Times New Roman" w:hint="default"/>
        </w:rPr>
        <w:t>5</w:t>
      </w:r>
      <w:r>
        <w:rPr/>
        <w:t>。 </w:t>
      </w:r>
      <w:r>
        <w:rPr>
          <w:rFonts w:ascii="Times New Roman" w:hAnsi="Times New Roman" w:cs="Times New Roman" w:eastAsia="Times New Roman" w:hint="default"/>
        </w:rPr>
        <w:t>2.</w:t>
      </w:r>
      <w:r>
        <w:rPr/>
        <w:t>审计应对 在审计存货跌价准备的过程中，我们的审计程序主要包括：</w:t>
      </w:r>
    </w:p>
    <w:p>
      <w:pPr>
        <w:pStyle w:val="BodyText"/>
        <w:spacing w:line="240" w:lineRule="auto" w:before="32"/>
        <w:ind w:left="424" w:right="1022"/>
        <w:jc w:val="left"/>
      </w:pPr>
      <w:r>
        <w:rPr/>
        <w:t>（</w:t>
      </w:r>
      <w:r>
        <w:rPr>
          <w:rFonts w:ascii="Times New Roman" w:hAnsi="Times New Roman" w:cs="Times New Roman" w:eastAsia="Times New Roman" w:hint="default"/>
        </w:rPr>
        <w:t>1</w:t>
      </w:r>
      <w:r>
        <w:rPr/>
        <w:t>）对卫士通公司存货跌价准备相关内部控制的设计与执行进行了评估；</w:t>
      </w:r>
    </w:p>
    <w:p>
      <w:pPr>
        <w:pStyle w:val="BodyText"/>
        <w:spacing w:line="300" w:lineRule="auto" w:before="63"/>
        <w:ind w:right="1022" w:firstLine="270"/>
        <w:jc w:val="left"/>
      </w:pPr>
      <w:r>
        <w:rPr>
          <w:spacing w:val="-2"/>
        </w:rPr>
        <w:t>（</w:t>
      </w:r>
      <w:r>
        <w:rPr>
          <w:rFonts w:ascii="Times New Roman" w:hAnsi="Times New Roman" w:cs="Times New Roman" w:eastAsia="Times New Roman" w:hint="default"/>
          <w:spacing w:val="-2"/>
        </w:rPr>
        <w:t>2</w:t>
      </w:r>
      <w:r>
        <w:rPr>
          <w:spacing w:val="-2"/>
        </w:rPr>
        <w:t>）获取并评价了管理层对于存货跌价准备的计提方法和相关假设，并考虑了卫士通公司的预期销售计划等因素对存货</w:t>
      </w:r>
      <w:r>
        <w:rPr/>
        <w:t> 跌价准备的可能影响；</w:t>
      </w:r>
    </w:p>
    <w:p>
      <w:pPr>
        <w:pStyle w:val="BodyText"/>
        <w:spacing w:line="240" w:lineRule="auto" w:before="31"/>
        <w:ind w:left="424" w:right="1022"/>
        <w:jc w:val="left"/>
      </w:pPr>
      <w:r>
        <w:rPr/>
        <w:t>（</w:t>
      </w:r>
      <w:r>
        <w:rPr>
          <w:rFonts w:ascii="Times New Roman" w:hAnsi="Times New Roman" w:cs="Times New Roman" w:eastAsia="Times New Roman" w:hint="default"/>
        </w:rPr>
        <w:t>3</w:t>
      </w:r>
      <w:r>
        <w:rPr/>
        <w:t>）对存货盘点实施监盘，检查存货的数量、状况及产品有效期等；</w:t>
      </w:r>
    </w:p>
    <w:p>
      <w:pPr>
        <w:pStyle w:val="BodyText"/>
        <w:spacing w:line="240" w:lineRule="auto" w:before="63"/>
        <w:ind w:left="424" w:right="0"/>
        <w:jc w:val="left"/>
      </w:pPr>
      <w:r>
        <w:rPr/>
        <w:t>（</w:t>
      </w:r>
      <w:r>
        <w:rPr>
          <w:rFonts w:ascii="Times New Roman" w:hAnsi="Times New Roman" w:cs="Times New Roman" w:eastAsia="Times New Roman" w:hint="default"/>
        </w:rPr>
        <w:t>4</w:t>
      </w:r>
      <w:r>
        <w:rPr>
          <w:spacing w:val="-87"/>
        </w:rPr>
        <w:t>）</w:t>
      </w:r>
      <w:r>
        <w:rPr/>
        <w:t>对存货周转天数以及存货库龄进行了审核并执行了分析性程序</w:t>
      </w:r>
      <w:r>
        <w:rPr>
          <w:spacing w:val="-87"/>
        </w:rPr>
        <w:t>，</w:t>
      </w:r>
      <w:r>
        <w:rPr/>
        <w:t>判断是否存在较长库龄的存货导致存货减值的风险；</w:t>
      </w:r>
    </w:p>
    <w:p>
      <w:pPr>
        <w:pStyle w:val="BodyText"/>
        <w:spacing w:line="240" w:lineRule="auto" w:before="63"/>
        <w:ind w:left="424" w:right="1022"/>
        <w:jc w:val="left"/>
      </w:pPr>
      <w:r>
        <w:rPr/>
        <w:t>（</w:t>
      </w:r>
      <w:r>
        <w:rPr>
          <w:rFonts w:ascii="Times New Roman" w:hAnsi="Times New Roman" w:cs="Times New Roman" w:eastAsia="Times New Roman" w:hint="default"/>
        </w:rPr>
        <w:t>5</w:t>
      </w:r>
      <w:r>
        <w:rPr/>
        <w:t>）获取期末存货库龄清单，结合产品的有效期，对库龄较长的存货进行分析性复核，分析存货跌价准备是否合理；</w:t>
      </w:r>
    </w:p>
    <w:p>
      <w:pPr>
        <w:pStyle w:val="BodyText"/>
        <w:spacing w:line="312" w:lineRule="auto" w:before="63"/>
        <w:ind w:left="508" w:right="1022" w:hanging="84"/>
        <w:jc w:val="left"/>
      </w:pPr>
      <w:r>
        <w:rPr/>
        <w:t>（</w:t>
      </w:r>
      <w:r>
        <w:rPr>
          <w:rFonts w:ascii="Times New Roman" w:hAnsi="Times New Roman" w:cs="Times New Roman" w:eastAsia="Times New Roman" w:hint="default"/>
        </w:rPr>
        <w:t>6</w:t>
      </w:r>
      <w:r>
        <w:rPr/>
        <w:t>）检查了存货跌价准备相关信息在财务报表中的列报和披露。 </w:t>
      </w:r>
      <w:r>
        <w:rPr>
          <w:spacing w:val="-4"/>
        </w:rPr>
        <w:t>基于已执行的审计工作和获取的审计证据，我们认为，管理层对存货跌价准备计提在财务报告中的列报与披露是适当的。</w:t>
      </w:r>
      <w:r>
        <w:rPr/>
        <w:t> </w:t>
      </w:r>
      <w:r>
        <w:rPr>
          <w:rFonts w:ascii="宋体" w:hAnsi="宋体" w:cs="宋体" w:eastAsia="宋体" w:hint="default"/>
          <w:b/>
          <w:bCs/>
        </w:rPr>
        <w:t>五、其他信息</w:t>
      </w:r>
      <w:r>
        <w:rPr>
          <w:rFonts w:ascii="宋体" w:hAnsi="宋体" w:cs="宋体" w:eastAsia="宋体" w:hint="default"/>
          <w:b/>
          <w:bCs/>
          <w:w w:val="99"/>
        </w:rPr>
        <w:t> </w:t>
      </w:r>
      <w:r>
        <w:rPr>
          <w:spacing w:val="-2"/>
        </w:rPr>
        <w:t>贵公司管理层对其他信息负责。其他信息包括卫士通公司</w:t>
      </w:r>
      <w:r>
        <w:rPr>
          <w:rFonts w:ascii="Times New Roman" w:hAnsi="Times New Roman" w:cs="Times New Roman" w:eastAsia="Times New Roman" w:hint="default"/>
          <w:spacing w:val="-2"/>
        </w:rPr>
        <w:t>2018</w:t>
      </w:r>
      <w:r>
        <w:rPr>
          <w:spacing w:val="-2"/>
        </w:rPr>
        <w:t>年年度报告中涵盖的信息，但不包括财务报表和我们的审</w:t>
      </w:r>
    </w:p>
    <w:p>
      <w:pPr>
        <w:pStyle w:val="BodyText"/>
        <w:spacing w:line="240" w:lineRule="auto" w:before="3"/>
        <w:ind w:right="1022"/>
        <w:jc w:val="left"/>
      </w:pPr>
      <w:r>
        <w:rPr/>
        <w:t>计报告。</w:t>
      </w:r>
    </w:p>
    <w:p>
      <w:pPr>
        <w:pStyle w:val="BodyText"/>
        <w:spacing w:line="316" w:lineRule="auto" w:before="76"/>
        <w:ind w:left="514" w:right="1022"/>
        <w:jc w:val="left"/>
      </w:pPr>
      <w:r>
        <w:rPr/>
        <w:t>我们对财务报表发表的审计意见不涵盖其他信息，我们也不对其他信息发表任何形式的鉴证结论。 </w:t>
      </w:r>
      <w:r>
        <w:rPr>
          <w:spacing w:val="-2"/>
        </w:rPr>
        <w:t>结合我们对财务报表的审计，我们的责任是阅读其他信息，在此过程中，考虑其他信息是否与财务报表或我们在审计过</w:t>
      </w:r>
    </w:p>
    <w:p>
      <w:pPr>
        <w:pStyle w:val="BodyText"/>
        <w:spacing w:line="316" w:lineRule="auto" w:before="19"/>
        <w:ind w:left="514" w:right="1022" w:hanging="360"/>
        <w:jc w:val="left"/>
      </w:pPr>
      <w:r>
        <w:rPr/>
        <w:t>程中了解的情况存在重大不一致或者似乎存在重大错报。 </w:t>
      </w:r>
      <w:r>
        <w:rPr>
          <w:spacing w:val="-2"/>
        </w:rPr>
        <w:t>基于我们已执行的工作，如果我们确定其他信息存在重大错报，我们应当报告该事实。在这方面，我们无任何事项需要</w:t>
      </w:r>
    </w:p>
    <w:p>
      <w:pPr>
        <w:pStyle w:val="BodyText"/>
        <w:spacing w:line="240" w:lineRule="auto" w:before="19"/>
        <w:ind w:right="1022"/>
        <w:jc w:val="left"/>
      </w:pPr>
      <w:r>
        <w:rPr/>
        <w:t>报告。</w:t>
      </w:r>
    </w:p>
    <w:p>
      <w:pPr>
        <w:spacing w:line="316" w:lineRule="auto" w:before="76"/>
        <w:ind w:left="514" w:right="1032" w:firstLine="0"/>
        <w:jc w:val="left"/>
        <w:rPr>
          <w:rFonts w:ascii="宋体" w:hAnsi="宋体" w:cs="宋体" w:eastAsia="宋体" w:hint="default"/>
          <w:sz w:val="18"/>
          <w:szCs w:val="18"/>
        </w:rPr>
      </w:pPr>
      <w:r>
        <w:rPr>
          <w:rFonts w:ascii="宋体" w:hAnsi="宋体" w:cs="宋体" w:eastAsia="宋体" w:hint="default"/>
          <w:b/>
          <w:bCs/>
          <w:sz w:val="18"/>
          <w:szCs w:val="18"/>
        </w:rPr>
        <w:t>六、管理层和治理层对财务报表的责任</w:t>
      </w:r>
      <w:r>
        <w:rPr>
          <w:rFonts w:ascii="宋体" w:hAnsi="宋体" w:cs="宋体" w:eastAsia="宋体" w:hint="default"/>
          <w:b/>
          <w:bCs/>
          <w:w w:val="99"/>
          <w:sz w:val="18"/>
          <w:szCs w:val="18"/>
        </w:rPr>
        <w:t> </w:t>
      </w:r>
      <w:r>
        <w:rPr>
          <w:rFonts w:ascii="宋体" w:hAnsi="宋体" w:cs="宋体" w:eastAsia="宋体" w:hint="default"/>
          <w:sz w:val="18"/>
          <w:szCs w:val="18"/>
        </w:rPr>
        <w:t>贵公司管理层负责按照企业会计准则的规定编制财务报表，使其实现公允反映，并设计、执行和维护必要的内部控制，</w:t>
      </w:r>
    </w:p>
    <w:p>
      <w:pPr>
        <w:pStyle w:val="BodyText"/>
        <w:spacing w:line="316" w:lineRule="auto" w:before="19"/>
        <w:ind w:left="514" w:right="1022" w:hanging="360"/>
        <w:jc w:val="left"/>
      </w:pPr>
      <w:r>
        <w:rPr/>
        <w:t>以使财务报表不存在由于舞弊或错误导致的重大错报。 </w:t>
      </w:r>
      <w:r>
        <w:rPr>
          <w:spacing w:val="-2"/>
        </w:rPr>
        <w:t>在编制财务报表时，贵公司管理层负责评估贵公司的持续经营能力，披露与持续经营相关的事项（如适用），并运用持</w:t>
      </w:r>
    </w:p>
    <w:p>
      <w:pPr>
        <w:pStyle w:val="BodyText"/>
        <w:spacing w:line="316" w:lineRule="auto" w:before="19"/>
        <w:ind w:left="514" w:right="4632" w:hanging="360"/>
        <w:jc w:val="left"/>
      </w:pPr>
      <w:r>
        <w:rPr/>
        <w:t>续经营假设，除非管理层计划清算贵公司、终止运营或别无其他现实的选择。 治理层负责监督贵公司的财务报告过程。</w:t>
      </w:r>
    </w:p>
    <w:p>
      <w:pPr>
        <w:spacing w:after="0" w:line="316"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spacing w:line="316" w:lineRule="auto" w:before="44"/>
        <w:ind w:left="514" w:right="1022" w:firstLine="0"/>
        <w:jc w:val="left"/>
        <w:rPr>
          <w:rFonts w:ascii="宋体" w:hAnsi="宋体" w:cs="宋体" w:eastAsia="宋体" w:hint="default"/>
          <w:sz w:val="18"/>
          <w:szCs w:val="18"/>
        </w:rPr>
      </w:pPr>
      <w:r>
        <w:rPr>
          <w:rFonts w:ascii="宋体" w:hAnsi="宋体" w:cs="宋体" w:eastAsia="宋体" w:hint="default"/>
          <w:b/>
          <w:bCs/>
          <w:sz w:val="18"/>
          <w:szCs w:val="18"/>
        </w:rPr>
        <w:t>七、注册会计师对财务报表审计的责任</w:t>
      </w:r>
      <w:r>
        <w:rPr>
          <w:rFonts w:ascii="宋体" w:hAnsi="宋体" w:cs="宋体" w:eastAsia="宋体" w:hint="default"/>
          <w:b/>
          <w:bCs/>
          <w:w w:val="99"/>
          <w:sz w:val="18"/>
          <w:szCs w:val="18"/>
        </w:rPr>
        <w:t> </w:t>
      </w:r>
      <w:r>
        <w:rPr>
          <w:rFonts w:ascii="宋体" w:hAnsi="宋体" w:cs="宋体" w:eastAsia="宋体" w:hint="default"/>
          <w:spacing w:val="-2"/>
          <w:sz w:val="18"/>
          <w:szCs w:val="18"/>
        </w:rPr>
        <w:t>我们的目标是对财务报表整体是否不存在由于舞弊或错误导致的重大错报获取合理保证，并出具包含审计意见的审计报</w:t>
      </w:r>
    </w:p>
    <w:p>
      <w:pPr>
        <w:pStyle w:val="BodyText"/>
        <w:spacing w:line="319" w:lineRule="auto" w:before="19"/>
        <w:ind w:right="1131"/>
        <w:jc w:val="both"/>
      </w:pPr>
      <w:r>
        <w:rPr>
          <w:spacing w:val="-2"/>
        </w:rPr>
        <w:t>告。合理保证是高水平的保证，但并不能保证按照审计准则执行的审计在某一重大错报存在时总能发现。错报可能由于舞弊</w:t>
      </w:r>
      <w:r>
        <w:rPr>
          <w:spacing w:val="-66"/>
        </w:rPr>
        <w:t> </w:t>
      </w:r>
      <w:r>
        <w:rPr>
          <w:spacing w:val="-66"/>
        </w:rPr>
      </w:r>
      <w:r>
        <w:rPr>
          <w:spacing w:val="-2"/>
        </w:rPr>
        <w:t>或错误导致，如果合理预期错报单独或汇总起来可能影响财务报表使用者依据财务报表作出的经济决策，则通常认为错报是</w:t>
      </w:r>
      <w:r>
        <w:rPr>
          <w:spacing w:val="-64"/>
        </w:rPr>
        <w:t> </w:t>
      </w:r>
      <w:r>
        <w:rPr>
          <w:spacing w:val="-64"/>
        </w:rPr>
      </w:r>
      <w:r>
        <w:rPr/>
        <w:t>重大的。</w:t>
      </w:r>
    </w:p>
    <w:p>
      <w:pPr>
        <w:pStyle w:val="BodyText"/>
        <w:spacing w:line="316" w:lineRule="auto" w:before="17"/>
        <w:ind w:left="514" w:right="1022"/>
        <w:jc w:val="left"/>
      </w:pPr>
      <w:r>
        <w:rPr/>
        <w:t>在按照审计准则执行审计工作的过程中，我们运用职业判断，并保持职业怀疑。同时，我们也执行以下工作： </w:t>
      </w:r>
      <w:r>
        <w:rPr>
          <w:rFonts w:ascii="宋体" w:hAnsi="宋体" w:cs="宋体" w:eastAsia="宋体" w:hint="default"/>
          <w:spacing w:val="-2"/>
        </w:rPr>
        <w:t>1.</w:t>
      </w:r>
      <w:r>
        <w:rPr>
          <w:spacing w:val="-2"/>
        </w:rPr>
        <w:t>识别和评估由于舞弊或错误导致的财务报表重大错报风险，设计和实施审计程序以应对这些风险，并获取充分、适当</w:t>
      </w:r>
    </w:p>
    <w:p>
      <w:pPr>
        <w:pStyle w:val="BodyText"/>
        <w:spacing w:line="316" w:lineRule="auto" w:before="19"/>
        <w:ind w:right="1130"/>
        <w:jc w:val="both"/>
      </w:pPr>
      <w:r>
        <w:rPr>
          <w:spacing w:val="-2"/>
        </w:rPr>
        <w:t>的审计证据，作为发表审计意见的基础。由于舞弊可能涉及串通、伪造、故意遗漏、虚假陈述或凌驾于内部控制之上，未能</w:t>
      </w:r>
      <w:r>
        <w:rPr>
          <w:spacing w:val="-68"/>
        </w:rPr>
        <w:t> </w:t>
      </w:r>
      <w:r>
        <w:rPr>
          <w:spacing w:val="-68"/>
        </w:rPr>
      </w:r>
      <w:r>
        <w:rPr/>
        <w:t>发现由于舞弊导致的重大错报的风险高于未能发现由于错误导致的重大错报的风险。</w:t>
      </w:r>
    </w:p>
    <w:p>
      <w:pPr>
        <w:pStyle w:val="BodyText"/>
        <w:spacing w:line="240" w:lineRule="auto" w:before="19"/>
        <w:ind w:left="514" w:right="1022"/>
        <w:jc w:val="left"/>
      </w:pPr>
      <w:r>
        <w:rPr>
          <w:rFonts w:ascii="宋体" w:hAnsi="宋体" w:cs="宋体" w:eastAsia="宋体" w:hint="default"/>
        </w:rPr>
        <w:t>2.</w:t>
      </w:r>
      <w:r>
        <w:rPr/>
        <w:t>了解与审计相关的内部控制，以设计恰当的审计程序，但目的并非对内部控制的有效性发表意见。</w:t>
      </w:r>
    </w:p>
    <w:p>
      <w:pPr>
        <w:pStyle w:val="BodyText"/>
        <w:spacing w:line="240" w:lineRule="auto" w:before="76"/>
        <w:ind w:left="514" w:right="1022"/>
        <w:jc w:val="left"/>
      </w:pPr>
      <w:r>
        <w:rPr>
          <w:rFonts w:ascii="宋体" w:hAnsi="宋体" w:cs="宋体" w:eastAsia="宋体" w:hint="default"/>
        </w:rPr>
        <w:t>3.</w:t>
      </w:r>
      <w:r>
        <w:rPr/>
        <w:t>评价管理层选用会计政策的恰当性和作出会计估计及相关披露的合理性。</w:t>
      </w:r>
    </w:p>
    <w:p>
      <w:pPr>
        <w:pStyle w:val="BodyText"/>
        <w:spacing w:line="316" w:lineRule="auto" w:before="76"/>
        <w:ind w:right="1132" w:firstLine="360"/>
        <w:jc w:val="both"/>
      </w:pPr>
      <w:r>
        <w:rPr>
          <w:rFonts w:ascii="宋体" w:hAnsi="宋体" w:cs="宋体" w:eastAsia="宋体" w:hint="default"/>
          <w:spacing w:val="-2"/>
        </w:rPr>
        <w:t>4.</w:t>
      </w:r>
      <w:r>
        <w:rPr>
          <w:spacing w:val="-2"/>
        </w:rPr>
        <w:t>对管理层使用持续经营假设的恰当性得出结论。同时，根据获取的审计证据，就可能导致对贵公司持续经营能力产生</w:t>
      </w:r>
      <w:r>
        <w:rPr/>
        <w:t> </w:t>
      </w:r>
      <w:r>
        <w:rPr>
          <w:spacing w:val="-2"/>
        </w:rPr>
        <w:t>重大疑虑的事项或情况是否存在重大不确定性得出结论。如果我们得出结论认为存在重大不确定性，审计准则要求我们在审</w:t>
      </w:r>
      <w:r>
        <w:rPr>
          <w:spacing w:val="-64"/>
        </w:rPr>
        <w:t> </w:t>
      </w:r>
      <w:r>
        <w:rPr>
          <w:spacing w:val="-64"/>
        </w:rPr>
      </w:r>
      <w:r>
        <w:rPr>
          <w:spacing w:val="-2"/>
        </w:rPr>
        <w:t>计报告中提请报告使用者注意财务报表中的相关披露；如果披露不充分，我们应当发表非无保留意见。我们的结论基于截至</w:t>
      </w:r>
      <w:r>
        <w:rPr>
          <w:spacing w:val="-66"/>
        </w:rPr>
        <w:t> </w:t>
      </w:r>
      <w:r>
        <w:rPr>
          <w:spacing w:val="-66"/>
        </w:rPr>
      </w:r>
      <w:r>
        <w:rPr/>
        <w:t>审计报告日可获得的信息。然而，未来的事项或情况可能导致贵公司不能持续经营。</w:t>
      </w:r>
    </w:p>
    <w:p>
      <w:pPr>
        <w:pStyle w:val="BodyText"/>
        <w:spacing w:line="240" w:lineRule="auto" w:before="19"/>
        <w:ind w:left="514" w:right="1022"/>
        <w:jc w:val="left"/>
      </w:pPr>
      <w:r>
        <w:rPr>
          <w:rFonts w:ascii="宋体" w:hAnsi="宋体" w:cs="宋体" w:eastAsia="宋体" w:hint="default"/>
        </w:rPr>
        <w:t>5.</w:t>
      </w:r>
      <w:r>
        <w:rPr/>
        <w:t>评价财务报表的总体列报、结构和内容（包括披露），并评价财务报表是否公允反映相关交易和事项。</w:t>
      </w:r>
    </w:p>
    <w:p>
      <w:pPr>
        <w:pStyle w:val="BodyText"/>
        <w:spacing w:line="316" w:lineRule="auto" w:before="76"/>
        <w:ind w:right="1131" w:firstLine="360"/>
        <w:jc w:val="both"/>
      </w:pPr>
      <w:r>
        <w:rPr>
          <w:rFonts w:ascii="宋体" w:hAnsi="宋体" w:cs="宋体" w:eastAsia="宋体" w:hint="default"/>
          <w:spacing w:val="-2"/>
        </w:rPr>
        <w:t>6.</w:t>
      </w:r>
      <w:r>
        <w:rPr>
          <w:spacing w:val="-2"/>
        </w:rPr>
        <w:t>就贵公司中实体或业务活动的财务信息获取充分、适当的审计证据，以对财务报表发表意见。我们负责指导、监督和</w:t>
      </w:r>
      <w:r>
        <w:rPr/>
        <w:t> 执行集团审计。我们对审计意见承担全部责任。</w:t>
      </w:r>
    </w:p>
    <w:p>
      <w:pPr>
        <w:pStyle w:val="BodyText"/>
        <w:spacing w:line="316" w:lineRule="auto" w:before="19"/>
        <w:ind w:right="1132" w:firstLine="360"/>
        <w:jc w:val="both"/>
      </w:pPr>
      <w:r>
        <w:rPr>
          <w:spacing w:val="-2"/>
        </w:rPr>
        <w:t>我们与治理层就计划的审计范围、时间安排和重大审计发现等事项进行沟通，包括沟通我们在审计中识别出的值得关注</w:t>
      </w:r>
      <w:r>
        <w:rPr/>
        <w:t> 的内部控制缺陷。</w:t>
      </w:r>
    </w:p>
    <w:p>
      <w:pPr>
        <w:pStyle w:val="BodyText"/>
        <w:spacing w:line="316" w:lineRule="auto" w:before="19"/>
        <w:ind w:right="1131" w:firstLine="360"/>
        <w:jc w:val="both"/>
      </w:pPr>
      <w:r>
        <w:rPr>
          <w:spacing w:val="-2"/>
        </w:rPr>
        <w:t>我们还就已遵守与独立性相关的职业道德要求向治理层提供声明，并与治理层沟通可能被合理认为影响我们独立性的所</w:t>
      </w:r>
      <w:r>
        <w:rPr/>
        <w:t> 有关系和其他事项，以及相关的防范措施（如适用）。</w:t>
      </w:r>
    </w:p>
    <w:p>
      <w:pPr>
        <w:pStyle w:val="BodyText"/>
        <w:spacing w:line="316" w:lineRule="auto" w:before="19"/>
        <w:ind w:right="1133" w:firstLine="360"/>
        <w:jc w:val="both"/>
      </w:pPr>
      <w:r>
        <w:rPr>
          <w:spacing w:val="-2"/>
        </w:rPr>
        <w:t>从与治理层沟通过的事项中，我们确定哪些事项对本期财务报表审计最为重要，因而构成关键审计事项。我们在审计报</w:t>
      </w:r>
      <w:r>
        <w:rPr/>
        <w:t> </w:t>
      </w:r>
      <w:r>
        <w:rPr>
          <w:spacing w:val="-2"/>
        </w:rPr>
        <w:t>告中描述这些事项，除非法律法规禁止公开披露这些事项，或在极少数情形下，如果合理预期在审计报告中沟通某事项造成</w:t>
      </w:r>
      <w:r>
        <w:rPr>
          <w:spacing w:val="-66"/>
        </w:rPr>
        <w:t> </w:t>
      </w:r>
      <w:r>
        <w:rPr>
          <w:spacing w:val="-66"/>
        </w:rPr>
      </w:r>
      <w:r>
        <w:rPr/>
        <w:t>的负面后果超过在公众利益方面产生的益处，我们确定不应在审计报告中沟通该事项。</w:t>
      </w:r>
    </w:p>
    <w:p>
      <w:pPr>
        <w:pStyle w:val="BodyText"/>
        <w:tabs>
          <w:tab w:pos="5044" w:val="left" w:leader="none"/>
        </w:tabs>
        <w:spacing w:line="240" w:lineRule="auto" w:before="19"/>
        <w:ind w:left="714" w:right="1022"/>
        <w:jc w:val="left"/>
      </w:pPr>
      <w:r>
        <w:rPr/>
        <w:t>大华会计师事务所</w:t>
      </w:r>
      <w:r>
        <w:rPr>
          <w:rFonts w:ascii="Times New Roman" w:hAnsi="Times New Roman" w:cs="Times New Roman" w:eastAsia="Times New Roman" w:hint="default"/>
        </w:rPr>
        <w:t>(</w:t>
      </w:r>
      <w:r>
        <w:rPr/>
        <w:t>特殊普通合伙</w:t>
      </w:r>
      <w:r>
        <w:rPr>
          <w:rFonts w:ascii="Times New Roman" w:hAnsi="Times New Roman" w:cs="Times New Roman" w:eastAsia="Times New Roman" w:hint="default"/>
        </w:rPr>
        <w:t>)</w:t>
        <w:tab/>
      </w:r>
      <w:r>
        <w:rPr/>
        <w:t>中国注册会计师：钟平修</w:t>
      </w:r>
    </w:p>
    <w:p>
      <w:pPr>
        <w:pStyle w:val="BodyText"/>
        <w:tabs>
          <w:tab w:pos="5164" w:val="left" w:leader="none"/>
        </w:tabs>
        <w:spacing w:line="240" w:lineRule="auto" w:before="63"/>
        <w:ind w:left="714" w:right="1022"/>
        <w:jc w:val="left"/>
      </w:pPr>
      <w:r>
        <w:rPr>
          <w:spacing w:val="-1"/>
        </w:rPr>
        <w:t>中国</w:t>
      </w:r>
      <w:r>
        <w:rPr>
          <w:rFonts w:ascii="Times New Roman" w:hAnsi="Times New Roman" w:cs="Times New Roman" w:eastAsia="Times New Roman" w:hint="default"/>
          <w:spacing w:val="-1"/>
        </w:rPr>
        <w:t>•</w:t>
      </w:r>
      <w:r>
        <w:rPr>
          <w:spacing w:val="-1"/>
        </w:rPr>
        <w:t>北京</w:t>
        <w:tab/>
      </w:r>
      <w:r>
        <w:rPr/>
        <w:t>（项目合伙人）</w:t>
      </w:r>
    </w:p>
    <w:p>
      <w:pPr>
        <w:pStyle w:val="BodyText"/>
        <w:spacing w:line="316" w:lineRule="auto" w:before="63"/>
        <w:ind w:left="4366" w:right="3221"/>
        <w:jc w:val="center"/>
      </w:pPr>
      <w:r>
        <w:rPr/>
        <w:t>中国注册会计师：曹云华 二〇一九年四月二十四日</w:t>
      </w:r>
    </w:p>
    <w:p>
      <w:pPr>
        <w:spacing w:line="240" w:lineRule="auto" w:before="10"/>
        <w:rPr>
          <w:rFonts w:ascii="宋体" w:hAnsi="宋体" w:cs="宋体" w:eastAsia="宋体" w:hint="default"/>
          <w:sz w:val="20"/>
          <w:szCs w:val="20"/>
        </w:rPr>
      </w:pPr>
    </w:p>
    <w:p>
      <w:pPr>
        <w:pStyle w:val="Heading2"/>
        <w:spacing w:line="240" w:lineRule="auto"/>
        <w:ind w:right="0"/>
        <w:jc w:val="both"/>
        <w:rPr>
          <w:b w:val="0"/>
          <w:bCs w:val="0"/>
        </w:rPr>
      </w:pPr>
      <w:bookmarkStart w:name="二、财务报表" w:id="154"/>
      <w:bookmarkEnd w:id="154"/>
      <w:r>
        <w:rPr>
          <w:b w:val="0"/>
          <w:bCs w:val="0"/>
        </w:rPr>
      </w:r>
      <w:r>
        <w:rPr/>
        <w:t>二、财务报表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t>财务附注中报表的单位为：人民币元</w:t>
      </w:r>
    </w:p>
    <w:p>
      <w:pPr>
        <w:spacing w:line="240" w:lineRule="auto" w:before="10"/>
        <w:rPr>
          <w:rFonts w:ascii="宋体" w:hAnsi="宋体" w:cs="宋体" w:eastAsia="宋体" w:hint="default"/>
          <w:sz w:val="26"/>
          <w:szCs w:val="26"/>
        </w:rPr>
      </w:pPr>
    </w:p>
    <w:p>
      <w:pPr>
        <w:pStyle w:val="Heading3"/>
        <w:spacing w:line="240" w:lineRule="auto"/>
        <w:ind w:right="0"/>
        <w:jc w:val="both"/>
        <w:rPr>
          <w:b w:val="0"/>
          <w:bCs w:val="0"/>
        </w:rPr>
      </w:pPr>
      <w:bookmarkStart w:name="1、合并资产负债表" w:id="155"/>
      <w:bookmarkEnd w:id="155"/>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240" w:lineRule="auto" w:before="44"/>
        <w:ind w:right="-20"/>
        <w:jc w:val="left"/>
      </w:pPr>
      <w:r>
        <w:rPr/>
        <w:t>编制单位：成都卫士通信息产业股份有限公司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0"/>
        <w:ind w:left="153" w:right="-16"/>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53" w:right="0"/>
        <w:jc w:val="left"/>
      </w:pPr>
      <w:r>
        <w:rPr/>
        <w:t>单位：元</w:t>
      </w:r>
    </w:p>
    <w:p>
      <w:pPr>
        <w:spacing w:after="0" w:line="240" w:lineRule="auto"/>
        <w:jc w:val="left"/>
        <w:sectPr>
          <w:type w:val="continuous"/>
          <w:pgSz w:w="11910" w:h="16840"/>
          <w:pgMar w:top="1060" w:bottom="1160" w:left="980" w:right="0"/>
          <w:cols w:num="3" w:equalWidth="0">
            <w:col w:w="3755" w:space="323"/>
            <w:col w:w="1639" w:space="3203"/>
            <w:col w:w="2010"/>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5081"/>
        <w:gridCol w:w="2280"/>
        <w:gridCol w:w="2196"/>
      </w:tblGrid>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28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974" w:right="0"/>
              <w:jc w:val="left"/>
              <w:rPr>
                <w:rFonts w:ascii="Times New Roman" w:hAnsi="Times New Roman" w:cs="Times New Roman" w:eastAsia="Times New Roman" w:hint="default"/>
                <w:sz w:val="18"/>
                <w:szCs w:val="18"/>
              </w:rPr>
            </w:pPr>
            <w:r>
              <w:rPr>
                <w:rFonts w:ascii="Times New Roman"/>
                <w:sz w:val="18"/>
              </w:rPr>
              <w:t>1,945,556,008.67</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03" w:right="0"/>
              <w:jc w:val="left"/>
              <w:rPr>
                <w:rFonts w:ascii="Times New Roman" w:hAnsi="Times New Roman" w:cs="Times New Roman" w:eastAsia="Times New Roman" w:hint="default"/>
                <w:sz w:val="18"/>
                <w:szCs w:val="18"/>
              </w:rPr>
            </w:pPr>
            <w:r>
              <w:rPr>
                <w:rFonts w:ascii="Times New Roman"/>
                <w:sz w:val="18"/>
              </w:rPr>
              <w:t>1,880,682,005.51</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5081"/>
        <w:gridCol w:w="2280"/>
        <w:gridCol w:w="2196"/>
      </w:tblGrid>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以公允价值计量且其变动计入当期损益的金融资产</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1,951,621,813.69</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1,815,161,582.17</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其中：应收票据</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229,064,408.57</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199,067,637.97</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9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1,722,557,405.12</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1,616,093,944.20</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77,708,983.32</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68,485,635.21</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67,416,500.37</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66,799,698.41</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9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309,816,827.24</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210,971,320.45</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57,007,487.67</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25,341,555.80</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4,409,127,620.96</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4,067,441,797.55</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28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31,418,091.71</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26,606,406.67</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263,195,958.75</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265,655,093.62</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1,174,009,876.86</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1,161,798,540.00</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98,507,941.37</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70,503,940.10</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70,532,316.59</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58,320,684.62</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7,991.91</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7,991.91</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147,408.17</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1,109,576.99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5081"/>
        <w:gridCol w:w="2280"/>
        <w:gridCol w:w="2196"/>
      </w:tblGrid>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72,903,806.70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45,587,608.23</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98,427,870.88</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54,546,237.11</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1,811,151,262.94</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1,686,136,079.25</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6,220,278,883.90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5,753,577,876.80</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28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250,000,000.00</w:t>
            </w: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以公允价值计量且其变动计入当期损益的金融负债</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1,175,704,651.03</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1,077,000,400.84</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87,737,208.94</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59,536,344.53</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26,777,560.23</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11,510,429.84</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100,748,010.32</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112,545,408.83</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48,233,428.23</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47,171,085.26</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9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1,426,536.20</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1,689,200,858.75</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1,309,190,205.50</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28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91"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5081"/>
        <w:gridCol w:w="2280"/>
        <w:gridCol w:w="2196"/>
      </w:tblGrid>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280" w:type="dxa"/>
            <w:tcBorders>
              <w:top w:val="single" w:sz="4" w:space="0" w:color="000000"/>
              <w:left w:val="single" w:sz="13" w:space="0" w:color="D2D2D2"/>
              <w:bottom w:val="single" w:sz="4" w:space="0" w:color="000000"/>
              <w:right w:val="single" w:sz="4" w:space="0" w:color="FFFFFF"/>
            </w:tcBorders>
          </w:tcPr>
          <w:p>
            <w:pPr/>
          </w:p>
        </w:tc>
        <w:tc>
          <w:tcPr>
            <w:tcW w:w="2196" w:type="dxa"/>
            <w:tcBorders>
              <w:top w:val="single" w:sz="4" w:space="0" w:color="000000"/>
              <w:left w:val="single" w:sz="4" w:space="0" w:color="FFFFFF"/>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280" w:type="dxa"/>
            <w:tcBorders>
              <w:top w:val="single" w:sz="4" w:space="0" w:color="000000"/>
              <w:left w:val="single" w:sz="13" w:space="0" w:color="D2D2D2"/>
              <w:bottom w:val="single" w:sz="4" w:space="0" w:color="000000"/>
              <w:right w:val="single" w:sz="4" w:space="0" w:color="FFFFFF"/>
            </w:tcBorders>
          </w:tcPr>
          <w:p>
            <w:pPr/>
          </w:p>
        </w:tc>
        <w:tc>
          <w:tcPr>
            <w:tcW w:w="2196" w:type="dxa"/>
            <w:tcBorders>
              <w:top w:val="single" w:sz="4" w:space="0" w:color="000000"/>
              <w:left w:val="single" w:sz="4" w:space="0" w:color="FFFFFF"/>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280" w:type="dxa"/>
            <w:tcBorders>
              <w:top w:val="single" w:sz="4" w:space="0" w:color="000000"/>
              <w:left w:val="single" w:sz="13" w:space="0" w:color="D2D2D2"/>
              <w:bottom w:val="single" w:sz="4" w:space="0" w:color="000000"/>
              <w:right w:val="single" w:sz="4" w:space="0" w:color="FFFFF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76,398,360.22</w:t>
            </w:r>
          </w:p>
        </w:tc>
        <w:tc>
          <w:tcPr>
            <w:tcW w:w="2196"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56,590,477.63</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280" w:type="dxa"/>
            <w:tcBorders>
              <w:top w:val="single" w:sz="4" w:space="0" w:color="000000"/>
              <w:left w:val="single" w:sz="13" w:space="0" w:color="D2D2D2"/>
              <w:bottom w:val="single" w:sz="4" w:space="0" w:color="000000"/>
              <w:right w:val="single" w:sz="4" w:space="0" w:color="FFFFFF"/>
            </w:tcBorders>
          </w:tcPr>
          <w:p>
            <w:pPr/>
          </w:p>
        </w:tc>
        <w:tc>
          <w:tcPr>
            <w:tcW w:w="2196" w:type="dxa"/>
            <w:tcBorders>
              <w:top w:val="single" w:sz="4" w:space="0" w:color="000000"/>
              <w:left w:val="single" w:sz="4" w:space="0" w:color="FFFFFF"/>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280" w:type="dxa"/>
            <w:tcBorders>
              <w:top w:val="single" w:sz="4" w:space="0" w:color="000000"/>
              <w:left w:val="single" w:sz="13" w:space="0" w:color="D2D2D2"/>
              <w:bottom w:val="single" w:sz="4" w:space="0" w:color="000000"/>
              <w:right w:val="single" w:sz="4" w:space="0" w:color="FFFFFF"/>
            </w:tcBorders>
          </w:tcPr>
          <w:p>
            <w:pPr/>
          </w:p>
        </w:tc>
        <w:tc>
          <w:tcPr>
            <w:tcW w:w="2196" w:type="dxa"/>
            <w:tcBorders>
              <w:top w:val="single" w:sz="4" w:space="0" w:color="000000"/>
              <w:left w:val="single" w:sz="4" w:space="0" w:color="FFFFFF"/>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280" w:type="dxa"/>
            <w:tcBorders>
              <w:top w:val="single" w:sz="4" w:space="0" w:color="000000"/>
              <w:left w:val="single" w:sz="13" w:space="0" w:color="D2D2D2"/>
              <w:bottom w:val="single" w:sz="4" w:space="0" w:color="000000"/>
              <w:right w:val="single" w:sz="4" w:space="0" w:color="FFFFF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76,398,360.22</w:t>
            </w:r>
          </w:p>
        </w:tc>
        <w:tc>
          <w:tcPr>
            <w:tcW w:w="2196"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56,590,477.63</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280" w:type="dxa"/>
            <w:tcBorders>
              <w:top w:val="single" w:sz="4" w:space="0" w:color="000000"/>
              <w:left w:val="single" w:sz="13" w:space="0" w:color="D2D2D2"/>
              <w:bottom w:val="single" w:sz="4" w:space="0" w:color="000000"/>
              <w:right w:val="single" w:sz="4" w:space="0" w:color="FFFFFF"/>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1,765,599,218.97</w:t>
            </w:r>
          </w:p>
        </w:tc>
        <w:tc>
          <w:tcPr>
            <w:tcW w:w="2196"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1,365,780,683.13</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280" w:type="dxa"/>
            <w:tcBorders>
              <w:top w:val="single" w:sz="4" w:space="0" w:color="000000"/>
              <w:left w:val="single" w:sz="4" w:space="0" w:color="000000"/>
              <w:bottom w:val="single" w:sz="4" w:space="0" w:color="000000"/>
              <w:right w:val="single" w:sz="4" w:space="0" w:color="FFFFFF"/>
            </w:tcBorders>
            <w:shd w:val="clear" w:color="auto" w:fill="D2D2D2"/>
          </w:tcPr>
          <w:p>
            <w:pPr/>
          </w:p>
        </w:tc>
        <w:tc>
          <w:tcPr>
            <w:tcW w:w="2196" w:type="dxa"/>
            <w:tcBorders>
              <w:top w:val="single" w:sz="4" w:space="0" w:color="000000"/>
              <w:left w:val="single" w:sz="4" w:space="0" w:color="FFFFFF"/>
              <w:bottom w:val="single" w:sz="4" w:space="0" w:color="000000"/>
              <w:right w:val="single" w:sz="4" w:space="0" w:color="000000"/>
            </w:tcBorders>
            <w:shd w:val="clear" w:color="auto" w:fill="D2D2D2"/>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280" w:type="dxa"/>
            <w:tcBorders>
              <w:top w:val="single" w:sz="4" w:space="0" w:color="000000"/>
              <w:left w:val="single" w:sz="13" w:space="0" w:color="D2D2D2"/>
              <w:bottom w:val="single" w:sz="4" w:space="0" w:color="000000"/>
              <w:right w:val="single" w:sz="4" w:space="0" w:color="FFFFF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838,336,028.00</w:t>
            </w:r>
          </w:p>
        </w:tc>
        <w:tc>
          <w:tcPr>
            <w:tcW w:w="2196"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838,336,028.00</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280" w:type="dxa"/>
            <w:tcBorders>
              <w:top w:val="single" w:sz="4" w:space="0" w:color="000000"/>
              <w:left w:val="single" w:sz="13" w:space="0" w:color="D2D2D2"/>
              <w:bottom w:val="single" w:sz="4" w:space="0" w:color="000000"/>
              <w:right w:val="single" w:sz="4" w:space="0" w:color="FFFFFF"/>
            </w:tcBorders>
          </w:tcPr>
          <w:p>
            <w:pPr/>
          </w:p>
        </w:tc>
        <w:tc>
          <w:tcPr>
            <w:tcW w:w="2196" w:type="dxa"/>
            <w:tcBorders>
              <w:top w:val="single" w:sz="4" w:space="0" w:color="000000"/>
              <w:left w:val="single" w:sz="4" w:space="0" w:color="FFFFFF"/>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280" w:type="dxa"/>
            <w:tcBorders>
              <w:top w:val="single" w:sz="4" w:space="0" w:color="000000"/>
              <w:left w:val="single" w:sz="13" w:space="0" w:color="D2D2D2"/>
              <w:bottom w:val="single" w:sz="4" w:space="0" w:color="000000"/>
              <w:right w:val="single" w:sz="4" w:space="0" w:color="FFFFFF"/>
            </w:tcBorders>
          </w:tcPr>
          <w:p>
            <w:pPr/>
          </w:p>
        </w:tc>
        <w:tc>
          <w:tcPr>
            <w:tcW w:w="2196" w:type="dxa"/>
            <w:tcBorders>
              <w:top w:val="single" w:sz="4" w:space="0" w:color="000000"/>
              <w:left w:val="single" w:sz="4" w:space="0" w:color="FFFFFF"/>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91"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280" w:type="dxa"/>
            <w:tcBorders>
              <w:top w:val="single" w:sz="4" w:space="0" w:color="000000"/>
              <w:left w:val="single" w:sz="13" w:space="0" w:color="D2D2D2"/>
              <w:bottom w:val="single" w:sz="4" w:space="0" w:color="000000"/>
              <w:right w:val="single" w:sz="4" w:space="0" w:color="FFFFFF"/>
            </w:tcBorders>
          </w:tcPr>
          <w:p>
            <w:pPr/>
          </w:p>
        </w:tc>
        <w:tc>
          <w:tcPr>
            <w:tcW w:w="2196" w:type="dxa"/>
            <w:tcBorders>
              <w:top w:val="single" w:sz="4" w:space="0" w:color="000000"/>
              <w:left w:val="single" w:sz="4" w:space="0" w:color="FFFFFF"/>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280" w:type="dxa"/>
            <w:tcBorders>
              <w:top w:val="single" w:sz="4" w:space="0" w:color="000000"/>
              <w:left w:val="single" w:sz="13" w:space="0" w:color="D2D2D2"/>
              <w:bottom w:val="single" w:sz="4" w:space="0" w:color="000000"/>
              <w:right w:val="single" w:sz="4" w:space="0" w:color="FFFFFF"/>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2,591,160,188.47</w:t>
            </w:r>
          </w:p>
        </w:tc>
        <w:tc>
          <w:tcPr>
            <w:tcW w:w="2196"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2,558,348,308.95</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280" w:type="dxa"/>
            <w:tcBorders>
              <w:top w:val="single" w:sz="4" w:space="0" w:color="000000"/>
              <w:left w:val="single" w:sz="13" w:space="0" w:color="D2D2D2"/>
              <w:bottom w:val="single" w:sz="4" w:space="0" w:color="000000"/>
              <w:right w:val="single" w:sz="4" w:space="0" w:color="FFFFFF"/>
            </w:tcBorders>
          </w:tcPr>
          <w:p>
            <w:pPr/>
          </w:p>
        </w:tc>
        <w:tc>
          <w:tcPr>
            <w:tcW w:w="2196" w:type="dxa"/>
            <w:tcBorders>
              <w:top w:val="single" w:sz="4" w:space="0" w:color="000000"/>
              <w:left w:val="single" w:sz="4" w:space="0" w:color="FFFFFF"/>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280" w:type="dxa"/>
            <w:tcBorders>
              <w:top w:val="single" w:sz="4" w:space="0" w:color="000000"/>
              <w:left w:val="single" w:sz="13" w:space="0" w:color="D2D2D2"/>
              <w:bottom w:val="single" w:sz="4" w:space="0" w:color="000000"/>
              <w:right w:val="single" w:sz="4" w:space="0" w:color="FFFFFF"/>
            </w:tcBorders>
          </w:tcPr>
          <w:p>
            <w:pPr/>
          </w:p>
        </w:tc>
        <w:tc>
          <w:tcPr>
            <w:tcW w:w="2196" w:type="dxa"/>
            <w:tcBorders>
              <w:top w:val="single" w:sz="4" w:space="0" w:color="000000"/>
              <w:left w:val="single" w:sz="4" w:space="0" w:color="FFFFFF"/>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280" w:type="dxa"/>
            <w:tcBorders>
              <w:top w:val="single" w:sz="4" w:space="0" w:color="000000"/>
              <w:left w:val="single" w:sz="13" w:space="0" w:color="D2D2D2"/>
              <w:bottom w:val="single" w:sz="4" w:space="0" w:color="000000"/>
              <w:right w:val="single" w:sz="4" w:space="0" w:color="FFFFFF"/>
            </w:tcBorders>
          </w:tcPr>
          <w:p>
            <w:pPr/>
          </w:p>
        </w:tc>
        <w:tc>
          <w:tcPr>
            <w:tcW w:w="2196" w:type="dxa"/>
            <w:tcBorders>
              <w:top w:val="single" w:sz="4" w:space="0" w:color="000000"/>
              <w:left w:val="single" w:sz="4" w:space="0" w:color="FFFFFF"/>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280" w:type="dxa"/>
            <w:tcBorders>
              <w:top w:val="single" w:sz="4" w:space="0" w:color="000000"/>
              <w:left w:val="single" w:sz="13" w:space="0" w:color="D2D2D2"/>
              <w:bottom w:val="single" w:sz="4" w:space="0" w:color="000000"/>
              <w:right w:val="single" w:sz="4" w:space="0" w:color="FFFFF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53,927,961.69</w:t>
            </w:r>
          </w:p>
        </w:tc>
        <w:tc>
          <w:tcPr>
            <w:tcW w:w="2196"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51,093,934.97</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2280" w:type="dxa"/>
            <w:tcBorders>
              <w:top w:val="single" w:sz="4" w:space="0" w:color="000000"/>
              <w:left w:val="single" w:sz="13" w:space="0" w:color="D2D2D2"/>
              <w:bottom w:val="single" w:sz="4" w:space="0" w:color="000000"/>
              <w:right w:val="single" w:sz="4" w:space="0" w:color="FFFFFF"/>
            </w:tcBorders>
          </w:tcPr>
          <w:p>
            <w:pPr/>
          </w:p>
        </w:tc>
        <w:tc>
          <w:tcPr>
            <w:tcW w:w="2196" w:type="dxa"/>
            <w:tcBorders>
              <w:top w:val="single" w:sz="4" w:space="0" w:color="000000"/>
              <w:left w:val="single" w:sz="4" w:space="0" w:color="FFFFFF"/>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280" w:type="dxa"/>
            <w:tcBorders>
              <w:top w:val="single" w:sz="4" w:space="0" w:color="000000"/>
              <w:left w:val="single" w:sz="13" w:space="0" w:color="D2D2D2"/>
              <w:bottom w:val="single" w:sz="4" w:space="0" w:color="000000"/>
              <w:right w:val="single" w:sz="4" w:space="0" w:color="FFFFF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923,461,339.03</w:t>
            </w:r>
          </w:p>
        </w:tc>
        <w:tc>
          <w:tcPr>
            <w:tcW w:w="2196"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848,007,653.42</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2280" w:type="dxa"/>
            <w:tcBorders>
              <w:top w:val="single" w:sz="4" w:space="0" w:color="000000"/>
              <w:left w:val="single" w:sz="13" w:space="0" w:color="D2D2D2"/>
              <w:bottom w:val="single" w:sz="4" w:space="0" w:color="000000"/>
              <w:right w:val="single" w:sz="4" w:space="0" w:color="FFFFFF"/>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4,406,885,517.19</w:t>
            </w:r>
          </w:p>
        </w:tc>
        <w:tc>
          <w:tcPr>
            <w:tcW w:w="2196"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4,295,785,925.34</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280" w:type="dxa"/>
            <w:tcBorders>
              <w:top w:val="single" w:sz="4" w:space="0" w:color="000000"/>
              <w:left w:val="single" w:sz="13" w:space="0" w:color="D2D2D2"/>
              <w:bottom w:val="single" w:sz="4" w:space="0" w:color="000000"/>
              <w:right w:val="single" w:sz="4" w:space="0" w:color="FFFFF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47,794,147.74</w:t>
            </w:r>
          </w:p>
        </w:tc>
        <w:tc>
          <w:tcPr>
            <w:tcW w:w="2196"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92,011,268.33</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280" w:type="dxa"/>
            <w:tcBorders>
              <w:top w:val="single" w:sz="4" w:space="0" w:color="000000"/>
              <w:left w:val="single" w:sz="13" w:space="0" w:color="D2D2D2"/>
              <w:bottom w:val="single" w:sz="4" w:space="0" w:color="000000"/>
              <w:right w:val="single" w:sz="4" w:space="0" w:color="FFFFFF"/>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4,454,679,664.93</w:t>
            </w:r>
          </w:p>
        </w:tc>
        <w:tc>
          <w:tcPr>
            <w:tcW w:w="2196"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4,387,797,193.67</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280" w:type="dxa"/>
            <w:tcBorders>
              <w:top w:val="single" w:sz="4" w:space="0" w:color="000000"/>
              <w:left w:val="single" w:sz="13" w:space="0" w:color="D2D2D2"/>
              <w:bottom w:val="single" w:sz="4" w:space="0" w:color="000000"/>
              <w:right w:val="single" w:sz="4" w:space="0" w:color="FFFFFF"/>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6,220,278,883.90</w:t>
            </w:r>
          </w:p>
        </w:tc>
        <w:tc>
          <w:tcPr>
            <w:tcW w:w="2196"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5,753,577,876.80</w:t>
            </w:r>
          </w:p>
        </w:tc>
      </w:tr>
    </w:tbl>
    <w:p>
      <w:pPr>
        <w:spacing w:line="240" w:lineRule="auto" w:before="3"/>
        <w:rPr>
          <w:rFonts w:ascii="Times New Roman" w:hAnsi="Times New Roman" w:cs="Times New Roman" w:eastAsia="Times New Roman" w:hint="default"/>
          <w:sz w:val="23"/>
          <w:szCs w:val="23"/>
        </w:rPr>
      </w:pPr>
    </w:p>
    <w:p>
      <w:pPr>
        <w:pStyle w:val="BodyText"/>
        <w:tabs>
          <w:tab w:pos="3330" w:val="left" w:leader="none"/>
          <w:tab w:pos="7561" w:val="left" w:leader="none"/>
        </w:tabs>
        <w:spacing w:line="240" w:lineRule="auto" w:before="44"/>
        <w:ind w:left="0" w:right="1229"/>
        <w:jc w:val="right"/>
      </w:pPr>
      <w:r>
        <w:rPr/>
        <w:t>法定代表人：卿昱</w:t>
        <w:tab/>
        <w:t>主管会计工作负责人：刘志惠</w:t>
        <w:tab/>
        <w:t>会计机构负责人：周天文</w:t>
      </w:r>
    </w:p>
    <w:p>
      <w:pPr>
        <w:spacing w:line="240" w:lineRule="auto" w:before="11"/>
        <w:rPr>
          <w:rFonts w:ascii="宋体" w:hAnsi="宋体" w:cs="宋体" w:eastAsia="宋体" w:hint="default"/>
          <w:sz w:val="26"/>
          <w:szCs w:val="26"/>
        </w:rPr>
      </w:pPr>
    </w:p>
    <w:p>
      <w:pPr>
        <w:pStyle w:val="Heading3"/>
        <w:spacing w:line="240" w:lineRule="auto"/>
        <w:ind w:right="1022"/>
        <w:jc w:val="left"/>
        <w:rPr>
          <w:b w:val="0"/>
          <w:bCs w:val="0"/>
        </w:rPr>
      </w:pPr>
      <w:bookmarkStart w:name="2、母公司资产负债表" w:id="156"/>
      <w:bookmarkEnd w:id="156"/>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5081"/>
        <w:gridCol w:w="2280"/>
        <w:gridCol w:w="2196"/>
      </w:tblGrid>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28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505,016,454.52</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190,392,700.63</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以公允价值计量且其变动计入当期损益的金融资产</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258,539,527.71</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374,603,952.86</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其中：应收票据</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46,497,048.57</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15,653,871.65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5081"/>
        <w:gridCol w:w="2280"/>
        <w:gridCol w:w="2196"/>
      </w:tblGrid>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9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212,042,479.14</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358,950,081.21</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5,378,078.05</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3,704,895.51</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84,334,267.62</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82,770,443.85</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9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30,000,000.00</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42,383,164.72</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36,427,593.03</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531,543.03</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531,543.03</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896,183,035.65</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688,431,128.91</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28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3,378,702,655.58</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3,360,394,107.47</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138,027,045.15</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141,131,647.82</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1,912,630.20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5,354,195.42</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5,817,322.29</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37,667,654.12</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21,886,440.86</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91,143.03</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258,103.35</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27,251,346.17</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16,927,535.98</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3,591,006,669.67</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3,548,415,157.77</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4,487,189,705.32</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4,236,846,286.68</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28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250,000,000.00</w:t>
            </w: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以公允价值计量且其变动计入当期损益的金融负债</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425,752,674.16</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349,968,577.77</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10,909,495.16</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7,619,166.40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5081"/>
        <w:gridCol w:w="2280"/>
        <w:gridCol w:w="2196"/>
      </w:tblGrid>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7,049,727.67</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2,346,671.33</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7,425,218.87</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22,779,251.15</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49,027,139.37</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113,385,996.03</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9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1,268,420.11</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750,164,255.23</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497,368,082.79</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28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91"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25,709,171.66</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14,585,391.28</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25,709,171.66</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14,585,391.28</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775,873,426.89</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511,953,474.07</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28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838,336,028.00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838,336,028.00</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91"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2,662,430,356.78</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2,662,430,356.78</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53,927,961.69</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51,093,934.97</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156,621,931.96</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173,032,492.86</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3,711,316,278.43</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3,724,892,812.61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5104"/>
        <w:gridCol w:w="2269"/>
        <w:gridCol w:w="2196"/>
      </w:tblGrid>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74" w:right="0"/>
              <w:jc w:val="left"/>
              <w:rPr>
                <w:rFonts w:ascii="Times New Roman" w:hAnsi="Times New Roman" w:cs="Times New Roman" w:eastAsia="Times New Roman" w:hint="default"/>
                <w:sz w:val="18"/>
                <w:szCs w:val="18"/>
              </w:rPr>
            </w:pPr>
            <w:r>
              <w:rPr>
                <w:rFonts w:ascii="Times New Roman"/>
                <w:sz w:val="18"/>
              </w:rPr>
              <w:t>4,487,189,705.32</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03" w:right="0"/>
              <w:jc w:val="left"/>
              <w:rPr>
                <w:rFonts w:ascii="Times New Roman" w:hAnsi="Times New Roman" w:cs="Times New Roman" w:eastAsia="Times New Roman" w:hint="default"/>
                <w:sz w:val="18"/>
                <w:szCs w:val="18"/>
              </w:rPr>
            </w:pPr>
            <w:r>
              <w:rPr>
                <w:rFonts w:ascii="Times New Roman"/>
                <w:sz w:val="18"/>
              </w:rPr>
              <w:t>4,236,846,286.68</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1022"/>
        <w:jc w:val="left"/>
        <w:rPr>
          <w:b w:val="0"/>
          <w:bCs w:val="0"/>
        </w:rPr>
      </w:pPr>
      <w:bookmarkStart w:name="3、合并利润表" w:id="157"/>
      <w:bookmarkEnd w:id="157"/>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5081"/>
        <w:gridCol w:w="2280"/>
        <w:gridCol w:w="2196"/>
      </w:tblGrid>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1,930,998,380.73</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2,136,933,366.68</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1,930,998,380.73</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2,136,933,366.68</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1,884,476,725.05</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2,010,959,284.14</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1,254,943,283.94</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1,382,680,225.26</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14,204,280.82</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20,308,374.46</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231,582,582.64</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215,335,122.70</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143,212,445.96</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149,382,586.34</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192,665,350.81</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180,844,148.08</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-43,028,184.98</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-12,193,769.19</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91"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2,753,815.28</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3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43,206,851.57</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15,165,193.10</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90,896,965.86</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74,602,596.49</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62,828,575.38</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67,947,690.14</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-3,988,314.96</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1,803,366.18</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97"/>
              <w:jc w:val="righ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-4,188,314.96</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1,603,366.18</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119"/>
              <w:jc w:val="right"/>
              <w:rPr>
                <w:rFonts w:ascii="宋体" w:hAnsi="宋体" w:cs="宋体" w:eastAsia="宋体" w:hint="default"/>
                <w:sz w:val="18"/>
                <w:szCs w:val="18"/>
              </w:rPr>
            </w:pPr>
            <w:r>
              <w:rPr>
                <w:rFonts w:ascii="宋体" w:hAnsi="宋体" w:cs="宋体" w:eastAsia="宋体" w:hint="default"/>
                <w:spacing w:val="-1"/>
                <w:sz w:val="18"/>
                <w:szCs w:val="18"/>
              </w:rPr>
              <w:t>公允价值变动收益（损失以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-20,699.46</w:t>
            </w:r>
            <w:r>
              <w:rPr>
                <w:rFonts w:ascii="Times New Roman"/>
                <w:sz w:val="18"/>
              </w:rPr>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1,023,847.61</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105,341,216.64</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196,748,986.47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5081"/>
        <w:gridCol w:w="2280"/>
        <w:gridCol w:w="2196"/>
      </w:tblGrid>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23,655,268.73</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7,131,845.81</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570,346.37</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744,722.87</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128,426,139.00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203,136,109.41</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3,943,873.66</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25,883,634.33</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124,482,265.34</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177,252,475.08</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（一）持续经营净利润（净亏损以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124,482,265.34</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177,252,475.08</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（二）终止经营净利润（净亏损以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120,204,513.73</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169,054,901.59</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4,277,751.61</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8,197,573.49</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1" w:right="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归属母公司所有者的其他综合收益的税后净额</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（一）不能重分类进损益的其他综合收益</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重新计量设定受益计划变动额</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权益法下不能转损益的其他综合收益</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（二）将重分类进损益的其他综合收益</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权益法下可转损益的其他综合收益</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可供出售金融资产公允价值变动损益</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持有至到期投资重分类为可供出售金融资产损益</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现金流量套期损益的有效部分</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1" w:right="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归属于少数股东的其他综合收益的税后净额</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124,482,265.34</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177,252,475.08</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归属于母公司所有者的综合收益总额</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120,204,513.73</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169,054,901.59</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4,277,751.61</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8,197,573.49</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228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0.1434</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0.2109</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0.1434</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0.2109</w:t>
            </w:r>
          </w:p>
        </w:tc>
      </w:tr>
    </w:tbl>
    <w:p>
      <w:pPr>
        <w:pStyle w:val="BodyText"/>
        <w:tabs>
          <w:tab w:pos="3484" w:val="left" w:leader="none"/>
          <w:tab w:pos="7715" w:val="left" w:leader="none"/>
        </w:tabs>
        <w:spacing w:line="624" w:lineRule="auto" w:before="51"/>
        <w:ind w:right="1229"/>
        <w:jc w:val="left"/>
      </w:pPr>
      <w:r>
        <w:rPr/>
        <w:t>本期发生同一控制下企业合并的，被合并方在合并前实现的净利润为：元，上期被合并方实现的净利润为：元。 法定代表人：卿昱</w:t>
        <w:tab/>
        <w:t>主管会计工作负责人：刘志惠</w:t>
        <w:tab/>
        <w:t>会计机构负责人：周天文</w:t>
      </w:r>
    </w:p>
    <w:p>
      <w:pPr>
        <w:pStyle w:val="Heading3"/>
        <w:spacing w:line="240" w:lineRule="auto" w:before="63"/>
        <w:ind w:right="1022"/>
        <w:jc w:val="left"/>
        <w:rPr>
          <w:b w:val="0"/>
          <w:bCs w:val="0"/>
        </w:rPr>
      </w:pPr>
      <w:bookmarkStart w:name="4、母公司利润表" w:id="158"/>
      <w:bookmarkEnd w:id="158"/>
      <w:r>
        <w:rPr>
          <w:b w:val="0"/>
          <w:bCs w:val="0"/>
        </w:rPr>
      </w:r>
      <w:r>
        <w:rPr>
          <w:rFonts w:ascii="Times New Roman" w:hAnsi="Times New Roman" w:cs="Times New Roman" w:eastAsia="Times New Roman" w:hint="default"/>
        </w:rPr>
        <w:t>4</w:t>
      </w:r>
      <w:r>
        <w:rPr/>
        <w:t>、母公司利润表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5104"/>
        <w:gridCol w:w="2268"/>
        <w:gridCol w:w="2196"/>
      </w:tblGrid>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7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5104"/>
        <w:gridCol w:w="2269"/>
        <w:gridCol w:w="2196"/>
      </w:tblGrid>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313,785,978.83</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501,455,110.06</w:t>
            </w: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196,801,228.06</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297,724,990.10</w:t>
            </w: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3,552,825.73</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6,105,911.16</w:t>
            </w: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46,626,487.06</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55,902,256.50</w:t>
            </w: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48,762,154.88</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61,747,737.81</w:t>
            </w: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86,906,522.27</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85,216,289.84</w:t>
            </w: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-1,266,067.92</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1,713,606.40</w:t>
            </w: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2,253,993.00</w:t>
            </w: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63"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1,307,742.04</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576,050.03</w:t>
            </w: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5,032,065.17</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23,020,781.82</w:t>
            </w: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28,026,756.78</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21,535,801.97</w:t>
            </w: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46,011,685.04</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31,803,366.18</w:t>
            </w: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-4,188,314.96</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1,603,366.18</w:t>
            </w: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69"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69"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1,409,205.40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23,362,704.58</w:t>
            </w: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16,674,415.94</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5,167,756.92</w:t>
            </w: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67,164.31</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12,088.65</w:t>
            </w: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18,016,457.03</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28,518,372.85</w:t>
            </w: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-10,323,810.19</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-2,874,541.40</w:t>
            </w: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28,340,267.22</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31,392,914.25</w:t>
            </w: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（一）持续经营净利润（净亏损以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28,340,267.22</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31,392,914.25</w:t>
            </w: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（二）终止经营净利润（净亏损以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69"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2269"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（一）不能重分类进损益的其他综合收益</w:t>
            </w:r>
          </w:p>
        </w:tc>
        <w:tc>
          <w:tcPr>
            <w:tcW w:w="2269"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重新计量设定受益计划变动额</w:t>
            </w:r>
          </w:p>
        </w:tc>
        <w:tc>
          <w:tcPr>
            <w:tcW w:w="2269"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权益法下不能转损益的其他综合收益</w:t>
            </w:r>
          </w:p>
        </w:tc>
        <w:tc>
          <w:tcPr>
            <w:tcW w:w="2269"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（二）将重分类进损益的其他综合收益</w:t>
            </w:r>
          </w:p>
        </w:tc>
        <w:tc>
          <w:tcPr>
            <w:tcW w:w="2269"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权益法下可转损益的其他综合收益</w:t>
            </w:r>
          </w:p>
        </w:tc>
        <w:tc>
          <w:tcPr>
            <w:tcW w:w="2269"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可供出售金融资产公允价值变动损益</w:t>
            </w:r>
          </w:p>
        </w:tc>
        <w:tc>
          <w:tcPr>
            <w:tcW w:w="2269"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持有至到期投资重分类为可供出售金融资产损益</w:t>
            </w:r>
          </w:p>
        </w:tc>
        <w:tc>
          <w:tcPr>
            <w:tcW w:w="2269"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现金流量套期损益的有效部分</w:t>
            </w:r>
          </w:p>
        </w:tc>
        <w:tc>
          <w:tcPr>
            <w:tcW w:w="2269"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2269"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2269"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5081"/>
        <w:gridCol w:w="2280"/>
        <w:gridCol w:w="2196"/>
      </w:tblGrid>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199" w:right="0"/>
              <w:jc w:val="left"/>
              <w:rPr>
                <w:rFonts w:ascii="Times New Roman" w:hAnsi="Times New Roman" w:cs="Times New Roman" w:eastAsia="Times New Roman" w:hint="default"/>
                <w:sz w:val="18"/>
                <w:szCs w:val="18"/>
              </w:rPr>
            </w:pPr>
            <w:r>
              <w:rPr>
                <w:rFonts w:ascii="Times New Roman"/>
                <w:sz w:val="18"/>
              </w:rPr>
              <w:t>28,340,267.22</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29" w:right="0"/>
              <w:jc w:val="left"/>
              <w:rPr>
                <w:rFonts w:ascii="Times New Roman" w:hAnsi="Times New Roman" w:cs="Times New Roman" w:eastAsia="Times New Roman" w:hint="default"/>
                <w:sz w:val="18"/>
                <w:szCs w:val="18"/>
              </w:rPr>
            </w:pPr>
            <w:r>
              <w:rPr>
                <w:rFonts w:ascii="Times New Roman"/>
                <w:sz w:val="18"/>
              </w:rPr>
              <w:t>31,392,914.25</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228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077"/>
              <w:jc w:val="right"/>
              <w:rPr>
                <w:rFonts w:ascii="宋体" w:hAnsi="宋体" w:cs="宋体" w:eastAsia="宋体" w:hint="default"/>
                <w:sz w:val="18"/>
                <w:szCs w:val="18"/>
              </w:rPr>
            </w:pPr>
            <w:r>
              <w:rPr>
                <w:rFonts w:ascii="宋体" w:hAnsi="宋体" w:cs="宋体" w:eastAsia="宋体" w:hint="default"/>
                <w:sz w:val="18"/>
                <w:szCs w:val="18"/>
              </w:rPr>
              <w:t>（一）基本每股收益</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079"/>
              <w:jc w:val="right"/>
              <w:rPr>
                <w:rFonts w:ascii="宋体" w:hAnsi="宋体" w:cs="宋体" w:eastAsia="宋体" w:hint="default"/>
                <w:sz w:val="18"/>
                <w:szCs w:val="18"/>
              </w:rPr>
            </w:pPr>
            <w:r>
              <w:rPr>
                <w:rFonts w:ascii="宋体" w:hAnsi="宋体" w:cs="宋体" w:eastAsia="宋体" w:hint="default"/>
                <w:sz w:val="18"/>
                <w:szCs w:val="18"/>
              </w:rPr>
              <w:t>（二）稀释每股收益</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1022"/>
        <w:jc w:val="left"/>
        <w:rPr>
          <w:b w:val="0"/>
          <w:bCs w:val="0"/>
        </w:rPr>
      </w:pPr>
      <w:bookmarkStart w:name="5、合并现金流量表" w:id="159"/>
      <w:bookmarkEnd w:id="159"/>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5507"/>
        <w:gridCol w:w="2138"/>
        <w:gridCol w:w="1913"/>
      </w:tblGrid>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1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9"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213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1,946,153,873.75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1,919,524,535.24</w:t>
            </w: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客户存款和同业存放款项净增加额</w:t>
            </w:r>
          </w:p>
        </w:tc>
        <w:tc>
          <w:tcPr>
            <w:tcW w:w="2138"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2138"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向其他金融机构拆入资金净增加额</w:t>
            </w:r>
          </w:p>
        </w:tc>
        <w:tc>
          <w:tcPr>
            <w:tcW w:w="2138"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2138"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2138"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2138"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处置以公允价值计量且其变动计入当期损益的金融资产净增加额</w:t>
            </w:r>
          </w:p>
        </w:tc>
        <w:tc>
          <w:tcPr>
            <w:tcW w:w="2138"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2138"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2138"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2138"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18,593,961.04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24,146,483.82</w:t>
            </w: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162,782,725.27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90,998,340.26</w:t>
            </w: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2,127,530,560.06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2,034,669,359.32</w:t>
            </w: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1,373,748,309.17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1,410,882,723.39</w:t>
            </w: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2138"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存放中央银行和同业款项净增加额</w:t>
            </w:r>
          </w:p>
        </w:tc>
        <w:tc>
          <w:tcPr>
            <w:tcW w:w="2138"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2138"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2138"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2138"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375,564,270.96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350,631,773.93</w:t>
            </w: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176,298,883.58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148,477,481.76</w:t>
            </w: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169,050,138.86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175,741,406.82</w:t>
            </w: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2,094,661,602.57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2,085,733,385.90</w:t>
            </w: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32,868,957.49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-51,064,026.58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5502"/>
        <w:gridCol w:w="2143"/>
        <w:gridCol w:w="1913"/>
      </w:tblGrid>
      <w:tr>
        <w:trPr>
          <w:trHeight w:val="402" w:hRule="exact"/>
        </w:trPr>
        <w:tc>
          <w:tcPr>
            <w:tcW w:w="5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214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2143"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214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200,000.00</w:t>
            </w:r>
          </w:p>
        </w:tc>
      </w:tr>
      <w:tr>
        <w:trPr>
          <w:trHeight w:val="402" w:hRule="exact"/>
        </w:trPr>
        <w:tc>
          <w:tcPr>
            <w:tcW w:w="5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处置固定资产、无形资产和其他长期资产收回的现金净额</w:t>
            </w:r>
          </w:p>
        </w:tc>
        <w:tc>
          <w:tcPr>
            <w:tcW w:w="214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2,535.56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1,234,983.00</w:t>
            </w:r>
          </w:p>
        </w:tc>
      </w:tr>
      <w:tr>
        <w:trPr>
          <w:trHeight w:val="402" w:hRule="exact"/>
        </w:trPr>
        <w:tc>
          <w:tcPr>
            <w:tcW w:w="5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2143"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2143"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14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202,535.56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1,434,983.00</w:t>
            </w:r>
          </w:p>
        </w:tc>
      </w:tr>
      <w:tr>
        <w:trPr>
          <w:trHeight w:val="402" w:hRule="exact"/>
        </w:trPr>
        <w:tc>
          <w:tcPr>
            <w:tcW w:w="5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214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153,205,012.36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182,195,135.60</w:t>
            </w:r>
          </w:p>
        </w:tc>
      </w:tr>
      <w:tr>
        <w:trPr>
          <w:trHeight w:val="402" w:hRule="exact"/>
        </w:trPr>
        <w:tc>
          <w:tcPr>
            <w:tcW w:w="5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214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9,000,000.00</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2143"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2143"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2143"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14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162,205,012.36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182,195,135.60</w:t>
            </w:r>
          </w:p>
        </w:tc>
      </w:tr>
      <w:tr>
        <w:trPr>
          <w:trHeight w:val="402" w:hRule="exact"/>
        </w:trPr>
        <w:tc>
          <w:tcPr>
            <w:tcW w:w="5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14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-162,002,476.80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-180,760,152.60</w:t>
            </w:r>
          </w:p>
        </w:tc>
      </w:tr>
      <w:tr>
        <w:trPr>
          <w:trHeight w:val="402" w:hRule="exact"/>
        </w:trPr>
        <w:tc>
          <w:tcPr>
            <w:tcW w:w="5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214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214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2,665,881,890.50</w:t>
            </w:r>
          </w:p>
        </w:tc>
      </w:tr>
      <w:tr>
        <w:trPr>
          <w:trHeight w:val="402" w:hRule="exact"/>
        </w:trPr>
        <w:tc>
          <w:tcPr>
            <w:tcW w:w="5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其中：子公司吸收少数股东投资收到的现金</w:t>
            </w:r>
          </w:p>
        </w:tc>
        <w:tc>
          <w:tcPr>
            <w:tcW w:w="214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5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214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250,000,000.00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100,000,000.00</w:t>
            </w:r>
          </w:p>
        </w:tc>
      </w:tr>
      <w:tr>
        <w:trPr>
          <w:trHeight w:val="402" w:hRule="exact"/>
        </w:trPr>
        <w:tc>
          <w:tcPr>
            <w:tcW w:w="5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2143"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2143"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14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250,000,000.00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2,765,881,890.50</w:t>
            </w:r>
          </w:p>
        </w:tc>
      </w:tr>
      <w:tr>
        <w:trPr>
          <w:trHeight w:val="402" w:hRule="exact"/>
        </w:trPr>
        <w:tc>
          <w:tcPr>
            <w:tcW w:w="5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214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928,558,160.00</w:t>
            </w:r>
          </w:p>
        </w:tc>
      </w:tr>
      <w:tr>
        <w:trPr>
          <w:trHeight w:val="402" w:hRule="exact"/>
        </w:trPr>
        <w:tc>
          <w:tcPr>
            <w:tcW w:w="5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214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41,916,801.40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54,195,035.42</w:t>
            </w:r>
          </w:p>
        </w:tc>
      </w:tr>
      <w:tr>
        <w:trPr>
          <w:trHeight w:val="402" w:hRule="exact"/>
        </w:trPr>
        <w:tc>
          <w:tcPr>
            <w:tcW w:w="5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其中：子公司支付给少数股东的股利、利润</w:t>
            </w:r>
          </w:p>
        </w:tc>
        <w:tc>
          <w:tcPr>
            <w:tcW w:w="2143"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214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15,708,255.71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204,404,941.34</w:t>
            </w:r>
          </w:p>
        </w:tc>
      </w:tr>
      <w:tr>
        <w:trPr>
          <w:trHeight w:val="402" w:hRule="exact"/>
        </w:trPr>
        <w:tc>
          <w:tcPr>
            <w:tcW w:w="5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14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57,625,057.11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1,187,158,136.76</w:t>
            </w:r>
          </w:p>
        </w:tc>
      </w:tr>
      <w:tr>
        <w:trPr>
          <w:trHeight w:val="402" w:hRule="exact"/>
        </w:trPr>
        <w:tc>
          <w:tcPr>
            <w:tcW w:w="5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14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192,374,942.89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1,578,723,753.74</w:t>
            </w:r>
          </w:p>
        </w:tc>
      </w:tr>
      <w:tr>
        <w:trPr>
          <w:trHeight w:val="402" w:hRule="exact"/>
        </w:trPr>
        <w:tc>
          <w:tcPr>
            <w:tcW w:w="5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2143"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214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63,241,423.58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1,346,899,574.56</w:t>
            </w:r>
          </w:p>
        </w:tc>
      </w:tr>
      <w:tr>
        <w:trPr>
          <w:trHeight w:val="402" w:hRule="exact"/>
        </w:trPr>
        <w:tc>
          <w:tcPr>
            <w:tcW w:w="5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214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1,868,057,166.79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521,157,592.23</w:t>
            </w:r>
          </w:p>
        </w:tc>
      </w:tr>
      <w:tr>
        <w:trPr>
          <w:trHeight w:val="402" w:hRule="exact"/>
        </w:trPr>
        <w:tc>
          <w:tcPr>
            <w:tcW w:w="5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214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1,931,298,590.37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1,868,057,166.79</w:t>
            </w:r>
          </w:p>
        </w:tc>
      </w:tr>
    </w:tbl>
    <w:p>
      <w:pPr>
        <w:spacing w:line="240" w:lineRule="auto" w:before="3"/>
        <w:rPr>
          <w:rFonts w:ascii="宋体" w:hAnsi="宋体" w:cs="宋体" w:eastAsia="宋体" w:hint="default"/>
          <w:sz w:val="19"/>
          <w:szCs w:val="19"/>
        </w:rPr>
      </w:pPr>
    </w:p>
    <w:p>
      <w:pPr>
        <w:pStyle w:val="Heading3"/>
        <w:spacing w:line="240" w:lineRule="auto" w:before="35"/>
        <w:ind w:right="1022"/>
        <w:jc w:val="left"/>
        <w:rPr>
          <w:b w:val="0"/>
          <w:bCs w:val="0"/>
        </w:rPr>
      </w:pPr>
      <w:bookmarkStart w:name="6、母公司现金流量表" w:id="160"/>
      <w:bookmarkEnd w:id="160"/>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after="0" w:line="240" w:lineRule="auto"/>
        <w:jc w:val="right"/>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5502"/>
        <w:gridCol w:w="2143"/>
        <w:gridCol w:w="1913"/>
      </w:tblGrid>
      <w:tr>
        <w:trPr>
          <w:trHeight w:val="402" w:hRule="exact"/>
        </w:trPr>
        <w:tc>
          <w:tcPr>
            <w:tcW w:w="5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2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5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214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214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503,151,412.80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587,717,565.37</w:t>
            </w:r>
          </w:p>
        </w:tc>
      </w:tr>
      <w:tr>
        <w:trPr>
          <w:trHeight w:val="402" w:hRule="exact"/>
        </w:trPr>
        <w:tc>
          <w:tcPr>
            <w:tcW w:w="5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214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7,935,011.24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4,359,337.14</w:t>
            </w:r>
          </w:p>
        </w:tc>
      </w:tr>
      <w:tr>
        <w:trPr>
          <w:trHeight w:val="402" w:hRule="exact"/>
        </w:trPr>
        <w:tc>
          <w:tcPr>
            <w:tcW w:w="5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214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54,812,810.85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156,772,152.33</w:t>
            </w:r>
          </w:p>
        </w:tc>
      </w:tr>
      <w:tr>
        <w:trPr>
          <w:trHeight w:val="402" w:hRule="exact"/>
        </w:trPr>
        <w:tc>
          <w:tcPr>
            <w:tcW w:w="5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14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565,899,234.89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748,849,054.84</w:t>
            </w:r>
          </w:p>
        </w:tc>
      </w:tr>
      <w:tr>
        <w:trPr>
          <w:trHeight w:val="402" w:hRule="exact"/>
        </w:trPr>
        <w:tc>
          <w:tcPr>
            <w:tcW w:w="5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214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132,733,006.41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146,434,745.80</w:t>
            </w:r>
          </w:p>
        </w:tc>
      </w:tr>
      <w:tr>
        <w:trPr>
          <w:trHeight w:val="402" w:hRule="exact"/>
        </w:trPr>
        <w:tc>
          <w:tcPr>
            <w:tcW w:w="5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214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112,952,322.84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107,109,839.46</w:t>
            </w:r>
          </w:p>
        </w:tc>
      </w:tr>
      <w:tr>
        <w:trPr>
          <w:trHeight w:val="402" w:hRule="exact"/>
        </w:trPr>
        <w:tc>
          <w:tcPr>
            <w:tcW w:w="5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214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29,152,949.49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17,384,314.82</w:t>
            </w:r>
          </w:p>
        </w:tc>
      </w:tr>
      <w:tr>
        <w:trPr>
          <w:trHeight w:val="402" w:hRule="exact"/>
        </w:trPr>
        <w:tc>
          <w:tcPr>
            <w:tcW w:w="5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214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171,597,500.80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159,634,407.75</w:t>
            </w:r>
          </w:p>
        </w:tc>
      </w:tr>
      <w:tr>
        <w:trPr>
          <w:trHeight w:val="402" w:hRule="exact"/>
        </w:trPr>
        <w:tc>
          <w:tcPr>
            <w:tcW w:w="5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14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446,435,779.54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430,563,307.83</w:t>
            </w:r>
          </w:p>
        </w:tc>
      </w:tr>
      <w:tr>
        <w:trPr>
          <w:trHeight w:val="402" w:hRule="exact"/>
        </w:trPr>
        <w:tc>
          <w:tcPr>
            <w:tcW w:w="5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14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119,463,455.35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318,285,747.01</w:t>
            </w:r>
          </w:p>
        </w:tc>
      </w:tr>
      <w:tr>
        <w:trPr>
          <w:trHeight w:val="402" w:hRule="exact"/>
        </w:trPr>
        <w:tc>
          <w:tcPr>
            <w:tcW w:w="5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214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2143"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214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30,200,000.00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10,200,000.00</w:t>
            </w:r>
          </w:p>
        </w:tc>
      </w:tr>
      <w:tr>
        <w:trPr>
          <w:trHeight w:val="402" w:hRule="exact"/>
        </w:trPr>
        <w:tc>
          <w:tcPr>
            <w:tcW w:w="5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处置固定资产、无形资产和其他长期资产收回的现金净额</w:t>
            </w:r>
          </w:p>
        </w:tc>
        <w:tc>
          <w:tcPr>
            <w:tcW w:w="214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5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214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5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214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821,217,950.84</w:t>
            </w:r>
          </w:p>
        </w:tc>
      </w:tr>
      <w:tr>
        <w:trPr>
          <w:trHeight w:val="402" w:hRule="exact"/>
        </w:trPr>
        <w:tc>
          <w:tcPr>
            <w:tcW w:w="5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14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30,200,500.00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831,417,950.84</w:t>
            </w:r>
          </w:p>
        </w:tc>
      </w:tr>
      <w:tr>
        <w:trPr>
          <w:trHeight w:val="402" w:hRule="exact"/>
        </w:trPr>
        <w:tc>
          <w:tcPr>
            <w:tcW w:w="5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214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18,415,156.01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12,034,958.97</w:t>
            </w:r>
          </w:p>
        </w:tc>
      </w:tr>
      <w:tr>
        <w:trPr>
          <w:trHeight w:val="402" w:hRule="exact"/>
        </w:trPr>
        <w:tc>
          <w:tcPr>
            <w:tcW w:w="5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214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24,682,992.68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2,662,620,518.93</w:t>
            </w:r>
          </w:p>
        </w:tc>
      </w:tr>
      <w:tr>
        <w:trPr>
          <w:trHeight w:val="402" w:hRule="exact"/>
        </w:trPr>
        <w:tc>
          <w:tcPr>
            <w:tcW w:w="5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2143"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2143"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14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43,098,148.69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2,674,655,477.90</w:t>
            </w:r>
          </w:p>
        </w:tc>
      </w:tr>
      <w:tr>
        <w:trPr>
          <w:trHeight w:val="402" w:hRule="exact"/>
        </w:trPr>
        <w:tc>
          <w:tcPr>
            <w:tcW w:w="5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14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-12,897,648.69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-1,843,237,527.06</w:t>
            </w:r>
          </w:p>
        </w:tc>
      </w:tr>
      <w:tr>
        <w:trPr>
          <w:trHeight w:val="402" w:hRule="exact"/>
        </w:trPr>
        <w:tc>
          <w:tcPr>
            <w:tcW w:w="5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214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214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2,665,881,890.50</w:t>
            </w:r>
          </w:p>
        </w:tc>
      </w:tr>
      <w:tr>
        <w:trPr>
          <w:trHeight w:val="402" w:hRule="exact"/>
        </w:trPr>
        <w:tc>
          <w:tcPr>
            <w:tcW w:w="5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214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250,000,000.00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100,000,000.00</w:t>
            </w:r>
          </w:p>
        </w:tc>
      </w:tr>
      <w:tr>
        <w:trPr>
          <w:trHeight w:val="402" w:hRule="exact"/>
        </w:trPr>
        <w:tc>
          <w:tcPr>
            <w:tcW w:w="5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2143"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2143"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14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250,000,000.00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2,765,881,890.50</w:t>
            </w:r>
          </w:p>
        </w:tc>
      </w:tr>
      <w:tr>
        <w:trPr>
          <w:trHeight w:val="402" w:hRule="exact"/>
        </w:trPr>
        <w:tc>
          <w:tcPr>
            <w:tcW w:w="5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214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928,558,160.00</w:t>
            </w:r>
          </w:p>
        </w:tc>
      </w:tr>
      <w:tr>
        <w:trPr>
          <w:trHeight w:val="402" w:hRule="exact"/>
        </w:trPr>
        <w:tc>
          <w:tcPr>
            <w:tcW w:w="5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214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41,916,801.40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54,090,715.42</w:t>
            </w:r>
          </w:p>
        </w:tc>
      </w:tr>
      <w:tr>
        <w:trPr>
          <w:trHeight w:val="402" w:hRule="exact"/>
        </w:trPr>
        <w:tc>
          <w:tcPr>
            <w:tcW w:w="5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214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25,263.03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203,907,985.68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5530"/>
        <w:gridCol w:w="2126"/>
        <w:gridCol w:w="1913"/>
      </w:tblGrid>
      <w:tr>
        <w:trPr>
          <w:trHeight w:val="402" w:hRule="exact"/>
        </w:trPr>
        <w:tc>
          <w:tcPr>
            <w:tcW w:w="5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41,942,064.43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1,186,556,861.10</w:t>
            </w:r>
          </w:p>
        </w:tc>
      </w:tr>
      <w:tr>
        <w:trPr>
          <w:trHeight w:val="402" w:hRule="exact"/>
        </w:trPr>
        <w:tc>
          <w:tcPr>
            <w:tcW w:w="5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208,057,935.57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1,579,325,029.40</w:t>
            </w:r>
          </w:p>
        </w:tc>
      </w:tr>
      <w:tr>
        <w:trPr>
          <w:trHeight w:val="402" w:hRule="exact"/>
        </w:trPr>
        <w:tc>
          <w:tcPr>
            <w:tcW w:w="5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212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314,623,742.23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54,373,249.35</w:t>
            </w:r>
          </w:p>
        </w:tc>
      </w:tr>
      <w:tr>
        <w:trPr>
          <w:trHeight w:val="402" w:hRule="exact"/>
        </w:trPr>
        <w:tc>
          <w:tcPr>
            <w:tcW w:w="5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190,376,598.21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136,003,348.86</w:t>
            </w:r>
          </w:p>
        </w:tc>
      </w:tr>
      <w:tr>
        <w:trPr>
          <w:trHeight w:val="402" w:hRule="exact"/>
        </w:trPr>
        <w:tc>
          <w:tcPr>
            <w:tcW w:w="5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505,000,340.44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190,376,598.21</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1022"/>
        <w:jc w:val="left"/>
        <w:rPr>
          <w:b w:val="0"/>
          <w:bCs w:val="0"/>
        </w:rPr>
      </w:pPr>
      <w:bookmarkStart w:name="7、合并所有者权益变动表" w:id="161"/>
      <w:bookmarkEnd w:id="161"/>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022"/>
        <w:jc w:val="left"/>
      </w:pPr>
      <w:r>
        <w:rPr/>
        <w:t>本期金额</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427"/>
        <w:gridCol w:w="563"/>
        <w:gridCol w:w="530"/>
        <w:gridCol w:w="532"/>
        <w:gridCol w:w="530"/>
        <w:gridCol w:w="665"/>
        <w:gridCol w:w="665"/>
        <w:gridCol w:w="665"/>
        <w:gridCol w:w="665"/>
        <w:gridCol w:w="664"/>
        <w:gridCol w:w="666"/>
        <w:gridCol w:w="665"/>
        <w:gridCol w:w="665"/>
        <w:gridCol w:w="659"/>
      </w:tblGrid>
      <w:tr>
        <w:trPr>
          <w:trHeight w:val="402" w:hRule="exact"/>
        </w:trPr>
        <w:tc>
          <w:tcPr>
            <w:tcW w:w="1427" w:type="dxa"/>
            <w:vMerge w:val="restart"/>
            <w:tcBorders>
              <w:top w:val="single" w:sz="4" w:space="0" w:color="000000"/>
              <w:left w:val="single" w:sz="4" w:space="0" w:color="000000"/>
              <w:right w:val="single" w:sz="4" w:space="0" w:color="000000"/>
            </w:tcBorders>
            <w:shd w:val="clear" w:color="auto" w:fill="D2D2D2"/>
          </w:tcPr>
          <w:p>
            <w:pPr/>
          </w:p>
        </w:tc>
        <w:tc>
          <w:tcPr>
            <w:tcW w:w="8133"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51" w:hRule="exact"/>
        </w:trPr>
        <w:tc>
          <w:tcPr>
            <w:tcW w:w="1427" w:type="dxa"/>
            <w:vMerge/>
            <w:tcBorders>
              <w:left w:val="single" w:sz="4" w:space="0" w:color="000000"/>
              <w:right w:val="single" w:sz="4" w:space="0" w:color="000000"/>
            </w:tcBorders>
            <w:shd w:val="clear" w:color="auto" w:fill="D2D2D2"/>
          </w:tcPr>
          <w:p>
            <w:pPr/>
          </w:p>
        </w:tc>
        <w:tc>
          <w:tcPr>
            <w:tcW w:w="6810"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6810" w:type="dxa"/>
            <w:gridSpan w:val="11"/>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3"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563"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4" w:type="dxa"/>
            <w:tcBorders>
              <w:top w:val="single" w:sz="4" w:space="0" w:color="000000"/>
              <w:left w:val="single" w:sz="4" w:space="0" w:color="000000"/>
              <w:bottom w:val="nil" w:sz="6" w:space="0" w:color="auto"/>
              <w:right w:val="single" w:sz="4" w:space="0" w:color="000000"/>
            </w:tcBorders>
            <w:shd w:val="clear" w:color="auto" w:fill="D2D2D2"/>
          </w:tcPr>
          <w:p>
            <w:pPr/>
          </w:p>
        </w:tc>
        <w:tc>
          <w:tcPr>
            <w:tcW w:w="666"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6"/>
              <w:ind w:left="56" w:right="56"/>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3"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563"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7"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3" w:hRule="exact"/>
        </w:trPr>
        <w:tc>
          <w:tcPr>
            <w:tcW w:w="1427" w:type="dxa"/>
            <w:vMerge w:val="restart"/>
            <w:tcBorders>
              <w:top w:val="nil" w:sz="6" w:space="0" w:color="auto"/>
              <w:left w:val="single" w:sz="4" w:space="0" w:color="000000"/>
              <w:right w:val="single" w:sz="4" w:space="0" w:color="000000"/>
            </w:tcBorders>
            <w:shd w:val="clear" w:color="auto" w:fill="D2D2D2"/>
          </w:tcPr>
          <w:p>
            <w:pPr/>
          </w:p>
        </w:tc>
        <w:tc>
          <w:tcPr>
            <w:tcW w:w="5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4"/>
              <w:ind w:left="9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3"/>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3"/>
              <w:ind w:left="170" w:right="79"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9" w:hRule="exact"/>
        </w:trPr>
        <w:tc>
          <w:tcPr>
            <w:tcW w:w="1427" w:type="dxa"/>
            <w:vMerge/>
            <w:tcBorders>
              <w:left w:val="single" w:sz="4" w:space="0" w:color="000000"/>
              <w:right w:val="single" w:sz="4" w:space="0" w:color="000000"/>
            </w:tcBorders>
            <w:shd w:val="clear" w:color="auto" w:fill="D2D2D2"/>
          </w:tcPr>
          <w:p>
            <w:pPr/>
          </w:p>
        </w:tc>
        <w:tc>
          <w:tcPr>
            <w:tcW w:w="563"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27" w:type="dxa"/>
            <w:vMerge/>
            <w:tcBorders>
              <w:left w:val="single" w:sz="4" w:space="0" w:color="000000"/>
              <w:right w:val="single" w:sz="4" w:space="0" w:color="000000"/>
            </w:tcBorders>
            <w:shd w:val="clear" w:color="auto" w:fill="D2D2D2"/>
          </w:tcPr>
          <w:p>
            <w:pPr/>
          </w:p>
        </w:tc>
        <w:tc>
          <w:tcPr>
            <w:tcW w:w="563"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4" w:type="dxa"/>
            <w:vMerge/>
            <w:tcBorders>
              <w:left w:val="single" w:sz="4" w:space="0" w:color="000000"/>
              <w:bottom w:val="nil" w:sz="6" w:space="0" w:color="auto"/>
              <w:right w:val="single" w:sz="4" w:space="0" w:color="000000"/>
            </w:tcBorders>
            <w:shd w:val="clear" w:color="auto" w:fill="D2D2D2"/>
          </w:tcPr>
          <w:p>
            <w:pPr/>
          </w:p>
        </w:tc>
        <w:tc>
          <w:tcPr>
            <w:tcW w:w="666"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8" w:hRule="exact"/>
        </w:trPr>
        <w:tc>
          <w:tcPr>
            <w:tcW w:w="1427" w:type="dxa"/>
            <w:vMerge/>
            <w:tcBorders>
              <w:left w:val="single" w:sz="4" w:space="0" w:color="000000"/>
              <w:bottom w:val="single" w:sz="4" w:space="0" w:color="000000"/>
              <w:right w:val="single" w:sz="4" w:space="0" w:color="000000"/>
            </w:tcBorders>
            <w:shd w:val="clear" w:color="auto" w:fill="D2D2D2"/>
          </w:tcPr>
          <w:p>
            <w:pPr/>
          </w:p>
        </w:tc>
        <w:tc>
          <w:tcPr>
            <w:tcW w:w="563"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4" w:type="dxa"/>
            <w:tcBorders>
              <w:top w:val="nil" w:sz="6" w:space="0" w:color="auto"/>
              <w:left w:val="single" w:sz="4" w:space="0" w:color="000000"/>
              <w:bottom w:val="single" w:sz="4" w:space="0" w:color="000000"/>
              <w:right w:val="single" w:sz="4" w:space="0" w:color="000000"/>
            </w:tcBorders>
            <w:shd w:val="clear" w:color="auto" w:fill="D2D2D2"/>
          </w:tcPr>
          <w:p>
            <w:pPr/>
          </w:p>
        </w:tc>
        <w:tc>
          <w:tcPr>
            <w:tcW w:w="666"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3" w:type="dxa"/>
            <w:vMerge w:val="restart"/>
            <w:tcBorders>
              <w:top w:val="single" w:sz="4" w:space="0" w:color="000000"/>
              <w:left w:val="single" w:sz="9" w:space="0" w:color="D2D2D2"/>
              <w:right w:val="single" w:sz="4" w:space="0" w:color="000000"/>
            </w:tcBorders>
          </w:tcPr>
          <w:p>
            <w:pPr>
              <w:pStyle w:val="TableParagraph"/>
              <w:spacing w:line="240" w:lineRule="auto" w:before="91"/>
              <w:ind w:left="29" w:right="0"/>
              <w:jc w:val="left"/>
              <w:rPr>
                <w:rFonts w:ascii="Times New Roman" w:hAnsi="Times New Roman" w:cs="Times New Roman" w:eastAsia="Times New Roman" w:hint="default"/>
                <w:sz w:val="18"/>
                <w:szCs w:val="18"/>
              </w:rPr>
            </w:pPr>
            <w:r>
              <w:rPr>
                <w:rFonts w:ascii="Times New Roman"/>
                <w:sz w:val="18"/>
              </w:rPr>
              <w:t>838,33</w:t>
            </w:r>
          </w:p>
          <w:p>
            <w:pPr>
              <w:pStyle w:val="TableParagraph"/>
              <w:spacing w:line="240" w:lineRule="auto" w:before="105"/>
              <w:ind w:left="73" w:right="0"/>
              <w:jc w:val="left"/>
              <w:rPr>
                <w:rFonts w:ascii="Times New Roman" w:hAnsi="Times New Roman" w:cs="Times New Roman" w:eastAsia="Times New Roman" w:hint="default"/>
                <w:sz w:val="18"/>
                <w:szCs w:val="18"/>
              </w:rPr>
            </w:pPr>
            <w:r>
              <w:rPr>
                <w:rFonts w:ascii="Times New Roman"/>
                <w:sz w:val="18"/>
              </w:rPr>
              <w:t>6,028.</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2,558,3</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48,308.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95</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51,093,</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934.97</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848,007</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,653.42</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92,011,</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268.33</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4,387,7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97,193.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67</w:t>
            </w:r>
          </w:p>
        </w:tc>
      </w:tr>
      <w:tr>
        <w:trPr>
          <w:trHeight w:val="392"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1"/>
              <w:jc w:val="righ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3"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3"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21"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3" w:type="dxa"/>
            <w:vMerge w:val="restart"/>
            <w:tcBorders>
              <w:top w:val="single" w:sz="4" w:space="0" w:color="000000"/>
              <w:left w:val="single" w:sz="9" w:space="0" w:color="D2D2D2"/>
              <w:right w:val="single" w:sz="4" w:space="0" w:color="000000"/>
            </w:tcBorders>
          </w:tcPr>
          <w:p>
            <w:pPr>
              <w:pStyle w:val="TableParagraph"/>
              <w:spacing w:line="240" w:lineRule="auto" w:before="91"/>
              <w:ind w:left="29" w:right="0"/>
              <w:jc w:val="left"/>
              <w:rPr>
                <w:rFonts w:ascii="Times New Roman" w:hAnsi="Times New Roman" w:cs="Times New Roman" w:eastAsia="Times New Roman" w:hint="default"/>
                <w:sz w:val="18"/>
                <w:szCs w:val="18"/>
              </w:rPr>
            </w:pPr>
            <w:r>
              <w:rPr>
                <w:rFonts w:ascii="Times New Roman"/>
                <w:sz w:val="18"/>
              </w:rPr>
              <w:t>838,33</w:t>
            </w:r>
          </w:p>
          <w:p>
            <w:pPr>
              <w:pStyle w:val="TableParagraph"/>
              <w:spacing w:line="240" w:lineRule="auto" w:before="105"/>
              <w:ind w:left="73" w:right="0"/>
              <w:jc w:val="left"/>
              <w:rPr>
                <w:rFonts w:ascii="Times New Roman" w:hAnsi="Times New Roman" w:cs="Times New Roman" w:eastAsia="Times New Roman" w:hint="default"/>
                <w:sz w:val="18"/>
                <w:szCs w:val="18"/>
              </w:rPr>
            </w:pPr>
            <w:r>
              <w:rPr>
                <w:rFonts w:ascii="Times New Roman"/>
                <w:sz w:val="18"/>
              </w:rPr>
              <w:t>6,028.</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2,558,3</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48,308.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95</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51,093,</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934.97</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848,007</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,653.42</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92,011,</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268.33</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4,387,7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97,193.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67</w:t>
            </w:r>
          </w:p>
        </w:tc>
      </w:tr>
      <w:tr>
        <w:trPr>
          <w:trHeight w:val="392"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1"/>
              <w:jc w:val="righ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3"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3"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026"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号填列）</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32,811,</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879.52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2,834,0</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26.72</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75,453,</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685.61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-44,217,</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120.59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66,882,</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471.26</w:t>
            </w: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120,204</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,513.73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4,277,7</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51.61</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124,482</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,265.34</w:t>
            </w: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32,811,</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879.52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-48,494,</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872.20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-15,682,</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992.68</w:t>
            </w: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32,811,</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879.52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-48,494,</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872.20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-15,682,</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992.68</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2,834,0</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26.72</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-44,750,</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828.12</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-41,916,</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801.40</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2,834,0</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26.72</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-2,834,0</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26.72</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-41,916,</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801.40</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-41,916,</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801.40</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838,33</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6,028.</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2,591,1</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60,188.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53,927,</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961.69</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923,461</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,339.03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47,794,</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147.74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4,454,6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79,664.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93</w:t>
            </w:r>
          </w:p>
        </w:tc>
      </w:tr>
    </w:tbl>
    <w:p>
      <w:pPr>
        <w:pStyle w:val="BodyText"/>
        <w:spacing w:line="240" w:lineRule="auto" w:before="51"/>
        <w:ind w:right="1022"/>
        <w:jc w:val="left"/>
      </w:pPr>
      <w:r>
        <w:rPr/>
        <w:t>上期金额</w:t>
      </w:r>
    </w:p>
    <w:p>
      <w:pPr>
        <w:pStyle w:val="BodyText"/>
        <w:spacing w:line="240" w:lineRule="auto" w:before="117"/>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38"/>
        <w:gridCol w:w="8121"/>
      </w:tblGrid>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8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上期</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1427"/>
        <w:gridCol w:w="562"/>
        <w:gridCol w:w="530"/>
        <w:gridCol w:w="532"/>
        <w:gridCol w:w="530"/>
        <w:gridCol w:w="665"/>
        <w:gridCol w:w="665"/>
        <w:gridCol w:w="665"/>
        <w:gridCol w:w="665"/>
        <w:gridCol w:w="665"/>
        <w:gridCol w:w="665"/>
        <w:gridCol w:w="678"/>
        <w:gridCol w:w="652"/>
        <w:gridCol w:w="659"/>
      </w:tblGrid>
      <w:tr>
        <w:trPr>
          <w:trHeight w:val="251" w:hRule="exact"/>
        </w:trPr>
        <w:tc>
          <w:tcPr>
            <w:tcW w:w="1427" w:type="dxa"/>
            <w:vMerge w:val="restart"/>
            <w:tcBorders>
              <w:top w:val="single" w:sz="4" w:space="0" w:color="000000"/>
              <w:left w:val="single" w:sz="4" w:space="0" w:color="000000"/>
              <w:right w:val="single" w:sz="4" w:space="0" w:color="000000"/>
            </w:tcBorders>
            <w:shd w:val="clear" w:color="auto" w:fill="D2D2D2"/>
          </w:tcPr>
          <w:p>
            <w:pPr/>
          </w:p>
        </w:tc>
        <w:tc>
          <w:tcPr>
            <w:tcW w:w="6822"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2"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27" w:type="dxa"/>
            <w:vMerge/>
            <w:tcBorders>
              <w:left w:val="single" w:sz="4" w:space="0" w:color="000000"/>
              <w:right w:val="single" w:sz="4" w:space="0" w:color="000000"/>
            </w:tcBorders>
            <w:shd w:val="clear" w:color="auto" w:fill="D2D2D2"/>
          </w:tcPr>
          <w:p>
            <w:pPr/>
          </w:p>
        </w:tc>
        <w:tc>
          <w:tcPr>
            <w:tcW w:w="6822" w:type="dxa"/>
            <w:gridSpan w:val="11"/>
            <w:vMerge/>
            <w:tcBorders>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3"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27" w:type="dxa"/>
            <w:vMerge/>
            <w:tcBorders>
              <w:left w:val="single" w:sz="4" w:space="0" w:color="000000"/>
              <w:right w:val="single" w:sz="4" w:space="0" w:color="000000"/>
            </w:tcBorders>
            <w:shd w:val="clear" w:color="auto" w:fill="D2D2D2"/>
          </w:tcPr>
          <w:p>
            <w:pPr/>
          </w:p>
        </w:tc>
        <w:tc>
          <w:tcPr>
            <w:tcW w:w="562"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78"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6"/>
              <w:ind w:left="50" w:right="49"/>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91" w:hRule="exact"/>
        </w:trPr>
        <w:tc>
          <w:tcPr>
            <w:tcW w:w="1427" w:type="dxa"/>
            <w:vMerge/>
            <w:tcBorders>
              <w:left w:val="single" w:sz="4" w:space="0" w:color="000000"/>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7"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53" w:right="62"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6" w:hRule="exact"/>
        </w:trPr>
        <w:tc>
          <w:tcPr>
            <w:tcW w:w="1427" w:type="dxa"/>
            <w:vMerge/>
            <w:tcBorders>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6"/>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171" w:right="78"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9" w:hRule="exact"/>
        </w:trPr>
        <w:tc>
          <w:tcPr>
            <w:tcW w:w="1427" w:type="dxa"/>
            <w:vMerge/>
            <w:tcBorders>
              <w:left w:val="single" w:sz="4" w:space="0" w:color="000000"/>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27" w:type="dxa"/>
            <w:vMerge/>
            <w:tcBorders>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78" w:type="dxa"/>
            <w:vMerge/>
            <w:tcBorders>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9" w:hRule="exact"/>
        </w:trPr>
        <w:tc>
          <w:tcPr>
            <w:tcW w:w="1427"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78"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432,52</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sz w:val="18"/>
              </w:rPr>
              <w:t>3,346.</w:t>
            </w:r>
          </w:p>
          <w:p>
            <w:pPr>
              <w:pStyle w:val="TableParagraph"/>
              <w:spacing w:line="240" w:lineRule="auto" w:before="106"/>
              <w:ind w:left="342"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300,305</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,043.81</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47,954,</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643.54</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708,290</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,044.16</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83,813,</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694.84</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1,572,8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86,772.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35</w:t>
            </w:r>
          </w:p>
        </w:tc>
      </w:tr>
      <w:tr>
        <w:trPr>
          <w:trHeight w:val="392"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432,52</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sz w:val="18"/>
              </w:rPr>
              <w:t>3,346.</w:t>
            </w:r>
          </w:p>
          <w:p>
            <w:pPr>
              <w:pStyle w:val="TableParagraph"/>
              <w:spacing w:line="240" w:lineRule="auto" w:before="106"/>
              <w:ind w:left="342"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300,305</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,043.81</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47,954,</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643.54</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708,290</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,044.16</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83,813,</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694.84</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1,572,8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86,772.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35</w:t>
            </w:r>
          </w:p>
        </w:tc>
      </w:tr>
      <w:tr>
        <w:trPr>
          <w:trHeight w:val="392"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026"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22"/>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405,81</w:t>
            </w:r>
          </w:p>
          <w:p>
            <w:pPr>
              <w:pStyle w:val="TableParagraph"/>
              <w:spacing w:line="240" w:lineRule="auto" w:before="105"/>
              <w:ind w:left="67" w:right="0"/>
              <w:jc w:val="left"/>
              <w:rPr>
                <w:rFonts w:ascii="Times New Roman" w:hAnsi="Times New Roman" w:cs="Times New Roman" w:eastAsia="Times New Roman" w:hint="default"/>
                <w:sz w:val="18"/>
                <w:szCs w:val="18"/>
              </w:rPr>
            </w:pPr>
            <w:r>
              <w:rPr>
                <w:rFonts w:ascii="Times New Roman"/>
                <w:sz w:val="18"/>
              </w:rPr>
              <w:t>2,682.</w:t>
            </w:r>
          </w:p>
          <w:p>
            <w:pPr>
              <w:pStyle w:val="TableParagraph"/>
              <w:spacing w:line="240" w:lineRule="auto" w:before="106"/>
              <w:ind w:left="337"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2,258,0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43,265.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3,139,2</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91.43</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139,717</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,609.26</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8,197,5</w:t>
            </w:r>
          </w:p>
          <w:p>
            <w:pPr>
              <w:pStyle w:val="TableParagraph"/>
              <w:spacing w:line="240" w:lineRule="auto" w:before="106"/>
              <w:ind w:left="192" w:right="0"/>
              <w:jc w:val="center"/>
              <w:rPr>
                <w:rFonts w:ascii="Times New Roman" w:hAnsi="Times New Roman" w:cs="Times New Roman" w:eastAsia="Times New Roman" w:hint="default"/>
                <w:sz w:val="18"/>
                <w:szCs w:val="18"/>
              </w:rPr>
            </w:pPr>
            <w:r>
              <w:rPr>
                <w:rFonts w:ascii="Times New Roman"/>
                <w:sz w:val="18"/>
              </w:rPr>
              <w:t>73.49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2,814,9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10,421.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32</w:t>
            </w: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22"/>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169,054</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,901.59</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8,197,5</w:t>
            </w:r>
          </w:p>
          <w:p>
            <w:pPr>
              <w:pStyle w:val="TableParagraph"/>
              <w:spacing w:line="240" w:lineRule="auto" w:before="106"/>
              <w:ind w:left="192" w:right="0"/>
              <w:jc w:val="center"/>
              <w:rPr>
                <w:rFonts w:ascii="Times New Roman" w:hAnsi="Times New Roman" w:cs="Times New Roman" w:eastAsia="Times New Roman" w:hint="default"/>
                <w:sz w:val="18"/>
                <w:szCs w:val="18"/>
              </w:rPr>
            </w:pPr>
            <w:r>
              <w:rPr>
                <w:rFonts w:ascii="Times New Roman"/>
                <w:sz w:val="18"/>
              </w:rPr>
              <w:t>73.49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177,252</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,475.08</w:t>
            </w:r>
          </w:p>
        </w:tc>
      </w:tr>
      <w:tr>
        <w:trPr>
          <w:trHeight w:val="161"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91,436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,672.0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2,572,4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19,275.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14</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
        </w:tc>
        <w:tc>
          <w:tcPr>
            <w:tcW w:w="652"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2,663,8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55,947.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14</w:t>
            </w:r>
          </w:p>
        </w:tc>
      </w:tr>
      <w:tr>
        <w:trPr>
          <w:trHeight w:val="704"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11" w:right="22"/>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和减少资本</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61"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91,436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,672.0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2,572,4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19,275.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14</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
        </w:tc>
        <w:tc>
          <w:tcPr>
            <w:tcW w:w="652"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2,663,8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55,947.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14</w:t>
            </w:r>
          </w:p>
        </w:tc>
      </w:tr>
      <w:tr>
        <w:trPr>
          <w:trHeight w:val="704"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02" w:lineRule="auto" w:before="51"/>
              <w:ind w:left="11"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3,139,2</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91.43</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-29,337,</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292.33</w:t>
            </w:r>
          </w:p>
        </w:tc>
        <w:tc>
          <w:tcPr>
            <w:tcW w:w="652"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-26,198,</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000.90</w:t>
            </w:r>
          </w:p>
        </w:tc>
      </w:tr>
      <w:tr>
        <w:trPr>
          <w:trHeight w:val="393"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61"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3,139,2</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91.43</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-3,139,2</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91.43</w:t>
            </w:r>
          </w:p>
        </w:tc>
        <w:tc>
          <w:tcPr>
            <w:tcW w:w="652"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
        </w:tc>
      </w:tr>
      <w:tr>
        <w:trPr>
          <w:trHeight w:val="392"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36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-26,198,</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000.90</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-26,198,</w:t>
            </w:r>
          </w:p>
          <w:p>
            <w:pPr>
              <w:pStyle w:val="TableParagraph"/>
              <w:spacing w:line="240" w:lineRule="auto" w:before="105"/>
              <w:ind w:left="107" w:right="0"/>
              <w:jc w:val="center"/>
              <w:rPr>
                <w:rFonts w:ascii="Times New Roman" w:hAnsi="Times New Roman" w:cs="Times New Roman" w:eastAsia="Times New Roman" w:hint="default"/>
                <w:sz w:val="18"/>
                <w:szCs w:val="18"/>
              </w:rPr>
            </w:pPr>
            <w:r>
              <w:rPr>
                <w:rFonts w:ascii="Times New Roman"/>
                <w:sz w:val="18"/>
              </w:rPr>
              <w:t>000.90</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314,37</w:t>
            </w:r>
          </w:p>
          <w:p>
            <w:pPr>
              <w:pStyle w:val="TableParagraph"/>
              <w:spacing w:line="240" w:lineRule="auto" w:before="104"/>
              <w:ind w:left="79" w:right="0"/>
              <w:jc w:val="left"/>
              <w:rPr>
                <w:rFonts w:ascii="Times New Roman" w:hAnsi="Times New Roman" w:cs="Times New Roman" w:eastAsia="Times New Roman" w:hint="default"/>
                <w:sz w:val="18"/>
                <w:szCs w:val="18"/>
              </w:rPr>
            </w:pPr>
            <w:r>
              <w:rPr>
                <w:rFonts w:ascii="Times New Roman"/>
                <w:sz w:val="18"/>
              </w:rPr>
              <w:t>6,010.</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-314,37</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6,010.0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0" w:lineRule="auto"/>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314,37</w:t>
            </w:r>
          </w:p>
          <w:p>
            <w:pPr>
              <w:pStyle w:val="TableParagraph"/>
              <w:spacing w:line="240" w:lineRule="auto" w:before="104"/>
              <w:ind w:left="79" w:right="0"/>
              <w:jc w:val="left"/>
              <w:rPr>
                <w:rFonts w:ascii="Times New Roman" w:hAnsi="Times New Roman" w:cs="Times New Roman" w:eastAsia="Times New Roman" w:hint="default"/>
                <w:sz w:val="18"/>
                <w:szCs w:val="18"/>
              </w:rPr>
            </w:pPr>
            <w:r>
              <w:rPr>
                <w:rFonts w:ascii="Times New Roman"/>
                <w:sz w:val="18"/>
              </w:rPr>
              <w:t>6,010.</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-314,37</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6,010.0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838,33</w:t>
            </w:r>
          </w:p>
          <w:p>
            <w:pPr>
              <w:pStyle w:val="TableParagraph"/>
              <w:spacing w:line="240" w:lineRule="auto" w:before="104"/>
              <w:ind w:left="79" w:right="0"/>
              <w:jc w:val="left"/>
              <w:rPr>
                <w:rFonts w:ascii="Times New Roman" w:hAnsi="Times New Roman" w:cs="Times New Roman" w:eastAsia="Times New Roman" w:hint="default"/>
                <w:sz w:val="18"/>
                <w:szCs w:val="18"/>
              </w:rPr>
            </w:pPr>
            <w:r>
              <w:rPr>
                <w:rFonts w:ascii="Times New Roman"/>
                <w:sz w:val="18"/>
              </w:rPr>
              <w:t>6,028.</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2,558,3</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48,308.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51,093,</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934.97</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848,007</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,653.42</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92,011,</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268.33</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4,387,7</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97,193.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67</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1022"/>
        <w:jc w:val="left"/>
        <w:rPr>
          <w:b w:val="0"/>
          <w:bCs w:val="0"/>
        </w:rPr>
      </w:pPr>
      <w:bookmarkStart w:name="8、母公司所有者权益变动表" w:id="162"/>
      <w:bookmarkEnd w:id="162"/>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022"/>
        <w:jc w:val="left"/>
      </w:pPr>
      <w:r>
        <w:rPr/>
        <w:t>本期金额</w:t>
      </w:r>
    </w:p>
    <w:p>
      <w:pPr>
        <w:pStyle w:val="BodyText"/>
        <w:spacing w:line="240" w:lineRule="auto" w:before="11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30"/>
        <w:gridCol w:w="692"/>
        <w:gridCol w:w="665"/>
        <w:gridCol w:w="665"/>
        <w:gridCol w:w="665"/>
        <w:gridCol w:w="797"/>
        <w:gridCol w:w="798"/>
        <w:gridCol w:w="798"/>
        <w:gridCol w:w="798"/>
        <w:gridCol w:w="797"/>
        <w:gridCol w:w="676"/>
        <w:gridCol w:w="781"/>
      </w:tblGrid>
      <w:tr>
        <w:trPr>
          <w:trHeight w:val="397"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1" w:hRule="exact"/>
        </w:trPr>
        <w:tc>
          <w:tcPr>
            <w:tcW w:w="14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69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1" w:hRule="exact"/>
        </w:trPr>
        <w:tc>
          <w:tcPr>
            <w:tcW w:w="1430" w:type="dxa"/>
            <w:vMerge/>
            <w:tcBorders>
              <w:left w:val="single" w:sz="4" w:space="0" w:color="000000"/>
              <w:bottom w:val="nil" w:sz="6" w:space="0" w:color="auto"/>
              <w:right w:val="single" w:sz="4" w:space="0" w:color="000000"/>
            </w:tcBorders>
            <w:shd w:val="clear" w:color="auto" w:fill="D2D2D2"/>
          </w:tcPr>
          <w:p>
            <w:pPr/>
          </w:p>
        </w:tc>
        <w:tc>
          <w:tcPr>
            <w:tcW w:w="6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6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0" w:hRule="exact"/>
        </w:trPr>
        <w:tc>
          <w:tcPr>
            <w:tcW w:w="1430" w:type="dxa"/>
            <w:vMerge w:val="restart"/>
            <w:tcBorders>
              <w:top w:val="nil" w:sz="6" w:space="0" w:color="auto"/>
              <w:left w:val="single" w:sz="4" w:space="0" w:color="000000"/>
              <w:right w:val="single" w:sz="4" w:space="0" w:color="000000"/>
            </w:tcBorders>
            <w:shd w:val="clear" w:color="auto" w:fill="D2D2D2"/>
          </w:tcPr>
          <w:p>
            <w:pPr/>
          </w:p>
        </w:tc>
        <w:tc>
          <w:tcPr>
            <w:tcW w:w="692"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6" w:hRule="exact"/>
        </w:trPr>
        <w:tc>
          <w:tcPr>
            <w:tcW w:w="1430" w:type="dxa"/>
            <w:vMerge/>
            <w:tcBorders>
              <w:left w:val="single" w:sz="4" w:space="0" w:color="000000"/>
              <w:bottom w:val="single" w:sz="4" w:space="0" w:color="000000"/>
              <w:right w:val="single" w:sz="4" w:space="0" w:color="000000"/>
            </w:tcBorders>
            <w:shd w:val="clear" w:color="auto" w:fill="D2D2D2"/>
          </w:tcPr>
          <w:p>
            <w:pPr/>
          </w:p>
        </w:tc>
        <w:tc>
          <w:tcPr>
            <w:tcW w:w="692"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2" w:type="dxa"/>
            <w:vMerge w:val="restart"/>
            <w:tcBorders>
              <w:top w:val="single" w:sz="4" w:space="0" w:color="000000"/>
              <w:left w:val="single" w:sz="10" w:space="0" w:color="D2D2D2"/>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838,336,</w:t>
            </w:r>
          </w:p>
          <w:p>
            <w:pPr>
              <w:pStyle w:val="TableParagraph"/>
              <w:spacing w:line="240" w:lineRule="auto" w:before="105"/>
              <w:ind w:left="133" w:right="0"/>
              <w:jc w:val="center"/>
              <w:rPr>
                <w:rFonts w:ascii="Times New Roman" w:hAnsi="Times New Roman" w:cs="Times New Roman" w:eastAsia="Times New Roman" w:hint="default"/>
                <w:sz w:val="18"/>
                <w:szCs w:val="18"/>
              </w:rPr>
            </w:pPr>
            <w:r>
              <w:rPr>
                <w:rFonts w:ascii="Times New Roman"/>
                <w:sz w:val="18"/>
              </w:rPr>
              <w:t>028.00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2,662,430</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,356.78</w:t>
            </w:r>
          </w:p>
        </w:tc>
        <w:tc>
          <w:tcPr>
            <w:tcW w:w="798" w:type="dxa"/>
            <w:vMerge w:val="restart"/>
            <w:tcBorders>
              <w:top w:val="single" w:sz="18" w:space="0" w:color="D2D2D2"/>
              <w:left w:val="single" w:sz="4" w:space="0" w:color="000000"/>
              <w:right w:val="single" w:sz="4" w:space="0" w:color="000000"/>
            </w:tcBorders>
          </w:tcPr>
          <w:p>
            <w:pPr/>
          </w:p>
        </w:tc>
        <w:tc>
          <w:tcPr>
            <w:tcW w:w="798" w:type="dxa"/>
            <w:vMerge w:val="restart"/>
            <w:tcBorders>
              <w:top w:val="single" w:sz="18"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51,093,93</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4.97</w:t>
            </w:r>
          </w:p>
        </w:tc>
        <w:tc>
          <w:tcPr>
            <w:tcW w:w="676" w:type="dxa"/>
            <w:vMerge w:val="restart"/>
            <w:tcBorders>
              <w:top w:val="single" w:sz="18" w:space="0" w:color="D2D2D2"/>
              <w:left w:val="single" w:sz="4" w:space="0" w:color="000000"/>
              <w:right w:val="single" w:sz="4" w:space="0" w:color="000000"/>
            </w:tcBorders>
          </w:tcPr>
          <w:p>
            <w:pPr>
              <w:pStyle w:val="TableParagraph"/>
              <w:spacing w:line="240" w:lineRule="auto" w:before="73"/>
              <w:ind w:left="58" w:right="0"/>
              <w:jc w:val="left"/>
              <w:rPr>
                <w:rFonts w:ascii="Times New Roman" w:hAnsi="Times New Roman" w:cs="Times New Roman" w:eastAsia="Times New Roman" w:hint="default"/>
                <w:sz w:val="18"/>
                <w:szCs w:val="18"/>
              </w:rPr>
            </w:pPr>
            <w:r>
              <w:rPr>
                <w:rFonts w:ascii="Times New Roman"/>
                <w:sz w:val="18"/>
              </w:rPr>
              <w:t>173,032</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,492.86</w:t>
            </w:r>
          </w:p>
        </w:tc>
        <w:tc>
          <w:tcPr>
            <w:tcW w:w="781" w:type="dxa"/>
            <w:vMerge w:val="restart"/>
            <w:tcBorders>
              <w:top w:val="single" w:sz="18" w:space="0" w:color="D2D2D2"/>
              <w:left w:val="single" w:sz="4" w:space="0" w:color="000000"/>
              <w:right w:val="single" w:sz="4" w:space="0" w:color="000000"/>
            </w:tcBorders>
          </w:tcPr>
          <w:p>
            <w:pPr>
              <w:pStyle w:val="TableParagraph"/>
              <w:spacing w:line="240" w:lineRule="auto" w:before="73"/>
              <w:ind w:left="4" w:right="0"/>
              <w:jc w:val="center"/>
              <w:rPr>
                <w:rFonts w:ascii="Times New Roman" w:hAnsi="Times New Roman" w:cs="Times New Roman" w:eastAsia="Times New Roman" w:hint="default"/>
                <w:sz w:val="18"/>
                <w:szCs w:val="18"/>
              </w:rPr>
            </w:pPr>
            <w:r>
              <w:rPr>
                <w:rFonts w:ascii="Times New Roman"/>
                <w:sz w:val="18"/>
              </w:rPr>
              <w:t>3,724,892</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,812.61</w:t>
            </w: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2"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2"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21"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2"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tc>
        <w:tc>
          <w:tcPr>
            <w:tcW w:w="692"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36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838,336,</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028.00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2,662,430</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,356.78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51,093,93</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4.97</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173,032</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,492.86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3,724,892</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,812.61</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2,834,026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.72</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0" w:right="0"/>
              <w:jc w:val="center"/>
              <w:rPr>
                <w:rFonts w:ascii="Times New Roman" w:hAnsi="Times New Roman" w:cs="Times New Roman" w:eastAsia="Times New Roman" w:hint="default"/>
                <w:sz w:val="18"/>
                <w:szCs w:val="18"/>
              </w:rPr>
            </w:pPr>
            <w:r>
              <w:rPr>
                <w:rFonts w:ascii="Times New Roman"/>
                <w:sz w:val="18"/>
              </w:rPr>
              <w:t>-16,410,</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560.90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-13,576,5</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34.18</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28,340,</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267.22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28,340,26</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7.22</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2,834,026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.72</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-44,750,</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828.12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-41,916,8</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01.40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2,834,026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.72</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-2,834,0</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26.72</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-41,916,</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801.40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-41,916,8</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01.40</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838,336,</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028.00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2,662,430</w:t>
            </w:r>
          </w:p>
          <w:p>
            <w:pPr>
              <w:pStyle w:val="TableParagraph"/>
              <w:spacing w:line="240" w:lineRule="auto" w:before="106"/>
              <w:ind w:left="202" w:right="0"/>
              <w:jc w:val="center"/>
              <w:rPr>
                <w:rFonts w:ascii="Times New Roman" w:hAnsi="Times New Roman" w:cs="Times New Roman" w:eastAsia="Times New Roman" w:hint="default"/>
                <w:sz w:val="18"/>
                <w:szCs w:val="18"/>
              </w:rPr>
            </w:pPr>
            <w:r>
              <w:rPr>
                <w:rFonts w:ascii="Times New Roman"/>
                <w:sz w:val="18"/>
              </w:rPr>
              <w:t>,356.78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53,927,96</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1.69</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156,621</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,931.96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3,711,316</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,278.43</w:t>
            </w:r>
          </w:p>
        </w:tc>
      </w:tr>
    </w:tbl>
    <w:p>
      <w:pPr>
        <w:pStyle w:val="BodyText"/>
        <w:spacing w:line="240" w:lineRule="auto" w:before="51"/>
        <w:ind w:right="1022"/>
        <w:jc w:val="left"/>
      </w:pPr>
      <w:r>
        <w:rPr/>
        <w:t>上期金额</w:t>
      </w:r>
    </w:p>
    <w:p>
      <w:pPr>
        <w:pStyle w:val="BodyText"/>
        <w:spacing w:line="240" w:lineRule="auto" w:before="117"/>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18"/>
        <w:gridCol w:w="703"/>
        <w:gridCol w:w="665"/>
        <w:gridCol w:w="665"/>
        <w:gridCol w:w="665"/>
        <w:gridCol w:w="797"/>
        <w:gridCol w:w="798"/>
        <w:gridCol w:w="798"/>
        <w:gridCol w:w="798"/>
        <w:gridCol w:w="797"/>
        <w:gridCol w:w="676"/>
        <w:gridCol w:w="781"/>
      </w:tblGrid>
      <w:tr>
        <w:trPr>
          <w:trHeight w:val="397"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1" w:hRule="exact"/>
        </w:trPr>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3" w:hRule="exact"/>
        </w:trPr>
        <w:tc>
          <w:tcPr>
            <w:tcW w:w="1418" w:type="dxa"/>
            <w:vMerge/>
            <w:tcBorders>
              <w:left w:val="single" w:sz="4" w:space="0" w:color="000000"/>
              <w:bottom w:val="nil" w:sz="6" w:space="0" w:color="auto"/>
              <w:right w:val="single" w:sz="4" w:space="0" w:color="000000"/>
            </w:tcBorders>
            <w:shd w:val="clear" w:color="auto" w:fill="D2D2D2"/>
          </w:tcPr>
          <w:p>
            <w:pPr/>
          </w:p>
        </w:tc>
        <w:tc>
          <w:tcPr>
            <w:tcW w:w="70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199" w:hRule="exact"/>
        </w:trPr>
        <w:tc>
          <w:tcPr>
            <w:tcW w:w="1418" w:type="dxa"/>
            <w:vMerge w:val="restart"/>
            <w:tcBorders>
              <w:top w:val="nil" w:sz="6" w:space="0" w:color="auto"/>
              <w:left w:val="single" w:sz="4" w:space="0" w:color="000000"/>
              <w:right w:val="single" w:sz="4" w:space="0" w:color="000000"/>
            </w:tcBorders>
            <w:shd w:val="clear" w:color="auto" w:fill="D2D2D2"/>
          </w:tcPr>
          <w:p>
            <w:pPr/>
          </w:p>
        </w:tc>
        <w:tc>
          <w:tcPr>
            <w:tcW w:w="703"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5"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70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2"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2"/>
              <w:ind w:left="8" w:right="0"/>
              <w:jc w:val="center"/>
              <w:rPr>
                <w:rFonts w:ascii="Times New Roman" w:hAnsi="Times New Roman" w:cs="Times New Roman" w:eastAsia="Times New Roman" w:hint="default"/>
                <w:sz w:val="18"/>
                <w:szCs w:val="18"/>
              </w:rPr>
            </w:pPr>
            <w:r>
              <w:rPr>
                <w:rFonts w:ascii="Times New Roman"/>
                <w:sz w:val="18"/>
              </w:rPr>
              <w:t>432,523,</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346.00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404,387,0</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91.64</w:t>
            </w: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47,954,64</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3.54</w:t>
            </w:r>
          </w:p>
        </w:tc>
        <w:tc>
          <w:tcPr>
            <w:tcW w:w="676" w:type="dxa"/>
            <w:vMerge w:val="restart"/>
            <w:tcBorders>
              <w:top w:val="single" w:sz="22" w:space="0" w:color="D2D2D2"/>
              <w:left w:val="single" w:sz="4" w:space="0" w:color="000000"/>
              <w:right w:val="single" w:sz="4" w:space="0" w:color="000000"/>
            </w:tcBorders>
          </w:tcPr>
          <w:p>
            <w:pPr>
              <w:pStyle w:val="TableParagraph"/>
              <w:spacing w:line="240" w:lineRule="auto" w:before="70"/>
              <w:ind w:left="58" w:right="0"/>
              <w:jc w:val="left"/>
              <w:rPr>
                <w:rFonts w:ascii="Times New Roman" w:hAnsi="Times New Roman" w:cs="Times New Roman" w:eastAsia="Times New Roman" w:hint="default"/>
                <w:sz w:val="18"/>
                <w:szCs w:val="18"/>
              </w:rPr>
            </w:pPr>
            <w:r>
              <w:rPr>
                <w:rFonts w:ascii="Times New Roman"/>
                <w:sz w:val="18"/>
              </w:rPr>
              <w:t>170,976</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,870.94</w:t>
            </w:r>
          </w:p>
        </w:tc>
        <w:tc>
          <w:tcPr>
            <w:tcW w:w="781" w:type="dxa"/>
            <w:vMerge w:val="restart"/>
            <w:tcBorders>
              <w:top w:val="single" w:sz="22" w:space="0" w:color="D2D2D2"/>
              <w:left w:val="single" w:sz="4" w:space="0" w:color="000000"/>
              <w:right w:val="single" w:sz="4" w:space="0" w:color="000000"/>
            </w:tcBorders>
          </w:tcPr>
          <w:p>
            <w:pPr>
              <w:pStyle w:val="TableParagraph"/>
              <w:spacing w:line="240" w:lineRule="auto" w:before="70"/>
              <w:ind w:left="4" w:right="0"/>
              <w:jc w:val="center"/>
              <w:rPr>
                <w:rFonts w:ascii="Times New Roman" w:hAnsi="Times New Roman" w:cs="Times New Roman" w:eastAsia="Times New Roman" w:hint="default"/>
                <w:sz w:val="18"/>
                <w:szCs w:val="18"/>
              </w:rPr>
            </w:pPr>
            <w:r>
              <w:rPr>
                <w:rFonts w:ascii="Times New Roman"/>
                <w:sz w:val="18"/>
              </w:rPr>
              <w:t>1,055,841</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,952.12</w:t>
            </w:r>
          </w:p>
        </w:tc>
      </w:tr>
      <w:tr>
        <w:trPr>
          <w:trHeight w:val="391"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2"/>
              <w:ind w:left="8" w:right="0"/>
              <w:jc w:val="center"/>
              <w:rPr>
                <w:rFonts w:ascii="Times New Roman" w:hAnsi="Times New Roman" w:cs="Times New Roman" w:eastAsia="Times New Roman" w:hint="default"/>
                <w:sz w:val="18"/>
                <w:szCs w:val="18"/>
              </w:rPr>
            </w:pPr>
            <w:r>
              <w:rPr>
                <w:rFonts w:ascii="Times New Roman"/>
                <w:sz w:val="18"/>
              </w:rPr>
              <w:t>432,523,</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346.00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404,387,0</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91.64</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47,954,64</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3.54</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2"/>
              <w:ind w:left="58" w:right="0"/>
              <w:jc w:val="left"/>
              <w:rPr>
                <w:rFonts w:ascii="Times New Roman" w:hAnsi="Times New Roman" w:cs="Times New Roman" w:eastAsia="Times New Roman" w:hint="default"/>
                <w:sz w:val="18"/>
                <w:szCs w:val="18"/>
              </w:rPr>
            </w:pPr>
            <w:r>
              <w:rPr>
                <w:rFonts w:ascii="Times New Roman"/>
                <w:sz w:val="18"/>
              </w:rPr>
              <w:t>170,976</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,870.94</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2"/>
              <w:ind w:left="4" w:right="0"/>
              <w:jc w:val="center"/>
              <w:rPr>
                <w:rFonts w:ascii="Times New Roman" w:hAnsi="Times New Roman" w:cs="Times New Roman" w:eastAsia="Times New Roman" w:hint="default"/>
                <w:sz w:val="18"/>
                <w:szCs w:val="18"/>
              </w:rPr>
            </w:pPr>
            <w:r>
              <w:rPr>
                <w:rFonts w:ascii="Times New Roman"/>
                <w:sz w:val="18"/>
              </w:rPr>
              <w:t>1,055,841</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,952.12</w:t>
            </w:r>
          </w:p>
        </w:tc>
      </w:tr>
      <w:tr>
        <w:trPr>
          <w:trHeight w:val="391"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2"/>
              <w:ind w:left="11" w:right="9"/>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7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405,812,</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682.00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center"/>
              <w:rPr>
                <w:rFonts w:ascii="Times New Roman" w:hAnsi="Times New Roman" w:cs="Times New Roman" w:eastAsia="Times New Roman" w:hint="default"/>
                <w:sz w:val="18"/>
                <w:szCs w:val="18"/>
              </w:rPr>
            </w:pPr>
            <w:r>
              <w:rPr>
                <w:rFonts w:ascii="Times New Roman"/>
                <w:sz w:val="18"/>
              </w:rPr>
              <w:t>2,258,043</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,265.14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3,139,291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.43</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z w:val="18"/>
              </w:rPr>
              <w:t>2,055,6</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21.92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2,669,050</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,860.49</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0"/>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31,392,</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914.25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31,392,91</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4.25</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0"/>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7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91,436,6</w:t>
            </w:r>
          </w:p>
          <w:p>
            <w:pPr>
              <w:pStyle w:val="TableParagraph"/>
              <w:spacing w:line="240" w:lineRule="auto" w:before="105"/>
              <w:ind w:left="253" w:right="0"/>
              <w:jc w:val="left"/>
              <w:rPr>
                <w:rFonts w:ascii="Times New Roman" w:hAnsi="Times New Roman" w:cs="Times New Roman" w:eastAsia="Times New Roman" w:hint="default"/>
                <w:sz w:val="18"/>
                <w:szCs w:val="18"/>
              </w:rPr>
            </w:pPr>
            <w:r>
              <w:rPr>
                <w:rFonts w:ascii="Times New Roman"/>
                <w:sz w:val="18"/>
              </w:rPr>
              <w:t>72.00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center"/>
              <w:rPr>
                <w:rFonts w:ascii="Times New Roman" w:hAnsi="Times New Roman" w:cs="Times New Roman" w:eastAsia="Times New Roman" w:hint="default"/>
                <w:sz w:val="18"/>
                <w:szCs w:val="18"/>
              </w:rPr>
            </w:pPr>
            <w:r>
              <w:rPr>
                <w:rFonts w:ascii="Times New Roman"/>
                <w:sz w:val="18"/>
              </w:rPr>
              <w:t>2,572,419</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,275.14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 w:right="0"/>
              <w:jc w:val="center"/>
              <w:rPr>
                <w:rFonts w:ascii="Times New Roman" w:hAnsi="Times New Roman" w:cs="Times New Roman" w:eastAsia="Times New Roman" w:hint="default"/>
                <w:sz w:val="18"/>
                <w:szCs w:val="18"/>
              </w:rPr>
            </w:pPr>
            <w:r>
              <w:rPr>
                <w:rFonts w:ascii="Times New Roman"/>
                <w:sz w:val="18"/>
              </w:rPr>
              <w:t>2,663,855</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,947.14</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7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91,436,6</w:t>
            </w:r>
          </w:p>
          <w:p>
            <w:pPr>
              <w:pStyle w:val="TableParagraph"/>
              <w:spacing w:line="240" w:lineRule="auto" w:before="105"/>
              <w:ind w:left="253" w:right="0"/>
              <w:jc w:val="left"/>
              <w:rPr>
                <w:rFonts w:ascii="Times New Roman" w:hAnsi="Times New Roman" w:cs="Times New Roman" w:eastAsia="Times New Roman" w:hint="default"/>
                <w:sz w:val="18"/>
                <w:szCs w:val="18"/>
              </w:rPr>
            </w:pPr>
            <w:r>
              <w:rPr>
                <w:rFonts w:ascii="Times New Roman"/>
                <w:sz w:val="18"/>
              </w:rPr>
              <w:t>72.00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center"/>
              <w:rPr>
                <w:rFonts w:ascii="Times New Roman" w:hAnsi="Times New Roman" w:cs="Times New Roman" w:eastAsia="Times New Roman" w:hint="default"/>
                <w:sz w:val="18"/>
                <w:szCs w:val="18"/>
              </w:rPr>
            </w:pPr>
            <w:r>
              <w:rPr>
                <w:rFonts w:ascii="Times New Roman"/>
                <w:sz w:val="18"/>
              </w:rPr>
              <w:t>2,572,419</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,275.14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 w:right="0"/>
              <w:jc w:val="center"/>
              <w:rPr>
                <w:rFonts w:ascii="Times New Roman" w:hAnsi="Times New Roman" w:cs="Times New Roman" w:eastAsia="Times New Roman" w:hint="default"/>
                <w:sz w:val="18"/>
                <w:szCs w:val="18"/>
              </w:rPr>
            </w:pPr>
            <w:r>
              <w:rPr>
                <w:rFonts w:ascii="Times New Roman"/>
                <w:sz w:val="18"/>
              </w:rPr>
              <w:t>2,663,855</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,947.14</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2"/>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3,139,291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.43</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2"/>
              <w:ind w:left="20" w:right="0"/>
              <w:jc w:val="center"/>
              <w:rPr>
                <w:rFonts w:ascii="Times New Roman" w:hAnsi="Times New Roman" w:cs="Times New Roman" w:eastAsia="Times New Roman" w:hint="default"/>
                <w:sz w:val="18"/>
                <w:szCs w:val="18"/>
              </w:rPr>
            </w:pPr>
            <w:r>
              <w:rPr>
                <w:rFonts w:ascii="Times New Roman"/>
                <w:sz w:val="18"/>
              </w:rPr>
              <w:t>-29,337,</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292.33</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2"/>
              <w:ind w:left="57" w:right="0"/>
              <w:jc w:val="left"/>
              <w:rPr>
                <w:rFonts w:ascii="Times New Roman" w:hAnsi="Times New Roman" w:cs="Times New Roman" w:eastAsia="Times New Roman" w:hint="default"/>
                <w:sz w:val="18"/>
                <w:szCs w:val="18"/>
              </w:rPr>
            </w:pPr>
            <w:r>
              <w:rPr>
                <w:rFonts w:ascii="Times New Roman"/>
                <w:sz w:val="18"/>
              </w:rPr>
              <w:t>-26,198,0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00.90</w:t>
            </w:r>
          </w:p>
        </w:tc>
      </w:tr>
      <w:tr>
        <w:trPr>
          <w:trHeight w:val="391"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2"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3,139,291</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.43</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-3,139,2</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91.43</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-26,198,</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000.90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-26,198,0</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00.90</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314,376,</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010.00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-314,376,</w:t>
            </w:r>
          </w:p>
          <w:p>
            <w:pPr>
              <w:pStyle w:val="TableParagraph"/>
              <w:spacing w:line="240" w:lineRule="auto" w:before="106"/>
              <w:ind w:left="248" w:right="0"/>
              <w:jc w:val="center"/>
              <w:rPr>
                <w:rFonts w:ascii="Times New Roman" w:hAnsi="Times New Roman" w:cs="Times New Roman" w:eastAsia="Times New Roman" w:hint="default"/>
                <w:sz w:val="18"/>
                <w:szCs w:val="18"/>
              </w:rPr>
            </w:pPr>
            <w:r>
              <w:rPr>
                <w:rFonts w:ascii="Times New Roman"/>
                <w:sz w:val="18"/>
              </w:rPr>
              <w:t>010.00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314,376,</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010.00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-314,376,</w:t>
            </w:r>
          </w:p>
          <w:p>
            <w:pPr>
              <w:pStyle w:val="TableParagraph"/>
              <w:spacing w:line="240" w:lineRule="auto" w:before="106"/>
              <w:ind w:left="248" w:right="0"/>
              <w:jc w:val="center"/>
              <w:rPr>
                <w:rFonts w:ascii="Times New Roman" w:hAnsi="Times New Roman" w:cs="Times New Roman" w:eastAsia="Times New Roman" w:hint="default"/>
                <w:sz w:val="18"/>
                <w:szCs w:val="18"/>
              </w:rPr>
            </w:pPr>
            <w:r>
              <w:rPr>
                <w:rFonts w:ascii="Times New Roman"/>
                <w:sz w:val="18"/>
              </w:rPr>
              <w:t>010.00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838,336,</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028.00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2,662,430</w:t>
            </w:r>
          </w:p>
          <w:p>
            <w:pPr>
              <w:pStyle w:val="TableParagraph"/>
              <w:spacing w:line="240" w:lineRule="auto" w:before="106"/>
              <w:ind w:left="202" w:right="0"/>
              <w:jc w:val="center"/>
              <w:rPr>
                <w:rFonts w:ascii="Times New Roman" w:hAnsi="Times New Roman" w:cs="Times New Roman" w:eastAsia="Times New Roman" w:hint="default"/>
                <w:sz w:val="18"/>
                <w:szCs w:val="18"/>
              </w:rPr>
            </w:pPr>
            <w:r>
              <w:rPr>
                <w:rFonts w:ascii="Times New Roman"/>
                <w:sz w:val="18"/>
              </w:rPr>
              <w:t>,356.78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51,093,93</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4.97</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173,032</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,492.86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3,724,892</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,812.61</w:t>
            </w:r>
          </w:p>
        </w:tc>
      </w:tr>
    </w:tbl>
    <w:p>
      <w:pPr>
        <w:spacing w:line="240" w:lineRule="auto" w:before="2"/>
        <w:rPr>
          <w:rFonts w:ascii="宋体" w:hAnsi="宋体" w:cs="宋体" w:eastAsia="宋体" w:hint="default"/>
          <w:sz w:val="18"/>
          <w:szCs w:val="18"/>
        </w:rPr>
      </w:pPr>
    </w:p>
    <w:p>
      <w:pPr>
        <w:pStyle w:val="Heading2"/>
        <w:spacing w:line="240" w:lineRule="auto" w:before="26"/>
        <w:ind w:right="0"/>
        <w:jc w:val="both"/>
        <w:rPr>
          <w:b w:val="0"/>
          <w:bCs w:val="0"/>
        </w:rPr>
      </w:pPr>
      <w:bookmarkStart w:name="三、公司基本情况" w:id="163"/>
      <w:bookmarkEnd w:id="163"/>
      <w:r>
        <w:rPr>
          <w:b w:val="0"/>
          <w:bCs w:val="0"/>
        </w:rPr>
      </w:r>
      <w:r>
        <w:rPr/>
        <w:t>三、公司基本情况</w:t>
      </w:r>
      <w:r>
        <w:rPr>
          <w:b w:val="0"/>
          <w:bCs w:val="0"/>
        </w:rPr>
      </w:r>
    </w:p>
    <w:p>
      <w:pPr>
        <w:spacing w:line="240" w:lineRule="auto" w:before="7"/>
        <w:rPr>
          <w:rFonts w:ascii="宋体" w:hAnsi="宋体" w:cs="宋体" w:eastAsia="宋体" w:hint="default"/>
          <w:b/>
          <w:bCs/>
          <w:sz w:val="24"/>
          <w:szCs w:val="24"/>
        </w:rPr>
      </w:pPr>
    </w:p>
    <w:p>
      <w:pPr>
        <w:spacing w:line="273" w:lineRule="auto" w:before="0"/>
        <w:ind w:left="574" w:right="1022" w:hanging="8"/>
        <w:jc w:val="left"/>
        <w:rPr>
          <w:rFonts w:ascii="Times New Roman" w:hAnsi="Times New Roman" w:cs="Times New Roman" w:eastAsia="Times New Roman"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公司历史沿革、注册地、组织形式和总部地址</w:t>
      </w:r>
      <w:r>
        <w:rPr>
          <w:rFonts w:ascii="宋体" w:hAnsi="宋体" w:cs="宋体" w:eastAsia="宋体" w:hint="default"/>
          <w:b/>
          <w:bCs/>
          <w:w w:val="99"/>
          <w:sz w:val="21"/>
          <w:szCs w:val="21"/>
        </w:rPr>
        <w:t> </w:t>
      </w:r>
      <w:r>
        <w:rPr>
          <w:rFonts w:ascii="宋体" w:hAnsi="宋体" w:cs="宋体" w:eastAsia="宋体" w:hint="default"/>
          <w:spacing w:val="2"/>
          <w:sz w:val="21"/>
          <w:szCs w:val="21"/>
        </w:rPr>
        <w:t>成都卫士通信息产业股份有限公司（以下简称</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卫士通公司</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或</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本公司</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公司</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）是于</w:t>
      </w:r>
      <w:r>
        <w:rPr>
          <w:rFonts w:ascii="Times New Roman" w:hAnsi="Times New Roman" w:cs="Times New Roman" w:eastAsia="Times New Roman" w:hint="default"/>
          <w:spacing w:val="2"/>
          <w:sz w:val="21"/>
          <w:szCs w:val="21"/>
        </w:rPr>
        <w:t>1998</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3</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12</w:t>
      </w:r>
    </w:p>
    <w:p>
      <w:pPr>
        <w:pStyle w:val="Heading4"/>
        <w:spacing w:line="256" w:lineRule="auto" w:before="0"/>
        <w:ind w:right="1130"/>
        <w:jc w:val="both"/>
      </w:pPr>
      <w:r>
        <w:rPr/>
        <w:t>日经成都市经济体制改革委员会</w:t>
      </w:r>
      <w:r>
        <w:rPr>
          <w:rFonts w:ascii="Times New Roman" w:hAnsi="Times New Roman" w:cs="Times New Roman" w:eastAsia="Times New Roman" w:hint="default"/>
        </w:rPr>
        <w:t>“</w:t>
      </w:r>
      <w:r>
        <w:rPr/>
        <w:t>成体改</w:t>
      </w:r>
      <w:r>
        <w:rPr>
          <w:rFonts w:ascii="Times New Roman" w:hAnsi="Times New Roman" w:cs="Times New Roman" w:eastAsia="Times New Roman" w:hint="default"/>
        </w:rPr>
        <w:t>[1998]</w:t>
      </w:r>
      <w:r>
        <w:rPr/>
        <w:t>第</w:t>
      </w:r>
      <w:r>
        <w:rPr>
          <w:rFonts w:ascii="Times New Roman" w:hAnsi="Times New Roman" w:cs="Times New Roman" w:eastAsia="Times New Roman" w:hint="default"/>
        </w:rPr>
        <w:t>28</w:t>
      </w:r>
      <w:r>
        <w:rPr/>
        <w:t>号</w:t>
      </w:r>
      <w:r>
        <w:rPr>
          <w:rFonts w:ascii="Times New Roman" w:hAnsi="Times New Roman" w:cs="Times New Roman" w:eastAsia="Times New Roman" w:hint="default"/>
        </w:rPr>
        <w:t>”</w:t>
      </w:r>
      <w:r>
        <w:rPr/>
        <w:t>批准成立的股份有限公司。公司由中国电子科技集</w:t>
      </w:r>
      <w:r>
        <w:rPr>
          <w:spacing w:val="-45"/>
        </w:rPr>
        <w:t> </w:t>
      </w:r>
      <w:r>
        <w:rPr>
          <w:spacing w:val="-45"/>
        </w:rPr>
      </w:r>
      <w:r>
        <w:rPr/>
        <w:t>团公司第三十研究所（以下或称</w:t>
      </w:r>
      <w:r>
        <w:rPr>
          <w:rFonts w:ascii="Times New Roman" w:hAnsi="Times New Roman" w:cs="Times New Roman" w:eastAsia="Times New Roman" w:hint="default"/>
        </w:rPr>
        <w:t>“</w:t>
      </w:r>
      <w:r>
        <w:rPr/>
        <w:t>三十所</w:t>
      </w:r>
      <w:r>
        <w:rPr>
          <w:rFonts w:ascii="Times New Roman" w:hAnsi="Times New Roman" w:cs="Times New Roman" w:eastAsia="Times New Roman" w:hint="default"/>
        </w:rPr>
        <w:t>”</w:t>
      </w:r>
      <w:r>
        <w:rPr/>
        <w:t>）、西南通信研究所、成都西通开发公司及</w:t>
      </w:r>
      <w:r>
        <w:rPr>
          <w:rFonts w:ascii="Times New Roman" w:hAnsi="Times New Roman" w:cs="Times New Roman" w:eastAsia="Times New Roman" w:hint="default"/>
        </w:rPr>
        <w:t>1418</w:t>
      </w:r>
      <w:r>
        <w:rPr/>
        <w:t>名自然人共同出 资以发起设立方式组建，公司注册资本为人民币</w:t>
      </w:r>
      <w:r>
        <w:rPr>
          <w:rFonts w:ascii="Times New Roman" w:hAnsi="Times New Roman" w:cs="Times New Roman" w:eastAsia="Times New Roman" w:hint="default"/>
        </w:rPr>
        <w:t>1,201.00</w:t>
      </w:r>
      <w:r>
        <w:rPr/>
        <w:t>万元。经过历年实施的分配方案，截至</w:t>
      </w:r>
      <w:r>
        <w:rPr>
          <w:rFonts w:ascii="Times New Roman" w:hAnsi="Times New Roman" w:cs="Times New Roman" w:eastAsia="Times New Roman" w:hint="default"/>
        </w:rPr>
        <w:t>2004</w:t>
      </w:r>
      <w:r>
        <w:rPr/>
        <w:t>年</w:t>
      </w:r>
      <w:r>
        <w:rPr>
          <w:rFonts w:ascii="Times New Roman" w:hAnsi="Times New Roman" w:cs="Times New Roman" w:eastAsia="Times New Roman" w:hint="default"/>
        </w:rPr>
        <w:t>12</w:t>
      </w:r>
      <w:r>
        <w:rPr>
          <w:rFonts w:ascii="Times New Roman" w:hAnsi="Times New Roman" w:cs="Times New Roman" w:eastAsia="Times New Roman" w:hint="default"/>
          <w:spacing w:val="26"/>
        </w:rPr>
        <w:t> </w:t>
      </w:r>
      <w:r>
        <w:rPr/>
        <w:t>月</w:t>
      </w:r>
      <w:r>
        <w:rPr>
          <w:rFonts w:ascii="Times New Roman" w:hAnsi="Times New Roman" w:cs="Times New Roman" w:eastAsia="Times New Roman" w:hint="default"/>
        </w:rPr>
        <w:t>31</w:t>
      </w:r>
      <w:r>
        <w:rPr/>
        <w:t>日，公司总股本变更为</w:t>
      </w:r>
      <w:r>
        <w:rPr>
          <w:rFonts w:ascii="Times New Roman" w:hAnsi="Times New Roman" w:cs="Times New Roman" w:eastAsia="Times New Roman" w:hint="default"/>
        </w:rPr>
        <w:t>50,098,705</w:t>
      </w:r>
      <w:r>
        <w:rPr/>
        <w:t>股。</w:t>
      </w:r>
    </w:p>
    <w:p>
      <w:pPr>
        <w:pStyle w:val="Heading4"/>
        <w:spacing w:line="256" w:lineRule="auto" w:before="5"/>
        <w:ind w:right="1132" w:firstLine="441"/>
        <w:jc w:val="both"/>
      </w:pPr>
      <w:r>
        <w:rPr/>
        <w:t>根据公司</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27</w:t>
      </w:r>
      <w:r>
        <w:rPr/>
        <w:t>日召开的</w:t>
      </w:r>
      <w:r>
        <w:rPr>
          <w:rFonts w:ascii="Times New Roman" w:hAnsi="Times New Roman" w:cs="Times New Roman" w:eastAsia="Times New Roman" w:hint="default"/>
        </w:rPr>
        <w:t>2007</w:t>
      </w:r>
      <w:r>
        <w:rPr/>
        <w:t>年第三次临时股东大会决议和中国证券监督管理委员会</w:t>
      </w:r>
      <w:r>
        <w:rPr>
          <w:rFonts w:ascii="Times New Roman" w:hAnsi="Times New Roman" w:cs="Times New Roman" w:eastAsia="Times New Roman" w:hint="default"/>
        </w:rPr>
        <w:t>“</w:t>
      </w:r>
      <w:r>
        <w:rPr/>
        <w:t>证监许 </w:t>
      </w:r>
      <w:r>
        <w:rPr>
          <w:spacing w:val="-2"/>
        </w:rPr>
        <w:t>可</w:t>
      </w:r>
      <w:r>
        <w:rPr>
          <w:rFonts w:ascii="Times New Roman" w:hAnsi="Times New Roman" w:cs="Times New Roman" w:eastAsia="Times New Roman" w:hint="default"/>
          <w:spacing w:val="-2"/>
        </w:rPr>
        <w:t>[2008]926</w:t>
      </w:r>
      <w:r>
        <w:rPr>
          <w:spacing w:val="-2"/>
        </w:rPr>
        <w:t>号</w:t>
      </w:r>
      <w:r>
        <w:rPr>
          <w:rFonts w:ascii="Times New Roman" w:hAnsi="Times New Roman" w:cs="Times New Roman" w:eastAsia="Times New Roman" w:hint="default"/>
          <w:spacing w:val="-2"/>
        </w:rPr>
        <w:t>”</w:t>
      </w:r>
      <w:r>
        <w:rPr>
          <w:spacing w:val="-2"/>
        </w:rPr>
        <w:t>文核准，公司于</w:t>
      </w:r>
      <w:r>
        <w:rPr>
          <w:rFonts w:ascii="Times New Roman" w:hAnsi="Times New Roman" w:cs="Times New Roman" w:eastAsia="Times New Roman" w:hint="default"/>
          <w:spacing w:val="-2"/>
        </w:rPr>
        <w:t>2008</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30</w:t>
      </w:r>
      <w:r>
        <w:rPr>
          <w:spacing w:val="-2"/>
        </w:rPr>
        <w:t>日首次公开发行</w:t>
      </w:r>
      <w:r>
        <w:rPr>
          <w:rFonts w:ascii="Times New Roman" w:hAnsi="Times New Roman" w:cs="Times New Roman" w:eastAsia="Times New Roman" w:hint="default"/>
          <w:spacing w:val="-2"/>
        </w:rPr>
        <w:t>17,000,000</w:t>
      </w:r>
      <w:r>
        <w:rPr>
          <w:spacing w:val="-2"/>
        </w:rPr>
        <w:t>股人民币普通股（</w:t>
      </w:r>
      <w:r>
        <w:rPr>
          <w:rFonts w:ascii="Times New Roman" w:hAnsi="Times New Roman" w:cs="Times New Roman" w:eastAsia="Times New Roman" w:hint="default"/>
          <w:spacing w:val="-2"/>
        </w:rPr>
        <w:t>A</w:t>
      </w:r>
      <w:r>
        <w:rPr>
          <w:spacing w:val="-2"/>
        </w:rPr>
        <w:t>股），发行价格</w:t>
      </w:r>
      <w:r>
        <w:rPr>
          <w:spacing w:val="-83"/>
        </w:rPr>
        <w:t> </w:t>
      </w:r>
      <w:r>
        <w:rPr>
          <w:spacing w:val="-83"/>
        </w:rPr>
      </w:r>
      <w:r>
        <w:rPr/>
        <w:t>为</w:t>
      </w:r>
      <w:r>
        <w:rPr>
          <w:rFonts w:ascii="Times New Roman" w:hAnsi="Times New Roman" w:cs="Times New Roman" w:eastAsia="Times New Roman" w:hint="default"/>
        </w:rPr>
        <w:t>12.12</w:t>
      </w:r>
      <w:r>
        <w:rPr/>
        <w:t>元</w:t>
      </w:r>
      <w:r>
        <w:rPr>
          <w:rFonts w:ascii="Times New Roman" w:hAnsi="Times New Roman" w:cs="Times New Roman" w:eastAsia="Times New Roman" w:hint="default"/>
        </w:rPr>
        <w:t>/</w:t>
      </w:r>
      <w:r>
        <w:rPr/>
        <w:t>股。公司申请增加股本</w:t>
      </w:r>
      <w:r>
        <w:rPr>
          <w:rFonts w:ascii="Times New Roman" w:hAnsi="Times New Roman" w:cs="Times New Roman" w:eastAsia="Times New Roman" w:hint="default"/>
        </w:rPr>
        <w:t>17,000,000</w:t>
      </w:r>
      <w:r>
        <w:rPr/>
        <w:t>股，变更后公司总股本增至</w:t>
      </w:r>
      <w:r>
        <w:rPr>
          <w:rFonts w:ascii="Times New Roman" w:hAnsi="Times New Roman" w:cs="Times New Roman" w:eastAsia="Times New Roman" w:hint="default"/>
        </w:rPr>
        <w:t>67,098,705</w:t>
      </w:r>
      <w:r>
        <w:rPr/>
        <w:t>股。</w:t>
      </w:r>
    </w:p>
    <w:p>
      <w:pPr>
        <w:pStyle w:val="Heading4"/>
        <w:spacing w:line="256" w:lineRule="auto" w:before="5"/>
        <w:ind w:right="1133" w:firstLine="423"/>
        <w:jc w:val="both"/>
      </w:pPr>
      <w:r>
        <w:rPr>
          <w:rFonts w:ascii="Times New Roman" w:hAnsi="Times New Roman" w:cs="Times New Roman" w:eastAsia="Times New Roman" w:hint="default"/>
        </w:rPr>
        <w:t>2009</w:t>
      </w:r>
      <w:r>
        <w:rPr/>
        <w:t>年公司实施了</w:t>
      </w:r>
      <w:r>
        <w:rPr>
          <w:rFonts w:ascii="Times New Roman" w:hAnsi="Times New Roman" w:cs="Times New Roman" w:eastAsia="Times New Roman" w:hint="default"/>
        </w:rPr>
        <w:t>2008</w:t>
      </w:r>
      <w:r>
        <w:rPr/>
        <w:t>年年度利润分配方案，以</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日总股本</w:t>
      </w:r>
      <w:r>
        <w:rPr>
          <w:rFonts w:ascii="Times New Roman" w:hAnsi="Times New Roman" w:cs="Times New Roman" w:eastAsia="Times New Roman" w:hint="default"/>
        </w:rPr>
        <w:t>67,098,705</w:t>
      </w:r>
      <w:r>
        <w:rPr/>
        <w:t>股为基数，以资本 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2</w:t>
      </w:r>
      <w:r>
        <w:rPr/>
        <w:t>股，变更后公司总股本增至</w:t>
      </w:r>
      <w:r>
        <w:rPr>
          <w:rFonts w:ascii="Times New Roman" w:hAnsi="Times New Roman" w:cs="Times New Roman" w:eastAsia="Times New Roman" w:hint="default"/>
        </w:rPr>
        <w:t>80,518,446</w:t>
      </w:r>
      <w:r>
        <w:rPr/>
        <w:t>股。</w:t>
      </w:r>
    </w:p>
    <w:p>
      <w:pPr>
        <w:pStyle w:val="Heading4"/>
        <w:spacing w:line="256" w:lineRule="auto" w:before="5"/>
        <w:ind w:right="1133" w:firstLine="423"/>
        <w:jc w:val="both"/>
      </w:pPr>
      <w:r>
        <w:rPr>
          <w:rFonts w:ascii="Times New Roman" w:hAnsi="Times New Roman" w:cs="Times New Roman" w:eastAsia="Times New Roman" w:hint="default"/>
        </w:rPr>
        <w:t>2010</w:t>
      </w:r>
      <w:r>
        <w:rPr/>
        <w:t>年公司实施了</w:t>
      </w:r>
      <w:r>
        <w:rPr>
          <w:rFonts w:ascii="Times New Roman" w:hAnsi="Times New Roman" w:cs="Times New Roman" w:eastAsia="Times New Roman" w:hint="default"/>
        </w:rPr>
        <w:t>2009</w:t>
      </w:r>
      <w:r>
        <w:rPr/>
        <w:t>年年度利润分配方案，以</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日总股本</w:t>
      </w:r>
      <w:r>
        <w:rPr>
          <w:rFonts w:ascii="Times New Roman" w:hAnsi="Times New Roman" w:cs="Times New Roman" w:eastAsia="Times New Roman" w:hint="default"/>
        </w:rPr>
        <w:t>80,518,446</w:t>
      </w:r>
      <w:r>
        <w:rPr/>
        <w:t>股为基数，以资本 公积金和未分配利润向全体股东每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6.5</w:t>
      </w:r>
      <w:r>
        <w:rPr/>
        <w:t>股，变更后公司总股本增至</w:t>
      </w:r>
      <w:r>
        <w:rPr>
          <w:rFonts w:ascii="Times New Roman" w:hAnsi="Times New Roman" w:cs="Times New Roman" w:eastAsia="Times New Roman" w:hint="default"/>
        </w:rPr>
        <w:t>132,855,435</w:t>
      </w:r>
      <w:r>
        <w:rPr/>
        <w:t>股。</w:t>
      </w:r>
    </w:p>
    <w:p>
      <w:pPr>
        <w:pStyle w:val="Heading4"/>
        <w:spacing w:line="240" w:lineRule="auto" w:before="5"/>
        <w:ind w:left="577" w:right="1022"/>
        <w:jc w:val="left"/>
      </w:pPr>
      <w:r>
        <w:rPr>
          <w:rFonts w:ascii="Times New Roman" w:hAnsi="Times New Roman" w:cs="Times New Roman" w:eastAsia="Times New Roman" w:hint="default"/>
        </w:rPr>
        <w:t>2011</w:t>
      </w:r>
      <w:r>
        <w:rPr/>
        <w:t>年公司实施了</w:t>
      </w:r>
      <w:r>
        <w:rPr>
          <w:rFonts w:ascii="Times New Roman" w:hAnsi="Times New Roman" w:cs="Times New Roman" w:eastAsia="Times New Roman" w:hint="default"/>
        </w:rPr>
        <w:t>2010</w:t>
      </w:r>
      <w:r>
        <w:rPr/>
        <w:t>年年度利润分配方案，以</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日总股本</w:t>
      </w:r>
      <w:r>
        <w:rPr>
          <w:rFonts w:ascii="Times New Roman" w:hAnsi="Times New Roman" w:cs="Times New Roman" w:eastAsia="Times New Roman" w:hint="default"/>
        </w:rPr>
        <w:t>132,855,435</w:t>
      </w:r>
      <w:r>
        <w:rPr/>
        <w:t>股为基数，以资本</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56" w:lineRule="auto" w:before="35"/>
        <w:ind w:left="577" w:right="1022" w:hanging="424"/>
        <w:jc w:val="left"/>
      </w:pPr>
      <w:r>
        <w:rPr/>
        <w:t>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3</w:t>
      </w:r>
      <w:r>
        <w:rPr/>
        <w:t>股，变更后公司总股本增至</w:t>
      </w:r>
      <w:r>
        <w:rPr>
          <w:rFonts w:ascii="Times New Roman" w:hAnsi="Times New Roman" w:cs="Times New Roman" w:eastAsia="Times New Roman" w:hint="default"/>
        </w:rPr>
        <w:t>172,712,065</w:t>
      </w:r>
      <w:r>
        <w:rPr/>
        <w:t>股。</w:t>
      </w:r>
      <w:r>
        <w:rPr>
          <w:spacing w:val="-2"/>
        </w:rPr>
        <w:t> </w:t>
      </w:r>
      <w:r>
        <w:rPr>
          <w:spacing w:val="-1"/>
        </w:rPr>
        <w:t>根据中国证券监督管理委员会《关于核准成都卫士通信息产业股份有限公司向中国电子科技集团第三</w:t>
      </w:r>
    </w:p>
    <w:p>
      <w:pPr>
        <w:pStyle w:val="Heading4"/>
        <w:spacing w:line="261" w:lineRule="auto" w:before="22"/>
        <w:ind w:right="1131"/>
        <w:jc w:val="both"/>
      </w:pPr>
      <w:r>
        <w:rPr>
          <w:spacing w:val="-2"/>
        </w:rPr>
        <w:t>十研究所等发行股份购买资产并募集配套资金的批复》（证监许可</w:t>
      </w:r>
      <w:r>
        <w:rPr>
          <w:rFonts w:ascii="Times New Roman" w:hAnsi="Times New Roman" w:cs="Times New Roman" w:eastAsia="Times New Roman" w:hint="default"/>
          <w:spacing w:val="-2"/>
        </w:rPr>
        <w:t>[2014]729</w:t>
      </w:r>
      <w:r>
        <w:rPr>
          <w:spacing w:val="-2"/>
        </w:rPr>
        <w:t>号）、《成都卫士通信息产业</w:t>
      </w:r>
      <w:r>
        <w:rPr>
          <w:spacing w:val="-64"/>
        </w:rPr>
        <w:t> </w:t>
      </w:r>
      <w:r>
        <w:rPr>
          <w:spacing w:val="-64"/>
        </w:rPr>
      </w:r>
      <w:r>
        <w:rPr>
          <w:spacing w:val="-1"/>
        </w:rPr>
        <w:t>股份有限公司二零一四年第一次临时股东大会决议》和《成都卫士通信息产业股份有限公司第五届董事会</w:t>
      </w:r>
      <w:r>
        <w:rPr>
          <w:spacing w:val="-81"/>
        </w:rPr>
        <w:t> </w:t>
      </w:r>
      <w:r>
        <w:rPr>
          <w:spacing w:val="-81"/>
        </w:rPr>
      </w:r>
      <w:r>
        <w:rPr>
          <w:spacing w:val="-1"/>
        </w:rPr>
        <w:t>第二十四次会议决议》，公司采取非公开发行股票的方式向三十所、四川蜀祥创业投资有限公司（现更名</w:t>
      </w:r>
      <w:r>
        <w:rPr>
          <w:spacing w:val="-86"/>
        </w:rPr>
        <w:t> </w:t>
      </w:r>
      <w:r>
        <w:rPr>
          <w:spacing w:val="-86"/>
        </w:rPr>
      </w:r>
      <w:r>
        <w:rPr>
          <w:spacing w:val="10"/>
        </w:rPr>
        <w:t>为</w:t>
      </w:r>
      <w:r>
        <w:rPr>
          <w:rFonts w:ascii="Times New Roman" w:hAnsi="Times New Roman" w:cs="Times New Roman" w:eastAsia="Times New Roman" w:hint="default"/>
          <w:spacing w:val="10"/>
        </w:rPr>
        <w:t>“</w:t>
      </w:r>
      <w:r>
        <w:rPr>
          <w:rFonts w:ascii="Times New Roman" w:hAnsi="Times New Roman" w:cs="Times New Roman" w:eastAsia="Times New Roman" w:hint="default"/>
          <w:spacing w:val="-29"/>
        </w:rPr>
        <w:t> </w:t>
      </w:r>
      <w:r>
        <w:rPr>
          <w:spacing w:val="17"/>
        </w:rPr>
        <w:t>四川发展投资有限公司</w:t>
      </w:r>
      <w:r>
        <w:rPr>
          <w:rFonts w:ascii="Times New Roman" w:hAnsi="Times New Roman" w:cs="Times New Roman" w:eastAsia="Times New Roman" w:hint="default"/>
          <w:spacing w:val="17"/>
        </w:rPr>
        <w:t>”</w:t>
      </w:r>
      <w:r>
        <w:rPr>
          <w:spacing w:val="17"/>
        </w:rPr>
        <w:t>）</w:t>
      </w:r>
      <w:r>
        <w:rPr>
          <w:spacing w:val="-81"/>
        </w:rPr>
        <w:t> </w:t>
      </w:r>
      <w:r>
        <w:rPr>
          <w:spacing w:val="18"/>
        </w:rPr>
        <w:t>和成都国信安信息产业基地有限公司发行股份，</w:t>
      </w:r>
      <w:r>
        <w:rPr>
          <w:spacing w:val="-83"/>
        </w:rPr>
        <w:t> </w:t>
      </w:r>
      <w:r>
        <w:rPr>
          <w:spacing w:val="17"/>
        </w:rPr>
        <w:t>申请增加注册资本</w:t>
      </w:r>
      <w:r>
        <w:rPr>
          <w:spacing w:val="-98"/>
        </w:rPr>
        <w:t> </w:t>
      </w:r>
      <w:r>
        <w:rPr>
          <w:spacing w:val="-98"/>
        </w:rPr>
      </w:r>
      <w:r>
        <w:rPr>
          <w:rFonts w:ascii="Times New Roman" w:hAnsi="Times New Roman" w:cs="Times New Roman" w:eastAsia="Times New Roman" w:hint="default"/>
          <w:spacing w:val="-1"/>
        </w:rPr>
        <w:t>32,662,580.00</w:t>
      </w:r>
      <w:r>
        <w:rPr>
          <w:spacing w:val="-1"/>
        </w:rPr>
        <w:t>元，变更后的注册资本（股本）为</w:t>
      </w:r>
      <w:r>
        <w:rPr>
          <w:rFonts w:ascii="Times New Roman" w:hAnsi="Times New Roman" w:cs="Times New Roman" w:eastAsia="Times New Roman" w:hint="default"/>
          <w:spacing w:val="-1"/>
        </w:rPr>
        <w:t>205,374,645.00</w:t>
      </w:r>
      <w:r>
        <w:rPr>
          <w:spacing w:val="-1"/>
        </w:rPr>
        <w:t>元。以上增资已经中天运会计师事务所（特</w:t>
      </w:r>
      <w:r>
        <w:rPr>
          <w:spacing w:val="-69"/>
        </w:rPr>
        <w:t> </w:t>
      </w:r>
      <w:r>
        <w:rPr>
          <w:spacing w:val="-69"/>
        </w:rPr>
      </w:r>
      <w:r>
        <w:rPr/>
        <w:t>殊普通合伙）审验，并于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20</w:t>
      </w:r>
      <w:r>
        <w:rPr/>
        <w:t>日出具中天运〔</w:t>
      </w:r>
      <w:r>
        <w:rPr>
          <w:rFonts w:ascii="Times New Roman" w:hAnsi="Times New Roman" w:cs="Times New Roman" w:eastAsia="Times New Roman" w:hint="default"/>
        </w:rPr>
        <w:t>2014</w:t>
      </w:r>
      <w:r>
        <w:rPr/>
        <w:t>〕验字第</w:t>
      </w:r>
      <w:r>
        <w:rPr>
          <w:rFonts w:ascii="Times New Roman" w:hAnsi="Times New Roman" w:cs="Times New Roman" w:eastAsia="Times New Roman" w:hint="default"/>
        </w:rPr>
        <w:t>90026</w:t>
      </w:r>
      <w:r>
        <w:rPr/>
        <w:t>号验资报告。而后，向三十所</w:t>
      </w:r>
      <w:r>
        <w:rPr>
          <w:spacing w:val="-32"/>
        </w:rPr>
        <w:t> </w:t>
      </w:r>
      <w:r>
        <w:rPr>
          <w:spacing w:val="-32"/>
        </w:rPr>
      </w:r>
      <w:r>
        <w:rPr>
          <w:spacing w:val="-2"/>
        </w:rPr>
        <w:t>非公开发行人民币普通股</w:t>
      </w:r>
      <w:r>
        <w:rPr>
          <w:rFonts w:ascii="Times New Roman" w:hAnsi="Times New Roman" w:cs="Times New Roman" w:eastAsia="Times New Roman" w:hint="default"/>
          <w:spacing w:val="-2"/>
        </w:rPr>
        <w:t>10,887,028</w:t>
      </w:r>
      <w:r>
        <w:rPr>
          <w:spacing w:val="-2"/>
        </w:rPr>
        <w:t>股，申请增加注册资本</w:t>
      </w:r>
      <w:r>
        <w:rPr>
          <w:rFonts w:ascii="Times New Roman" w:hAnsi="Times New Roman" w:cs="Times New Roman" w:eastAsia="Times New Roman" w:hint="default"/>
          <w:spacing w:val="-2"/>
        </w:rPr>
        <w:t>10,887,028.00</w:t>
      </w:r>
      <w:r>
        <w:rPr>
          <w:spacing w:val="-2"/>
        </w:rPr>
        <w:t>元，变更后的注册资本（股本）为</w:t>
      </w:r>
      <w:r>
        <w:rPr>
          <w:spacing w:val="-68"/>
        </w:rPr>
        <w:t> </w:t>
      </w:r>
      <w:r>
        <w:rPr>
          <w:spacing w:val="-68"/>
        </w:rPr>
      </w:r>
      <w:r>
        <w:rPr>
          <w:rFonts w:ascii="Times New Roman" w:hAnsi="Times New Roman" w:cs="Times New Roman" w:eastAsia="Times New Roman" w:hint="default"/>
          <w:spacing w:val="-2"/>
        </w:rPr>
        <w:t>216,261,673.00</w:t>
      </w:r>
      <w:r>
        <w:rPr>
          <w:spacing w:val="-2"/>
        </w:rPr>
        <w:t>元。以上增资已经中天运会计师事务所（特殊普通合伙）审验，并于</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28</w:t>
      </w:r>
      <w:r>
        <w:rPr>
          <w:spacing w:val="-2"/>
        </w:rPr>
        <w:t>日出具中</w:t>
      </w:r>
      <w:r>
        <w:rPr>
          <w:spacing w:val="-71"/>
        </w:rPr>
        <w:t> </w:t>
      </w:r>
      <w:r>
        <w:rPr>
          <w:spacing w:val="-71"/>
        </w:rPr>
      </w:r>
      <w:r>
        <w:rPr/>
        <w:t>天运〔</w:t>
      </w:r>
      <w:r>
        <w:rPr>
          <w:rFonts w:ascii="Times New Roman" w:hAnsi="Times New Roman" w:cs="Times New Roman" w:eastAsia="Times New Roman" w:hint="default"/>
        </w:rPr>
        <w:t>2014</w:t>
      </w:r>
      <w:r>
        <w:rPr/>
        <w:t>〕验字第</w:t>
      </w:r>
      <w:r>
        <w:rPr>
          <w:rFonts w:ascii="Times New Roman" w:hAnsi="Times New Roman" w:cs="Times New Roman" w:eastAsia="Times New Roman" w:hint="default"/>
        </w:rPr>
        <w:t>90041</w:t>
      </w:r>
      <w:r>
        <w:rPr/>
        <w:t>号验资报告。本公司上述变更已于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日完成工商变更登记手续。</w:t>
      </w:r>
    </w:p>
    <w:p>
      <w:pPr>
        <w:pStyle w:val="Heading4"/>
        <w:spacing w:line="256" w:lineRule="auto" w:before="0"/>
        <w:ind w:right="1132" w:firstLine="423"/>
        <w:jc w:val="both"/>
      </w:pPr>
      <w:r>
        <w:rPr>
          <w:rFonts w:ascii="Times New Roman" w:hAnsi="Times New Roman" w:cs="Times New Roman" w:eastAsia="Times New Roman" w:hint="default"/>
          <w:spacing w:val="-1"/>
        </w:rPr>
        <w:t>2015</w:t>
      </w:r>
      <w:r>
        <w:rPr>
          <w:spacing w:val="-1"/>
        </w:rPr>
        <w:t>年公司实施了</w:t>
      </w:r>
      <w:r>
        <w:rPr>
          <w:rFonts w:ascii="Times New Roman" w:hAnsi="Times New Roman" w:cs="Times New Roman" w:eastAsia="Times New Roman" w:hint="default"/>
          <w:spacing w:val="-1"/>
        </w:rPr>
        <w:t>2014</w:t>
      </w:r>
      <w:r>
        <w:rPr>
          <w:spacing w:val="-1"/>
        </w:rPr>
        <w:t>年年度利润分配方案，以</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日总股本</w:t>
      </w:r>
      <w:r>
        <w:rPr>
          <w:rFonts w:ascii="Times New Roman" w:hAnsi="Times New Roman" w:cs="Times New Roman" w:eastAsia="Times New Roman" w:hint="default"/>
          <w:spacing w:val="-1"/>
        </w:rPr>
        <w:t>216,261,673</w:t>
      </w:r>
      <w:r>
        <w:rPr>
          <w:spacing w:val="-1"/>
        </w:rPr>
        <w:t>股为基数，以资本</w:t>
      </w:r>
      <w:r>
        <w:rPr/>
        <w:t> 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10</w:t>
      </w:r>
      <w:r>
        <w:rPr/>
        <w:t>股，变更后公司总股本增至</w:t>
      </w:r>
      <w:r>
        <w:rPr>
          <w:rFonts w:ascii="Times New Roman" w:hAnsi="Times New Roman" w:cs="Times New Roman" w:eastAsia="Times New Roman" w:hint="default"/>
        </w:rPr>
        <w:t>432,523,346</w:t>
      </w:r>
      <w:r>
        <w:rPr/>
        <w:t>股。</w:t>
      </w:r>
    </w:p>
    <w:p>
      <w:pPr>
        <w:pStyle w:val="Heading4"/>
        <w:spacing w:line="273" w:lineRule="auto" w:before="5"/>
        <w:ind w:right="1131" w:firstLine="423"/>
        <w:jc w:val="both"/>
      </w:pPr>
      <w:r>
        <w:rPr>
          <w:spacing w:val="-1"/>
        </w:rPr>
        <w:t>根据中国证券监督管理委员会《关于核准豁免中国电子科技网络信息安全有限公司要约收购成都卫士</w:t>
      </w:r>
      <w:r>
        <w:rPr/>
        <w:t> 通信息产业股份有限公司股份义务的批复》（</w:t>
      </w:r>
      <w:r>
        <w:rPr>
          <w:spacing w:val="-59"/>
        </w:rPr>
        <w:t> </w:t>
      </w:r>
      <w:r>
        <w:rPr/>
        <w:t>证监许可</w:t>
      </w:r>
      <w:r>
        <w:rPr>
          <w:rFonts w:ascii="Times New Roman" w:hAnsi="Times New Roman" w:cs="Times New Roman" w:eastAsia="Times New Roman" w:hint="default"/>
        </w:rPr>
        <w:t>[2015]2190</w:t>
      </w:r>
      <w:r>
        <w:rPr/>
        <w:t>号）、国务院国有资产监督管理委员会</w:t>
      </w:r>
    </w:p>
    <w:p>
      <w:pPr>
        <w:pStyle w:val="Heading4"/>
        <w:spacing w:line="264" w:lineRule="auto" w:before="0"/>
        <w:ind w:right="1123"/>
        <w:jc w:val="both"/>
      </w:pPr>
      <w:r>
        <w:rPr>
          <w:spacing w:val="3"/>
        </w:rPr>
        <w:t>《关于无偿划转中国电子科技集团公司第三十研究所和成都国信安信息产业基地有限公司所持成都卫士</w:t>
      </w:r>
      <w:r>
        <w:rPr>
          <w:spacing w:val="-82"/>
        </w:rPr>
        <w:t> </w:t>
      </w:r>
      <w:r>
        <w:rPr>
          <w:spacing w:val="-82"/>
        </w:rPr>
      </w:r>
      <w:r>
        <w:rPr>
          <w:spacing w:val="-2"/>
        </w:rPr>
        <w:t>通信息产业股份有限公司股份有关问题的批复》（国资产权</w:t>
      </w:r>
      <w:r>
        <w:rPr>
          <w:rFonts w:ascii="Times New Roman" w:hAnsi="Times New Roman" w:cs="Times New Roman" w:eastAsia="Times New Roman" w:hint="default"/>
          <w:spacing w:val="-2"/>
        </w:rPr>
        <w:t>[2015]877</w:t>
      </w:r>
      <w:r>
        <w:rPr>
          <w:spacing w:val="-2"/>
        </w:rPr>
        <w:t>号），中国电子科技集团公司第三十</w:t>
      </w:r>
      <w:r>
        <w:rPr>
          <w:spacing w:val="-63"/>
        </w:rPr>
        <w:t> </w:t>
      </w:r>
      <w:r>
        <w:rPr>
          <w:spacing w:val="-63"/>
        </w:rPr>
      </w:r>
      <w:r>
        <w:rPr>
          <w:spacing w:val="4"/>
        </w:rPr>
        <w:t>研究所和成都国信安信息产业基地有限公司将其分别持有的公司 </w:t>
      </w:r>
      <w:r>
        <w:rPr>
          <w:rFonts w:ascii="Times New Roman" w:hAnsi="Times New Roman" w:cs="Times New Roman" w:eastAsia="Times New Roman" w:hint="default"/>
        </w:rPr>
        <w:t>18776.3992</w:t>
      </w:r>
      <w:r>
        <w:rPr/>
        <w:t>万股股份和</w:t>
      </w:r>
      <w:r>
        <w:rPr>
          <w:rFonts w:ascii="Times New Roman" w:hAnsi="Times New Roman" w:cs="Times New Roman" w:eastAsia="Times New Roman" w:hint="default"/>
        </w:rPr>
        <w:t>343.0246</w:t>
      </w:r>
      <w:r>
        <w:rPr/>
        <w:t>万股股</w:t>
      </w:r>
      <w:r>
        <w:rPr>
          <w:spacing w:val="-53"/>
        </w:rPr>
        <w:t> </w:t>
      </w:r>
      <w:r>
        <w:rPr>
          <w:spacing w:val="-1"/>
        </w:rPr>
        <w:t>份无偿划转给中国电子科技网络信息安全有限公司持有。本次股份划转后，公司总股本不变，中国电子科</w:t>
      </w:r>
      <w:r>
        <w:rPr>
          <w:spacing w:val="-83"/>
        </w:rPr>
        <w:t> </w:t>
      </w:r>
      <w:r>
        <w:rPr>
          <w:spacing w:val="-83"/>
        </w:rPr>
      </w:r>
      <w:r>
        <w:rPr>
          <w:spacing w:val="-1"/>
        </w:rPr>
        <w:t>技集团公司第三十研究所和成都国信安信息产业基地有限公司不再持有公司股份，中国电子科技网络信息</w:t>
      </w:r>
      <w:r>
        <w:rPr>
          <w:spacing w:val="-81"/>
        </w:rPr>
        <w:t> </w:t>
      </w:r>
      <w:r>
        <w:rPr>
          <w:spacing w:val="-81"/>
        </w:rPr>
      </w:r>
      <w:r>
        <w:rPr/>
        <w:t>安全有限公司持有公司 </w:t>
      </w:r>
      <w:r>
        <w:rPr>
          <w:rFonts w:ascii="Times New Roman" w:hAnsi="Times New Roman" w:cs="Times New Roman" w:eastAsia="Times New Roman" w:hint="default"/>
        </w:rPr>
        <w:t>19,119.4238</w:t>
      </w:r>
      <w:r>
        <w:rPr/>
        <w:t>万股股份，占总股本的</w:t>
      </w:r>
      <w:r>
        <w:rPr>
          <w:spacing w:val="-43"/>
        </w:rPr>
        <w:t> </w:t>
      </w:r>
      <w:r>
        <w:rPr>
          <w:rFonts w:ascii="Times New Roman" w:hAnsi="Times New Roman" w:cs="Times New Roman" w:eastAsia="Times New Roman" w:hint="default"/>
        </w:rPr>
        <w:t>44.20%</w:t>
      </w:r>
      <w:r>
        <w:rPr/>
        <w:t>。公司实际控制人未发生变更，仍为中 国电子科技集团有限公司。</w:t>
      </w:r>
    </w:p>
    <w:p>
      <w:pPr>
        <w:pStyle w:val="Heading4"/>
        <w:spacing w:line="240" w:lineRule="auto" w:before="16"/>
        <w:ind w:left="577" w:right="1022"/>
        <w:jc w:val="left"/>
      </w:pPr>
      <w:r>
        <w:rPr/>
        <w:t>根据中国证券监督管理委员会《关于核准成都卫士通信息产业股份有限公司非公开发行股票的批复》</w:t>
      </w:r>
    </w:p>
    <w:p>
      <w:pPr>
        <w:pStyle w:val="Heading4"/>
        <w:spacing w:line="256" w:lineRule="auto" w:before="37"/>
        <w:ind w:right="1062"/>
        <w:jc w:val="both"/>
      </w:pPr>
      <w:r>
        <w:rPr/>
        <w:t>（证监许可</w:t>
      </w:r>
      <w:r>
        <w:rPr>
          <w:rFonts w:ascii="Times New Roman" w:hAnsi="Times New Roman" w:cs="Times New Roman" w:eastAsia="Times New Roman" w:hint="default"/>
        </w:rPr>
        <w:t>[2016]3214</w:t>
      </w:r>
      <w:r>
        <w:rPr/>
        <w:t>号）、国务院国有资产监督管理委员会《关于成都卫士通信息产业股份有限公司非</w:t>
      </w:r>
      <w:r>
        <w:rPr>
          <w:spacing w:val="-67"/>
        </w:rPr>
        <w:t> </w:t>
      </w:r>
      <w:r>
        <w:rPr>
          <w:spacing w:val="-67"/>
        </w:rPr>
      </w:r>
      <w:r>
        <w:rPr/>
        <w:t>公开发行</w:t>
      </w:r>
      <w:r>
        <w:rPr>
          <w:spacing w:val="-8"/>
        </w:rPr>
        <w:t> </w:t>
      </w:r>
      <w:r>
        <w:rPr>
          <w:rFonts w:ascii="Times New Roman" w:hAnsi="Times New Roman" w:cs="Times New Roman" w:eastAsia="Times New Roman" w:hint="default"/>
        </w:rPr>
        <w:t>A</w:t>
      </w:r>
      <w:r>
        <w:rPr>
          <w:rFonts w:ascii="Times New Roman" w:hAnsi="Times New Roman" w:cs="Times New Roman" w:eastAsia="Times New Roman" w:hint="default"/>
          <w:spacing w:val="43"/>
        </w:rPr>
        <w:t> </w:t>
      </w:r>
      <w:r>
        <w:rPr/>
        <w:t>股股票有关问题的批复》（国资产权</w:t>
      </w:r>
      <w:r>
        <w:rPr>
          <w:rFonts w:ascii="Times New Roman" w:hAnsi="Times New Roman" w:cs="Times New Roman" w:eastAsia="Times New Roman" w:hint="default"/>
        </w:rPr>
        <w:t>[2016]294</w:t>
      </w:r>
      <w:r>
        <w:rPr/>
        <w:t>号），公司通过向特定投资者非公开发行股票</w:t>
      </w:r>
      <w:r>
        <w:rPr>
          <w:spacing w:val="-94"/>
        </w:rPr>
        <w:t> </w:t>
      </w:r>
      <w:r>
        <w:rPr>
          <w:spacing w:val="-94"/>
        </w:rPr>
      </w:r>
      <w:r>
        <w:rPr>
          <w:spacing w:val="-2"/>
        </w:rPr>
        <w:t>的方式，向</w:t>
      </w:r>
      <w:r>
        <w:rPr>
          <w:rFonts w:ascii="Times New Roman" w:hAnsi="Times New Roman" w:cs="Times New Roman" w:eastAsia="Times New Roman" w:hint="default"/>
          <w:spacing w:val="-2"/>
        </w:rPr>
        <w:t>7</w:t>
      </w:r>
      <w:r>
        <w:rPr>
          <w:spacing w:val="-2"/>
        </w:rPr>
        <w:t>名特定对象发行人民币普通股</w:t>
      </w:r>
      <w:r>
        <w:rPr>
          <w:rFonts w:ascii="Times New Roman" w:hAnsi="Times New Roman" w:cs="Times New Roman" w:eastAsia="Times New Roman" w:hint="default"/>
          <w:spacing w:val="-2"/>
        </w:rPr>
        <w:t>91,436,672</w:t>
      </w:r>
      <w:r>
        <w:rPr>
          <w:spacing w:val="-2"/>
        </w:rPr>
        <w:t>股（每股发行价</w:t>
      </w:r>
      <w:r>
        <w:rPr>
          <w:rFonts w:ascii="Times New Roman" w:hAnsi="Times New Roman" w:cs="Times New Roman" w:eastAsia="Times New Roman" w:hint="default"/>
          <w:spacing w:val="-2"/>
        </w:rPr>
        <w:t>29.45</w:t>
      </w:r>
      <w:r>
        <w:rPr>
          <w:spacing w:val="-2"/>
        </w:rPr>
        <w:t>元），发行完成后公司总股本增</w:t>
      </w:r>
      <w:r>
        <w:rPr>
          <w:spacing w:val="-75"/>
        </w:rPr>
        <w:t> </w:t>
      </w:r>
      <w:r>
        <w:rPr>
          <w:spacing w:val="-75"/>
        </w:rPr>
      </w:r>
      <w:r>
        <w:rPr>
          <w:spacing w:val="-7"/>
        </w:rPr>
        <w:t>至</w:t>
      </w:r>
      <w:r>
        <w:rPr>
          <w:rFonts w:ascii="Times New Roman" w:hAnsi="Times New Roman" w:cs="Times New Roman" w:eastAsia="Times New Roman" w:hint="default"/>
          <w:spacing w:val="-7"/>
        </w:rPr>
        <w:t>523,960,018</w:t>
      </w:r>
      <w:r>
        <w:rPr>
          <w:spacing w:val="-7"/>
        </w:rPr>
        <w:t>股。以上增资已经中天运会计师事务所（特殊普通合伙）审验，并于</w:t>
      </w:r>
      <w:r>
        <w:rPr>
          <w:rFonts w:ascii="Times New Roman" w:hAnsi="Times New Roman" w:cs="Times New Roman" w:eastAsia="Times New Roman" w:hint="default"/>
          <w:spacing w:val="-7"/>
        </w:rPr>
        <w:t>2017</w:t>
      </w:r>
      <w:r>
        <w:rPr>
          <w:spacing w:val="-7"/>
        </w:rPr>
        <w:t>年</w:t>
      </w:r>
      <w:r>
        <w:rPr>
          <w:rFonts w:ascii="Times New Roman" w:hAnsi="Times New Roman" w:cs="Times New Roman" w:eastAsia="Times New Roman" w:hint="default"/>
          <w:spacing w:val="-7"/>
        </w:rPr>
        <w:t>3</w:t>
      </w:r>
      <w:r>
        <w:rPr>
          <w:spacing w:val="-7"/>
        </w:rPr>
        <w:t>月出具中天运</w:t>
      </w:r>
      <w:r>
        <w:rPr>
          <w:rFonts w:ascii="Times New Roman" w:hAnsi="Times New Roman" w:cs="Times New Roman" w:eastAsia="Times New Roman" w:hint="default"/>
          <w:spacing w:val="-7"/>
        </w:rPr>
        <w:t>[2017]</w:t>
      </w:r>
      <w:r>
        <w:rPr>
          <w:rFonts w:ascii="Times New Roman" w:hAnsi="Times New Roman" w:cs="Times New Roman" w:eastAsia="Times New Roman" w:hint="default"/>
          <w:spacing w:val="-48"/>
        </w:rPr>
        <w:t> </w:t>
      </w:r>
      <w:r>
        <w:rPr/>
        <w:t>验字第</w:t>
      </w:r>
      <w:r>
        <w:rPr>
          <w:rFonts w:ascii="Times New Roman" w:hAnsi="Times New Roman" w:cs="Times New Roman" w:eastAsia="Times New Roman" w:hint="default"/>
        </w:rPr>
        <w:t>90017</w:t>
      </w:r>
      <w:r>
        <w:rPr/>
        <w:t>号验资报告。</w:t>
      </w:r>
    </w:p>
    <w:p>
      <w:pPr>
        <w:pStyle w:val="Heading4"/>
        <w:spacing w:line="256" w:lineRule="auto" w:before="5"/>
        <w:ind w:right="1128" w:firstLine="423"/>
        <w:jc w:val="both"/>
      </w:pPr>
      <w:r>
        <w:rPr>
          <w:rFonts w:ascii="Times New Roman" w:hAnsi="Times New Roman" w:cs="Times New Roman" w:eastAsia="Times New Roman" w:hint="default"/>
          <w:spacing w:val="-1"/>
        </w:rPr>
        <w:t>2017</w:t>
      </w:r>
      <w:r>
        <w:rPr>
          <w:spacing w:val="-1"/>
        </w:rPr>
        <w:t>年公司实施了</w:t>
      </w:r>
      <w:r>
        <w:rPr>
          <w:rFonts w:ascii="Times New Roman" w:hAnsi="Times New Roman" w:cs="Times New Roman" w:eastAsia="Times New Roman" w:hint="default"/>
          <w:spacing w:val="-1"/>
        </w:rPr>
        <w:t>2016</w:t>
      </w:r>
      <w:r>
        <w:rPr>
          <w:spacing w:val="-1"/>
        </w:rPr>
        <w:t>年年度利润分配方案，以定向增发后的总股本</w:t>
      </w:r>
      <w:r>
        <w:rPr>
          <w:rFonts w:ascii="Times New Roman" w:hAnsi="Times New Roman" w:cs="Times New Roman" w:eastAsia="Times New Roman" w:hint="default"/>
          <w:spacing w:val="-1"/>
        </w:rPr>
        <w:t>523,960,018</w:t>
      </w:r>
      <w:r>
        <w:rPr>
          <w:spacing w:val="-1"/>
        </w:rPr>
        <w:t>股为基数，以资本公</w:t>
      </w:r>
      <w:r>
        <w:rPr/>
        <w:t> 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6</w:t>
      </w:r>
      <w:r>
        <w:rPr/>
        <w:t>股，变更后公司总股本增至</w:t>
      </w:r>
      <w:r>
        <w:rPr>
          <w:rFonts w:ascii="Times New Roman" w:hAnsi="Times New Roman" w:cs="Times New Roman" w:eastAsia="Times New Roman" w:hint="default"/>
        </w:rPr>
        <w:t>838,336,028</w:t>
      </w:r>
      <w:r>
        <w:rPr/>
        <w:t>股。本公司上述变更已于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07</w:t>
      </w:r>
      <w:r>
        <w:rPr/>
        <w:t>月</w:t>
      </w:r>
      <w:r>
        <w:rPr>
          <w:spacing w:val="-28"/>
        </w:rPr>
        <w:t> </w:t>
      </w:r>
      <w:r>
        <w:rPr>
          <w:rFonts w:ascii="Times New Roman" w:hAnsi="Times New Roman" w:cs="Times New Roman" w:eastAsia="Times New Roman" w:hint="default"/>
        </w:rPr>
        <w:t>04</w:t>
      </w:r>
      <w:r>
        <w:rPr/>
        <w:t>日完成工商变更登记手续。</w:t>
      </w:r>
    </w:p>
    <w:p>
      <w:pPr>
        <w:pStyle w:val="Heading4"/>
        <w:spacing w:line="256" w:lineRule="auto" w:before="5"/>
        <w:ind w:right="1132" w:firstLine="420"/>
        <w:jc w:val="both"/>
      </w:pPr>
      <w:r>
        <w:rPr>
          <w:spacing w:val="-1"/>
        </w:rPr>
        <w:t>经过历年的派送红股、配售新股、转增股本及增发新股，截至</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日，本公司累计发行股本</w:t>
      </w:r>
      <w:r>
        <w:rPr/>
        <w:t> </w:t>
      </w:r>
      <w:r>
        <w:rPr>
          <w:spacing w:val="-1"/>
        </w:rPr>
        <w:t>总数</w:t>
      </w:r>
      <w:r>
        <w:rPr>
          <w:rFonts w:ascii="Times New Roman" w:hAnsi="Times New Roman" w:cs="Times New Roman" w:eastAsia="Times New Roman" w:hint="default"/>
          <w:spacing w:val="-1"/>
        </w:rPr>
        <w:t>83,833.60</w:t>
      </w:r>
      <w:r>
        <w:rPr>
          <w:spacing w:val="-1"/>
        </w:rPr>
        <w:t>万股，注册资本为</w:t>
      </w:r>
      <w:r>
        <w:rPr>
          <w:rFonts w:ascii="Times New Roman" w:hAnsi="Times New Roman" w:cs="Times New Roman" w:eastAsia="Times New Roman" w:hint="default"/>
          <w:spacing w:val="-1"/>
        </w:rPr>
        <w:t>83,833.60</w:t>
      </w:r>
      <w:r>
        <w:rPr>
          <w:spacing w:val="-1"/>
        </w:rPr>
        <w:t>万元；注册地址：中国（四川）自由贸易试验区成都高新区云华</w:t>
      </w:r>
      <w:r>
        <w:rPr>
          <w:spacing w:val="-74"/>
        </w:rPr>
        <w:t> </w:t>
      </w:r>
      <w:r>
        <w:rPr>
          <w:spacing w:val="-74"/>
        </w:rPr>
      </w:r>
      <w:r>
        <w:rPr/>
        <w:t>路</w:t>
      </w:r>
      <w:r>
        <w:rPr>
          <w:rFonts w:ascii="Times New Roman" w:hAnsi="Times New Roman" w:cs="Times New Roman" w:eastAsia="Times New Roman" w:hint="default"/>
        </w:rPr>
        <w:t>333</w:t>
      </w:r>
      <w:r>
        <w:rPr/>
        <w:t>号；组织形式：股份有限公司；法定代表人：卿昱；统一社会信用代码：</w:t>
      </w:r>
      <w:r>
        <w:rPr>
          <w:rFonts w:ascii="Times New Roman" w:hAnsi="Times New Roman" w:cs="Times New Roman" w:eastAsia="Times New Roman" w:hint="default"/>
        </w:rPr>
        <w:t>9151010070927392XM</w:t>
      </w:r>
      <w:r>
        <w:rPr/>
        <w:t>。</w:t>
      </w:r>
    </w:p>
    <w:p>
      <w:pPr>
        <w:pStyle w:val="Heading4"/>
        <w:spacing w:line="256" w:lineRule="auto" w:before="5"/>
        <w:ind w:right="1132" w:firstLine="420"/>
        <w:jc w:val="both"/>
      </w:pPr>
      <w:r>
        <w:rPr/>
        <w:t>母公司为中国电子科技网络信息安全有限公司（以下或称</w:t>
      </w:r>
      <w:r>
        <w:rPr>
          <w:rFonts w:ascii="Times New Roman" w:hAnsi="Times New Roman" w:cs="Times New Roman" w:eastAsia="Times New Roman" w:hint="default"/>
        </w:rPr>
        <w:t>“</w:t>
      </w:r>
      <w:r>
        <w:rPr/>
        <w:t>中国网安</w:t>
      </w:r>
      <w:r>
        <w:rPr>
          <w:rFonts w:ascii="Times New Roman" w:hAnsi="Times New Roman" w:cs="Times New Roman" w:eastAsia="Times New Roman" w:hint="default"/>
        </w:rPr>
        <w:t>”</w:t>
      </w:r>
      <w:r>
        <w:rPr/>
        <w:t>），最终实际控制人为中国电子 科技集团有限公司（以下简称</w:t>
      </w:r>
      <w:r>
        <w:rPr>
          <w:rFonts w:ascii="Times New Roman" w:hAnsi="Times New Roman" w:cs="Times New Roman" w:eastAsia="Times New Roman" w:hint="default"/>
        </w:rPr>
        <w:t>“</w:t>
      </w:r>
      <w:r>
        <w:rPr/>
        <w:t>电科集团</w:t>
      </w:r>
      <w:r>
        <w:rPr>
          <w:rFonts w:ascii="Times New Roman" w:hAnsi="Times New Roman" w:cs="Times New Roman" w:eastAsia="Times New Roman" w:hint="default"/>
        </w:rPr>
        <w:t>”</w:t>
      </w:r>
      <w:r>
        <w:rPr/>
        <w:t>）。</w:t>
      </w:r>
    </w:p>
    <w:p>
      <w:pPr>
        <w:pStyle w:val="Heading3"/>
        <w:spacing w:line="240" w:lineRule="auto" w:before="125"/>
        <w:ind w:left="566" w:right="1022"/>
        <w:jc w:val="left"/>
        <w:rPr>
          <w:b w:val="0"/>
          <w:bCs w:val="0"/>
        </w:rPr>
      </w:pPr>
      <w:r>
        <w:rPr>
          <w:rFonts w:ascii="宋体" w:hAnsi="宋体" w:cs="宋体" w:eastAsia="宋体" w:hint="default"/>
        </w:rPr>
        <w:t>2.</w:t>
      </w:r>
      <w:r>
        <w:rPr/>
        <w:t>公司业务性质和主要经营活动</w:t>
      </w:r>
      <w:r>
        <w:rPr>
          <w:b w:val="0"/>
          <w:bCs w:val="0"/>
        </w:rPr>
      </w:r>
    </w:p>
    <w:p>
      <w:pPr>
        <w:pStyle w:val="Heading4"/>
        <w:spacing w:line="256" w:lineRule="auto" w:before="37"/>
        <w:ind w:left="574" w:right="1022"/>
        <w:jc w:val="left"/>
      </w:pPr>
      <w:r>
        <w:rPr>
          <w:rFonts w:ascii="Times New Roman" w:hAnsi="Times New Roman" w:cs="Times New Roman" w:eastAsia="Times New Roman" w:hint="default"/>
        </w:rPr>
        <w:t>1.</w:t>
      </w:r>
      <w:r>
        <w:rPr/>
        <w:t>业务性质 </w:t>
      </w:r>
      <w:r>
        <w:rPr>
          <w:spacing w:val="-1"/>
        </w:rPr>
        <w:t>信息安全是信息产业的重要分支，也是国家信息化建设和网络社会正常秩序的重要保障。公司的产品</w:t>
      </w:r>
    </w:p>
    <w:p>
      <w:pPr>
        <w:pStyle w:val="Heading4"/>
        <w:spacing w:line="240" w:lineRule="auto" w:before="22"/>
        <w:ind w:right="0"/>
        <w:jc w:val="both"/>
      </w:pPr>
      <w:r>
        <w:rPr/>
        <w:t>体系由密码产品、信息安全产品和安全信息产品三大类组成，以及配套的系统集成与技术服务。</w:t>
      </w:r>
    </w:p>
    <w:p>
      <w:pPr>
        <w:pStyle w:val="Heading4"/>
        <w:spacing w:line="240" w:lineRule="auto" w:before="37"/>
        <w:ind w:left="574" w:right="1022"/>
        <w:jc w:val="left"/>
      </w:pPr>
      <w:r>
        <w:rPr>
          <w:rFonts w:ascii="Times New Roman" w:hAnsi="Times New Roman" w:cs="Times New Roman" w:eastAsia="Times New Roman" w:hint="default"/>
        </w:rPr>
        <w:t>2.</w:t>
      </w:r>
      <w:r>
        <w:rPr/>
        <w:t>主要提供的产品和服务包括</w:t>
      </w:r>
    </w:p>
    <w:p>
      <w:pPr>
        <w:pStyle w:val="Heading4"/>
        <w:spacing w:line="256" w:lineRule="auto" w:before="21"/>
        <w:ind w:right="1128" w:firstLine="315"/>
        <w:jc w:val="both"/>
      </w:pPr>
      <w:r>
        <w:rPr>
          <w:spacing w:val="-2"/>
        </w:rPr>
        <w:t>（</w:t>
      </w:r>
      <w:r>
        <w:rPr>
          <w:rFonts w:ascii="Times New Roman" w:hAnsi="Times New Roman" w:cs="Times New Roman" w:eastAsia="Times New Roman" w:hint="default"/>
          <w:spacing w:val="-2"/>
        </w:rPr>
        <w:t>1</w:t>
      </w:r>
      <w:r>
        <w:rPr>
          <w:spacing w:val="-2"/>
        </w:rPr>
        <w:t>）密码产品是本公司一直以来的核心产品，包括密码芯片（密码算法芯片</w:t>
      </w:r>
      <w:r>
        <w:rPr>
          <w:rFonts w:ascii="Times New Roman" w:hAnsi="Times New Roman" w:cs="Times New Roman" w:eastAsia="Times New Roman" w:hint="default"/>
          <w:spacing w:val="-2"/>
        </w:rPr>
        <w:t>/</w:t>
      </w:r>
      <w:r>
        <w:rPr>
          <w:spacing w:val="-2"/>
        </w:rPr>
        <w:t>物理噪声源芯片等）、密</w:t>
      </w:r>
      <w:r>
        <w:rPr/>
        <w:t> </w:t>
      </w:r>
      <w:r>
        <w:rPr>
          <w:spacing w:val="-1"/>
        </w:rPr>
        <w:t>码模块（</w:t>
      </w:r>
      <w:r>
        <w:rPr>
          <w:rFonts w:ascii="Times New Roman" w:hAnsi="Times New Roman" w:cs="Times New Roman" w:eastAsia="Times New Roman" w:hint="default"/>
          <w:spacing w:val="-1"/>
        </w:rPr>
        <w:t>USBKey</w:t>
      </w:r>
      <w:r>
        <w:rPr>
          <w:spacing w:val="-1"/>
        </w:rPr>
        <w:t>密码模块</w:t>
      </w:r>
      <w:r>
        <w:rPr>
          <w:rFonts w:ascii="Times New Roman" w:hAnsi="Times New Roman" w:cs="Times New Roman" w:eastAsia="Times New Roman" w:hint="default"/>
          <w:spacing w:val="-1"/>
        </w:rPr>
        <w:t>/SD</w:t>
      </w:r>
      <w:r>
        <w:rPr>
          <w:spacing w:val="-1"/>
        </w:rPr>
        <w:t>密码模块</w:t>
      </w:r>
      <w:r>
        <w:rPr>
          <w:rFonts w:ascii="Times New Roman" w:hAnsi="Times New Roman" w:cs="Times New Roman" w:eastAsia="Times New Roman" w:hint="default"/>
          <w:spacing w:val="-1"/>
        </w:rPr>
        <w:t>/TF</w:t>
      </w:r>
      <w:r>
        <w:rPr>
          <w:spacing w:val="-1"/>
        </w:rPr>
        <w:t>密码模块</w:t>
      </w:r>
      <w:r>
        <w:rPr>
          <w:rFonts w:ascii="Times New Roman" w:hAnsi="Times New Roman" w:cs="Times New Roman" w:eastAsia="Times New Roman" w:hint="default"/>
          <w:spacing w:val="-1"/>
        </w:rPr>
        <w:t>/</w:t>
      </w:r>
      <w:r>
        <w:rPr>
          <w:spacing w:val="-1"/>
        </w:rPr>
        <w:t>无线密码模块等）、密码板卡（</w:t>
      </w:r>
      <w:r>
        <w:rPr>
          <w:rFonts w:ascii="Times New Roman" w:hAnsi="Times New Roman" w:cs="Times New Roman" w:eastAsia="Times New Roman" w:hint="default"/>
          <w:spacing w:val="-1"/>
        </w:rPr>
        <w:t>PCI/PCI-E/PCI-X</w:t>
      </w:r>
      <w:r>
        <w:rPr>
          <w:spacing w:val="-1"/>
        </w:rPr>
        <w:t>系列</w:t>
      </w:r>
      <w:r>
        <w:rPr>
          <w:spacing w:val="-98"/>
        </w:rPr>
        <w:t> </w:t>
      </w:r>
      <w:r>
        <w:rPr/>
        <w:t>密码卡等）、密码设备（</w:t>
      </w:r>
      <w:r>
        <w:rPr>
          <w:rFonts w:ascii="Times New Roman" w:hAnsi="Times New Roman" w:cs="Times New Roman" w:eastAsia="Times New Roman" w:hint="default"/>
        </w:rPr>
        <w:t>IPSecVPN</w:t>
      </w:r>
      <w:r>
        <w:rPr/>
        <w:t>网关</w:t>
      </w:r>
      <w:r>
        <w:rPr>
          <w:rFonts w:ascii="Times New Roman" w:hAnsi="Times New Roman" w:cs="Times New Roman" w:eastAsia="Times New Roman" w:hint="default"/>
        </w:rPr>
        <w:t>/SSLVPN</w:t>
      </w:r>
      <w:r>
        <w:rPr/>
        <w:t>网关</w:t>
      </w:r>
      <w:r>
        <w:rPr>
          <w:rFonts w:ascii="Times New Roman" w:hAnsi="Times New Roman" w:cs="Times New Roman" w:eastAsia="Times New Roman" w:hint="default"/>
        </w:rPr>
        <w:t>/</w:t>
      </w:r>
      <w:r>
        <w:rPr/>
        <w:t>专用网络密码机</w:t>
      </w:r>
      <w:r>
        <w:rPr>
          <w:rFonts w:ascii="Times New Roman" w:hAnsi="Times New Roman" w:cs="Times New Roman" w:eastAsia="Times New Roman" w:hint="default"/>
        </w:rPr>
        <w:t>/</w:t>
      </w:r>
      <w:r>
        <w:rPr/>
        <w:t>金融数据密码机</w:t>
      </w:r>
      <w:r>
        <w:rPr>
          <w:rFonts w:ascii="Times New Roman" w:hAnsi="Times New Roman" w:cs="Times New Roman" w:eastAsia="Times New Roman" w:hint="default"/>
        </w:rPr>
        <w:t>/</w:t>
      </w:r>
      <w:r>
        <w:rPr/>
        <w:t>服务器密码机</w:t>
      </w:r>
      <w:r>
        <w:rPr>
          <w:rFonts w:ascii="Times New Roman" w:hAnsi="Times New Roman" w:cs="Times New Roman" w:eastAsia="Times New Roman" w:hint="default"/>
        </w:rPr>
        <w:t>/</w:t>
      </w:r>
      <w:r>
        <w:rPr/>
        <w:t>签</w:t>
      </w:r>
    </w:p>
    <w:p>
      <w:pPr>
        <w:spacing w:after="0" w:line="256"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both"/>
      </w:pPr>
      <w:r>
        <w:rPr/>
        <w:t>名验签服务器等）和密码系统（密匙管理系统</w:t>
      </w:r>
      <w:r>
        <w:rPr>
          <w:rFonts w:ascii="Times New Roman" w:hAnsi="Times New Roman" w:cs="Times New Roman" w:eastAsia="Times New Roman" w:hint="default"/>
        </w:rPr>
        <w:t>/</w:t>
      </w:r>
      <w:r>
        <w:rPr/>
        <w:t>证书管理系统</w:t>
      </w:r>
      <w:r>
        <w:rPr>
          <w:rFonts w:ascii="Times New Roman" w:hAnsi="Times New Roman" w:cs="Times New Roman" w:eastAsia="Times New Roman" w:hint="default"/>
        </w:rPr>
        <w:t>/</w:t>
      </w:r>
      <w:r>
        <w:rPr/>
        <w:t>密码设备管理系统等）</w:t>
      </w:r>
    </w:p>
    <w:p>
      <w:pPr>
        <w:pStyle w:val="Heading4"/>
        <w:spacing w:line="256" w:lineRule="auto" w:before="21"/>
        <w:ind w:right="1142" w:firstLine="315"/>
        <w:jc w:val="both"/>
      </w:pPr>
      <w:r>
        <w:rPr/>
        <w:t>（</w:t>
      </w:r>
      <w:r>
        <w:rPr>
          <w:rFonts w:ascii="Times New Roman" w:hAnsi="Times New Roman" w:cs="Times New Roman" w:eastAsia="Times New Roman" w:hint="default"/>
        </w:rPr>
        <w:t>2</w:t>
      </w:r>
      <w:r>
        <w:rPr/>
        <w:t>）信息安全产品包括网络安全产品（防火墙</w:t>
      </w:r>
      <w:r>
        <w:rPr>
          <w:rFonts w:ascii="Times New Roman" w:hAnsi="Times New Roman" w:cs="Times New Roman" w:eastAsia="Times New Roman" w:hint="default"/>
        </w:rPr>
        <w:t>/</w:t>
      </w:r>
      <w:r>
        <w:rPr/>
        <w:t>入侵检测系统</w:t>
      </w:r>
      <w:r>
        <w:rPr>
          <w:rFonts w:ascii="Times New Roman" w:hAnsi="Times New Roman" w:cs="Times New Roman" w:eastAsia="Times New Roman" w:hint="default"/>
        </w:rPr>
        <w:t>/</w:t>
      </w:r>
      <w:r>
        <w:rPr/>
        <w:t>入侵保护系统</w:t>
      </w:r>
      <w:r>
        <w:rPr>
          <w:rFonts w:ascii="Times New Roman" w:hAnsi="Times New Roman" w:cs="Times New Roman" w:eastAsia="Times New Roman" w:hint="default"/>
        </w:rPr>
        <w:t>/</w:t>
      </w:r>
      <w:r>
        <w:rPr/>
        <w:t>网络行为管理与审计系统 等）、主机安全产品（终端安全防护系统</w:t>
      </w:r>
      <w:r>
        <w:rPr>
          <w:rFonts w:ascii="Times New Roman" w:hAnsi="Times New Roman" w:cs="Times New Roman" w:eastAsia="Times New Roman" w:hint="default"/>
        </w:rPr>
        <w:t>/</w:t>
      </w:r>
      <w:r>
        <w:rPr/>
        <w:t>服务器加固系统</w:t>
      </w:r>
      <w:r>
        <w:rPr>
          <w:rFonts w:ascii="Times New Roman" w:hAnsi="Times New Roman" w:cs="Times New Roman" w:eastAsia="Times New Roman" w:hint="default"/>
        </w:rPr>
        <w:t>/</w:t>
      </w:r>
      <w:r>
        <w:rPr/>
        <w:t>主机监控与审计系统等）、应用安全产品（应 用安全支撑平台</w:t>
      </w:r>
      <w:r>
        <w:rPr>
          <w:rFonts w:ascii="Times New Roman" w:hAnsi="Times New Roman" w:cs="Times New Roman" w:eastAsia="Times New Roman" w:hint="default"/>
        </w:rPr>
        <w:t>/</w:t>
      </w:r>
      <w:r>
        <w:rPr/>
        <w:t>数据库加固系统</w:t>
      </w:r>
      <w:r>
        <w:rPr>
          <w:rFonts w:ascii="Times New Roman" w:hAnsi="Times New Roman" w:cs="Times New Roman" w:eastAsia="Times New Roman" w:hint="default"/>
        </w:rPr>
        <w:t>/</w:t>
      </w:r>
      <w:r>
        <w:rPr/>
        <w:t>应用安全中间件等）、数据安全产品（木马病毒防御系统</w:t>
      </w:r>
      <w:r>
        <w:rPr>
          <w:rFonts w:ascii="Times New Roman" w:hAnsi="Times New Roman" w:cs="Times New Roman" w:eastAsia="Times New Roman" w:hint="default"/>
        </w:rPr>
        <w:t>/</w:t>
      </w:r>
      <w:r>
        <w:rPr/>
        <w:t>数据加密系统 等）</w:t>
      </w:r>
    </w:p>
    <w:p>
      <w:pPr>
        <w:pStyle w:val="Heading4"/>
        <w:spacing w:line="256" w:lineRule="auto" w:before="22"/>
        <w:ind w:right="1130" w:firstLine="315"/>
        <w:jc w:val="both"/>
      </w:pPr>
      <w:r>
        <w:rPr>
          <w:spacing w:val="-1"/>
        </w:rPr>
        <w:t>（</w:t>
      </w:r>
      <w:r>
        <w:rPr>
          <w:rFonts w:ascii="Times New Roman" w:hAnsi="Times New Roman" w:cs="Times New Roman" w:eastAsia="Times New Roman" w:hint="default"/>
          <w:spacing w:val="-1"/>
        </w:rPr>
        <w:t>3</w:t>
      </w:r>
      <w:r>
        <w:rPr>
          <w:spacing w:val="-1"/>
        </w:rPr>
        <w:t>）安全信息产品是本公司积极践行安全与应用紧密融合思路的产物，包括安全手机、安全电子公文</w:t>
      </w:r>
      <w:r>
        <w:rPr/>
        <w:t> 系统、安全桌面云、安全存储系统等。</w:t>
      </w:r>
    </w:p>
    <w:p>
      <w:pPr>
        <w:pStyle w:val="Heading4"/>
        <w:spacing w:line="256" w:lineRule="auto" w:before="22"/>
        <w:ind w:right="1131" w:firstLine="315"/>
        <w:jc w:val="both"/>
      </w:pPr>
      <w:r>
        <w:rPr>
          <w:spacing w:val="-1"/>
        </w:rPr>
        <w:t>（</w:t>
      </w:r>
      <w:r>
        <w:rPr>
          <w:rFonts w:ascii="Times New Roman" w:hAnsi="Times New Roman" w:cs="Times New Roman" w:eastAsia="Times New Roman" w:hint="default"/>
          <w:spacing w:val="-1"/>
        </w:rPr>
        <w:t>4</w:t>
      </w:r>
      <w:r>
        <w:rPr>
          <w:spacing w:val="-1"/>
        </w:rPr>
        <w:t>）系统集成与技术服务是本公司依托雄厚的技术支持和强大的营销网络为各层次用户提供系统集成</w:t>
      </w:r>
      <w:r>
        <w:rPr/>
        <w:t> 及全生命周期安全支持与服务，包括：项目规划、工程建设、解决方案、培训和后续保障。</w:t>
      </w:r>
    </w:p>
    <w:p>
      <w:pPr>
        <w:pStyle w:val="Heading4"/>
        <w:spacing w:line="256" w:lineRule="auto" w:before="22"/>
        <w:ind w:left="574" w:right="1092"/>
        <w:jc w:val="left"/>
      </w:pPr>
      <w:r>
        <w:rPr>
          <w:rFonts w:ascii="Times New Roman" w:hAnsi="Times New Roman" w:cs="Times New Roman" w:eastAsia="Times New Roman" w:hint="default"/>
        </w:rPr>
        <w:t>3.</w:t>
      </w:r>
      <w:r>
        <w:rPr/>
        <w:t>经营范围 本公司营业范围包括通信保密与信息安全、信息网络与多媒体终端及系统产品的开发、生产、销售、</w:t>
      </w:r>
    </w:p>
    <w:p>
      <w:pPr>
        <w:pStyle w:val="Heading4"/>
        <w:spacing w:line="268" w:lineRule="auto" w:before="22"/>
        <w:ind w:right="1110"/>
        <w:jc w:val="both"/>
      </w:pPr>
      <w:r>
        <w:rPr>
          <w:spacing w:val="-1"/>
        </w:rPr>
        <w:t>工程建设（涉及前置审批的批准后方可经营）；税控收款机系列产品、金融及贸易结算电子设备、</w:t>
      </w:r>
      <w:r>
        <w:rPr>
          <w:rFonts w:ascii="Times New Roman" w:hAnsi="Times New Roman" w:cs="Times New Roman" w:eastAsia="Times New Roman" w:hint="default"/>
          <w:spacing w:val="-1"/>
        </w:rPr>
        <w:t>IC</w:t>
      </w:r>
      <w:r>
        <w:rPr>
          <w:spacing w:val="-1"/>
        </w:rPr>
        <w:t>卡机</w:t>
      </w:r>
      <w:r>
        <w:rPr>
          <w:spacing w:val="-81"/>
        </w:rPr>
        <w:t> </w:t>
      </w:r>
      <w:r>
        <w:rPr>
          <w:spacing w:val="-1"/>
        </w:rPr>
        <w:t>具设备、微型计算机系统产品及相关软件等电子信息技术产品的研制、生产、组装、销售、工程集成和技</w:t>
      </w:r>
      <w:r>
        <w:rPr>
          <w:spacing w:val="-82"/>
        </w:rPr>
        <w:t> </w:t>
      </w:r>
      <w:r>
        <w:rPr>
          <w:spacing w:val="-82"/>
        </w:rPr>
      </w:r>
      <w:r>
        <w:rPr/>
        <w:t>术服务；无线通信系统（不含无线电发射设备）、图像设备、电子设备、电子计算机及外围设备、耗材、 </w:t>
      </w:r>
      <w:r>
        <w:rPr>
          <w:spacing w:val="-1"/>
        </w:rPr>
        <w:t>电子元器件、专用芯片的研制、生产、销售、工程建设、系统集成及技术咨询与服务；自营和代理各类商</w:t>
      </w:r>
      <w:r>
        <w:rPr>
          <w:spacing w:val="-83"/>
        </w:rPr>
        <w:t> </w:t>
      </w:r>
      <w:r>
        <w:rPr>
          <w:spacing w:val="-83"/>
        </w:rPr>
      </w:r>
      <w:r>
        <w:rPr/>
        <w:t>品及技术的进出口业务，但国家限定公司经营或禁止进出口的商品及技术除外。</w:t>
      </w:r>
    </w:p>
    <w:p>
      <w:pPr>
        <w:pStyle w:val="Heading4"/>
        <w:spacing w:line="264" w:lineRule="auto" w:before="132"/>
        <w:ind w:left="574" w:right="5187" w:hanging="8"/>
        <w:jc w:val="left"/>
      </w:pPr>
      <w:r>
        <w:rPr>
          <w:rFonts w:ascii="宋体" w:hAnsi="宋体" w:cs="宋体" w:eastAsia="宋体" w:hint="default"/>
          <w:b/>
          <w:bCs/>
        </w:rPr>
        <w:t>3.</w:t>
      </w:r>
      <w:r>
        <w:rPr>
          <w:rFonts w:ascii="宋体" w:hAnsi="宋体" w:cs="宋体" w:eastAsia="宋体" w:hint="default"/>
          <w:b/>
          <w:bCs/>
        </w:rPr>
        <w:t>财务报表的批准报出</w:t>
      </w:r>
      <w:r>
        <w:rPr>
          <w:rFonts w:ascii="宋体" w:hAnsi="宋体" w:cs="宋体" w:eastAsia="宋体" w:hint="default"/>
          <w:b/>
          <w:bCs/>
          <w:w w:val="99"/>
        </w:rPr>
        <w:t> </w:t>
      </w:r>
      <w:r>
        <w:rPr/>
        <w:t>本财务报表业经公司董事会于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26</w:t>
      </w:r>
      <w:r>
        <w:rPr/>
        <w:t>日批准报出。 本期纳入合并财务报表范围的主体共</w:t>
      </w:r>
      <w:r>
        <w:rPr>
          <w:rFonts w:ascii="Times New Roman" w:hAnsi="Times New Roman" w:cs="Times New Roman" w:eastAsia="Times New Roman" w:hint="default"/>
        </w:rPr>
        <w:t>9</w:t>
      </w:r>
      <w:r>
        <w:rPr/>
        <w:t>户，具体包括：</w:t>
      </w:r>
    </w:p>
    <w:tbl>
      <w:tblPr>
        <w:tblW w:w="0" w:type="auto"/>
        <w:jc w:val="left"/>
        <w:tblInd w:w="139" w:type="dxa"/>
        <w:tblLayout w:type="fixed"/>
        <w:tblCellMar>
          <w:top w:w="0" w:type="dxa"/>
          <w:left w:w="0" w:type="dxa"/>
          <w:bottom w:w="0" w:type="dxa"/>
          <w:right w:w="0" w:type="dxa"/>
        </w:tblCellMar>
        <w:tblLook w:val="01E0"/>
      </w:tblPr>
      <w:tblGrid>
        <w:gridCol w:w="3694"/>
        <w:gridCol w:w="1492"/>
        <w:gridCol w:w="1490"/>
        <w:gridCol w:w="1492"/>
        <w:gridCol w:w="1490"/>
      </w:tblGrid>
      <w:tr>
        <w:trPr>
          <w:trHeight w:val="342" w:hRule="exact"/>
        </w:trPr>
        <w:tc>
          <w:tcPr>
            <w:tcW w:w="3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子公司类型</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级次</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表决权比例（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42" w:hRule="exact"/>
        </w:trPr>
        <w:tc>
          <w:tcPr>
            <w:tcW w:w="3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中电科（北京）网络信息安全有限公司</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z w:val="18"/>
              </w:rPr>
              <w:t>100.00</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100.00</w:t>
            </w:r>
          </w:p>
        </w:tc>
      </w:tr>
      <w:tr>
        <w:trPr>
          <w:trHeight w:val="342" w:hRule="exact"/>
        </w:trPr>
        <w:tc>
          <w:tcPr>
            <w:tcW w:w="3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成都卫士通信息安全技术有限公司</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z w:val="18"/>
              </w:rPr>
              <w:t>100.00</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100.00</w:t>
            </w:r>
          </w:p>
        </w:tc>
      </w:tr>
      <w:tr>
        <w:trPr>
          <w:trHeight w:val="342" w:hRule="exact"/>
        </w:trPr>
        <w:tc>
          <w:tcPr>
            <w:tcW w:w="3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四川卫士通信息安全平台技术有限公司</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z w:val="18"/>
              </w:rPr>
              <w:t>100.00</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100.00</w:t>
            </w:r>
          </w:p>
        </w:tc>
      </w:tr>
      <w:tr>
        <w:trPr>
          <w:trHeight w:val="342" w:hRule="exact"/>
        </w:trPr>
        <w:tc>
          <w:tcPr>
            <w:tcW w:w="3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成都三零豪赛网络安全技术有限公司</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z w:val="18"/>
              </w:rPr>
              <w:t>100.00</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100.00</w:t>
            </w:r>
          </w:p>
        </w:tc>
      </w:tr>
      <w:tr>
        <w:trPr>
          <w:trHeight w:val="342" w:hRule="exact"/>
        </w:trPr>
        <w:tc>
          <w:tcPr>
            <w:tcW w:w="3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成都三零盛安信息系统有限公司</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z w:val="18"/>
              </w:rPr>
              <w:t>96.20</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96.20</w:t>
            </w:r>
          </w:p>
        </w:tc>
      </w:tr>
      <w:tr>
        <w:trPr>
          <w:trHeight w:val="342" w:hRule="exact"/>
        </w:trPr>
        <w:tc>
          <w:tcPr>
            <w:tcW w:w="3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成都三零瑞通移动通信有限公司</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z w:val="18"/>
              </w:rPr>
              <w:t>95.50</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95.50</w:t>
            </w:r>
          </w:p>
        </w:tc>
      </w:tr>
      <w:tr>
        <w:trPr>
          <w:trHeight w:val="342" w:hRule="exact"/>
        </w:trPr>
        <w:tc>
          <w:tcPr>
            <w:tcW w:w="3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成都三零嘉微电子有限公司</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z w:val="18"/>
              </w:rPr>
              <w:t>88.15</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88.15</w:t>
            </w:r>
          </w:p>
        </w:tc>
      </w:tr>
      <w:tr>
        <w:trPr>
          <w:trHeight w:val="342" w:hRule="exact"/>
        </w:trPr>
        <w:tc>
          <w:tcPr>
            <w:tcW w:w="3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上海卫士通网络安全有限公司</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z w:val="18"/>
              </w:rPr>
              <w:t>75.00</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75.00</w:t>
            </w:r>
          </w:p>
        </w:tc>
      </w:tr>
      <w:tr>
        <w:trPr>
          <w:trHeight w:val="342" w:hRule="exact"/>
        </w:trPr>
        <w:tc>
          <w:tcPr>
            <w:tcW w:w="3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中电科（天津）网络信息安全有限公司</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z w:val="18"/>
              </w:rPr>
              <w:t>65.00</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65.00</w:t>
            </w:r>
          </w:p>
        </w:tc>
      </w:tr>
    </w:tbl>
    <w:p>
      <w:pPr>
        <w:pStyle w:val="Heading4"/>
        <w:spacing w:line="273" w:lineRule="exact" w:before="0"/>
        <w:ind w:left="574" w:right="1022"/>
        <w:jc w:val="left"/>
      </w:pPr>
      <w:r>
        <w:rPr/>
        <w:t>本期纳入合并财务报表范围的主体与上期相比未发生变化。</w:t>
      </w:r>
    </w:p>
    <w:p>
      <w:pPr>
        <w:spacing w:line="240" w:lineRule="auto" w:before="1"/>
        <w:rPr>
          <w:rFonts w:ascii="宋体" w:hAnsi="宋体" w:cs="宋体" w:eastAsia="宋体" w:hint="default"/>
          <w:sz w:val="24"/>
          <w:szCs w:val="24"/>
        </w:rPr>
      </w:pPr>
    </w:p>
    <w:p>
      <w:pPr>
        <w:pStyle w:val="Heading2"/>
        <w:spacing w:line="240" w:lineRule="auto"/>
        <w:ind w:right="1022"/>
        <w:jc w:val="left"/>
        <w:rPr>
          <w:b w:val="0"/>
          <w:bCs w:val="0"/>
        </w:rPr>
      </w:pPr>
      <w:bookmarkStart w:name="四、财务报表的编制基础" w:id="164"/>
      <w:bookmarkEnd w:id="164"/>
      <w:r>
        <w:rPr>
          <w:b w:val="0"/>
          <w:bCs w:val="0"/>
        </w:rPr>
      </w:r>
      <w:r>
        <w:rPr/>
        <w:t>四、财务报表的编制基础</w:t>
      </w:r>
      <w:r>
        <w:rPr>
          <w:b w:val="0"/>
          <w:bCs w:val="0"/>
        </w:rPr>
      </w:r>
    </w:p>
    <w:p>
      <w:pPr>
        <w:pStyle w:val="Heading4"/>
        <w:spacing w:line="610" w:lineRule="atLeast" w:before="3"/>
        <w:ind w:left="490" w:right="1022" w:hanging="336"/>
        <w:jc w:val="left"/>
      </w:pPr>
      <w:bookmarkStart w:name="1、编制基础" w:id="165"/>
      <w:bookmarkEnd w:id="165"/>
      <w:r>
        <w:rPr/>
      </w:r>
      <w:r>
        <w:rPr>
          <w:rFonts w:ascii="Times New Roman" w:hAnsi="Times New Roman" w:cs="Times New Roman" w:eastAsia="Times New Roman" w:hint="default"/>
          <w:b/>
          <w:bCs/>
        </w:rPr>
        <w:t>1</w:t>
      </w:r>
      <w:r>
        <w:rPr>
          <w:rFonts w:ascii="宋体" w:hAnsi="宋体" w:cs="宋体" w:eastAsia="宋体" w:hint="default"/>
          <w:b/>
          <w:bCs/>
        </w:rPr>
        <w:t>、编制基础</w:t>
      </w:r>
      <w:r>
        <w:rPr>
          <w:rFonts w:ascii="宋体" w:hAnsi="宋体" w:cs="宋体" w:eastAsia="宋体" w:hint="default"/>
          <w:b/>
          <w:bCs/>
          <w:w w:val="99"/>
        </w:rPr>
        <w:t> </w:t>
      </w:r>
      <w:r>
        <w:rPr/>
        <w:t>本公司根据实际发生的交易和事项，按照财政部颁布的《企业会计准则</w:t>
      </w:r>
      <w:r>
        <w:rPr>
          <w:rFonts w:ascii="Times New Roman" w:hAnsi="Times New Roman" w:cs="Times New Roman" w:eastAsia="Times New Roman" w:hint="default"/>
        </w:rPr>
        <w:t>——</w:t>
      </w:r>
      <w:r>
        <w:rPr/>
        <w:t>基本准则》和具体企业会</w:t>
      </w:r>
    </w:p>
    <w:p>
      <w:pPr>
        <w:pStyle w:val="Heading4"/>
        <w:spacing w:line="256" w:lineRule="auto" w:before="21"/>
        <w:ind w:right="1129"/>
        <w:jc w:val="both"/>
      </w:pPr>
      <w:r>
        <w:rPr/>
        <w:t>计准则、企业会计准则应用指南、企业会计准则解释及其他相关规定（以下合称</w:t>
      </w:r>
      <w:r>
        <w:rPr>
          <w:rFonts w:ascii="Times New Roman" w:hAnsi="Times New Roman" w:cs="Times New Roman" w:eastAsia="Times New Roman" w:hint="default"/>
        </w:rPr>
        <w:t>“</w:t>
      </w:r>
      <w:r>
        <w:rPr/>
        <w:t>企业会计准则</w:t>
      </w:r>
      <w:r>
        <w:rPr>
          <w:rFonts w:ascii="Times New Roman" w:hAnsi="Times New Roman" w:cs="Times New Roman" w:eastAsia="Times New Roman" w:hint="default"/>
        </w:rPr>
        <w:t>”</w:t>
      </w:r>
      <w:r>
        <w:rPr/>
        <w:t>）进行确 </w:t>
      </w:r>
      <w:r>
        <w:rPr>
          <w:spacing w:val="-5"/>
        </w:rPr>
        <w:t>认和计量，在此基础上，结合中国证券监督管理委员会《公开发行证券的公司信息披露编报规则第</w:t>
      </w:r>
      <w:r>
        <w:rPr>
          <w:rFonts w:ascii="Times New Roman" w:hAnsi="Times New Roman" w:cs="Times New Roman" w:eastAsia="Times New Roman" w:hint="default"/>
          <w:spacing w:val="-5"/>
        </w:rPr>
        <w:t>15</w:t>
      </w:r>
      <w:r>
        <w:rPr>
          <w:spacing w:val="-5"/>
        </w:rPr>
        <w:t>号</w:t>
      </w:r>
      <w:r>
        <w:rPr>
          <w:rFonts w:ascii="Times New Roman" w:hAnsi="Times New Roman" w:cs="Times New Roman" w:eastAsia="Times New Roman" w:hint="default"/>
          <w:spacing w:val="-5"/>
        </w:rPr>
        <w:t>——</w:t>
      </w:r>
      <w:r>
        <w:rPr>
          <w:rFonts w:ascii="Times New Roman" w:hAnsi="Times New Roman" w:cs="Times New Roman" w:eastAsia="Times New Roman" w:hint="default"/>
          <w:spacing w:val="-44"/>
        </w:rPr>
        <w:t> </w:t>
      </w:r>
      <w:r>
        <w:rPr/>
        <w:t>财务报告的一般规定》（</w:t>
      </w:r>
      <w:r>
        <w:rPr>
          <w:rFonts w:ascii="Times New Roman" w:hAnsi="Times New Roman" w:cs="Times New Roman" w:eastAsia="Times New Roman" w:hint="default"/>
        </w:rPr>
        <w:t>2014</w:t>
      </w:r>
      <w:r>
        <w:rPr/>
        <w:t>年修订）的规定，编制财务报表。</w:t>
      </w:r>
    </w:p>
    <w:p>
      <w:pPr>
        <w:spacing w:line="240" w:lineRule="auto" w:before="6"/>
        <w:rPr>
          <w:rFonts w:ascii="宋体" w:hAnsi="宋体" w:cs="宋体" w:eastAsia="宋体" w:hint="default"/>
          <w:sz w:val="23"/>
          <w:szCs w:val="23"/>
        </w:rPr>
      </w:pPr>
    </w:p>
    <w:p>
      <w:pPr>
        <w:pStyle w:val="Heading4"/>
        <w:spacing w:line="506" w:lineRule="auto" w:before="0"/>
        <w:ind w:left="490" w:right="1022" w:hanging="336"/>
        <w:jc w:val="left"/>
      </w:pPr>
      <w:bookmarkStart w:name="2、持续经营" w:id="166"/>
      <w:bookmarkEnd w:id="166"/>
      <w:r>
        <w:rPr/>
      </w:r>
      <w:r>
        <w:rPr>
          <w:rFonts w:ascii="Times New Roman" w:hAnsi="Times New Roman" w:cs="Times New Roman" w:eastAsia="Times New Roman" w:hint="default"/>
          <w:b/>
          <w:bCs/>
        </w:rPr>
        <w:t>2</w:t>
      </w:r>
      <w:r>
        <w:rPr>
          <w:rFonts w:ascii="宋体" w:hAnsi="宋体" w:cs="宋体" w:eastAsia="宋体" w:hint="default"/>
          <w:b/>
          <w:bCs/>
        </w:rPr>
        <w:t>、持续经营</w:t>
      </w:r>
      <w:r>
        <w:rPr>
          <w:rFonts w:ascii="宋体" w:hAnsi="宋体" w:cs="宋体" w:eastAsia="宋体" w:hint="default"/>
          <w:b/>
          <w:bCs/>
          <w:w w:val="99"/>
        </w:rPr>
        <w:t> </w:t>
      </w:r>
      <w:r>
        <w:rPr/>
        <w:t>本公司对报告期末起</w:t>
      </w:r>
      <w:r>
        <w:rPr>
          <w:rFonts w:ascii="Times New Roman" w:hAnsi="Times New Roman" w:cs="Times New Roman" w:eastAsia="Times New Roman" w:hint="default"/>
        </w:rPr>
        <w:t>12</w:t>
      </w:r>
      <w:r>
        <w:rPr/>
        <w:t>个月的持续经营能力进行了评价，未发现对持续经营能力产生重大怀疑的事项</w:t>
      </w:r>
    </w:p>
    <w:p>
      <w:pPr>
        <w:spacing w:after="0" w:line="506"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1022"/>
        <w:jc w:val="left"/>
      </w:pPr>
      <w:r>
        <w:rPr/>
        <w:t>或情况。因此，本财务报表系在持续经营假设的基础上编制。</w:t>
      </w:r>
    </w:p>
    <w:p>
      <w:pPr>
        <w:spacing w:line="240" w:lineRule="auto" w:before="1"/>
        <w:rPr>
          <w:rFonts w:ascii="宋体" w:hAnsi="宋体" w:cs="宋体" w:eastAsia="宋体" w:hint="default"/>
          <w:sz w:val="24"/>
          <w:szCs w:val="24"/>
        </w:rPr>
      </w:pPr>
    </w:p>
    <w:p>
      <w:pPr>
        <w:pStyle w:val="Heading2"/>
        <w:spacing w:line="240" w:lineRule="auto"/>
        <w:ind w:right="1022"/>
        <w:jc w:val="left"/>
        <w:rPr>
          <w:b w:val="0"/>
          <w:bCs w:val="0"/>
        </w:rPr>
      </w:pPr>
      <w:bookmarkStart w:name="五、重要会计政策及会计估计" w:id="167"/>
      <w:bookmarkEnd w:id="167"/>
      <w:r>
        <w:rPr>
          <w:b w:val="0"/>
          <w:bCs w:val="0"/>
        </w:rPr>
      </w:r>
      <w:r>
        <w:rPr/>
        <w:t>五、重要会计政策及会计估计</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7692"/>
        <w:jc w:val="left"/>
      </w:pPr>
      <w:r>
        <w:rPr/>
        <w:t>公司是否需要遵守特殊行业的披露要求 是</w:t>
      </w:r>
    </w:p>
    <w:p>
      <w:pPr>
        <w:pStyle w:val="BodyText"/>
        <w:spacing w:line="357" w:lineRule="auto" w:before="29"/>
        <w:ind w:right="8232"/>
        <w:jc w:val="left"/>
      </w:pPr>
      <w:r>
        <w:rPr/>
        <w:t>软件与信息技术服务业 具体会计政策和会计估计提示：</w:t>
      </w:r>
    </w:p>
    <w:p>
      <w:pPr>
        <w:pStyle w:val="Heading4"/>
        <w:spacing w:line="256" w:lineRule="auto" w:before="1"/>
        <w:ind w:right="1130" w:firstLine="420"/>
        <w:jc w:val="both"/>
      </w:pPr>
      <w:r>
        <w:rPr>
          <w:rFonts w:ascii="Times New Roman" w:hAnsi="Times New Roman" w:cs="Times New Roman" w:eastAsia="Times New Roman" w:hint="default"/>
        </w:rPr>
        <w:t>1.</w:t>
      </w:r>
      <w:r>
        <w:rPr/>
        <w:t>本公司根据生产经营特点确定具体会计政策和会计估计，主要体现在存货的计价方法（附注五第</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spacing w:val="-1"/>
        </w:rPr>
        <w:t>存货、）、可供出售权益工具发生减值的判断标准（附注五第</w:t>
      </w:r>
      <w:r>
        <w:rPr>
          <w:rFonts w:ascii="Times New Roman" w:hAnsi="Times New Roman" w:cs="Times New Roman" w:eastAsia="Times New Roman" w:hint="default"/>
          <w:spacing w:val="-1"/>
        </w:rPr>
        <w:t>10</w:t>
      </w:r>
      <w:r>
        <w:rPr>
          <w:spacing w:val="-1"/>
        </w:rPr>
        <w:t>、金融工具）、固定资产折旧和无形资产</w:t>
      </w:r>
      <w:r>
        <w:rPr>
          <w:spacing w:val="-86"/>
        </w:rPr>
        <w:t> </w:t>
      </w:r>
      <w:r>
        <w:rPr>
          <w:spacing w:val="-86"/>
        </w:rPr>
      </w:r>
      <w:r>
        <w:rPr/>
        <w:t>摊销（附注五第</w:t>
      </w:r>
      <w:r>
        <w:rPr>
          <w:rFonts w:ascii="Times New Roman" w:hAnsi="Times New Roman" w:cs="Times New Roman" w:eastAsia="Times New Roman" w:hint="default"/>
        </w:rPr>
        <w:t>16</w:t>
      </w:r>
      <w:r>
        <w:rPr/>
        <w:t>、固定资产、附注五第</w:t>
      </w:r>
      <w:r>
        <w:rPr>
          <w:rFonts w:ascii="Times New Roman" w:hAnsi="Times New Roman" w:cs="Times New Roman" w:eastAsia="Times New Roman" w:hint="default"/>
        </w:rPr>
        <w:t>21</w:t>
      </w:r>
      <w:r>
        <w:rPr/>
        <w:t>、无形资产）、收入的确认时点（附注五第</w:t>
      </w:r>
      <w:r>
        <w:rPr>
          <w:rFonts w:ascii="Times New Roman" w:hAnsi="Times New Roman" w:cs="Times New Roman" w:eastAsia="Times New Roman" w:hint="default"/>
        </w:rPr>
        <w:t>28</w:t>
      </w:r>
      <w:r>
        <w:rPr/>
        <w:t>、收入）等。</w:t>
      </w:r>
    </w:p>
    <w:p>
      <w:pPr>
        <w:pStyle w:val="Heading4"/>
        <w:spacing w:line="264" w:lineRule="auto" w:before="5"/>
        <w:ind w:right="1131" w:firstLine="420"/>
        <w:jc w:val="both"/>
      </w:pPr>
      <w:r>
        <w:rPr>
          <w:rFonts w:ascii="Times New Roman" w:hAnsi="Times New Roman" w:cs="Times New Roman" w:eastAsia="Times New Roman" w:hint="default"/>
        </w:rPr>
        <w:t>2.</w:t>
      </w:r>
      <w:r>
        <w:rPr/>
        <w:t>本公司根据历史经验和其他因素，包括对未来事项的合理预期，对所采用的重要会计估计和关键假 </w:t>
      </w:r>
      <w:r>
        <w:rPr>
          <w:spacing w:val="-1"/>
        </w:rPr>
        <w:t>设进行持续的评价。下列重要会计估计及关键假设如果发生重大变动，则可能会导致以后会计年度的资产</w:t>
      </w:r>
      <w:r>
        <w:rPr>
          <w:spacing w:val="-81"/>
        </w:rPr>
        <w:t> </w:t>
      </w:r>
      <w:r>
        <w:rPr>
          <w:spacing w:val="-81"/>
        </w:rPr>
      </w:r>
      <w:r>
        <w:rPr/>
        <w:t>和负债账面价值的重大影响：</w:t>
      </w:r>
    </w:p>
    <w:p>
      <w:pPr>
        <w:pStyle w:val="Heading4"/>
        <w:spacing w:line="266" w:lineRule="auto" w:before="16"/>
        <w:ind w:right="1130" w:firstLine="420"/>
        <w:jc w:val="both"/>
      </w:pPr>
      <w:r>
        <w:rPr/>
        <w:t>（</w:t>
      </w:r>
      <w:r>
        <w:rPr>
          <w:rFonts w:ascii="Times New Roman" w:hAnsi="Times New Roman" w:cs="Times New Roman" w:eastAsia="Times New Roman" w:hint="default"/>
        </w:rPr>
        <w:t>1</w:t>
      </w:r>
      <w:r>
        <w:rPr/>
        <w:t>）应收账款和其他应收款减值。管理层根据其判断的应收账款和其他应收款的可回收程度，以此 </w:t>
      </w:r>
      <w:r>
        <w:rPr>
          <w:spacing w:val="-1"/>
        </w:rPr>
        <w:t>来估计应收账款和其他应收款减值准备。如发生任何事件或情况变动，显示公司未必可追回有关余额，则</w:t>
      </w:r>
      <w:r>
        <w:rPr>
          <w:spacing w:val="-82"/>
        </w:rPr>
        <w:t> </w:t>
      </w:r>
      <w:r>
        <w:rPr>
          <w:spacing w:val="-82"/>
        </w:rPr>
      </w:r>
      <w:r>
        <w:rPr>
          <w:spacing w:val="-1"/>
        </w:rPr>
        <w:t>需要使用估计，对应收账款和其他应收款计提准备。若预期数字与原来估计数不同，有关差额则会影响应</w:t>
      </w:r>
      <w:r>
        <w:rPr>
          <w:spacing w:val="-83"/>
        </w:rPr>
        <w:t> </w:t>
      </w:r>
      <w:r>
        <w:rPr>
          <w:spacing w:val="-83"/>
        </w:rPr>
      </w:r>
      <w:r>
        <w:rPr/>
        <w:t>收账款和其他应收款的账面价值，以及在估计变动期间的减值费用。</w:t>
      </w:r>
    </w:p>
    <w:p>
      <w:pPr>
        <w:pStyle w:val="Heading4"/>
        <w:spacing w:line="264" w:lineRule="auto" w:before="14"/>
        <w:ind w:right="1131" w:firstLine="420"/>
        <w:jc w:val="both"/>
      </w:pPr>
      <w:r>
        <w:rPr/>
        <w:t>（</w:t>
      </w:r>
      <w:r>
        <w:rPr>
          <w:rFonts w:ascii="Times New Roman" w:hAnsi="Times New Roman" w:cs="Times New Roman" w:eastAsia="Times New Roman" w:hint="default"/>
        </w:rPr>
        <w:t>3</w:t>
      </w:r>
      <w:r>
        <w:rPr/>
        <w:t>）存货减值的估计。在资产负债表日对存货按照成本与可变现净值孰低计量，可变现净值的计算 </w:t>
      </w:r>
      <w:r>
        <w:rPr>
          <w:spacing w:val="-1"/>
        </w:rPr>
        <w:t>需要利用假设和估计。如果管理层对估计售价及完工时将要发生的成本及费用等进行重新修订，将影响存</w:t>
      </w:r>
      <w:r>
        <w:rPr>
          <w:spacing w:val="-81"/>
        </w:rPr>
        <w:t> </w:t>
      </w:r>
      <w:r>
        <w:rPr>
          <w:spacing w:val="-81"/>
        </w:rPr>
      </w:r>
      <w:r>
        <w:rPr/>
        <w:t>货的可变现净值的估计，该差异将对计提的存货跌价准备产生影响。</w:t>
      </w:r>
    </w:p>
    <w:p>
      <w:pPr>
        <w:pStyle w:val="Heading4"/>
        <w:spacing w:line="256" w:lineRule="auto" w:before="16"/>
        <w:ind w:right="1131" w:firstLine="420"/>
        <w:jc w:val="both"/>
      </w:pPr>
      <w:r>
        <w:rPr/>
        <w:t>（</w:t>
      </w:r>
      <w:r>
        <w:rPr>
          <w:rFonts w:ascii="Times New Roman" w:hAnsi="Times New Roman" w:cs="Times New Roman" w:eastAsia="Times New Roman" w:hint="default"/>
        </w:rPr>
        <w:t>4</w:t>
      </w:r>
      <w:r>
        <w:rPr/>
        <w:t>）长期资产减值的估计。管理层在判断长期资产是否存在减值时，主要从以下方面进行评估和分 </w:t>
      </w:r>
      <w:r>
        <w:rPr>
          <w:spacing w:val="-2"/>
        </w:rPr>
        <w:t>析：</w:t>
      </w:r>
      <w:r>
        <w:rPr>
          <w:rFonts w:ascii="Times New Roman" w:hAnsi="Times New Roman" w:cs="Times New Roman" w:eastAsia="Times New Roman" w:hint="default"/>
          <w:spacing w:val="-2"/>
        </w:rPr>
        <w:t>(1)</w:t>
      </w:r>
      <w:r>
        <w:rPr>
          <w:spacing w:val="-2"/>
        </w:rPr>
        <w:t>影响资产减值的事项是否已经发生；</w:t>
      </w:r>
      <w:r>
        <w:rPr>
          <w:rFonts w:ascii="Times New Roman" w:hAnsi="Times New Roman" w:cs="Times New Roman" w:eastAsia="Times New Roman" w:hint="default"/>
          <w:spacing w:val="-2"/>
        </w:rPr>
        <w:t>(2)</w:t>
      </w:r>
      <w:r>
        <w:rPr>
          <w:spacing w:val="-2"/>
        </w:rPr>
        <w:t>资产继续使用或处置而预期可获得的现金流量现值是否低于</w:t>
      </w:r>
      <w:r>
        <w:rPr>
          <w:spacing w:val="-99"/>
        </w:rPr>
        <w:t> </w:t>
      </w:r>
      <w:r>
        <w:rPr/>
        <w:t>资产的账面价值；</w:t>
      </w:r>
      <w:r>
        <w:rPr>
          <w:rFonts w:ascii="Times New Roman" w:hAnsi="Times New Roman" w:cs="Times New Roman" w:eastAsia="Times New Roman" w:hint="default"/>
        </w:rPr>
        <w:t>(3)</w:t>
      </w:r>
      <w:r>
        <w:rPr/>
        <w:t>预期未来现金流量现值中使用的重要假设是否适当。</w:t>
      </w:r>
    </w:p>
    <w:p>
      <w:pPr>
        <w:pStyle w:val="Heading4"/>
        <w:spacing w:line="273" w:lineRule="auto" w:before="5"/>
        <w:ind w:right="1131" w:firstLine="420"/>
        <w:jc w:val="both"/>
      </w:pPr>
      <w:r>
        <w:rPr>
          <w:spacing w:val="-1"/>
        </w:rPr>
        <w:t>公司所采用的用于确定减值的相关假设，如未来现金流量现值方法中所采用的盈利状况、折现率及增</w:t>
      </w:r>
      <w:r>
        <w:rPr/>
        <w:t> </w:t>
      </w:r>
      <w:r>
        <w:rPr>
          <w:spacing w:val="-1"/>
        </w:rPr>
        <w:t>长率假设发生变化，可能会对减值测试中所使用的现值产生重大影响，并导致公司的上述长期资产出现减</w:t>
      </w:r>
      <w:r>
        <w:rPr>
          <w:spacing w:val="-81"/>
        </w:rPr>
        <w:t> </w:t>
      </w:r>
      <w:r>
        <w:rPr>
          <w:spacing w:val="-81"/>
        </w:rPr>
      </w:r>
      <w:r>
        <w:rPr/>
        <w:t>值。</w:t>
      </w:r>
    </w:p>
    <w:p>
      <w:pPr>
        <w:pStyle w:val="Heading4"/>
        <w:spacing w:line="266" w:lineRule="auto"/>
        <w:ind w:right="1130" w:firstLine="420"/>
        <w:jc w:val="both"/>
      </w:pPr>
      <w:r>
        <w:rPr/>
        <w:t>（</w:t>
      </w:r>
      <w:r>
        <w:rPr>
          <w:rFonts w:ascii="Times New Roman" w:hAnsi="Times New Roman" w:cs="Times New Roman" w:eastAsia="Times New Roman" w:hint="default"/>
        </w:rPr>
        <w:t>5</w:t>
      </w:r>
      <w:r>
        <w:rPr/>
        <w:t>）固定资产的预计使用寿命与预计净残值。固定资产的预计使用寿命与预计净残值的估计是将性 </w:t>
      </w:r>
      <w:r>
        <w:rPr>
          <w:spacing w:val="-1"/>
        </w:rPr>
        <w:t>质和功能类似的固定资产过往的实际使用寿命与实际净残值作为基础。在固定资产使用过程中，其所处的</w:t>
      </w:r>
      <w:r>
        <w:rPr>
          <w:spacing w:val="-80"/>
        </w:rPr>
        <w:t> </w:t>
      </w:r>
      <w:r>
        <w:rPr>
          <w:spacing w:val="-80"/>
        </w:rPr>
      </w:r>
      <w:r>
        <w:rPr>
          <w:spacing w:val="-1"/>
        </w:rPr>
        <w:t>经济环境、技术环境以及其他环境有可能对固定资产使用寿命与预计净残值产生较大影响。如果固定资产</w:t>
      </w:r>
      <w:r>
        <w:rPr>
          <w:spacing w:val="-81"/>
        </w:rPr>
        <w:t> </w:t>
      </w:r>
      <w:r>
        <w:rPr>
          <w:spacing w:val="-81"/>
        </w:rPr>
      </w:r>
      <w:r>
        <w:rPr/>
        <w:t>使用寿命与净残值的预计数与原先估计数有差异，管理层将对其进行适当调整。</w:t>
      </w:r>
    </w:p>
    <w:p>
      <w:pPr>
        <w:pStyle w:val="Heading4"/>
        <w:spacing w:line="240" w:lineRule="auto" w:before="14"/>
        <w:ind w:left="574" w:right="1022"/>
        <w:jc w:val="left"/>
      </w:pPr>
      <w:r>
        <w:rPr/>
        <w:t>（</w:t>
      </w:r>
      <w:r>
        <w:rPr>
          <w:rFonts w:ascii="Times New Roman" w:hAnsi="Times New Roman" w:cs="Times New Roman" w:eastAsia="Times New Roman" w:hint="default"/>
        </w:rPr>
        <w:t>6</w:t>
      </w:r>
      <w:r>
        <w:rPr/>
        <w:t>）递延所得税资产和递延所得税负债。</w:t>
      </w:r>
    </w:p>
    <w:p>
      <w:pPr>
        <w:pStyle w:val="Heading4"/>
        <w:spacing w:line="264" w:lineRule="auto" w:before="21"/>
        <w:ind w:right="1131" w:firstLine="420"/>
        <w:jc w:val="both"/>
      </w:pPr>
      <w:r>
        <w:rPr/>
        <w:t>（</w:t>
      </w:r>
      <w:r>
        <w:rPr>
          <w:rFonts w:ascii="Times New Roman" w:hAnsi="Times New Roman" w:cs="Times New Roman" w:eastAsia="Times New Roman" w:hint="default"/>
        </w:rPr>
        <w:t>7</w:t>
      </w:r>
      <w:r>
        <w:rPr/>
        <w:t>）所得税。在正常的经营活动中，很多交易和事项的最终税务处理都存在不确定性。在计提所得 </w:t>
      </w:r>
      <w:r>
        <w:rPr>
          <w:spacing w:val="-1"/>
        </w:rPr>
        <w:t>税时需要作出重大判断。如果这些税务事项的最终认定结果与最初入账的金额存在差异，该差异将对作出</w:t>
      </w:r>
      <w:r>
        <w:rPr>
          <w:spacing w:val="-81"/>
        </w:rPr>
        <w:t> </w:t>
      </w:r>
      <w:r>
        <w:rPr>
          <w:spacing w:val="-81"/>
        </w:rPr>
      </w:r>
      <w:r>
        <w:rPr/>
        <w:t>上述最终认定期间的税金金额产生影响。</w:t>
      </w:r>
    </w:p>
    <w:p>
      <w:pPr>
        <w:spacing w:line="590" w:lineRule="atLeast" w:before="18"/>
        <w:ind w:left="574" w:right="1022" w:hanging="420"/>
        <w:jc w:val="left"/>
        <w:rPr>
          <w:rFonts w:ascii="宋体" w:hAnsi="宋体" w:cs="宋体" w:eastAsia="宋体" w:hint="default"/>
          <w:sz w:val="21"/>
          <w:szCs w:val="21"/>
        </w:rPr>
      </w:pPr>
      <w:bookmarkStart w:name="1、遵循企业会计准则的声明" w:id="168"/>
      <w:bookmarkEnd w:id="168"/>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、遵循企业会计准则的声明</w:t>
      </w:r>
      <w:r>
        <w:rPr>
          <w:rFonts w:ascii="宋体" w:hAnsi="宋体" w:cs="宋体" w:eastAsia="宋体" w:hint="default"/>
          <w:b/>
          <w:bCs/>
          <w:w w:val="99"/>
          <w:sz w:val="21"/>
          <w:szCs w:val="21"/>
        </w:rPr>
        <w:t> </w:t>
      </w:r>
      <w:r>
        <w:rPr>
          <w:rFonts w:ascii="宋体" w:hAnsi="宋体" w:cs="宋体" w:eastAsia="宋体" w:hint="default"/>
          <w:spacing w:val="-1"/>
          <w:sz w:val="21"/>
          <w:szCs w:val="21"/>
        </w:rPr>
        <w:t>本公司所编制的财务报表符合企业会计准则的要求，真实、完整地反映了报告期公司的财务状况、经</w:t>
      </w:r>
    </w:p>
    <w:p>
      <w:pPr>
        <w:pStyle w:val="Heading4"/>
        <w:spacing w:line="240" w:lineRule="auto" w:before="37"/>
        <w:ind w:right="1022"/>
        <w:jc w:val="left"/>
      </w:pPr>
      <w:r>
        <w:rPr/>
        <w:t>营成果、现金流量等有关信息。</w:t>
      </w:r>
    </w:p>
    <w:p>
      <w:pPr>
        <w:spacing w:line="240" w:lineRule="auto" w:before="12"/>
        <w:rPr>
          <w:rFonts w:ascii="宋体" w:hAnsi="宋体" w:cs="宋体" w:eastAsia="宋体" w:hint="default"/>
          <w:sz w:val="25"/>
          <w:szCs w:val="25"/>
        </w:rPr>
      </w:pPr>
    </w:p>
    <w:p>
      <w:pPr>
        <w:pStyle w:val="Heading3"/>
        <w:spacing w:line="240" w:lineRule="auto"/>
        <w:ind w:right="1022"/>
        <w:jc w:val="left"/>
        <w:rPr>
          <w:b w:val="0"/>
          <w:bCs w:val="0"/>
        </w:rPr>
      </w:pPr>
      <w:bookmarkStart w:name="2、会计期间" w:id="169"/>
      <w:bookmarkEnd w:id="169"/>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7"/>
        <w:rPr>
          <w:rFonts w:ascii="宋体" w:hAnsi="宋体" w:cs="宋体" w:eastAsia="宋体" w:hint="default"/>
          <w:b/>
          <w:bCs/>
          <w:sz w:val="24"/>
          <w:szCs w:val="24"/>
        </w:rPr>
      </w:pPr>
    </w:p>
    <w:p>
      <w:pPr>
        <w:pStyle w:val="Heading4"/>
        <w:spacing w:line="240" w:lineRule="auto" w:before="0"/>
        <w:ind w:left="574" w:right="1022"/>
        <w:jc w:val="left"/>
      </w:pPr>
      <w:r>
        <w:rPr/>
        <w:t>自公历</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日止为一个会计年度。</w:t>
      </w:r>
    </w:p>
    <w:p>
      <w:pPr>
        <w:spacing w:after="0" w:line="240"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both"/>
        <w:rPr>
          <w:b w:val="0"/>
          <w:bCs w:val="0"/>
        </w:rPr>
      </w:pPr>
      <w:bookmarkStart w:name="3、营业周期" w:id="170"/>
      <w:bookmarkEnd w:id="170"/>
      <w:r>
        <w:rPr>
          <w:b w:val="0"/>
          <w:bCs w:val="0"/>
        </w:rPr>
      </w:r>
      <w:r>
        <w:rPr>
          <w:rFonts w:ascii="Times New Roman" w:hAnsi="Times New Roman" w:cs="Times New Roman" w:eastAsia="Times New Roman" w:hint="default"/>
        </w:rPr>
        <w:t>3</w:t>
      </w:r>
      <w:r>
        <w:rPr/>
        <w:t>、营业周期</w:t>
      </w:r>
      <w:r>
        <w:rPr>
          <w:b w:val="0"/>
          <w:bCs w:val="0"/>
        </w:rPr>
      </w:r>
    </w:p>
    <w:p>
      <w:pPr>
        <w:spacing w:line="240" w:lineRule="auto" w:before="7"/>
        <w:rPr>
          <w:rFonts w:ascii="宋体" w:hAnsi="宋体" w:cs="宋体" w:eastAsia="宋体" w:hint="default"/>
          <w:b/>
          <w:bCs/>
          <w:sz w:val="24"/>
          <w:szCs w:val="24"/>
        </w:rPr>
      </w:pPr>
    </w:p>
    <w:p>
      <w:pPr>
        <w:pStyle w:val="Heading4"/>
        <w:spacing w:line="273" w:lineRule="auto" w:before="0"/>
        <w:ind w:right="1110" w:firstLine="420"/>
        <w:jc w:val="both"/>
      </w:pPr>
      <w:r>
        <w:rPr/>
        <w:t>本公司营业周期是指本公司签订合同，购买用于加工的软硬件资产起至实现现金或现金等价物期间。 本公司以</w:t>
      </w:r>
      <w:r>
        <w:rPr>
          <w:rFonts w:ascii="Times New Roman" w:hAnsi="Times New Roman" w:cs="Times New Roman" w:eastAsia="Times New Roman" w:hint="default"/>
        </w:rPr>
        <w:t>12</w:t>
      </w:r>
      <w:r>
        <w:rPr/>
        <w:t>个月作为一个营业周期，并以其作为资产和负债的流动性划分标准。</w:t>
      </w:r>
    </w:p>
    <w:p>
      <w:pPr>
        <w:spacing w:line="240" w:lineRule="auto" w:before="2"/>
        <w:rPr>
          <w:rFonts w:ascii="宋体" w:hAnsi="宋体" w:cs="宋体" w:eastAsia="宋体" w:hint="default"/>
          <w:sz w:val="22"/>
          <w:szCs w:val="22"/>
        </w:rPr>
      </w:pPr>
    </w:p>
    <w:p>
      <w:pPr>
        <w:pStyle w:val="Heading3"/>
        <w:spacing w:line="240" w:lineRule="auto"/>
        <w:ind w:right="0"/>
        <w:jc w:val="both"/>
        <w:rPr>
          <w:b w:val="0"/>
          <w:bCs w:val="0"/>
        </w:rPr>
      </w:pPr>
      <w:bookmarkStart w:name="4、记账本位币" w:id="171"/>
      <w:bookmarkEnd w:id="171"/>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7"/>
        <w:rPr>
          <w:rFonts w:ascii="宋体" w:hAnsi="宋体" w:cs="宋体" w:eastAsia="宋体" w:hint="default"/>
          <w:b/>
          <w:bCs/>
          <w:sz w:val="24"/>
          <w:szCs w:val="24"/>
        </w:rPr>
      </w:pPr>
    </w:p>
    <w:p>
      <w:pPr>
        <w:pStyle w:val="Heading4"/>
        <w:spacing w:line="240" w:lineRule="auto" w:before="0"/>
        <w:ind w:left="574" w:right="1022"/>
        <w:jc w:val="left"/>
      </w:pPr>
      <w:r>
        <w:rPr/>
        <w:t>本公司采用人民币为记账本位币。</w:t>
      </w:r>
    </w:p>
    <w:p>
      <w:pPr>
        <w:spacing w:line="590" w:lineRule="atLeast" w:before="39"/>
        <w:ind w:left="574" w:right="1022" w:hanging="420"/>
        <w:jc w:val="left"/>
        <w:rPr>
          <w:rFonts w:ascii="宋体" w:hAnsi="宋体" w:cs="宋体" w:eastAsia="宋体" w:hint="default"/>
          <w:sz w:val="21"/>
          <w:szCs w:val="21"/>
        </w:rPr>
      </w:pPr>
      <w:bookmarkStart w:name="5、同一控制下和非同一控制下企业合并的会计处理方法" w:id="172"/>
      <w:bookmarkEnd w:id="172"/>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、同一控制下和非同一控制下企业合并的会计处理方法</w:t>
      </w:r>
      <w:r>
        <w:rPr>
          <w:rFonts w:ascii="宋体" w:hAnsi="宋体" w:cs="宋体" w:eastAsia="宋体" w:hint="default"/>
          <w:b/>
          <w:bCs/>
          <w:w w:val="99"/>
          <w:sz w:val="21"/>
          <w:szCs w:val="21"/>
        </w:rPr>
        <w:t> </w:t>
      </w:r>
      <w:r>
        <w:rPr>
          <w:rFonts w:ascii="宋体" w:hAnsi="宋体" w:cs="宋体" w:eastAsia="宋体" w:hint="default"/>
          <w:spacing w:val="-1"/>
          <w:sz w:val="21"/>
          <w:szCs w:val="21"/>
        </w:rPr>
        <w:t>对于同一控制下企业合并取得的子公司，以其资产、负债（包括最终控制方收购该子公司而形成的商</w:t>
      </w:r>
    </w:p>
    <w:p>
      <w:pPr>
        <w:pStyle w:val="Heading4"/>
        <w:spacing w:line="273" w:lineRule="auto" w:before="37"/>
        <w:ind w:left="574" w:right="1022" w:hanging="420"/>
        <w:jc w:val="left"/>
      </w:pPr>
      <w:r>
        <w:rPr/>
        <w:t>誉）在最终控制方财务报表中的账面价值为基础对其财务报表进行调整。 </w:t>
      </w:r>
      <w:r>
        <w:rPr>
          <w:spacing w:val="-1"/>
        </w:rPr>
        <w:t>对于非同一控制下企业合并取得的子公司，以购买日可辨认净资产公允价值为基础对其财务报表进行</w:t>
      </w:r>
    </w:p>
    <w:p>
      <w:pPr>
        <w:pStyle w:val="Heading4"/>
        <w:spacing w:line="240" w:lineRule="auto"/>
        <w:ind w:right="0"/>
        <w:jc w:val="both"/>
      </w:pPr>
      <w:r>
        <w:rPr/>
        <w:t>调整。</w:t>
      </w:r>
    </w:p>
    <w:p>
      <w:pPr>
        <w:pStyle w:val="Heading4"/>
        <w:spacing w:line="256" w:lineRule="auto" w:before="37"/>
        <w:ind w:left="574" w:right="1022"/>
        <w:jc w:val="left"/>
      </w:pPr>
      <w:r>
        <w:rPr>
          <w:rFonts w:ascii="Times New Roman" w:hAnsi="Times New Roman" w:cs="Times New Roman" w:eastAsia="Times New Roman" w:hint="default"/>
        </w:rPr>
        <w:t>1.</w:t>
      </w:r>
      <w:r>
        <w:rPr/>
        <w:t>增加子公司或业务 </w:t>
      </w:r>
      <w:r>
        <w:rPr>
          <w:spacing w:val="-1"/>
        </w:rPr>
        <w:t>在报告期内，若因同一控制下企业合并增加子公司或业务的，则调整合并资产负债表的期初数；将子</w:t>
      </w:r>
    </w:p>
    <w:p>
      <w:pPr>
        <w:pStyle w:val="Heading4"/>
        <w:spacing w:line="273" w:lineRule="auto" w:before="22"/>
        <w:ind w:right="1131"/>
        <w:jc w:val="both"/>
      </w:pPr>
      <w:r>
        <w:rPr>
          <w:spacing w:val="-1"/>
        </w:rPr>
        <w:t>公司或业务合并当期期初至报告期末的收入、费用、利润纳入合并利润表；将子公司或业务合并当期期初</w:t>
      </w:r>
      <w:r>
        <w:rPr>
          <w:spacing w:val="-83"/>
        </w:rPr>
        <w:t> </w:t>
      </w:r>
      <w:r>
        <w:rPr>
          <w:spacing w:val="-83"/>
        </w:rPr>
      </w:r>
      <w:r>
        <w:rPr>
          <w:spacing w:val="-1"/>
        </w:rPr>
        <w:t>至报告期末的现金流量纳入合并现金流量表，同时对比较报表的相关项目进行调整，视同合并后的报告主</w:t>
      </w:r>
      <w:r>
        <w:rPr>
          <w:spacing w:val="-81"/>
        </w:rPr>
        <w:t> </w:t>
      </w:r>
      <w:r>
        <w:rPr>
          <w:spacing w:val="-81"/>
        </w:rPr>
      </w:r>
      <w:r>
        <w:rPr/>
        <w:t>体自最终控制方开始控制时点起一直存在。</w:t>
      </w:r>
    </w:p>
    <w:p>
      <w:pPr>
        <w:pStyle w:val="Heading4"/>
        <w:spacing w:line="273" w:lineRule="auto"/>
        <w:ind w:right="1131" w:firstLine="420"/>
        <w:jc w:val="both"/>
      </w:pPr>
      <w:r>
        <w:rPr>
          <w:spacing w:val="-1"/>
        </w:rPr>
        <w:t>因追加投资等原因能够对同一控制下的被投资方实施控制的，视同参与合并的各方在最终控制方开始</w:t>
      </w:r>
      <w:r>
        <w:rPr/>
        <w:t> </w:t>
      </w:r>
      <w:r>
        <w:rPr>
          <w:spacing w:val="-1"/>
        </w:rPr>
        <w:t>控制时即以目前的状态存在进行调整。在取得被合并方控制权之前持有的股权投资，在取得原股权之日与</w:t>
      </w:r>
      <w:r>
        <w:rPr>
          <w:spacing w:val="-81"/>
        </w:rPr>
        <w:t> </w:t>
      </w:r>
      <w:r>
        <w:rPr>
          <w:spacing w:val="-81"/>
        </w:rPr>
      </w:r>
      <w:r>
        <w:rPr>
          <w:spacing w:val="-1"/>
        </w:rPr>
        <w:t>合并方和被合并方同处于同一控制之日孰晚日起至合并日之间已确认有关损益、其他综合收益以及其他净</w:t>
      </w:r>
      <w:r>
        <w:rPr>
          <w:spacing w:val="-81"/>
        </w:rPr>
        <w:t> </w:t>
      </w:r>
      <w:r>
        <w:rPr>
          <w:spacing w:val="-81"/>
        </w:rPr>
      </w:r>
      <w:r>
        <w:rPr/>
        <w:t>资产变动，分别冲减比较报表期间的期初留存收益或当期损益。</w:t>
      </w:r>
    </w:p>
    <w:p>
      <w:pPr>
        <w:pStyle w:val="Heading4"/>
        <w:spacing w:line="273" w:lineRule="auto"/>
        <w:ind w:right="1131" w:firstLine="420"/>
        <w:jc w:val="both"/>
      </w:pPr>
      <w:r>
        <w:rPr>
          <w:spacing w:val="-1"/>
        </w:rPr>
        <w:t>在报告期内，若因非同一控制下企业合并增加子公司或业务的，则不调整合并资产负债表期初数；将</w:t>
      </w:r>
      <w:r>
        <w:rPr/>
        <w:t> </w:t>
      </w:r>
      <w:r>
        <w:rPr>
          <w:spacing w:val="-1"/>
        </w:rPr>
        <w:t>该子公司或业务自购买日至报告期末的收入、费用、利润纳入合并利润表；该子公司或业务自购买日至报</w:t>
      </w:r>
      <w:r>
        <w:rPr>
          <w:spacing w:val="-83"/>
        </w:rPr>
        <w:t> </w:t>
      </w:r>
      <w:r>
        <w:rPr>
          <w:spacing w:val="-83"/>
        </w:rPr>
      </w:r>
      <w:r>
        <w:rPr/>
        <w:t>告期末的现金流量纳入合并现金流量表。</w:t>
      </w:r>
    </w:p>
    <w:p>
      <w:pPr>
        <w:pStyle w:val="Heading4"/>
        <w:spacing w:line="273" w:lineRule="auto"/>
        <w:ind w:right="1131" w:firstLine="420"/>
        <w:jc w:val="both"/>
      </w:pPr>
      <w:r>
        <w:rPr>
          <w:spacing w:val="-1"/>
        </w:rPr>
        <w:t>因追加投资等原因能够对非同一控制下的被投资方实施控制的，对于购买日之前持有的被购买方的股</w:t>
      </w:r>
      <w:r>
        <w:rPr/>
        <w:t> </w:t>
      </w:r>
      <w:r>
        <w:rPr>
          <w:spacing w:val="-1"/>
        </w:rPr>
        <w:t>权，本公司按照该股权在购买日的公允价值进行重新计量，公允价值与其账面价值的差额计入当期投资收</w:t>
      </w:r>
      <w:r>
        <w:rPr>
          <w:spacing w:val="-81"/>
        </w:rPr>
        <w:t> </w:t>
      </w:r>
      <w:r>
        <w:rPr>
          <w:spacing w:val="-81"/>
        </w:rPr>
      </w:r>
      <w:r>
        <w:rPr>
          <w:spacing w:val="-1"/>
        </w:rPr>
        <w:t>益。购买日之前持有的被购买方的股权涉及权益法核算下的其他综合收益以及除净损益、其他综合收益和</w:t>
      </w:r>
      <w:r>
        <w:rPr>
          <w:spacing w:val="-81"/>
        </w:rPr>
        <w:t> </w:t>
      </w:r>
      <w:r>
        <w:rPr>
          <w:spacing w:val="-81"/>
        </w:rPr>
      </w:r>
      <w:r>
        <w:rPr>
          <w:spacing w:val="-1"/>
        </w:rPr>
        <w:t>利润分配之外的其他所有者权益变动的，与其相关的其他综合收益、其他所有者权益变动转为购买日所属</w:t>
      </w:r>
      <w:r>
        <w:rPr>
          <w:spacing w:val="-81"/>
        </w:rPr>
        <w:t> </w:t>
      </w:r>
      <w:r>
        <w:rPr>
          <w:spacing w:val="-81"/>
        </w:rPr>
      </w:r>
      <w:r>
        <w:rPr/>
        <w:t>当期投资收益，由于被投资方重新计量设定受益计划净负债或净资产变动而产生的其他综合收益除外。</w:t>
      </w:r>
    </w:p>
    <w:p>
      <w:pPr>
        <w:pStyle w:val="Heading4"/>
        <w:spacing w:line="240" w:lineRule="auto"/>
        <w:ind w:left="574" w:right="1022"/>
        <w:jc w:val="left"/>
      </w:pPr>
      <w:r>
        <w:rPr>
          <w:rFonts w:ascii="Times New Roman" w:hAnsi="Times New Roman" w:cs="Times New Roman" w:eastAsia="Times New Roman" w:hint="default"/>
        </w:rPr>
        <w:t>2.</w:t>
      </w:r>
      <w:r>
        <w:rPr/>
        <w:t>处置子公司或业务</w:t>
      </w:r>
    </w:p>
    <w:p>
      <w:pPr>
        <w:pStyle w:val="Heading4"/>
        <w:spacing w:line="256" w:lineRule="auto" w:before="21"/>
        <w:ind w:left="574" w:right="1022"/>
        <w:jc w:val="left"/>
      </w:pPr>
      <w:r>
        <w:rPr>
          <w:rFonts w:ascii="Times New Roman" w:hAnsi="Times New Roman" w:cs="Times New Roman" w:eastAsia="Times New Roman" w:hint="default"/>
        </w:rPr>
        <w:t>1</w:t>
      </w:r>
      <w:r>
        <w:rPr/>
        <w:t>）一般处理方法 </w:t>
      </w:r>
      <w:r>
        <w:rPr>
          <w:spacing w:val="-1"/>
        </w:rPr>
        <w:t>在报告期内，本公司处置子公司或业务，则该子公司或业务期初至处置日的收入、费用、利润纳入合</w:t>
      </w:r>
    </w:p>
    <w:p>
      <w:pPr>
        <w:pStyle w:val="Heading4"/>
        <w:spacing w:line="273" w:lineRule="auto" w:before="22"/>
        <w:ind w:left="574" w:right="1022" w:hanging="420"/>
        <w:jc w:val="left"/>
      </w:pPr>
      <w:r>
        <w:rPr/>
        <w:t>并利润表；该子公司或业务期初至处置日的现金流量纳入合并现金流量表。 </w:t>
      </w:r>
      <w:r>
        <w:rPr>
          <w:spacing w:val="-1"/>
        </w:rPr>
        <w:t>因处置部分股权投资或其他原因丧失了对被投资方控制权时，对于处置后的剩余股权投资，本公司按</w:t>
      </w:r>
    </w:p>
    <w:p>
      <w:pPr>
        <w:pStyle w:val="Heading4"/>
        <w:spacing w:line="273" w:lineRule="auto"/>
        <w:ind w:right="1131"/>
        <w:jc w:val="both"/>
      </w:pPr>
      <w:r>
        <w:rPr>
          <w:spacing w:val="-1"/>
        </w:rPr>
        <w:t>照其在丧失控制权日的公允价值进行重新计量。处置股权取得的对价与剩余股权公允价值之和，减去按原</w:t>
      </w:r>
      <w:r>
        <w:rPr>
          <w:spacing w:val="-81"/>
        </w:rPr>
        <w:t> </w:t>
      </w:r>
      <w:r>
        <w:rPr>
          <w:spacing w:val="-81"/>
        </w:rPr>
      </w:r>
      <w:r>
        <w:rPr>
          <w:spacing w:val="-1"/>
        </w:rPr>
        <w:t>持股比例计算应享有原有子公司自购买日或合并日开始持续计算的净资产的份额与商誉之和的差额，计入</w:t>
      </w:r>
      <w:r>
        <w:rPr>
          <w:spacing w:val="-81"/>
        </w:rPr>
        <w:t> </w:t>
      </w:r>
      <w:r>
        <w:rPr>
          <w:spacing w:val="-81"/>
        </w:rPr>
      </w:r>
      <w:r>
        <w:rPr>
          <w:spacing w:val="-1"/>
        </w:rPr>
        <w:t>丧失控制权当期的投资收益。与原有子公司股权投资相关的其他综合收益或除净损益、其他综合收益及利</w:t>
      </w:r>
      <w:r>
        <w:rPr>
          <w:spacing w:val="-81"/>
        </w:rPr>
        <w:t> </w:t>
      </w:r>
      <w:r>
        <w:rPr>
          <w:spacing w:val="-81"/>
        </w:rPr>
      </w:r>
      <w:r>
        <w:rPr>
          <w:spacing w:val="-1"/>
        </w:rPr>
        <w:t>润分配之外的其他所有者权益变动，在丧失控制权时转为当期投资收益，由于被投资方重新计量设定受益</w:t>
      </w:r>
      <w:r>
        <w:rPr>
          <w:spacing w:val="-81"/>
        </w:rPr>
        <w:t> </w:t>
      </w:r>
      <w:r>
        <w:rPr>
          <w:spacing w:val="-81"/>
        </w:rPr>
      </w:r>
      <w:r>
        <w:rPr/>
        <w:t>计划净负债或净资产变动而产生的其他综合收益除外。</w:t>
      </w:r>
    </w:p>
    <w:p>
      <w:pPr>
        <w:pStyle w:val="Heading4"/>
        <w:spacing w:line="256" w:lineRule="auto"/>
        <w:ind w:left="574" w:right="1022"/>
        <w:jc w:val="left"/>
      </w:pPr>
      <w:r>
        <w:rPr>
          <w:rFonts w:ascii="Times New Roman" w:hAnsi="Times New Roman" w:cs="Times New Roman" w:eastAsia="Times New Roman" w:hint="default"/>
        </w:rPr>
        <w:t>2</w:t>
      </w:r>
      <w:r>
        <w:rPr/>
        <w:t>）分步处置子公司 </w:t>
      </w:r>
      <w:r>
        <w:rPr>
          <w:spacing w:val="-1"/>
        </w:rPr>
        <w:t>通过多次交易分步处置对子公司股权投资直至丧失控制权的，处置对子公司股权投资的各项交易的条</w:t>
      </w:r>
    </w:p>
    <w:p>
      <w:pPr>
        <w:spacing w:after="0" w:line="256"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73" w:lineRule="auto" w:before="35"/>
        <w:ind w:right="1022"/>
        <w:jc w:val="left"/>
      </w:pPr>
      <w:r>
        <w:rPr>
          <w:spacing w:val="-1"/>
        </w:rPr>
        <w:t>款、条件以及经济影响符合以下一种或多种情况，通常表明应将多次交易事项作为一揽子交易进行会计处</w:t>
      </w:r>
      <w:r>
        <w:rPr>
          <w:spacing w:val="-81"/>
        </w:rPr>
        <w:t> </w:t>
      </w:r>
      <w:r>
        <w:rPr>
          <w:spacing w:val="-81"/>
        </w:rPr>
      </w:r>
      <w:r>
        <w:rPr/>
        <w:t>理：</w:t>
      </w:r>
    </w:p>
    <w:p>
      <w:pPr>
        <w:pStyle w:val="Heading4"/>
        <w:spacing w:line="256" w:lineRule="auto"/>
        <w:ind w:left="574" w:right="3828"/>
        <w:jc w:val="left"/>
      </w:pPr>
      <w:r>
        <w:rPr>
          <w:rFonts w:ascii="Times New Roman" w:hAnsi="Times New Roman" w:cs="Times New Roman" w:eastAsia="Times New Roman" w:hint="default"/>
        </w:rPr>
        <w:t>A.</w:t>
      </w:r>
      <w:r>
        <w:rPr/>
        <w:t>这些交易是同时或者在考虑了彼此影响的情况下订立的； </w:t>
      </w:r>
      <w:r>
        <w:rPr>
          <w:rFonts w:ascii="Times New Roman" w:hAnsi="Times New Roman" w:cs="Times New Roman" w:eastAsia="Times New Roman" w:hint="default"/>
        </w:rPr>
        <w:t>B.</w:t>
      </w:r>
      <w:r>
        <w:rPr/>
        <w:t>这些交易整体才能达成一项完整的商业结果； </w:t>
      </w:r>
      <w:r>
        <w:rPr>
          <w:rFonts w:ascii="Times New Roman" w:hAnsi="Times New Roman" w:cs="Times New Roman" w:eastAsia="Times New Roman" w:hint="default"/>
        </w:rPr>
        <w:t>C.</w:t>
      </w:r>
      <w:r>
        <w:rPr/>
        <w:t>一项交易的发生取决于其他至少一项交易的发生； </w:t>
      </w:r>
      <w:r>
        <w:rPr>
          <w:rFonts w:ascii="Times New Roman" w:hAnsi="Times New Roman" w:cs="Times New Roman" w:eastAsia="Times New Roman" w:hint="default"/>
        </w:rPr>
        <w:t>D.</w:t>
      </w:r>
      <w:r>
        <w:rPr/>
        <w:t>一项交易单独看是不经济的，但是和其他交易一并考虑时是经济的。</w:t>
      </w:r>
    </w:p>
    <w:p>
      <w:pPr>
        <w:pStyle w:val="Heading4"/>
        <w:spacing w:line="273" w:lineRule="auto" w:before="5"/>
        <w:ind w:right="1131" w:firstLine="420"/>
        <w:jc w:val="both"/>
      </w:pPr>
      <w:r>
        <w:rPr>
          <w:spacing w:val="-1"/>
        </w:rPr>
        <w:t>处置对子公司股权投资直至丧失控制权的各项交易属于一揽子交易的，本公司将各项交易作为一项处</w:t>
      </w:r>
      <w:r>
        <w:rPr/>
        <w:t> </w:t>
      </w:r>
      <w:r>
        <w:rPr>
          <w:spacing w:val="-1"/>
        </w:rPr>
        <w:t>置子公司并丧失控制权的交易进行会计处理；但是，在丧失控制权之前每一次处置价款与处置投资对应的</w:t>
      </w:r>
      <w:r>
        <w:rPr>
          <w:spacing w:val="-81"/>
        </w:rPr>
        <w:t> </w:t>
      </w:r>
      <w:r>
        <w:rPr>
          <w:spacing w:val="-81"/>
        </w:rPr>
      </w:r>
      <w:r>
        <w:rPr>
          <w:spacing w:val="-1"/>
        </w:rPr>
        <w:t>享有该子公司净资产份额的差额，在合并财务报表中确认为其他综合收益，在丧失控制权时一并转入丧失</w:t>
      </w:r>
      <w:r>
        <w:rPr>
          <w:spacing w:val="-81"/>
        </w:rPr>
        <w:t> </w:t>
      </w:r>
      <w:r>
        <w:rPr>
          <w:spacing w:val="-81"/>
        </w:rPr>
      </w:r>
      <w:r>
        <w:rPr/>
        <w:t>控制权当期的损益。</w:t>
      </w:r>
    </w:p>
    <w:p>
      <w:pPr>
        <w:pStyle w:val="Heading4"/>
        <w:spacing w:line="273" w:lineRule="auto"/>
        <w:ind w:right="1130" w:firstLine="420"/>
        <w:jc w:val="both"/>
      </w:pPr>
      <w:r>
        <w:rPr>
          <w:spacing w:val="-1"/>
        </w:rPr>
        <w:t>处置对子公司股权投资直至丧失控制权的各项交易不属于一揽子交易的，在丧失控制权之前，按不丧</w:t>
      </w:r>
      <w:r>
        <w:rPr/>
        <w:t> </w:t>
      </w:r>
      <w:r>
        <w:rPr>
          <w:spacing w:val="-1"/>
        </w:rPr>
        <w:t>失控制权的情况下部分处置对子公司的股权投资的相关政策进行会计处理；在丧失控制权时，按处置子公</w:t>
      </w:r>
      <w:r>
        <w:rPr>
          <w:spacing w:val="-80"/>
        </w:rPr>
        <w:t> </w:t>
      </w:r>
      <w:r>
        <w:rPr>
          <w:spacing w:val="-80"/>
        </w:rPr>
      </w:r>
      <w:r>
        <w:rPr/>
        <w:t>司一般处理方法进行会计处理。</w:t>
      </w:r>
    </w:p>
    <w:p>
      <w:pPr>
        <w:pStyle w:val="Heading4"/>
        <w:spacing w:line="256" w:lineRule="auto"/>
        <w:ind w:left="574" w:right="1022"/>
        <w:jc w:val="left"/>
      </w:pPr>
      <w:r>
        <w:rPr>
          <w:rFonts w:ascii="Times New Roman" w:hAnsi="Times New Roman" w:cs="Times New Roman" w:eastAsia="Times New Roman" w:hint="default"/>
        </w:rPr>
        <w:t>3.</w:t>
      </w:r>
      <w:r>
        <w:rPr/>
        <w:t>购买子公司少数股权 </w:t>
      </w:r>
      <w:r>
        <w:rPr>
          <w:spacing w:val="-1"/>
        </w:rPr>
        <w:t>本公司因购买少数股权新取得的长期股权投资与按照新增持股比例计算应享有子公司自购买日（或合</w:t>
      </w:r>
    </w:p>
    <w:p>
      <w:pPr>
        <w:pStyle w:val="Heading4"/>
        <w:spacing w:line="273" w:lineRule="auto" w:before="22"/>
        <w:ind w:right="1022"/>
        <w:jc w:val="left"/>
      </w:pPr>
      <w:r>
        <w:rPr>
          <w:spacing w:val="-1"/>
        </w:rPr>
        <w:t>并日）开始持续计算的净资产份额之间的差额，调整合并资产负债表中的资本公积中的股本溢价，资本公</w:t>
      </w:r>
      <w:r>
        <w:rPr>
          <w:spacing w:val="-83"/>
        </w:rPr>
        <w:t> </w:t>
      </w:r>
      <w:r>
        <w:rPr>
          <w:spacing w:val="-83"/>
        </w:rPr>
      </w:r>
      <w:r>
        <w:rPr/>
        <w:t>积中的股本溢价不足冲减的，调整留存收益。</w:t>
      </w:r>
    </w:p>
    <w:p>
      <w:pPr>
        <w:pStyle w:val="Heading4"/>
        <w:spacing w:line="256" w:lineRule="auto"/>
        <w:ind w:left="574" w:right="1022"/>
        <w:jc w:val="left"/>
      </w:pPr>
      <w:r>
        <w:rPr>
          <w:rFonts w:ascii="Times New Roman" w:hAnsi="Times New Roman" w:cs="Times New Roman" w:eastAsia="Times New Roman" w:hint="default"/>
        </w:rPr>
        <w:t>4.</w:t>
      </w:r>
      <w:r>
        <w:rPr/>
        <w:t>不丧失控制权的情况下部分处置对子公司的股权投资 </w:t>
      </w:r>
      <w:r>
        <w:rPr>
          <w:spacing w:val="3"/>
        </w:rPr>
        <w:t>在不丧失控制权的情况下因部分处置对子公司的长期股权投资而取得的处置价款与处置长期股权投</w:t>
      </w:r>
    </w:p>
    <w:p>
      <w:pPr>
        <w:pStyle w:val="Heading4"/>
        <w:spacing w:line="273" w:lineRule="auto" w:before="22"/>
        <w:ind w:right="1022"/>
        <w:jc w:val="left"/>
      </w:pPr>
      <w:r>
        <w:rPr>
          <w:spacing w:val="-1"/>
        </w:rPr>
        <w:t>资相对应享有子公司自购买日或合并日开始持续计算的净资产份额之间的差额，调整合并资产负债表中的</w:t>
      </w:r>
      <w:r>
        <w:rPr>
          <w:spacing w:val="-80"/>
        </w:rPr>
        <w:t> </w:t>
      </w:r>
      <w:r>
        <w:rPr>
          <w:spacing w:val="-80"/>
        </w:rPr>
      </w:r>
      <w:r>
        <w:rPr/>
        <w:t>资本公积中的股本溢价，资本公积中的股本溢价不足冲减的，调整留存收益。</w:t>
      </w:r>
    </w:p>
    <w:p>
      <w:pPr>
        <w:spacing w:line="240" w:lineRule="auto" w:before="8"/>
        <w:rPr>
          <w:rFonts w:ascii="宋体" w:hAnsi="宋体" w:cs="宋体" w:eastAsia="宋体" w:hint="default"/>
          <w:sz w:val="23"/>
          <w:szCs w:val="23"/>
        </w:rPr>
      </w:pPr>
    </w:p>
    <w:p>
      <w:pPr>
        <w:pStyle w:val="Heading3"/>
        <w:spacing w:line="240" w:lineRule="auto"/>
        <w:ind w:right="1022"/>
        <w:jc w:val="left"/>
        <w:rPr>
          <w:b w:val="0"/>
          <w:bCs w:val="0"/>
        </w:rPr>
      </w:pPr>
      <w:bookmarkStart w:name="6、合并财务报表的编制方法" w:id="173"/>
      <w:bookmarkEnd w:id="173"/>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7"/>
        <w:rPr>
          <w:rFonts w:ascii="宋体" w:hAnsi="宋体" w:cs="宋体" w:eastAsia="宋体" w:hint="default"/>
          <w:b/>
          <w:bCs/>
          <w:sz w:val="24"/>
          <w:szCs w:val="24"/>
        </w:rPr>
      </w:pPr>
    </w:p>
    <w:p>
      <w:pPr>
        <w:pStyle w:val="Heading4"/>
        <w:spacing w:line="256" w:lineRule="auto" w:before="0"/>
        <w:ind w:left="574" w:right="1022" w:hanging="8"/>
        <w:jc w:val="left"/>
      </w:pPr>
      <w:r>
        <w:rPr>
          <w:rFonts w:ascii="Times New Roman" w:hAnsi="Times New Roman" w:cs="Times New Roman" w:eastAsia="Times New Roman" w:hint="default"/>
          <w:b/>
          <w:bCs/>
        </w:rPr>
        <w:t>1.</w:t>
      </w:r>
      <w:r>
        <w:rPr>
          <w:rFonts w:ascii="宋体" w:hAnsi="宋体" w:cs="宋体" w:eastAsia="宋体" w:hint="default"/>
          <w:b/>
          <w:bCs/>
        </w:rPr>
        <w:t>合并范围</w:t>
      </w:r>
      <w:r>
        <w:rPr>
          <w:rFonts w:ascii="宋体" w:hAnsi="宋体" w:cs="宋体" w:eastAsia="宋体" w:hint="default"/>
          <w:b/>
          <w:bCs/>
          <w:w w:val="99"/>
        </w:rPr>
        <w:t> </w:t>
      </w:r>
      <w:r>
        <w:rPr>
          <w:spacing w:val="-1"/>
        </w:rPr>
        <w:t>本公司合并财务报表的合并范围以控制为基础确定，所有子公司（包括本公司所控制的单独主体）均</w:t>
      </w:r>
    </w:p>
    <w:p>
      <w:pPr>
        <w:pStyle w:val="Heading4"/>
        <w:spacing w:line="240" w:lineRule="auto" w:before="22"/>
        <w:ind w:right="1022"/>
        <w:jc w:val="left"/>
      </w:pPr>
      <w:r>
        <w:rPr/>
        <w:t>纳入合并财务报表。</w:t>
      </w:r>
    </w:p>
    <w:p>
      <w:pPr>
        <w:pStyle w:val="Heading4"/>
        <w:spacing w:line="256" w:lineRule="auto" w:before="37"/>
        <w:ind w:left="574" w:right="1022" w:hanging="8"/>
        <w:jc w:val="left"/>
      </w:pPr>
      <w:r>
        <w:rPr>
          <w:rFonts w:ascii="Times New Roman" w:hAnsi="Times New Roman" w:cs="Times New Roman" w:eastAsia="Times New Roman" w:hint="default"/>
          <w:b/>
          <w:bCs/>
        </w:rPr>
        <w:t>2.</w:t>
      </w:r>
      <w:r>
        <w:rPr>
          <w:rFonts w:ascii="宋体" w:hAnsi="宋体" w:cs="宋体" w:eastAsia="宋体" w:hint="default"/>
          <w:b/>
          <w:bCs/>
        </w:rPr>
        <w:t>合并程序</w:t>
      </w:r>
      <w:r>
        <w:rPr>
          <w:rFonts w:ascii="宋体" w:hAnsi="宋体" w:cs="宋体" w:eastAsia="宋体" w:hint="default"/>
          <w:b/>
          <w:bCs/>
          <w:w w:val="99"/>
        </w:rPr>
        <w:t> </w:t>
      </w:r>
      <w:r>
        <w:rPr>
          <w:spacing w:val="-1"/>
        </w:rPr>
        <w:t>本公司以自身和各子公司的财务报表为基础，根据其他有关资料，编制合并财务报表。本公司编制合</w:t>
      </w:r>
    </w:p>
    <w:p>
      <w:pPr>
        <w:pStyle w:val="Heading4"/>
        <w:spacing w:line="273" w:lineRule="auto" w:before="22"/>
        <w:ind w:right="1022"/>
        <w:jc w:val="left"/>
      </w:pPr>
      <w:r>
        <w:rPr>
          <w:spacing w:val="-1"/>
        </w:rPr>
        <w:t>并财务报表，将整个企业集团视为一个会计主体，依据相关企业会计准则的确认、计量和列报要求，按照</w:t>
      </w:r>
      <w:r>
        <w:rPr>
          <w:spacing w:val="-86"/>
        </w:rPr>
        <w:t> </w:t>
      </w:r>
      <w:r>
        <w:rPr>
          <w:spacing w:val="-86"/>
        </w:rPr>
      </w:r>
      <w:r>
        <w:rPr/>
        <w:t>统一的会计政策，反映本企业集团整体财务状况、经营成果和现金流量。</w:t>
      </w:r>
    </w:p>
    <w:p>
      <w:pPr>
        <w:pStyle w:val="Heading4"/>
        <w:spacing w:line="273" w:lineRule="auto"/>
        <w:ind w:right="1131" w:firstLine="420"/>
        <w:jc w:val="both"/>
      </w:pPr>
      <w:r>
        <w:rPr>
          <w:spacing w:val="-1"/>
        </w:rPr>
        <w:t>所有纳入合并财务报表合并范围的子公司所采用的会计政策、会计期间与本公司一致，如子公司采用</w:t>
      </w:r>
      <w:r>
        <w:rPr/>
        <w:t> </w:t>
      </w:r>
      <w:r>
        <w:rPr>
          <w:spacing w:val="-1"/>
        </w:rPr>
        <w:t>的会计政策、会计期间与本公司不一致的，在编制合并财务报表时，按本公司的会计政策、会计期间进行</w:t>
      </w:r>
      <w:r>
        <w:rPr>
          <w:spacing w:val="-86"/>
        </w:rPr>
        <w:t> </w:t>
      </w:r>
      <w:r>
        <w:rPr>
          <w:spacing w:val="-86"/>
        </w:rPr>
      </w:r>
      <w:r>
        <w:rPr/>
        <w:t>必要的调整。</w:t>
      </w:r>
    </w:p>
    <w:p>
      <w:pPr>
        <w:pStyle w:val="Heading4"/>
        <w:spacing w:line="273" w:lineRule="auto"/>
        <w:ind w:right="1131" w:firstLine="420"/>
        <w:jc w:val="both"/>
      </w:pPr>
      <w:r>
        <w:rPr>
          <w:spacing w:val="-1"/>
        </w:rPr>
        <w:t>合并财务报表时抵销本公司与各子公司、各子公司相互之间发生的内部交易对合并资产负债表、合并</w:t>
      </w:r>
      <w:r>
        <w:rPr/>
        <w:t> </w:t>
      </w:r>
      <w:r>
        <w:rPr>
          <w:spacing w:val="-1"/>
        </w:rPr>
        <w:t>利润表、合并现金流量表、合并股东权益变动表的影响。如果站在企业集团合并财务报表角度与以本公司</w:t>
      </w:r>
      <w:r>
        <w:rPr>
          <w:spacing w:val="-83"/>
        </w:rPr>
        <w:t> </w:t>
      </w:r>
      <w:r>
        <w:rPr>
          <w:spacing w:val="-83"/>
        </w:rPr>
      </w:r>
      <w:r>
        <w:rPr/>
        <w:t>或子公司为会计主体对同一交易的认定不同时，从企业集团的角度对该交易予以调整。</w:t>
      </w:r>
    </w:p>
    <w:p>
      <w:pPr>
        <w:pStyle w:val="Heading4"/>
        <w:spacing w:line="273" w:lineRule="auto"/>
        <w:ind w:right="1130" w:firstLine="420"/>
        <w:jc w:val="both"/>
      </w:pPr>
      <w:r>
        <w:rPr>
          <w:spacing w:val="-1"/>
        </w:rPr>
        <w:t>子公司所有者权益、当期净损益和当期综合收益中属于少数股东的份额分别在合并资产负债表中所有</w:t>
      </w:r>
      <w:r>
        <w:rPr/>
        <w:t> </w:t>
      </w:r>
      <w:r>
        <w:rPr>
          <w:spacing w:val="-1"/>
        </w:rPr>
        <w:t>者权益项目下、合并利润表中净利润项目下和综合收益总额项目下单独列示。子公司少数股东分担的当期</w:t>
      </w:r>
      <w:r>
        <w:rPr>
          <w:spacing w:val="-81"/>
        </w:rPr>
        <w:t> </w:t>
      </w:r>
      <w:r>
        <w:rPr>
          <w:spacing w:val="-81"/>
        </w:rPr>
      </w:r>
      <w:r>
        <w:rPr/>
        <w:t>亏损超过了少数股东在该子公司期初所有者权益中所享有份额而形成的余额，冲减少数股东权益。</w:t>
      </w:r>
    </w:p>
    <w:p>
      <w:pPr>
        <w:spacing w:line="240" w:lineRule="auto" w:before="8"/>
        <w:rPr>
          <w:rFonts w:ascii="宋体" w:hAnsi="宋体" w:cs="宋体" w:eastAsia="宋体" w:hint="default"/>
          <w:sz w:val="23"/>
          <w:szCs w:val="23"/>
        </w:rPr>
      </w:pPr>
    </w:p>
    <w:p>
      <w:pPr>
        <w:spacing w:line="506" w:lineRule="auto" w:before="0"/>
        <w:ind w:left="574" w:right="1022" w:hanging="420"/>
        <w:jc w:val="left"/>
        <w:rPr>
          <w:rFonts w:ascii="宋体" w:hAnsi="宋体" w:cs="宋体" w:eastAsia="宋体" w:hint="default"/>
          <w:sz w:val="21"/>
          <w:szCs w:val="21"/>
        </w:rPr>
      </w:pPr>
      <w:bookmarkStart w:name="7、合营安排分类及共同经营会计处理方法" w:id="174"/>
      <w:bookmarkEnd w:id="174"/>
      <w:r>
        <w:rPr/>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、合营安排分类及共同经营会计处理方法</w:t>
      </w:r>
      <w:r>
        <w:rPr>
          <w:rFonts w:ascii="宋体" w:hAnsi="宋体" w:cs="宋体" w:eastAsia="宋体" w:hint="default"/>
          <w:b/>
          <w:bCs/>
          <w:w w:val="99"/>
          <w:sz w:val="21"/>
          <w:szCs w:val="21"/>
        </w:rPr>
        <w:t> </w:t>
      </w:r>
      <w:r>
        <w:rPr>
          <w:rFonts w:ascii="宋体" w:hAnsi="宋体" w:cs="宋体" w:eastAsia="宋体" w:hint="default"/>
          <w:spacing w:val="-1"/>
          <w:sz w:val="21"/>
          <w:szCs w:val="21"/>
        </w:rPr>
        <w:t>本公司将一项由两个或两个以上的参与方共同控制的安排确定为合营安排。参与方为共同控制的一方</w:t>
      </w:r>
    </w:p>
    <w:p>
      <w:pPr>
        <w:spacing w:after="0" w:line="506" w:lineRule="auto"/>
        <w:jc w:val="left"/>
        <w:rPr>
          <w:rFonts w:ascii="宋体" w:hAnsi="宋体" w:cs="宋体" w:eastAsia="宋体" w:hint="default"/>
          <w:sz w:val="21"/>
          <w:szCs w:val="21"/>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73" w:lineRule="auto" w:before="35"/>
        <w:ind w:left="574" w:right="1022" w:hanging="420"/>
        <w:jc w:val="left"/>
      </w:pPr>
      <w:r>
        <w:rPr/>
        <w:t>时界定为合营安排中的合营方，否则界定为合营安排中的非合营方。 </w:t>
      </w:r>
      <w:r>
        <w:rPr>
          <w:spacing w:val="-1"/>
        </w:rPr>
        <w:t>合营安排根据合营方是否为享有该安排相关资产权利且承担相关负债义务，还是仅对该安排的净资产</w:t>
      </w:r>
    </w:p>
    <w:p>
      <w:pPr>
        <w:pStyle w:val="Heading4"/>
        <w:spacing w:line="240" w:lineRule="auto"/>
        <w:ind w:right="1022"/>
        <w:jc w:val="left"/>
      </w:pPr>
      <w:r>
        <w:rPr/>
        <w:t>享有权利划分为共同经营或合营企业两种类型。</w:t>
      </w:r>
    </w:p>
    <w:p>
      <w:pPr>
        <w:spacing w:line="256" w:lineRule="auto" w:before="37"/>
        <w:ind w:left="574" w:right="1022"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）共同经营的会计处理方法</w:t>
      </w:r>
      <w:r>
        <w:rPr>
          <w:rFonts w:ascii="宋体" w:hAnsi="宋体" w:cs="宋体" w:eastAsia="宋体" w:hint="default"/>
          <w:b/>
          <w:bCs/>
          <w:w w:val="99"/>
          <w:sz w:val="21"/>
          <w:szCs w:val="21"/>
        </w:rPr>
        <w:t> </w:t>
      </w:r>
      <w:r>
        <w:rPr>
          <w:rFonts w:ascii="宋体" w:hAnsi="宋体" w:cs="宋体" w:eastAsia="宋体" w:hint="default"/>
          <w:spacing w:val="-1"/>
          <w:sz w:val="21"/>
          <w:szCs w:val="21"/>
        </w:rPr>
        <w:t>本公司为共同经营中的合营方，应当确认其共同经营中利益份额相关的下列项目，并按照相关企业会</w:t>
      </w:r>
    </w:p>
    <w:p>
      <w:pPr>
        <w:pStyle w:val="Heading4"/>
        <w:spacing w:line="273" w:lineRule="auto" w:before="22"/>
        <w:ind w:right="1023"/>
        <w:jc w:val="left"/>
      </w:pPr>
      <w:r>
        <w:rPr/>
        <w:t>计准则的规定进行会计处理：①确认单独所持有的资产，以及按其份额确认共同持有的资产；②确认单独 </w:t>
      </w:r>
      <w:r>
        <w:rPr>
          <w:spacing w:val="-3"/>
        </w:rPr>
        <w:t>所承担的负债，以及按其份额确认共同承担的负债；③确认出售其享有的共同经营产出份额所产生的收入；</w:t>
      </w:r>
    </w:p>
    <w:p>
      <w:pPr>
        <w:pStyle w:val="Heading4"/>
        <w:spacing w:line="273" w:lineRule="auto"/>
        <w:ind w:right="1022"/>
        <w:jc w:val="left"/>
      </w:pPr>
      <w:r>
        <w:rPr>
          <w:spacing w:val="-1"/>
        </w:rPr>
        <w:t>④按其份额确认共同经营因出售产出所产生的收入；⑤确认单独所发生的费用，以及按其份额确认共同经</w:t>
      </w:r>
      <w:r>
        <w:rPr>
          <w:spacing w:val="-81"/>
        </w:rPr>
        <w:t> </w:t>
      </w:r>
      <w:r>
        <w:rPr>
          <w:spacing w:val="-81"/>
        </w:rPr>
      </w:r>
      <w:r>
        <w:rPr/>
        <w:t>营发生的费用。</w:t>
      </w:r>
    </w:p>
    <w:p>
      <w:pPr>
        <w:pStyle w:val="Heading4"/>
        <w:spacing w:line="240" w:lineRule="auto"/>
        <w:ind w:right="1022"/>
        <w:jc w:val="left"/>
      </w:pPr>
      <w:r>
        <w:rPr/>
        <w:t>本公司为共同经营中非合营方比照上述合营方进行会计处理。</w:t>
      </w:r>
    </w:p>
    <w:p>
      <w:pPr>
        <w:spacing w:line="256" w:lineRule="auto" w:before="37"/>
        <w:ind w:left="574" w:right="1022"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）合营企业的会计处理方法</w:t>
      </w:r>
      <w:r>
        <w:rPr>
          <w:rFonts w:ascii="宋体" w:hAnsi="宋体" w:cs="宋体" w:eastAsia="宋体" w:hint="default"/>
          <w:b/>
          <w:bCs/>
          <w:w w:val="99"/>
          <w:sz w:val="21"/>
          <w:szCs w:val="21"/>
        </w:rPr>
        <w:t> </w:t>
      </w:r>
      <w:r>
        <w:rPr>
          <w:rFonts w:ascii="宋体" w:hAnsi="宋体" w:cs="宋体" w:eastAsia="宋体" w:hint="default"/>
          <w:sz w:val="21"/>
          <w:szCs w:val="21"/>
        </w:rPr>
        <w:t>本公司为合营企业的合营方，应当按照《企业会计准则第</w:t>
      </w:r>
      <w:r>
        <w:rPr>
          <w:rFonts w:ascii="Times New Roman" w:hAnsi="Times New Roman" w:cs="Times New Roman" w:eastAsia="Times New Roman" w:hint="default"/>
          <w:sz w:val="21"/>
          <w:szCs w:val="21"/>
        </w:rPr>
        <w:t>2</w:t>
      </w:r>
      <w:r>
        <w:rPr>
          <w:rFonts w:ascii="宋体" w:hAnsi="宋体" w:cs="宋体" w:eastAsia="宋体" w:hint="default"/>
          <w:sz w:val="21"/>
          <w:szCs w:val="21"/>
        </w:rPr>
        <w:t>号</w:t>
      </w:r>
      <w:r>
        <w:rPr>
          <w:rFonts w:ascii="Times New Roman" w:hAnsi="Times New Roman" w:cs="Times New Roman" w:eastAsia="Times New Roman" w:hint="default"/>
          <w:sz w:val="21"/>
          <w:szCs w:val="21"/>
        </w:rPr>
        <w:t>—</w:t>
      </w:r>
      <w:r>
        <w:rPr>
          <w:rFonts w:ascii="宋体" w:hAnsi="宋体" w:cs="宋体" w:eastAsia="宋体" w:hint="default"/>
          <w:sz w:val="21"/>
          <w:szCs w:val="21"/>
        </w:rPr>
        <w:t>长期股权投资》的相关规定进行核算</w:t>
      </w:r>
    </w:p>
    <w:p>
      <w:pPr>
        <w:pStyle w:val="Heading4"/>
        <w:spacing w:line="240" w:lineRule="auto" w:before="5"/>
        <w:ind w:right="1022"/>
        <w:jc w:val="left"/>
      </w:pPr>
      <w:r>
        <w:rPr/>
        <w:t>及会计处理。</w:t>
      </w:r>
    </w:p>
    <w:p>
      <w:pPr>
        <w:spacing w:line="590" w:lineRule="atLeast" w:before="39"/>
        <w:ind w:left="574" w:right="1022" w:hanging="420"/>
        <w:jc w:val="left"/>
        <w:rPr>
          <w:rFonts w:ascii="宋体" w:hAnsi="宋体" w:cs="宋体" w:eastAsia="宋体" w:hint="default"/>
          <w:sz w:val="21"/>
          <w:szCs w:val="21"/>
        </w:rPr>
      </w:pPr>
      <w:bookmarkStart w:name="8、现金及现金等价物的确定标准" w:id="175"/>
      <w:bookmarkEnd w:id="175"/>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、现金及现金等价物的确定标准</w:t>
      </w:r>
      <w:r>
        <w:rPr>
          <w:rFonts w:ascii="宋体" w:hAnsi="宋体" w:cs="宋体" w:eastAsia="宋体" w:hint="default"/>
          <w:b/>
          <w:bCs/>
          <w:w w:val="99"/>
          <w:sz w:val="21"/>
          <w:szCs w:val="21"/>
        </w:rPr>
        <w:t> </w:t>
      </w:r>
      <w:r>
        <w:rPr>
          <w:rFonts w:ascii="宋体" w:hAnsi="宋体" w:cs="宋体" w:eastAsia="宋体" w:hint="default"/>
          <w:spacing w:val="-1"/>
          <w:sz w:val="21"/>
          <w:szCs w:val="21"/>
        </w:rPr>
        <w:t>在编制现金流量表时，将本公司库存现金以及可以随时用于支付的存款确认为现金。将同时具备期限</w:t>
      </w:r>
    </w:p>
    <w:p>
      <w:pPr>
        <w:pStyle w:val="Heading4"/>
        <w:spacing w:line="273" w:lineRule="auto" w:before="37"/>
        <w:ind w:right="1022"/>
        <w:jc w:val="left"/>
      </w:pPr>
      <w:r>
        <w:rPr>
          <w:spacing w:val="-1"/>
        </w:rPr>
        <w:t>短（一般从购买日起三个月内到期）、流动性强、易于转换为已知金额的现金、价值变动风险很小四个条</w:t>
      </w:r>
      <w:r>
        <w:rPr>
          <w:spacing w:val="-83"/>
        </w:rPr>
        <w:t> </w:t>
      </w:r>
      <w:r>
        <w:rPr>
          <w:spacing w:val="-83"/>
        </w:rPr>
      </w:r>
      <w:r>
        <w:rPr/>
        <w:t>件的投资，确定为现金等价物。</w:t>
      </w:r>
    </w:p>
    <w:p>
      <w:pPr>
        <w:spacing w:line="240" w:lineRule="auto" w:before="8"/>
        <w:rPr>
          <w:rFonts w:ascii="宋体" w:hAnsi="宋体" w:cs="宋体" w:eastAsia="宋体" w:hint="default"/>
          <w:sz w:val="23"/>
          <w:szCs w:val="23"/>
        </w:rPr>
      </w:pPr>
    </w:p>
    <w:p>
      <w:pPr>
        <w:pStyle w:val="Heading3"/>
        <w:spacing w:line="240" w:lineRule="auto"/>
        <w:ind w:right="1022"/>
        <w:jc w:val="left"/>
        <w:rPr>
          <w:b w:val="0"/>
          <w:bCs w:val="0"/>
        </w:rPr>
      </w:pPr>
      <w:bookmarkStart w:name="9、外币业务和外币报表折算" w:id="176"/>
      <w:bookmarkEnd w:id="176"/>
      <w:r>
        <w:rPr>
          <w:b w:val="0"/>
          <w:bCs w:val="0"/>
        </w:rPr>
      </w:r>
      <w:r>
        <w:rPr>
          <w:rFonts w:ascii="Times New Roman" w:hAnsi="Times New Roman" w:cs="Times New Roman" w:eastAsia="Times New Roman" w:hint="default"/>
        </w:rPr>
        <w:t>9</w:t>
      </w:r>
      <w:r>
        <w:rPr/>
        <w:t>、外币业务和外币报表折算</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022"/>
        <w:jc w:val="left"/>
        <w:rPr>
          <w:b w:val="0"/>
          <w:bCs w:val="0"/>
        </w:rPr>
      </w:pPr>
      <w:bookmarkStart w:name="10、金融工具" w:id="177"/>
      <w:bookmarkEnd w:id="177"/>
      <w:r>
        <w:rPr>
          <w:b w:val="0"/>
          <w:bCs w:val="0"/>
        </w:rPr>
      </w:r>
      <w:r>
        <w:rPr>
          <w:rFonts w:ascii="Times New Roman" w:hAnsi="Times New Roman" w:cs="Times New Roman" w:eastAsia="Times New Roman" w:hint="default"/>
        </w:rPr>
        <w:t>10</w:t>
      </w:r>
      <w:r>
        <w:rPr/>
        <w:t>、金融工具</w:t>
      </w:r>
      <w:r>
        <w:rPr>
          <w:b w:val="0"/>
          <w:bCs w:val="0"/>
        </w:rPr>
      </w:r>
    </w:p>
    <w:p>
      <w:pPr>
        <w:spacing w:line="240" w:lineRule="auto" w:before="7"/>
        <w:rPr>
          <w:rFonts w:ascii="宋体" w:hAnsi="宋体" w:cs="宋体" w:eastAsia="宋体" w:hint="default"/>
          <w:b/>
          <w:bCs/>
          <w:sz w:val="24"/>
          <w:szCs w:val="24"/>
        </w:rPr>
      </w:pPr>
    </w:p>
    <w:p>
      <w:pPr>
        <w:spacing w:line="273" w:lineRule="auto" w:before="0"/>
        <w:ind w:left="514" w:right="5922" w:firstLine="60"/>
        <w:jc w:val="left"/>
        <w:rPr>
          <w:rFonts w:ascii="宋体" w:hAnsi="宋体" w:cs="宋体" w:eastAsia="宋体" w:hint="default"/>
          <w:sz w:val="21"/>
          <w:szCs w:val="21"/>
        </w:rPr>
      </w:pPr>
      <w:r>
        <w:rPr>
          <w:rFonts w:ascii="宋体" w:hAnsi="宋体" w:cs="宋体" w:eastAsia="宋体" w:hint="default"/>
          <w:sz w:val="21"/>
          <w:szCs w:val="21"/>
        </w:rPr>
        <w:t>金融工具包括金融资产、金融负债和权益工具。 </w:t>
      </w:r>
      <w:r>
        <w:rPr>
          <w:rFonts w:ascii="宋体" w:hAnsi="宋体" w:cs="宋体" w:eastAsia="宋体" w:hint="default"/>
          <w:b/>
          <w:bCs/>
          <w:sz w:val="21"/>
          <w:szCs w:val="21"/>
        </w:rPr>
        <w:t>1</w:t>
      </w:r>
      <w:r>
        <w:rPr>
          <w:rFonts w:ascii="宋体" w:hAnsi="宋体" w:cs="宋体" w:eastAsia="宋体" w:hint="default"/>
          <w:b/>
          <w:bCs/>
          <w:sz w:val="21"/>
          <w:szCs w:val="21"/>
        </w:rPr>
        <w:t>、金融工具的分类</w:t>
      </w:r>
      <w:r>
        <w:rPr>
          <w:rFonts w:ascii="宋体" w:hAnsi="宋体" w:cs="宋体" w:eastAsia="宋体" w:hint="default"/>
          <w:sz w:val="21"/>
          <w:szCs w:val="21"/>
        </w:rPr>
      </w:r>
    </w:p>
    <w:p>
      <w:pPr>
        <w:pStyle w:val="Heading4"/>
        <w:spacing w:line="273" w:lineRule="auto"/>
        <w:ind w:left="514" w:right="1128" w:firstLine="420"/>
        <w:jc w:val="both"/>
      </w:pPr>
      <w:r>
        <w:rPr/>
        <w:t>本公司根据所发行金融工具的合同条款及其所反映的经济实质而非仅以法律形式，结合取得持有</w:t>
      </w:r>
      <w:r>
        <w:rPr>
          <w:spacing w:val="1"/>
        </w:rPr>
        <w:t> </w:t>
      </w:r>
      <w:r>
        <w:rPr/>
        <w:t>金融资产和承担金融负债的目的，在初始确认时将金融资产和金融负债分为不同类别：以公允价值计</w:t>
      </w:r>
      <w:r>
        <w:rPr>
          <w:spacing w:val="-72"/>
        </w:rPr>
        <w:t> </w:t>
      </w:r>
      <w:r>
        <w:rPr>
          <w:spacing w:val="-72"/>
        </w:rPr>
      </w:r>
      <w:r>
        <w:rPr/>
        <w:t>量且其变动计入当期损益的金融资产（或金融负债）；持有至到期投资；应收款项；可供出售金融资</w:t>
      </w:r>
      <w:r>
        <w:rPr>
          <w:spacing w:val="-72"/>
        </w:rPr>
        <w:t> </w:t>
      </w:r>
      <w:r>
        <w:rPr>
          <w:spacing w:val="-72"/>
        </w:rPr>
      </w:r>
      <w:r>
        <w:rPr/>
        <w:t>产；其他金融负债等。</w:t>
      </w:r>
    </w:p>
    <w:p>
      <w:pPr>
        <w:pStyle w:val="Heading3"/>
        <w:spacing w:line="240" w:lineRule="auto" w:before="7"/>
        <w:ind w:left="514" w:right="1022"/>
        <w:jc w:val="left"/>
        <w:rPr>
          <w:b w:val="0"/>
          <w:bCs w:val="0"/>
        </w:rPr>
      </w:pPr>
      <w:r>
        <w:rPr>
          <w:rFonts w:ascii="宋体" w:hAnsi="宋体" w:cs="宋体" w:eastAsia="宋体" w:hint="default"/>
        </w:rPr>
        <w:t>2</w:t>
      </w:r>
      <w:r>
        <w:rPr/>
        <w:t>、金融工具的确认依据和计量方法</w:t>
      </w:r>
      <w:r>
        <w:rPr>
          <w:b w:val="0"/>
          <w:bCs w:val="0"/>
        </w:rPr>
      </w:r>
    </w:p>
    <w:p>
      <w:pPr>
        <w:pStyle w:val="Heading4"/>
        <w:spacing w:line="256" w:lineRule="auto" w:before="37"/>
        <w:ind w:left="574" w:right="1022" w:hanging="105"/>
        <w:jc w:val="left"/>
      </w:pPr>
      <w:r>
        <w:rPr/>
        <w:t>（</w:t>
      </w:r>
      <w:r>
        <w:rPr>
          <w:rFonts w:ascii="Times New Roman" w:hAnsi="Times New Roman" w:cs="Times New Roman" w:eastAsia="Times New Roman" w:hint="default"/>
        </w:rPr>
        <w:t>1</w:t>
      </w:r>
      <w:r>
        <w:rPr/>
        <w:t>）以公允价值计量且其变动计入当期损益的金融资产（金融负债） </w:t>
      </w:r>
      <w:r>
        <w:rPr>
          <w:spacing w:val="-1"/>
        </w:rPr>
        <w:t>以公允价值计量且其变动计入当期损益的金融资产或金融负债，包括交易性金融资产或金融负债和直</w:t>
      </w:r>
    </w:p>
    <w:p>
      <w:pPr>
        <w:pStyle w:val="Heading4"/>
        <w:spacing w:line="273" w:lineRule="auto" w:before="22"/>
        <w:ind w:left="574" w:right="3402" w:hanging="420"/>
        <w:jc w:val="left"/>
      </w:pPr>
      <w:r>
        <w:rPr/>
        <w:t>接指定为以公允价值计量且其变动计入当期损益的金融资产或金融负债。 交易性金融资产或金融负债是指满足下列条件之一的金融资产或金融负债： </w:t>
      </w:r>
      <w:r>
        <w:rPr>
          <w:rFonts w:ascii="Times New Roman" w:hAnsi="Times New Roman" w:cs="Times New Roman" w:eastAsia="Times New Roman" w:hint="default"/>
        </w:rPr>
        <w:t>1</w:t>
      </w:r>
      <w:r>
        <w:rPr/>
        <w:t>）取得该金融资产或金融负债的目的是为了在短期内出售、回购或赎回；</w:t>
      </w:r>
    </w:p>
    <w:p>
      <w:pPr>
        <w:pStyle w:val="Heading4"/>
        <w:spacing w:line="256" w:lineRule="auto" w:before="0"/>
        <w:ind w:right="1141" w:firstLine="420"/>
        <w:jc w:val="both"/>
      </w:pPr>
      <w:r>
        <w:rPr>
          <w:rFonts w:ascii="Times New Roman" w:hAnsi="Times New Roman" w:cs="Times New Roman" w:eastAsia="Times New Roman" w:hint="default"/>
        </w:rPr>
        <w:t>2</w:t>
      </w:r>
      <w:r>
        <w:rPr/>
        <w:t>）属于进行集中管理的可辨认金融工具组合的一部分，且有客观证据表明本公司近期采用短期获利 方式对该组合进行管理；</w:t>
      </w:r>
    </w:p>
    <w:p>
      <w:pPr>
        <w:pStyle w:val="Heading4"/>
        <w:spacing w:line="266" w:lineRule="auto" w:before="22"/>
        <w:ind w:right="1138" w:firstLine="420"/>
        <w:jc w:val="both"/>
      </w:pPr>
      <w:r>
        <w:rPr>
          <w:rFonts w:ascii="Times New Roman" w:hAnsi="Times New Roman" w:cs="Times New Roman" w:eastAsia="Times New Roman" w:hint="default"/>
        </w:rPr>
        <w:t>3</w:t>
      </w:r>
      <w:r>
        <w:rPr/>
        <w:t>）属于衍生金融工具，但是被指定为有效套期工具的衍生工具、属于财务担保合同的衍生工具、与 </w:t>
      </w:r>
      <w:r>
        <w:rPr>
          <w:spacing w:val="3"/>
        </w:rPr>
        <w:t>在活跃市场中没有报价且其公允价值不能可靠计量的权益工具投资挂钩并须通过交付该权益工具结算的</w:t>
      </w:r>
      <w:r>
        <w:rPr>
          <w:spacing w:val="-82"/>
        </w:rPr>
        <w:t> </w:t>
      </w:r>
      <w:r>
        <w:rPr>
          <w:spacing w:val="-82"/>
        </w:rPr>
      </w:r>
      <w:r>
        <w:rPr/>
        <w:t>衍生工具除外。</w:t>
      </w:r>
    </w:p>
    <w:p>
      <w:pPr>
        <w:pStyle w:val="Heading4"/>
        <w:spacing w:line="273" w:lineRule="auto" w:before="14"/>
        <w:ind w:right="1132" w:firstLine="420"/>
        <w:jc w:val="both"/>
      </w:pPr>
      <w:r>
        <w:rPr>
          <w:spacing w:val="-1"/>
        </w:rPr>
        <w:t>只有符合以下条件之一，金融资产或金融负债才可在初始计量时指定为以公允价值计量且其变动计入</w:t>
      </w:r>
      <w:r>
        <w:rPr/>
        <w:t> 损益的金融资产或金融负债：</w:t>
      </w:r>
    </w:p>
    <w:p>
      <w:pPr>
        <w:pStyle w:val="Heading4"/>
        <w:spacing w:line="240" w:lineRule="auto"/>
        <w:ind w:left="574" w:right="1022"/>
        <w:jc w:val="left"/>
      </w:pPr>
      <w:r>
        <w:rPr>
          <w:rFonts w:ascii="Times New Roman" w:hAnsi="Times New Roman" w:cs="Times New Roman" w:eastAsia="Times New Roman" w:hint="default"/>
        </w:rPr>
        <w:t>1</w:t>
      </w:r>
      <w:r>
        <w:rPr/>
        <w:t>）该项指定可以消除或明显减少由于金融资产或金融负债的计量基础不同所导致的相关利得或损失</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both"/>
      </w:pPr>
      <w:r>
        <w:rPr/>
        <w:t>在确认或计量方面不一致的情况；</w:t>
      </w:r>
    </w:p>
    <w:p>
      <w:pPr>
        <w:pStyle w:val="Heading4"/>
        <w:spacing w:line="256" w:lineRule="auto" w:before="37"/>
        <w:ind w:right="1141" w:firstLine="420"/>
        <w:jc w:val="both"/>
      </w:pPr>
      <w:r>
        <w:rPr>
          <w:rFonts w:ascii="Times New Roman" w:hAnsi="Times New Roman" w:cs="Times New Roman" w:eastAsia="Times New Roman" w:hint="default"/>
        </w:rPr>
        <w:t>2</w:t>
      </w:r>
      <w:r>
        <w:rPr/>
        <w:t>）风险管理或投资策略的正式书面文件已载明，该金融资产组合、该金融负债组合、或该金融资产 和金融负债组合，以公允价值为基础进行管理、评价并向关键管理人员报告；</w:t>
      </w:r>
    </w:p>
    <w:p>
      <w:pPr>
        <w:pStyle w:val="Heading4"/>
        <w:spacing w:line="256" w:lineRule="auto" w:before="22"/>
        <w:ind w:right="1141" w:firstLine="420"/>
        <w:jc w:val="both"/>
      </w:pPr>
      <w:r>
        <w:rPr>
          <w:rFonts w:ascii="Times New Roman" w:hAnsi="Times New Roman" w:cs="Times New Roman" w:eastAsia="Times New Roman" w:hint="default"/>
        </w:rPr>
        <w:t>3</w:t>
      </w:r>
      <w:r>
        <w:rPr/>
        <w:t>）包含一项或多项嵌入衍生工具的混合工具，除非嵌入衍生工具对混合工具的现金流量没有重大改 变，或所嵌入的衍生工具明显不应当从相关混合工具中分拆；</w:t>
      </w:r>
    </w:p>
    <w:p>
      <w:pPr>
        <w:pStyle w:val="Heading4"/>
        <w:spacing w:line="256" w:lineRule="auto" w:before="22"/>
        <w:ind w:right="1141" w:firstLine="420"/>
        <w:jc w:val="both"/>
      </w:pPr>
      <w:r>
        <w:rPr>
          <w:rFonts w:ascii="Times New Roman" w:hAnsi="Times New Roman" w:cs="Times New Roman" w:eastAsia="Times New Roman" w:hint="default"/>
        </w:rPr>
        <w:t>4</w:t>
      </w:r>
      <w:r>
        <w:rPr/>
        <w:t>）包含需要分拆但无法在取得时或后续的资产负债表日对其进行单独计量的嵌入衍生工具的混合工 具。</w:t>
      </w:r>
    </w:p>
    <w:p>
      <w:pPr>
        <w:pStyle w:val="Heading4"/>
        <w:spacing w:line="273" w:lineRule="auto" w:before="22"/>
        <w:ind w:right="1110" w:firstLine="420"/>
        <w:jc w:val="both"/>
      </w:pPr>
      <w:r>
        <w:rPr>
          <w:spacing w:val="-1"/>
        </w:rPr>
        <w:t>本公司对以公允价值计量且其变动计入当期损益的金融资产或金融负债，在取得时以公允价值（扣除</w:t>
      </w:r>
      <w:r>
        <w:rPr/>
        <w:t> </w:t>
      </w:r>
      <w:r>
        <w:rPr>
          <w:spacing w:val="-1"/>
        </w:rPr>
        <w:t>已宣告但尚未发放的现金股利或已到付息期但尚未领取的债券利息）作为初始确认金额，相关的交易费用</w:t>
      </w:r>
      <w:r>
        <w:rPr>
          <w:spacing w:val="-81"/>
        </w:rPr>
        <w:t> </w:t>
      </w:r>
      <w:r>
        <w:rPr>
          <w:spacing w:val="-81"/>
        </w:rPr>
      </w:r>
      <w:r>
        <w:rPr/>
        <w:t>计入当期损益。持有期间将取得的利息或现金股利确认为投资收益，期末将公允价值变动计入当期损益。 处置时，其公允价值与初始入账金额之间的差额确认为投资收益，同时调整公允价值变动损益。</w:t>
      </w:r>
    </w:p>
    <w:p>
      <w:pPr>
        <w:pStyle w:val="Heading4"/>
        <w:spacing w:line="256" w:lineRule="auto"/>
        <w:ind w:left="574" w:right="2772" w:hanging="105"/>
        <w:jc w:val="left"/>
      </w:pPr>
      <w:r>
        <w:rPr/>
        <w:t>（</w:t>
      </w:r>
      <w:r>
        <w:rPr>
          <w:rFonts w:ascii="Times New Roman" w:hAnsi="Times New Roman" w:cs="Times New Roman" w:eastAsia="Times New Roman" w:hint="default"/>
        </w:rPr>
        <w:t>2</w:t>
      </w:r>
      <w:r>
        <w:rPr/>
        <w:t>）应收款项 应收款项是指在活跃市场中没有报价、回收金额固定或可确定的非衍生金融资产。</w:t>
      </w:r>
    </w:p>
    <w:p>
      <w:pPr>
        <w:pStyle w:val="Heading4"/>
        <w:spacing w:line="273" w:lineRule="auto" w:before="22"/>
        <w:ind w:right="1130" w:firstLine="420"/>
        <w:jc w:val="both"/>
      </w:pPr>
      <w:r>
        <w:rPr>
          <w:spacing w:val="-1"/>
        </w:rPr>
        <w:t>本公司对外销售商品或提供劳务形成的应收债权，以及公司持有的其他企业的债权（不包括在活跃市</w:t>
      </w:r>
      <w:r>
        <w:rPr/>
        <w:t> </w:t>
      </w:r>
      <w:r>
        <w:rPr>
          <w:spacing w:val="-1"/>
        </w:rPr>
        <w:t>场上有报价的债务工具），包括应收账款、其他应收款、应收票据等，以向购货方应收的合同或协议价款</w:t>
      </w:r>
      <w:r>
        <w:rPr>
          <w:spacing w:val="-83"/>
        </w:rPr>
        <w:t> </w:t>
      </w:r>
      <w:r>
        <w:rPr>
          <w:spacing w:val="-83"/>
        </w:rPr>
      </w:r>
      <w:r>
        <w:rPr/>
        <w:t>作为初始确认金额；具有融资性质的，按其现值进行初始确认。</w:t>
      </w:r>
    </w:p>
    <w:p>
      <w:pPr>
        <w:pStyle w:val="Heading4"/>
        <w:spacing w:line="240" w:lineRule="auto"/>
        <w:ind w:left="574" w:right="1022"/>
        <w:jc w:val="left"/>
      </w:pPr>
      <w:r>
        <w:rPr/>
        <w:t>收回或处置时，将取得的价款与该应收款项账面价值之间的差额计入当期损益。</w:t>
      </w:r>
    </w:p>
    <w:p>
      <w:pPr>
        <w:pStyle w:val="Heading4"/>
        <w:spacing w:line="256" w:lineRule="auto" w:before="37"/>
        <w:ind w:left="574" w:right="1022" w:hanging="105"/>
        <w:jc w:val="left"/>
      </w:pPr>
      <w:r>
        <w:rPr/>
        <w:t>（</w:t>
      </w:r>
      <w:r>
        <w:rPr>
          <w:rFonts w:ascii="Times New Roman" w:hAnsi="Times New Roman" w:cs="Times New Roman" w:eastAsia="Times New Roman" w:hint="default"/>
        </w:rPr>
        <w:t>3</w:t>
      </w:r>
      <w:r>
        <w:rPr/>
        <w:t>）持有至到期投资 </w:t>
      </w:r>
      <w:r>
        <w:rPr>
          <w:spacing w:val="-1"/>
        </w:rPr>
        <w:t>持有至到期投资是指到期日固定、回收金额固定或可确定，且本公司有明确意图和能力持有至到期的</w:t>
      </w:r>
    </w:p>
    <w:p>
      <w:pPr>
        <w:pStyle w:val="Heading4"/>
        <w:spacing w:line="273" w:lineRule="auto" w:before="22"/>
        <w:ind w:left="574" w:right="1022" w:hanging="420"/>
        <w:jc w:val="left"/>
      </w:pPr>
      <w:r>
        <w:rPr/>
        <w:t>非衍生性金融资产。 </w:t>
      </w:r>
      <w:r>
        <w:rPr>
          <w:spacing w:val="-1"/>
        </w:rPr>
        <w:t>本公司对持有至到期投资，在取得时按公允价值（扣除已到付息期但尚未领取的债券利息）和相关交</w:t>
      </w:r>
    </w:p>
    <w:p>
      <w:pPr>
        <w:pStyle w:val="Heading4"/>
        <w:spacing w:line="273" w:lineRule="auto"/>
        <w:ind w:right="1131"/>
        <w:jc w:val="both"/>
      </w:pPr>
      <w:r>
        <w:rPr>
          <w:spacing w:val="-1"/>
        </w:rPr>
        <w:t>易费用之和作为初始确认金额。持有期间按照摊余成本和实际利率计算确认利息收入，计入投资收益。实</w:t>
      </w:r>
      <w:r>
        <w:rPr>
          <w:spacing w:val="-83"/>
        </w:rPr>
        <w:t> </w:t>
      </w:r>
      <w:r>
        <w:rPr>
          <w:spacing w:val="-83"/>
        </w:rPr>
      </w:r>
      <w:r>
        <w:rPr>
          <w:spacing w:val="-1"/>
        </w:rPr>
        <w:t>际利率在取得时确定，在该预期存续期间或适用的更短期间内保持不变。处置时，将所取得价款与该投资</w:t>
      </w:r>
      <w:r>
        <w:rPr>
          <w:spacing w:val="-83"/>
        </w:rPr>
        <w:t> </w:t>
      </w:r>
      <w:r>
        <w:rPr>
          <w:spacing w:val="-83"/>
        </w:rPr>
      </w:r>
      <w:r>
        <w:rPr/>
        <w:t>账面价值之间的差额计入投资收益。</w:t>
      </w:r>
    </w:p>
    <w:p>
      <w:pPr>
        <w:pStyle w:val="Heading4"/>
        <w:spacing w:line="273" w:lineRule="auto"/>
        <w:ind w:right="1131" w:firstLine="420"/>
        <w:jc w:val="both"/>
      </w:pPr>
      <w:r>
        <w:rPr>
          <w:spacing w:val="-1"/>
        </w:rPr>
        <w:t>如果持有至到期投资处置或重分类为其他类金融资产的金额，相对于本公司全部持有至到期投资在出</w:t>
      </w:r>
      <w:r>
        <w:rPr/>
        <w:t> </w:t>
      </w:r>
      <w:r>
        <w:rPr>
          <w:spacing w:val="-1"/>
        </w:rPr>
        <w:t>售或重分类前的总额较大，在处置或重分类后应立即将其剩余的持有至到期投资重分类为可供出售金融资</w:t>
      </w:r>
      <w:r>
        <w:rPr>
          <w:spacing w:val="-81"/>
        </w:rPr>
        <w:t> </w:t>
      </w:r>
      <w:r>
        <w:rPr>
          <w:spacing w:val="-81"/>
        </w:rPr>
      </w:r>
      <w:r>
        <w:rPr>
          <w:spacing w:val="-1"/>
        </w:rPr>
        <w:t>产；重分类日，该投资的账面价值与其公允价值之间的差额计入其他综合收益，在该可供出售金融资产发</w:t>
      </w:r>
      <w:r>
        <w:rPr>
          <w:spacing w:val="-83"/>
        </w:rPr>
        <w:t> </w:t>
      </w:r>
      <w:r>
        <w:rPr>
          <w:spacing w:val="-83"/>
        </w:rPr>
      </w:r>
      <w:r>
        <w:rPr/>
        <w:t>生减值或终止确认时转出，计入当期损益。但是，遇到下列情况可以除外：</w:t>
      </w:r>
    </w:p>
    <w:p>
      <w:pPr>
        <w:pStyle w:val="Heading4"/>
        <w:spacing w:line="256" w:lineRule="auto"/>
        <w:ind w:right="1130" w:firstLine="420"/>
        <w:jc w:val="both"/>
      </w:pPr>
      <w:r>
        <w:rPr>
          <w:rFonts w:ascii="Times New Roman" w:hAnsi="Times New Roman" w:cs="Times New Roman" w:eastAsia="Times New Roman" w:hint="default"/>
          <w:spacing w:val="-2"/>
        </w:rPr>
        <w:t>1</w:t>
      </w:r>
      <w:r>
        <w:rPr>
          <w:spacing w:val="-2"/>
        </w:rPr>
        <w:t>）出售日或重分类日距离该项投资到期日或赎回日较近</w:t>
      </w:r>
      <w:r>
        <w:rPr>
          <w:rFonts w:ascii="Times New Roman" w:hAnsi="Times New Roman" w:cs="Times New Roman" w:eastAsia="Times New Roman" w:hint="default"/>
          <w:spacing w:val="-2"/>
        </w:rPr>
        <w:t>(</w:t>
      </w:r>
      <w:r>
        <w:rPr>
          <w:spacing w:val="-2"/>
        </w:rPr>
        <w:t>如到期前三个月内</w:t>
      </w:r>
      <w:r>
        <w:rPr>
          <w:rFonts w:ascii="Times New Roman" w:hAnsi="Times New Roman" w:cs="Times New Roman" w:eastAsia="Times New Roman" w:hint="default"/>
          <w:spacing w:val="-2"/>
        </w:rPr>
        <w:t>)</w:t>
      </w:r>
      <w:r>
        <w:rPr>
          <w:spacing w:val="-2"/>
        </w:rPr>
        <w:t>，且市场利率变化对该项</w:t>
      </w:r>
      <w:r>
        <w:rPr/>
        <w:t> 投资的公允价值没有显著影响。</w:t>
      </w:r>
    </w:p>
    <w:p>
      <w:pPr>
        <w:pStyle w:val="Heading4"/>
        <w:spacing w:line="240" w:lineRule="auto" w:before="22"/>
        <w:ind w:left="574" w:right="1022"/>
        <w:jc w:val="left"/>
      </w:pPr>
      <w:r>
        <w:rPr>
          <w:rFonts w:ascii="Times New Roman" w:hAnsi="Times New Roman" w:cs="Times New Roman" w:eastAsia="Times New Roman" w:hint="default"/>
        </w:rPr>
        <w:t>2</w:t>
      </w:r>
      <w:r>
        <w:rPr/>
        <w:t>）根据合同约定的偿付方式，企业已收回几乎所有初始本金。</w:t>
      </w:r>
    </w:p>
    <w:p>
      <w:pPr>
        <w:pStyle w:val="Heading4"/>
        <w:spacing w:line="240" w:lineRule="auto" w:before="21"/>
        <w:ind w:left="574" w:right="1022"/>
        <w:jc w:val="left"/>
      </w:pPr>
      <w:r>
        <w:rPr>
          <w:rFonts w:ascii="Times New Roman" w:hAnsi="Times New Roman" w:cs="Times New Roman" w:eastAsia="Times New Roman" w:hint="default"/>
        </w:rPr>
        <w:t>3</w:t>
      </w:r>
      <w:r>
        <w:rPr/>
        <w:t>）出售或重分类是由于企业无法控制、预期不会重复发生且难以合理预计的独立事件所引起。</w:t>
      </w:r>
    </w:p>
    <w:p>
      <w:pPr>
        <w:pStyle w:val="Heading4"/>
        <w:spacing w:line="256" w:lineRule="auto" w:before="21"/>
        <w:ind w:left="574" w:right="1022" w:hanging="105"/>
        <w:jc w:val="left"/>
      </w:pPr>
      <w:r>
        <w:rPr/>
        <w:t>（</w:t>
      </w:r>
      <w:r>
        <w:rPr>
          <w:rFonts w:ascii="Times New Roman" w:hAnsi="Times New Roman" w:cs="Times New Roman" w:eastAsia="Times New Roman" w:hint="default"/>
        </w:rPr>
        <w:t>4</w:t>
      </w:r>
      <w:r>
        <w:rPr/>
        <w:t>）可供出售金融资产 </w:t>
      </w:r>
      <w:r>
        <w:rPr>
          <w:spacing w:val="-1"/>
        </w:rPr>
        <w:t>可供出售金融资产，是指初始确认时即指定为可供出售的非衍生金融资产，以及除其他金融资产类别</w:t>
      </w:r>
    </w:p>
    <w:p>
      <w:pPr>
        <w:pStyle w:val="Heading4"/>
        <w:spacing w:line="273" w:lineRule="auto" w:before="22"/>
        <w:ind w:left="574" w:right="1022" w:hanging="420"/>
        <w:jc w:val="left"/>
      </w:pPr>
      <w:r>
        <w:rPr/>
        <w:t>以外的金融资产。 </w:t>
      </w:r>
      <w:r>
        <w:rPr>
          <w:spacing w:val="-1"/>
        </w:rPr>
        <w:t>本公司对可供出售金融资产，在取得时按公允价值（扣除已宣告但尚未发放的现金股利或已到付息期</w:t>
      </w:r>
    </w:p>
    <w:p>
      <w:pPr>
        <w:pStyle w:val="Heading4"/>
        <w:spacing w:line="273" w:lineRule="auto"/>
        <w:ind w:right="1131"/>
        <w:jc w:val="both"/>
      </w:pPr>
      <w:r>
        <w:rPr>
          <w:spacing w:val="-1"/>
        </w:rPr>
        <w:t>但尚未领取的债券利息）和相关交易费用之和作为初始确认金额。持有期间将取得的利息或现金股利确认</w:t>
      </w:r>
      <w:r>
        <w:rPr>
          <w:spacing w:val="-81"/>
        </w:rPr>
        <w:t> </w:t>
      </w:r>
      <w:r>
        <w:rPr>
          <w:spacing w:val="-81"/>
        </w:rPr>
      </w:r>
      <w:r>
        <w:rPr>
          <w:spacing w:val="-1"/>
        </w:rPr>
        <w:t>为投资收益。可供出售金融资产的公允价值变动形成的利得或损失，除减值损失和外币货币性金融资产形</w:t>
      </w:r>
      <w:r>
        <w:rPr>
          <w:spacing w:val="-81"/>
        </w:rPr>
        <w:t> </w:t>
      </w:r>
      <w:r>
        <w:rPr>
          <w:spacing w:val="-81"/>
        </w:rPr>
      </w:r>
      <w:r>
        <w:rPr>
          <w:spacing w:val="-1"/>
        </w:rPr>
        <w:t>成的汇兑差额外，直接计入其他综合收益。处置可供出售金融资产时，将取得的价款与该金融资产账面价</w:t>
      </w:r>
      <w:r>
        <w:rPr>
          <w:spacing w:val="-83"/>
        </w:rPr>
        <w:t> </w:t>
      </w:r>
      <w:r>
        <w:rPr>
          <w:spacing w:val="-83"/>
        </w:rPr>
      </w:r>
      <w:r>
        <w:rPr>
          <w:spacing w:val="-1"/>
        </w:rPr>
        <w:t>值之间的差额，计入投资损益；同时，将原直接计入其他综合收益的公允价值变动累计额对应处置部分的</w:t>
      </w:r>
      <w:r>
        <w:rPr>
          <w:spacing w:val="-83"/>
        </w:rPr>
        <w:t> </w:t>
      </w:r>
      <w:r>
        <w:rPr>
          <w:spacing w:val="-83"/>
        </w:rPr>
      </w:r>
      <w:r>
        <w:rPr/>
        <w:t>金额转出，计入投资损益。</w:t>
      </w:r>
    </w:p>
    <w:p>
      <w:pPr>
        <w:pStyle w:val="Heading4"/>
        <w:spacing w:line="273" w:lineRule="auto"/>
        <w:ind w:right="1132" w:firstLine="420"/>
        <w:jc w:val="both"/>
      </w:pPr>
      <w:r>
        <w:rPr>
          <w:spacing w:val="-1"/>
        </w:rPr>
        <w:t>本公司对在活跃市场中没有报价且其公允价值不能可靠计量的权益工具投资，以及与该权益工具挂钩</w:t>
      </w:r>
      <w:r>
        <w:rPr/>
        <w:t> 并须通过交付该权益工具结算的衍生金融资产，按照成本计量。</w:t>
      </w:r>
    </w:p>
    <w:p>
      <w:pPr>
        <w:pStyle w:val="Heading4"/>
        <w:spacing w:line="240" w:lineRule="auto"/>
        <w:ind w:left="469" w:right="1022"/>
        <w:jc w:val="left"/>
      </w:pPr>
      <w:r>
        <w:rPr/>
        <w:t>（</w:t>
      </w:r>
      <w:r>
        <w:rPr>
          <w:rFonts w:ascii="Times New Roman" w:hAnsi="Times New Roman" w:cs="Times New Roman" w:eastAsia="Times New Roman" w:hint="default"/>
        </w:rPr>
        <w:t>5</w:t>
      </w:r>
      <w:r>
        <w:rPr/>
        <w:t>）其他金融负债</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64" w:lineRule="auto" w:before="35"/>
        <w:ind w:left="566" w:right="1022" w:firstLine="7"/>
        <w:jc w:val="left"/>
      </w:pPr>
      <w:r>
        <w:rPr/>
        <w:t>按其公允价值和相关交易费用之和作为初始确认金额。采用摊余成本进行后续计量。 </w:t>
      </w:r>
      <w:r>
        <w:rPr>
          <w:rFonts w:ascii="Times New Roman" w:hAnsi="Times New Roman" w:cs="Times New Roman" w:eastAsia="Times New Roman" w:hint="default"/>
          <w:b/>
          <w:bCs/>
        </w:rPr>
        <w:t>3</w:t>
      </w:r>
      <w:r>
        <w:rPr>
          <w:rFonts w:ascii="宋体" w:hAnsi="宋体" w:cs="宋体" w:eastAsia="宋体" w:hint="default"/>
          <w:b/>
          <w:bCs/>
        </w:rPr>
        <w:t>、金融资产转移的确认依据和计量方法</w:t>
      </w:r>
      <w:r>
        <w:rPr>
          <w:rFonts w:ascii="宋体" w:hAnsi="宋体" w:cs="宋体" w:eastAsia="宋体" w:hint="default"/>
          <w:b/>
          <w:bCs/>
          <w:w w:val="99"/>
        </w:rPr>
        <w:t> </w:t>
      </w:r>
      <w:r>
        <w:rPr>
          <w:spacing w:val="-1"/>
        </w:rPr>
        <w:t>公司发生金融资产转移时，如已将金融资产所有权上几乎所有的风险和报酬转移给转入方，则终止确</w:t>
      </w:r>
    </w:p>
    <w:p>
      <w:pPr>
        <w:pStyle w:val="Heading4"/>
        <w:spacing w:line="273" w:lineRule="auto" w:before="16"/>
        <w:ind w:left="574" w:right="1022" w:hanging="420"/>
        <w:jc w:val="left"/>
      </w:pPr>
      <w:r>
        <w:rPr/>
        <w:t>认该金融资产；如保留了金融资产所有权上几乎所有的风险和报酬的，则不终止确认该金融资产。 </w:t>
      </w:r>
      <w:r>
        <w:rPr>
          <w:spacing w:val="-1"/>
        </w:rPr>
        <w:t>在判断金融资产转移是否满足上述金融资产终止确认条件时，采用实质重于形式的原则。公司将金融</w:t>
      </w:r>
    </w:p>
    <w:p>
      <w:pPr>
        <w:pStyle w:val="Heading4"/>
        <w:spacing w:line="273" w:lineRule="auto"/>
        <w:ind w:right="1131"/>
        <w:jc w:val="both"/>
      </w:pPr>
      <w:r>
        <w:rPr>
          <w:spacing w:val="-1"/>
        </w:rPr>
        <w:t>资产转移区分为金融资产整体转移和部分转移。金融资产整体转移满足终止确认条件的，将下列两项金额</w:t>
      </w:r>
      <w:r>
        <w:rPr>
          <w:spacing w:val="-81"/>
        </w:rPr>
        <w:t> </w:t>
      </w:r>
      <w:r>
        <w:rPr>
          <w:spacing w:val="-81"/>
        </w:rPr>
      </w:r>
      <w:r>
        <w:rPr/>
        <w:t>的差额计入当期损益：</w:t>
      </w:r>
    </w:p>
    <w:p>
      <w:pPr>
        <w:pStyle w:val="Heading4"/>
        <w:spacing w:line="240" w:lineRule="auto"/>
        <w:ind w:left="574" w:right="1022"/>
        <w:jc w:val="left"/>
      </w:pPr>
      <w:r>
        <w:rPr/>
        <w:t>（</w:t>
      </w:r>
      <w:r>
        <w:rPr>
          <w:rFonts w:ascii="Times New Roman" w:hAnsi="Times New Roman" w:cs="Times New Roman" w:eastAsia="Times New Roman" w:hint="default"/>
        </w:rPr>
        <w:t>1</w:t>
      </w:r>
      <w:r>
        <w:rPr/>
        <w:t>）所转移金融资产的账面价值；</w:t>
      </w:r>
    </w:p>
    <w:p>
      <w:pPr>
        <w:pStyle w:val="Heading4"/>
        <w:spacing w:line="256" w:lineRule="auto" w:before="21"/>
        <w:ind w:right="1022" w:firstLine="420"/>
        <w:jc w:val="left"/>
      </w:pPr>
      <w:r>
        <w:rPr/>
        <w:t>（</w:t>
      </w:r>
      <w:r>
        <w:rPr>
          <w:rFonts w:ascii="Times New Roman" w:hAnsi="Times New Roman" w:cs="Times New Roman" w:eastAsia="Times New Roman" w:hint="default"/>
        </w:rPr>
        <w:t>2</w:t>
      </w:r>
      <w:r>
        <w:rPr/>
        <w:t>）因转移而收到的对价，与原直接计入所有者权益的公允价值变动累计额（涉及转移的金融资产 为可供出售金融资产的情形）之和。</w:t>
      </w:r>
    </w:p>
    <w:p>
      <w:pPr>
        <w:pStyle w:val="Heading4"/>
        <w:spacing w:line="273" w:lineRule="auto" w:before="22"/>
        <w:ind w:right="1022" w:firstLine="420"/>
        <w:jc w:val="left"/>
      </w:pPr>
      <w:r>
        <w:rPr>
          <w:spacing w:val="-1"/>
        </w:rPr>
        <w:t>金融资产部分转移满足终止确认条件的，将所转移金融资产整体的账面价值，在终止确认部分和未终</w:t>
      </w:r>
      <w:r>
        <w:rPr/>
        <w:t> 止确认部分之间，按照各自的相对公允价值进行分摊，并将下列两项金额的差额计入当期损益：</w:t>
      </w:r>
    </w:p>
    <w:p>
      <w:pPr>
        <w:pStyle w:val="Heading4"/>
        <w:spacing w:line="240" w:lineRule="auto"/>
        <w:ind w:left="574" w:right="1022"/>
        <w:jc w:val="left"/>
      </w:pPr>
      <w:r>
        <w:rPr/>
        <w:t>（</w:t>
      </w:r>
      <w:r>
        <w:rPr>
          <w:rFonts w:ascii="Times New Roman" w:hAnsi="Times New Roman" w:cs="Times New Roman" w:eastAsia="Times New Roman" w:hint="default"/>
        </w:rPr>
        <w:t>1</w:t>
      </w:r>
      <w:r>
        <w:rPr/>
        <w:t>）终止确认部分的账面价值；</w:t>
      </w:r>
    </w:p>
    <w:p>
      <w:pPr>
        <w:pStyle w:val="Heading4"/>
        <w:spacing w:line="256" w:lineRule="auto" w:before="21"/>
        <w:ind w:right="1022" w:firstLine="420"/>
        <w:jc w:val="left"/>
      </w:pPr>
      <w:r>
        <w:rPr/>
        <w:t>（</w:t>
      </w:r>
      <w:r>
        <w:rPr>
          <w:rFonts w:ascii="Times New Roman" w:hAnsi="Times New Roman" w:cs="Times New Roman" w:eastAsia="Times New Roman" w:hint="default"/>
        </w:rPr>
        <w:t>2</w:t>
      </w:r>
      <w:r>
        <w:rPr/>
        <w:t>）终止确认部分的对价，与原直接计入所有者权益的公允价值变动累计额中对应终止确认部分的 金额（涉及转移的金融资产为可供出售金融资产的情形）之和。</w:t>
      </w:r>
    </w:p>
    <w:p>
      <w:pPr>
        <w:pStyle w:val="Heading4"/>
        <w:spacing w:line="264" w:lineRule="auto" w:before="22"/>
        <w:ind w:left="566" w:right="1022" w:firstLine="7"/>
        <w:jc w:val="left"/>
      </w:pPr>
      <w:r>
        <w:rPr/>
        <w:t>金融资产转移不满足终止确认条件的，继续确认该金融资产，所收到的对价确认为一项金融负债。 </w:t>
      </w:r>
      <w:r>
        <w:rPr>
          <w:rFonts w:ascii="Times New Roman" w:hAnsi="Times New Roman" w:cs="Times New Roman" w:eastAsia="Times New Roman" w:hint="default"/>
          <w:b/>
          <w:bCs/>
        </w:rPr>
        <w:t>4</w:t>
      </w:r>
      <w:r>
        <w:rPr>
          <w:rFonts w:ascii="宋体" w:hAnsi="宋体" w:cs="宋体" w:eastAsia="宋体" w:hint="default"/>
          <w:b/>
          <w:bCs/>
        </w:rPr>
        <w:t>、金融负债终止确认条件</w:t>
      </w:r>
      <w:r>
        <w:rPr>
          <w:rFonts w:ascii="宋体" w:hAnsi="宋体" w:cs="宋体" w:eastAsia="宋体" w:hint="default"/>
          <w:b/>
          <w:bCs/>
          <w:w w:val="99"/>
        </w:rPr>
        <w:t> </w:t>
      </w:r>
      <w:r>
        <w:rPr>
          <w:spacing w:val="-1"/>
        </w:rPr>
        <w:t>金融负债的现时义务全部或部分已经解除的，则终止确认该金融负债或其一部分；本公司若与债权人</w:t>
      </w:r>
    </w:p>
    <w:p>
      <w:pPr>
        <w:pStyle w:val="Heading4"/>
        <w:spacing w:line="273" w:lineRule="auto" w:before="16"/>
        <w:ind w:right="1131"/>
        <w:jc w:val="both"/>
      </w:pPr>
      <w:r>
        <w:rPr>
          <w:spacing w:val="-1"/>
        </w:rPr>
        <w:t>签定协议，以承担新金融负债方式替换现存金融负债，且新金融负债与现存金融负债的合同条款实质上不</w:t>
      </w:r>
      <w:r>
        <w:rPr>
          <w:spacing w:val="-81"/>
        </w:rPr>
        <w:t> </w:t>
      </w:r>
      <w:r>
        <w:rPr>
          <w:spacing w:val="-81"/>
        </w:rPr>
      </w:r>
      <w:r>
        <w:rPr/>
        <w:t>同的，则终止确认现存金融负债，并同时确认新金融负债。</w:t>
      </w:r>
    </w:p>
    <w:p>
      <w:pPr>
        <w:pStyle w:val="Heading4"/>
        <w:spacing w:line="273" w:lineRule="auto"/>
        <w:ind w:right="1022" w:firstLine="420"/>
        <w:jc w:val="left"/>
      </w:pPr>
      <w:r>
        <w:rPr>
          <w:spacing w:val="-1"/>
        </w:rPr>
        <w:t>对现存金融负债全部或部分合同条款作出实质性修改的，则终止确认现存金融负债或其一部分，同时</w:t>
      </w:r>
      <w:r>
        <w:rPr/>
        <w:t> 将修改条款后的金融负债确认为一项新金融负债。</w:t>
      </w:r>
    </w:p>
    <w:p>
      <w:pPr>
        <w:pStyle w:val="Heading4"/>
        <w:spacing w:line="273" w:lineRule="auto" w:before="8"/>
        <w:ind w:right="1022" w:firstLine="420"/>
        <w:jc w:val="left"/>
      </w:pPr>
      <w:r>
        <w:rPr>
          <w:spacing w:val="-1"/>
        </w:rPr>
        <w:t>金融负债全部或部分终止确认时，终止确认的金融负债账面价值与支付对价（包括转出的非现金资产</w:t>
      </w:r>
      <w:r>
        <w:rPr/>
        <w:t> 或承担的新金融负债）之间的差额，计入当期损益。</w:t>
      </w:r>
    </w:p>
    <w:p>
      <w:pPr>
        <w:pStyle w:val="Heading4"/>
        <w:spacing w:line="273" w:lineRule="auto"/>
        <w:ind w:right="1131" w:firstLine="420"/>
        <w:jc w:val="both"/>
      </w:pPr>
      <w:r>
        <w:rPr>
          <w:spacing w:val="-1"/>
        </w:rPr>
        <w:t>本公司若回购部分金融负债的，在回购日按照继续确认部分与终止确认部分的相对公允价值，将该金</w:t>
      </w:r>
      <w:r>
        <w:rPr/>
        <w:t> </w:t>
      </w:r>
      <w:r>
        <w:rPr>
          <w:spacing w:val="-1"/>
        </w:rPr>
        <w:t>融负债整体的账面价值进行分配。分配给终止确认部分的账面价值与支付的对价（包括转出的非现金资产</w:t>
      </w:r>
      <w:r>
        <w:rPr>
          <w:spacing w:val="-81"/>
        </w:rPr>
        <w:t> </w:t>
      </w:r>
      <w:r>
        <w:rPr>
          <w:spacing w:val="-81"/>
        </w:rPr>
      </w:r>
      <w:r>
        <w:rPr/>
        <w:t>或承担的新金融负债）之间的差额，计入当期损益。</w:t>
      </w:r>
    </w:p>
    <w:p>
      <w:pPr>
        <w:spacing w:line="256" w:lineRule="auto" w:before="7"/>
        <w:ind w:left="574" w:right="1022" w:hanging="8"/>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、金融资产和金融负债公允价值的确定方法</w:t>
      </w:r>
      <w:r>
        <w:rPr>
          <w:rFonts w:ascii="宋体" w:hAnsi="宋体" w:cs="宋体" w:eastAsia="宋体" w:hint="default"/>
          <w:b/>
          <w:bCs/>
          <w:w w:val="99"/>
          <w:sz w:val="21"/>
          <w:szCs w:val="21"/>
        </w:rPr>
        <w:t> </w:t>
      </w:r>
      <w:r>
        <w:rPr>
          <w:rFonts w:ascii="宋体" w:hAnsi="宋体" w:cs="宋体" w:eastAsia="宋体" w:hint="default"/>
          <w:spacing w:val="-1"/>
          <w:sz w:val="21"/>
          <w:szCs w:val="21"/>
        </w:rPr>
        <w:t>存在活跃市场的金融资产或金融负债，以活跃市场的报价确定其公允价值；活跃市场的报价包括易于</w:t>
      </w:r>
    </w:p>
    <w:p>
      <w:pPr>
        <w:pStyle w:val="Heading4"/>
        <w:spacing w:line="273" w:lineRule="auto" w:before="22"/>
        <w:ind w:right="1132"/>
        <w:jc w:val="both"/>
      </w:pPr>
      <w:r>
        <w:rPr>
          <w:spacing w:val="-1"/>
        </w:rPr>
        <w:t>且可定期从交易所、交易商、经纪人、行业集团、定价机构或监管机构等获得相关资产或负债的报价，且</w:t>
      </w:r>
      <w:r>
        <w:rPr>
          <w:spacing w:val="-83"/>
        </w:rPr>
        <w:t> </w:t>
      </w:r>
      <w:r>
        <w:rPr>
          <w:spacing w:val="-83"/>
        </w:rPr>
      </w:r>
      <w:r>
        <w:rPr/>
        <w:t>能代表在公平交易基础上实际并经常发生的市场交易。</w:t>
      </w:r>
    </w:p>
    <w:p>
      <w:pPr>
        <w:pStyle w:val="Heading4"/>
        <w:spacing w:line="273" w:lineRule="auto"/>
        <w:ind w:left="574" w:right="1022"/>
        <w:jc w:val="left"/>
      </w:pPr>
      <w:r>
        <w:rPr/>
        <w:t>初始取得或衍生的金融资产或承担的金融负债，以市场交易价格作为确定其公允价值的基础。 </w:t>
      </w:r>
      <w:r>
        <w:rPr>
          <w:spacing w:val="-1"/>
        </w:rPr>
        <w:t>不存在活跃市场的金融资产或金融负债，采用估值技术确定其公允价值。在估值时，本公司采用在当</w:t>
      </w:r>
    </w:p>
    <w:p>
      <w:pPr>
        <w:pStyle w:val="Heading4"/>
        <w:spacing w:line="273" w:lineRule="auto"/>
        <w:ind w:right="1131"/>
        <w:jc w:val="both"/>
      </w:pPr>
      <w:r>
        <w:rPr>
          <w:spacing w:val="-1"/>
        </w:rPr>
        <w:t>前情况下适用并且有足够可利用数据和其他信息支持的估值技术，选择与市场参与者在相关资产或负债的</w:t>
      </w:r>
      <w:r>
        <w:rPr>
          <w:spacing w:val="-81"/>
        </w:rPr>
        <w:t> </w:t>
      </w:r>
      <w:r>
        <w:rPr>
          <w:spacing w:val="-81"/>
        </w:rPr>
      </w:r>
      <w:r>
        <w:rPr>
          <w:spacing w:val="-1"/>
        </w:rPr>
        <w:t>交易中所考虑的资产或负债特征相一致的输入值，并尽可能优先使用相关可观察输入值。在相关可观察输</w:t>
      </w:r>
      <w:r>
        <w:rPr>
          <w:spacing w:val="-81"/>
        </w:rPr>
        <w:t> </w:t>
      </w:r>
      <w:r>
        <w:rPr>
          <w:spacing w:val="-81"/>
        </w:rPr>
      </w:r>
      <w:r>
        <w:rPr/>
        <w:t>入值无法取得或取得不切实可行的情况下，使用不可观察输入值。</w:t>
      </w:r>
    </w:p>
    <w:p>
      <w:pPr>
        <w:spacing w:line="256" w:lineRule="auto" w:before="7"/>
        <w:ind w:left="574" w:right="1022" w:hanging="8"/>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、金融资产（不含应收款项）减值准备计提</w:t>
      </w:r>
      <w:r>
        <w:rPr>
          <w:rFonts w:ascii="宋体" w:hAnsi="宋体" w:cs="宋体" w:eastAsia="宋体" w:hint="default"/>
          <w:b/>
          <w:bCs/>
          <w:w w:val="99"/>
          <w:sz w:val="21"/>
          <w:szCs w:val="21"/>
        </w:rPr>
        <w:t> </w:t>
      </w:r>
      <w:r>
        <w:rPr>
          <w:rFonts w:ascii="宋体" w:hAnsi="宋体" w:cs="宋体" w:eastAsia="宋体" w:hint="default"/>
          <w:spacing w:val="3"/>
          <w:sz w:val="21"/>
          <w:szCs w:val="21"/>
        </w:rPr>
        <w:t>资产负债表日对以公允价值计量且其变动计入当期损益的金融资产以外的金融资产的账面价值进行</w:t>
      </w:r>
    </w:p>
    <w:p>
      <w:pPr>
        <w:pStyle w:val="Heading4"/>
        <w:spacing w:line="273" w:lineRule="auto" w:before="22"/>
        <w:ind w:left="574" w:right="4662" w:hanging="420"/>
        <w:jc w:val="left"/>
      </w:pPr>
      <w:r>
        <w:rPr/>
        <w:t>检查，如有客观证据表明该金融资产发生减值的，计提减值准备。 金融资产发生减值的客观证据，包括但不限于：</w:t>
      </w:r>
    </w:p>
    <w:p>
      <w:pPr>
        <w:pStyle w:val="Heading4"/>
        <w:spacing w:line="240" w:lineRule="auto" w:before="8"/>
        <w:ind w:left="580" w:right="1022"/>
        <w:jc w:val="left"/>
      </w:pPr>
      <w:r>
        <w:rPr>
          <w:rFonts w:ascii="宋体" w:hAnsi="宋体" w:cs="宋体" w:eastAsia="宋体" w:hint="default"/>
        </w:rPr>
        <w:t>1.</w:t>
      </w:r>
      <w:r>
        <w:rPr>
          <w:rFonts w:ascii="宋体" w:hAnsi="宋体" w:cs="宋体" w:eastAsia="宋体" w:hint="default"/>
          <w:spacing w:val="-32"/>
        </w:rPr>
        <w:t> </w:t>
      </w:r>
      <w:r>
        <w:rPr/>
        <w:t>发行方或债务人发生严重财务困难；</w:t>
      </w:r>
    </w:p>
    <w:p>
      <w:pPr>
        <w:pStyle w:val="Heading4"/>
        <w:spacing w:line="240" w:lineRule="auto" w:before="37"/>
        <w:ind w:left="580" w:right="1022"/>
        <w:jc w:val="left"/>
      </w:pPr>
      <w:r>
        <w:rPr>
          <w:rFonts w:ascii="宋体" w:hAnsi="宋体" w:cs="宋体" w:eastAsia="宋体" w:hint="default"/>
        </w:rPr>
        <w:t>2.</w:t>
      </w:r>
      <w:r>
        <w:rPr>
          <w:rFonts w:ascii="宋体" w:hAnsi="宋体" w:cs="宋体" w:eastAsia="宋体" w:hint="default"/>
          <w:spacing w:val="-32"/>
        </w:rPr>
        <w:t> </w:t>
      </w:r>
      <w:r>
        <w:rPr/>
        <w:t>债务人违反了合同条款，如偿付利息或本金发生违约或逾期等；</w:t>
      </w:r>
    </w:p>
    <w:p>
      <w:pPr>
        <w:pStyle w:val="Heading4"/>
        <w:spacing w:line="240" w:lineRule="auto" w:before="37"/>
        <w:ind w:left="580" w:right="1022"/>
        <w:jc w:val="left"/>
      </w:pPr>
      <w:r>
        <w:rPr>
          <w:rFonts w:ascii="宋体" w:hAnsi="宋体" w:cs="宋体" w:eastAsia="宋体" w:hint="default"/>
        </w:rPr>
        <w:t>3.</w:t>
      </w:r>
      <w:r>
        <w:rPr>
          <w:rFonts w:ascii="宋体" w:hAnsi="宋体" w:cs="宋体" w:eastAsia="宋体" w:hint="default"/>
          <w:spacing w:val="-32"/>
        </w:rPr>
        <w:t> </w:t>
      </w:r>
      <w:r>
        <w:rPr/>
        <w:t>债权人出于经济或法律等方面因素的考虑，对发生财务困难的债务人作出让步；</w:t>
      </w:r>
    </w:p>
    <w:p>
      <w:pPr>
        <w:pStyle w:val="Heading4"/>
        <w:spacing w:line="240" w:lineRule="auto" w:before="37"/>
        <w:ind w:left="580" w:right="1022"/>
        <w:jc w:val="left"/>
      </w:pPr>
      <w:r>
        <w:rPr>
          <w:rFonts w:ascii="宋体" w:hAnsi="宋体" w:cs="宋体" w:eastAsia="宋体" w:hint="default"/>
        </w:rPr>
        <w:t>4.</w:t>
      </w:r>
      <w:r>
        <w:rPr>
          <w:rFonts w:ascii="宋体" w:hAnsi="宋体" w:cs="宋体" w:eastAsia="宋体" w:hint="default"/>
          <w:spacing w:val="-32"/>
        </w:rPr>
        <w:t> </w:t>
      </w:r>
      <w:r>
        <w:rPr/>
        <w:t>债务人很可能倒闭或进行其他财务重组；</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left="580" w:right="1022"/>
        <w:jc w:val="left"/>
      </w:pPr>
      <w:r>
        <w:rPr>
          <w:rFonts w:ascii="宋体" w:hAnsi="宋体" w:cs="宋体" w:eastAsia="宋体" w:hint="default"/>
        </w:rPr>
        <w:t>5.</w:t>
      </w:r>
      <w:r>
        <w:rPr>
          <w:rFonts w:ascii="宋体" w:hAnsi="宋体" w:cs="宋体" w:eastAsia="宋体" w:hint="default"/>
          <w:spacing w:val="-32"/>
        </w:rPr>
        <w:t> </w:t>
      </w:r>
      <w:r>
        <w:rPr/>
        <w:t>因发行方发生重大财务困难，该金融资产无法在活跃市场继续交易；</w:t>
      </w:r>
    </w:p>
    <w:p>
      <w:pPr>
        <w:pStyle w:val="Heading4"/>
        <w:spacing w:line="273" w:lineRule="auto" w:before="37"/>
        <w:ind w:left="863" w:right="1131" w:hanging="284"/>
        <w:jc w:val="both"/>
      </w:pPr>
      <w:r>
        <w:rPr>
          <w:rFonts w:ascii="宋体" w:hAnsi="宋体" w:cs="宋体" w:eastAsia="宋体" w:hint="default"/>
        </w:rPr>
        <w:t>6.</w:t>
      </w:r>
      <w:r>
        <w:rPr>
          <w:rFonts w:ascii="宋体" w:hAnsi="宋体" w:cs="宋体" w:eastAsia="宋体" w:hint="default"/>
          <w:spacing w:val="-7"/>
        </w:rPr>
        <w:t> </w:t>
      </w:r>
      <w:r>
        <w:rPr>
          <w:spacing w:val="-3"/>
        </w:rPr>
        <w:t>无法辨认一组金融资产中的某项资产的现金流量是否已经减少，但根据公开的数据对其进行总体评</w:t>
      </w:r>
      <w:r>
        <w:rPr>
          <w:spacing w:val="-103"/>
        </w:rPr>
        <w:t> </w:t>
      </w:r>
      <w:r>
        <w:rPr>
          <w:spacing w:val="-103"/>
        </w:rPr>
      </w:r>
      <w:r>
        <w:rPr>
          <w:spacing w:val="-3"/>
        </w:rPr>
        <w:t>价后发现，该组金融资产自初始确认以来的预计未来现金流量确已减少且可计量，如该组金融资产</w:t>
      </w:r>
      <w:r>
        <w:rPr/>
        <w:t> </w:t>
      </w:r>
      <w:r>
        <w:rPr>
          <w:spacing w:val="-3"/>
        </w:rPr>
        <w:t>的债务人支付能力逐步恶化，或债务人所在国家或地区失业率提高、担保物在其所在地区的价格明</w:t>
      </w:r>
      <w:r>
        <w:rPr/>
        <w:t> 显下降、所处行业不景气等；</w:t>
      </w:r>
    </w:p>
    <w:p>
      <w:pPr>
        <w:pStyle w:val="Heading4"/>
        <w:spacing w:line="273" w:lineRule="auto"/>
        <w:ind w:left="863" w:right="1131" w:hanging="284"/>
        <w:jc w:val="both"/>
      </w:pPr>
      <w:r>
        <w:rPr>
          <w:rFonts w:ascii="宋体" w:hAnsi="宋体" w:cs="宋体" w:eastAsia="宋体" w:hint="default"/>
        </w:rPr>
        <w:t>7.</w:t>
      </w:r>
      <w:r>
        <w:rPr>
          <w:rFonts w:ascii="宋体" w:hAnsi="宋体" w:cs="宋体" w:eastAsia="宋体" w:hint="default"/>
          <w:spacing w:val="-8"/>
        </w:rPr>
        <w:t> </w:t>
      </w:r>
      <w:r>
        <w:rPr>
          <w:spacing w:val="-3"/>
        </w:rPr>
        <w:t>权益工具发行方经营所处的技术、市场、经济或法律环境等发生重大不利变化，使权益工具投资人</w:t>
      </w:r>
      <w:r>
        <w:rPr>
          <w:spacing w:val="-103"/>
        </w:rPr>
        <w:t> </w:t>
      </w:r>
      <w:r>
        <w:rPr>
          <w:spacing w:val="-103"/>
        </w:rPr>
      </w:r>
      <w:r>
        <w:rPr/>
        <w:t>可能无法收回投资成本；</w:t>
      </w:r>
    </w:p>
    <w:p>
      <w:pPr>
        <w:pStyle w:val="Heading4"/>
        <w:spacing w:line="273" w:lineRule="auto"/>
        <w:ind w:left="574" w:right="5213" w:firstLine="6"/>
        <w:jc w:val="left"/>
      </w:pPr>
      <w:r>
        <w:rPr>
          <w:rFonts w:ascii="宋体" w:hAnsi="宋体" w:cs="宋体" w:eastAsia="宋体" w:hint="default"/>
        </w:rPr>
        <w:t>8.</w:t>
      </w:r>
      <w:r>
        <w:rPr>
          <w:rFonts w:ascii="宋体" w:hAnsi="宋体" w:cs="宋体" w:eastAsia="宋体" w:hint="default"/>
          <w:spacing w:val="-32"/>
        </w:rPr>
        <w:t> </w:t>
      </w:r>
      <w:r>
        <w:rPr/>
        <w:t>权益工具投资的公允价值发生严重或非暂时性下跌； 金融资产的具体减值方法如下：</w:t>
      </w:r>
    </w:p>
    <w:p>
      <w:pPr>
        <w:pStyle w:val="Heading4"/>
        <w:spacing w:line="256" w:lineRule="auto"/>
        <w:ind w:left="574" w:right="1022"/>
        <w:jc w:val="left"/>
      </w:pPr>
      <w:r>
        <w:rPr/>
        <w:t>（</w:t>
      </w:r>
      <w:r>
        <w:rPr>
          <w:rFonts w:ascii="Times New Roman" w:hAnsi="Times New Roman" w:cs="Times New Roman" w:eastAsia="Times New Roman" w:hint="default"/>
        </w:rPr>
        <w:t>1</w:t>
      </w:r>
      <w:r>
        <w:rPr/>
        <w:t>）可供出售金融资产减值准备 </w:t>
      </w:r>
      <w:r>
        <w:rPr>
          <w:spacing w:val="-1"/>
        </w:rPr>
        <w:t>本公司于资产负债表日对各项可供出售权益工具投资单独进行检查，若该权益工具投资于资产负债表</w:t>
      </w:r>
    </w:p>
    <w:p>
      <w:pPr>
        <w:pStyle w:val="Heading4"/>
        <w:spacing w:line="256" w:lineRule="auto" w:before="22"/>
        <w:ind w:right="1022"/>
        <w:jc w:val="left"/>
      </w:pPr>
      <w:r>
        <w:rPr/>
        <w:t>日的公允价值低于其成本超过</w:t>
      </w:r>
      <w:r>
        <w:rPr>
          <w:rFonts w:ascii="Times New Roman" w:hAnsi="Times New Roman" w:cs="Times New Roman" w:eastAsia="Times New Roman" w:hint="default"/>
        </w:rPr>
        <w:t>50%</w:t>
      </w:r>
      <w:r>
        <w:rPr/>
        <w:t>（含</w:t>
      </w:r>
      <w:r>
        <w:rPr>
          <w:rFonts w:ascii="Times New Roman" w:hAnsi="Times New Roman" w:cs="Times New Roman" w:eastAsia="Times New Roman" w:hint="default"/>
        </w:rPr>
        <w:t>50%</w:t>
      </w:r>
      <w:r>
        <w:rPr/>
        <w:t>）或低于其成本持续时间超过一年（含一年）的，则表明其发</w:t>
      </w:r>
      <w:r>
        <w:rPr>
          <w:spacing w:val="-66"/>
        </w:rPr>
        <w:t> </w:t>
      </w:r>
      <w:r>
        <w:rPr>
          <w:spacing w:val="-66"/>
        </w:rPr>
      </w:r>
      <w:r>
        <w:rPr>
          <w:spacing w:val="-1"/>
        </w:rPr>
        <w:t>生减值；若该权益工具投资于资产负债表日的公允价值低于其成本超过</w:t>
      </w:r>
      <w:r>
        <w:rPr>
          <w:rFonts w:ascii="Times New Roman" w:hAnsi="Times New Roman" w:cs="Times New Roman" w:eastAsia="Times New Roman" w:hint="default"/>
          <w:spacing w:val="-1"/>
        </w:rPr>
        <w:t>20%</w:t>
      </w:r>
      <w:r>
        <w:rPr>
          <w:spacing w:val="-1"/>
        </w:rPr>
        <w:t>（含</w:t>
      </w:r>
      <w:r>
        <w:rPr>
          <w:rFonts w:ascii="Times New Roman" w:hAnsi="Times New Roman" w:cs="Times New Roman" w:eastAsia="Times New Roman" w:hint="default"/>
          <w:spacing w:val="-1"/>
        </w:rPr>
        <w:t>20%</w:t>
      </w:r>
      <w:r>
        <w:rPr>
          <w:spacing w:val="-1"/>
        </w:rPr>
        <w:t>）但尚未达到</w:t>
      </w:r>
      <w:r>
        <w:rPr>
          <w:rFonts w:ascii="Times New Roman" w:hAnsi="Times New Roman" w:cs="Times New Roman" w:eastAsia="Times New Roman" w:hint="default"/>
          <w:spacing w:val="-1"/>
        </w:rPr>
        <w:t>50%</w:t>
      </w:r>
      <w:r>
        <w:rPr>
          <w:spacing w:val="-1"/>
        </w:rPr>
        <w:t>的，</w:t>
      </w:r>
      <w:r>
        <w:rPr>
          <w:spacing w:val="-84"/>
        </w:rPr>
        <w:t> </w:t>
      </w:r>
      <w:r>
        <w:rPr/>
        <w:t>本公司会综合考虑其他相关因素诸如价格波动率等，判断该权益工具投资是否发生减值。</w:t>
      </w:r>
    </w:p>
    <w:p>
      <w:pPr>
        <w:pStyle w:val="Heading4"/>
        <w:spacing w:line="273" w:lineRule="auto" w:before="22"/>
        <w:ind w:right="1131" w:firstLine="420"/>
        <w:jc w:val="both"/>
      </w:pPr>
      <w:r>
        <w:rPr>
          <w:spacing w:val="-1"/>
        </w:rPr>
        <w:t>上段所述成本按照可供出售权益工具投资的初始取得成本扣除已收回本金和已摊销金额、原已计入损</w:t>
      </w:r>
      <w:r>
        <w:rPr/>
        <w:t> </w:t>
      </w:r>
      <w:r>
        <w:rPr>
          <w:spacing w:val="-1"/>
        </w:rPr>
        <w:t>益的减值损失确定；不存在活跃市场的可供出售权益工具投资的公允价值，按照类似金融资产当时市场收</w:t>
      </w:r>
      <w:r>
        <w:rPr>
          <w:spacing w:val="-81"/>
        </w:rPr>
        <w:t> </w:t>
      </w:r>
      <w:r>
        <w:rPr>
          <w:spacing w:val="-81"/>
        </w:rPr>
      </w:r>
      <w:r>
        <w:rPr>
          <w:spacing w:val="-1"/>
        </w:rPr>
        <w:t>益率对未来现金流量折现确定的现值确定；在活跃市场有报价的可供出售权益工具投资的公允价值根据证</w:t>
      </w:r>
      <w:r>
        <w:rPr>
          <w:spacing w:val="-81"/>
        </w:rPr>
        <w:t> </w:t>
      </w:r>
      <w:r>
        <w:rPr>
          <w:spacing w:val="-81"/>
        </w:rPr>
      </w:r>
      <w:r>
        <w:rPr>
          <w:spacing w:val="-1"/>
        </w:rPr>
        <w:t>券交易所期末收盘价确定，除非该项可供出售权益工具投资存在限售期。对于存在限售期的可供出售权益</w:t>
      </w:r>
      <w:r>
        <w:rPr>
          <w:spacing w:val="-81"/>
        </w:rPr>
        <w:t> </w:t>
      </w:r>
      <w:r>
        <w:rPr>
          <w:spacing w:val="-81"/>
        </w:rPr>
      </w:r>
      <w:r>
        <w:rPr>
          <w:spacing w:val="-1"/>
        </w:rPr>
        <w:t>工具投资，按照证券交易所期末收盘价扣除市场参与者因承担指定期间内无法在公开市场上出售该权益工</w:t>
      </w:r>
      <w:r>
        <w:rPr>
          <w:spacing w:val="-81"/>
        </w:rPr>
        <w:t> </w:t>
      </w:r>
      <w:r>
        <w:rPr>
          <w:spacing w:val="-81"/>
        </w:rPr>
      </w:r>
      <w:r>
        <w:rPr/>
        <w:t>具的风险而要求获得的补偿金额后确定。</w:t>
      </w:r>
    </w:p>
    <w:p>
      <w:pPr>
        <w:pStyle w:val="Heading4"/>
        <w:spacing w:line="273" w:lineRule="auto"/>
        <w:ind w:right="1131" w:firstLine="420"/>
        <w:jc w:val="both"/>
      </w:pPr>
      <w:r>
        <w:rPr>
          <w:spacing w:val="-1"/>
        </w:rPr>
        <w:t>可供出售金融资产发生减值时，即使该金融资产没有终止确认，本公司将原直接计入其他综合收益的</w:t>
      </w:r>
      <w:r>
        <w:rPr/>
        <w:t> </w:t>
      </w:r>
      <w:r>
        <w:rPr>
          <w:spacing w:val="-1"/>
        </w:rPr>
        <w:t>因公允价值下降形成的累计损失从其他综合收益转出，计入当期损益。该转出的累计损失，等于可供出售</w:t>
      </w:r>
      <w:r>
        <w:rPr>
          <w:spacing w:val="-83"/>
        </w:rPr>
        <w:t> </w:t>
      </w:r>
      <w:r>
        <w:rPr>
          <w:spacing w:val="-83"/>
        </w:rPr>
      </w:r>
      <w:r>
        <w:rPr>
          <w:spacing w:val="-1"/>
        </w:rPr>
        <w:t>金融资产的初始取得成本扣除已收回本金和已摊余金额、当前公允价值和原已计入损益的减值损失后的余</w:t>
      </w:r>
      <w:r>
        <w:rPr>
          <w:spacing w:val="-81"/>
        </w:rPr>
        <w:t> </w:t>
      </w:r>
      <w:r>
        <w:rPr>
          <w:spacing w:val="-81"/>
        </w:rPr>
      </w:r>
      <w:r>
        <w:rPr/>
        <w:t>额。</w:t>
      </w:r>
    </w:p>
    <w:p>
      <w:pPr>
        <w:pStyle w:val="Heading4"/>
        <w:spacing w:line="273" w:lineRule="auto"/>
        <w:ind w:right="1131" w:firstLine="420"/>
        <w:jc w:val="both"/>
      </w:pPr>
      <w:r>
        <w:rPr>
          <w:spacing w:val="-1"/>
        </w:rPr>
        <w:t>对于已确认减值损失的可供出售债务工具，在随后的会计期间公允价值已上升且客观上与确认原减值</w:t>
      </w:r>
      <w:r>
        <w:rPr/>
        <w:t> </w:t>
      </w:r>
      <w:r>
        <w:rPr>
          <w:spacing w:val="-1"/>
        </w:rPr>
        <w:t>损失后发生的事项有关的，原确认的减值损失予以转回计入当期损益；对于可供出售权益工具投资发生的</w:t>
      </w:r>
      <w:r>
        <w:rPr>
          <w:spacing w:val="-81"/>
        </w:rPr>
        <w:t> </w:t>
      </w:r>
      <w:r>
        <w:rPr>
          <w:spacing w:val="-81"/>
        </w:rPr>
      </w:r>
      <w:r>
        <w:rPr>
          <w:spacing w:val="-1"/>
        </w:rPr>
        <w:t>减值损失，在该权益工具价值回升时通过权益转回；但在活跃市场中没有报价且其公允价值不能可靠计量</w:t>
      </w:r>
      <w:r>
        <w:rPr>
          <w:spacing w:val="-81"/>
        </w:rPr>
        <w:t> </w:t>
      </w:r>
      <w:r>
        <w:rPr>
          <w:spacing w:val="-81"/>
        </w:rPr>
      </w:r>
      <w:r>
        <w:rPr>
          <w:spacing w:val="-1"/>
        </w:rPr>
        <w:t>的权益工具投资，或与该权益工具挂钩并须通过交付该权益工具结算的衍生金融资产发生的减值损失，不</w:t>
      </w:r>
      <w:r>
        <w:rPr>
          <w:spacing w:val="-81"/>
        </w:rPr>
        <w:t> </w:t>
      </w:r>
      <w:r>
        <w:rPr>
          <w:spacing w:val="-81"/>
        </w:rPr>
      </w:r>
      <w:r>
        <w:rPr/>
        <w:t>得转回。</w:t>
      </w:r>
    </w:p>
    <w:p>
      <w:pPr>
        <w:pStyle w:val="Heading4"/>
        <w:spacing w:line="256" w:lineRule="auto"/>
        <w:ind w:left="574" w:right="1022"/>
        <w:jc w:val="left"/>
      </w:pPr>
      <w:r>
        <w:rPr/>
        <w:t>（</w:t>
      </w:r>
      <w:r>
        <w:rPr>
          <w:rFonts w:ascii="Times New Roman" w:hAnsi="Times New Roman" w:cs="Times New Roman" w:eastAsia="Times New Roman" w:hint="default"/>
        </w:rPr>
        <w:t>2</w:t>
      </w:r>
      <w:r>
        <w:rPr/>
        <w:t>）持有至到期投资减值准备 </w:t>
      </w:r>
      <w:r>
        <w:rPr>
          <w:spacing w:val="-1"/>
        </w:rPr>
        <w:t>对于持有至到期投资，有客观证据表明其发生了减值的，根据其账面价值与预计未来现金流量现值之</w:t>
      </w:r>
    </w:p>
    <w:p>
      <w:pPr>
        <w:pStyle w:val="Heading4"/>
        <w:spacing w:line="273" w:lineRule="auto" w:before="22"/>
        <w:ind w:right="1022"/>
        <w:jc w:val="left"/>
      </w:pPr>
      <w:r>
        <w:rPr>
          <w:spacing w:val="-1"/>
        </w:rPr>
        <w:t>间差额计算确认减值损失；计提后如有证据表明其价值已恢复，原确认的减值损失可予以转回，记入当期</w:t>
      </w:r>
      <w:r>
        <w:rPr>
          <w:spacing w:val="-83"/>
        </w:rPr>
        <w:t> </w:t>
      </w:r>
      <w:r>
        <w:rPr>
          <w:spacing w:val="-83"/>
        </w:rPr>
      </w:r>
      <w:r>
        <w:rPr/>
        <w:t>损益，但该转回的账面价值不超过假定不计提减值准备情况下该金融资产在转回日的摊余成本。</w:t>
      </w:r>
    </w:p>
    <w:p>
      <w:pPr>
        <w:spacing w:line="256" w:lineRule="auto" w:before="7"/>
        <w:ind w:left="574" w:right="1022" w:hanging="8"/>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、金融资产及金融负债的抵销</w:t>
      </w:r>
      <w:r>
        <w:rPr>
          <w:rFonts w:ascii="宋体" w:hAnsi="宋体" w:cs="宋体" w:eastAsia="宋体" w:hint="default"/>
          <w:b/>
          <w:bCs/>
          <w:w w:val="99"/>
          <w:sz w:val="21"/>
          <w:szCs w:val="21"/>
        </w:rPr>
        <w:t> </w:t>
      </w:r>
      <w:r>
        <w:rPr>
          <w:rFonts w:ascii="宋体" w:hAnsi="宋体" w:cs="宋体" w:eastAsia="宋体" w:hint="default"/>
          <w:spacing w:val="-1"/>
          <w:sz w:val="21"/>
          <w:szCs w:val="21"/>
        </w:rPr>
        <w:t>金融资产和金融负债在资产负债表内分别列示，没有相互抵销。但是，同时满足下列条件的，以相互</w:t>
      </w:r>
    </w:p>
    <w:p>
      <w:pPr>
        <w:pStyle w:val="Heading4"/>
        <w:spacing w:line="240" w:lineRule="auto" w:before="22"/>
        <w:ind w:right="1022"/>
        <w:jc w:val="left"/>
      </w:pPr>
      <w:r>
        <w:rPr/>
        <w:t>抵销后的净额在资产负债表内列示：</w:t>
      </w:r>
    </w:p>
    <w:p>
      <w:pPr>
        <w:pStyle w:val="Heading4"/>
        <w:spacing w:line="240" w:lineRule="auto" w:before="37"/>
        <w:ind w:left="469" w:right="1022"/>
        <w:jc w:val="left"/>
      </w:pPr>
      <w:r>
        <w:rPr/>
        <w:t>（</w:t>
      </w:r>
      <w:r>
        <w:rPr>
          <w:rFonts w:ascii="Times New Roman" w:hAnsi="Times New Roman" w:cs="Times New Roman" w:eastAsia="Times New Roman" w:hint="default"/>
        </w:rPr>
        <w:t>1</w:t>
      </w:r>
      <w:r>
        <w:rPr/>
        <w:t>）本公司具有抵销已确认金额的法定权利，且该种法定权利是当前可执行的；</w:t>
      </w:r>
    </w:p>
    <w:p>
      <w:pPr>
        <w:pStyle w:val="Heading4"/>
        <w:spacing w:line="240" w:lineRule="auto" w:before="21"/>
        <w:ind w:left="469" w:right="1022"/>
        <w:jc w:val="left"/>
      </w:pPr>
      <w:r>
        <w:rPr/>
        <w:t>（</w:t>
      </w:r>
      <w:r>
        <w:rPr>
          <w:rFonts w:ascii="Times New Roman" w:hAnsi="Times New Roman" w:cs="Times New Roman" w:eastAsia="Times New Roman" w:hint="default"/>
        </w:rPr>
        <w:t>2</w:t>
      </w:r>
      <w:r>
        <w:rPr/>
        <w:t>）本公司计划以净额结算，或同时变现该金融资产和清偿该金融负债。</w:t>
      </w:r>
    </w:p>
    <w:p>
      <w:pPr>
        <w:spacing w:line="240" w:lineRule="auto" w:before="8"/>
        <w:rPr>
          <w:rFonts w:ascii="宋体" w:hAnsi="宋体" w:cs="宋体" w:eastAsia="宋体" w:hint="default"/>
          <w:sz w:val="24"/>
          <w:szCs w:val="24"/>
        </w:rPr>
      </w:pPr>
    </w:p>
    <w:p>
      <w:pPr>
        <w:pStyle w:val="Heading3"/>
        <w:spacing w:line="240" w:lineRule="auto"/>
        <w:ind w:right="1022"/>
        <w:jc w:val="left"/>
        <w:rPr>
          <w:b w:val="0"/>
          <w:bCs w:val="0"/>
        </w:rPr>
      </w:pPr>
      <w:bookmarkStart w:name="11、应收票据及应收账款" w:id="178"/>
      <w:bookmarkEnd w:id="178"/>
      <w:r>
        <w:rPr>
          <w:b w:val="0"/>
          <w:bCs w:val="0"/>
        </w:rPr>
      </w:r>
      <w:r>
        <w:rPr>
          <w:rFonts w:ascii="Times New Roman" w:hAnsi="Times New Roman" w:cs="Times New Roman" w:eastAsia="Times New Roman" w:hint="default"/>
        </w:rPr>
        <w:t>11</w:t>
      </w:r>
      <w:r>
        <w:rPr/>
        <w:t>、应收票据及应收账款</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022"/>
        <w:jc w:val="left"/>
        <w:rPr>
          <w:b w:val="0"/>
          <w:bCs w:val="0"/>
        </w:rPr>
      </w:pPr>
      <w:bookmarkStart w:name="（1）单项金额重大并单独计提坏账准备的应收款项" w:id="179"/>
      <w:bookmarkEnd w:id="179"/>
      <w:r>
        <w:rPr>
          <w:b w:val="0"/>
          <w:bCs w:val="0"/>
        </w:rPr>
      </w: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829"/>
        <w:gridCol w:w="5740"/>
      </w:tblGrid>
      <w:tr>
        <w:trPr>
          <w:trHeight w:val="402" w:hRule="exact"/>
        </w:trPr>
        <w:tc>
          <w:tcPr>
            <w:tcW w:w="3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5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额在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万元以上（含）</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3829"/>
        <w:gridCol w:w="5740"/>
      </w:tblGrid>
      <w:tr>
        <w:trPr>
          <w:trHeight w:val="1026" w:hRule="exact"/>
        </w:trPr>
        <w:tc>
          <w:tcPr>
            <w:tcW w:w="3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57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both"/>
              <w:rPr>
                <w:rFonts w:ascii="宋体" w:hAnsi="宋体" w:cs="宋体" w:eastAsia="宋体" w:hint="default"/>
                <w:sz w:val="18"/>
                <w:szCs w:val="18"/>
              </w:rPr>
            </w:pPr>
            <w:r>
              <w:rPr>
                <w:rFonts w:ascii="宋体" w:hAnsi="宋体" w:cs="宋体" w:eastAsia="宋体" w:hint="default"/>
                <w:spacing w:val="-3"/>
                <w:sz w:val="18"/>
                <w:szCs w:val="18"/>
              </w:rPr>
              <w:t>单独进行减值测试，按预计未来现金流量现值低于其账面价值的差额计提</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3"/>
                <w:sz w:val="18"/>
                <w:szCs w:val="18"/>
              </w:rPr>
              <w:t>坏账准备，计入当期损益。单独测试未发生减值的应收款项，将其归入相</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应组合计提坏账准备。</w:t>
            </w:r>
          </w:p>
        </w:tc>
      </w:tr>
    </w:tbl>
    <w:p>
      <w:pPr>
        <w:spacing w:line="240" w:lineRule="auto" w:before="3"/>
        <w:rPr>
          <w:rFonts w:ascii="宋体" w:hAnsi="宋体" w:cs="宋体" w:eastAsia="宋体" w:hint="default"/>
          <w:b/>
          <w:bCs/>
          <w:sz w:val="19"/>
          <w:szCs w:val="19"/>
        </w:rPr>
      </w:pPr>
    </w:p>
    <w:p>
      <w:pPr>
        <w:pStyle w:val="Heading3"/>
        <w:spacing w:line="240" w:lineRule="auto" w:before="35"/>
        <w:ind w:right="1022"/>
        <w:jc w:val="left"/>
        <w:rPr>
          <w:b w:val="0"/>
          <w:bCs w:val="0"/>
        </w:rPr>
      </w:pPr>
      <w:bookmarkStart w:name="（2）按信用风险特征组合计提坏账准备的应收款项" w:id="180"/>
      <w:bookmarkEnd w:id="180"/>
      <w:r>
        <w:rPr>
          <w:b w:val="0"/>
          <w:bCs w:val="0"/>
        </w:rPr>
      </w: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1"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账龄分析法组合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403"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特别关联方组合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其他方法</w:t>
            </w:r>
          </w:p>
        </w:tc>
      </w:tr>
    </w:tbl>
    <w:p>
      <w:pPr>
        <w:pStyle w:val="BodyText"/>
        <w:spacing w:line="240" w:lineRule="auto" w:before="51"/>
        <w:ind w:right="1022"/>
        <w:jc w:val="left"/>
      </w:pPr>
      <w:r>
        <w:rPr/>
        <w:t>组合中，采用账龄分析法计提坏账准备的：</w:t>
      </w:r>
    </w:p>
    <w:p>
      <w:pPr>
        <w:pStyle w:val="BodyText"/>
        <w:spacing w:line="240" w:lineRule="auto" w:before="116"/>
        <w:ind w:right="10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82"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51"/>
        <w:ind w:right="1022"/>
        <w:jc w:val="left"/>
      </w:pPr>
      <w:r>
        <w:rPr/>
        <w:t>组合中，采用余额百分比法计提坏账准备的：</w:t>
      </w:r>
    </w:p>
    <w:p>
      <w:pPr>
        <w:pStyle w:val="BodyText"/>
        <w:spacing w:line="338" w:lineRule="auto" w:before="117"/>
        <w:ind w:right="75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w:t>
      </w:r>
    </w:p>
    <w:p>
      <w:pPr>
        <w:pStyle w:val="BodyText"/>
        <w:spacing w:line="240" w:lineRule="auto" w:before="42"/>
        <w:ind w:right="10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0"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特别关联方组合</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3"/>
        <w:spacing w:line="240" w:lineRule="auto" w:before="35"/>
        <w:ind w:right="1022"/>
        <w:jc w:val="left"/>
        <w:rPr>
          <w:b w:val="0"/>
          <w:bCs w:val="0"/>
        </w:rPr>
      </w:pPr>
      <w:bookmarkStart w:name="（3）单项金额不重大但单独计提坏账准备的应收款项" w:id="181"/>
      <w:bookmarkEnd w:id="181"/>
      <w:r>
        <w:rPr>
          <w:b w:val="0"/>
          <w:bCs w:val="0"/>
        </w:rPr>
      </w: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21"/>
          <w:szCs w:val="21"/>
        </w:rPr>
      </w:pPr>
    </w:p>
    <w:p>
      <w:pPr>
        <w:pStyle w:val="BodyText"/>
        <w:spacing w:line="240" w:lineRule="auto" w:before="44"/>
        <w:ind w:left="0" w:right="1139"/>
        <w:jc w:val="right"/>
      </w:pPr>
      <w:r>
        <w:rPr/>
        <w:pict>
          <v:shape style="position:absolute;margin-left:56.459999pt;margin-top:-36.548325pt;width:479.2pt;height:56.3pt;mso-position-horizontal-relative:page;mso-position-vertical-relative:paragraph;z-index:15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978"/>
                    <w:gridCol w:w="6591"/>
                  </w:tblGrid>
                  <w:tr>
                    <w:trPr>
                      <w:trHeight w:val="714" w:hRule="exact"/>
                    </w:trPr>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659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6"/>
                          <w:jc w:val="left"/>
                          <w:rPr>
                            <w:rFonts w:ascii="宋体" w:hAnsi="宋体" w:cs="宋体" w:eastAsia="宋体" w:hint="default"/>
                            <w:sz w:val="18"/>
                            <w:szCs w:val="18"/>
                          </w:rPr>
                        </w:pPr>
                        <w:r>
                          <w:rPr>
                            <w:rFonts w:ascii="宋体" w:hAnsi="宋体" w:cs="宋体" w:eastAsia="宋体" w:hint="default"/>
                            <w:sz w:val="18"/>
                            <w:szCs w:val="18"/>
                          </w:rPr>
                          <w:t>应收款项的未来现金流量现值与以账龄为信用风险特征的应收款项组合的未来现金 流量现值存在显著差异。</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6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单独进行减值测试，根据其未来现金流量现值低于其账面价值的差额计提坏账准备</w:t>
                        </w:r>
                      </w:p>
                    </w:tc>
                  </w:tr>
                </w:tbl>
                <w:p>
                  <w:pPr/>
                </w:p>
              </w:txbxContent>
            </v:textbox>
            <w10:wrap type="none"/>
          </v:shape>
        </w:pict>
      </w:r>
      <w:r>
        <w:rPr/>
        <w:t>。</w:t>
      </w:r>
    </w:p>
    <w:p>
      <w:pPr>
        <w:spacing w:line="240" w:lineRule="auto" w:before="13"/>
        <w:rPr>
          <w:rFonts w:ascii="宋体" w:hAnsi="宋体" w:cs="宋体" w:eastAsia="宋体" w:hint="default"/>
          <w:sz w:val="27"/>
          <w:szCs w:val="27"/>
        </w:rPr>
      </w:pPr>
    </w:p>
    <w:p>
      <w:pPr>
        <w:pStyle w:val="Heading3"/>
        <w:spacing w:line="240" w:lineRule="auto" w:before="35"/>
        <w:ind w:right="1022"/>
        <w:jc w:val="left"/>
        <w:rPr>
          <w:b w:val="0"/>
          <w:bCs w:val="0"/>
        </w:rPr>
      </w:pPr>
      <w:bookmarkStart w:name="12、存货" w:id="182"/>
      <w:bookmarkEnd w:id="182"/>
      <w:r>
        <w:rPr>
          <w:b w:val="0"/>
          <w:bCs w:val="0"/>
        </w:rPr>
      </w:r>
      <w:r>
        <w:rPr>
          <w:rFonts w:ascii="Times New Roman" w:hAnsi="Times New Roman" w:cs="Times New Roman" w:eastAsia="Times New Roman" w:hint="default"/>
        </w:rPr>
        <w:t>12</w:t>
      </w:r>
      <w:r>
        <w:rPr/>
        <w:t>、存货</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7692"/>
        <w:jc w:val="left"/>
      </w:pPr>
      <w:r>
        <w:rPr/>
        <w:t>公司是否需要遵守特殊行业的披露要求 是</w:t>
      </w:r>
    </w:p>
    <w:p>
      <w:pPr>
        <w:pStyle w:val="BodyText"/>
        <w:spacing w:line="240" w:lineRule="auto" w:before="28"/>
        <w:ind w:right="1022"/>
        <w:jc w:val="left"/>
      </w:pPr>
      <w:r>
        <w:rPr/>
        <w:t>软件与信息技术服务业</w:t>
      </w:r>
    </w:p>
    <w:p>
      <w:pPr>
        <w:pStyle w:val="Heading4"/>
        <w:spacing w:line="273" w:lineRule="auto" w:before="90"/>
        <w:ind w:left="574" w:right="1022" w:hanging="8"/>
        <w:jc w:val="left"/>
      </w:pPr>
      <w:r>
        <w:rPr>
          <w:rFonts w:ascii="宋体" w:hAnsi="宋体" w:cs="宋体" w:eastAsia="宋体" w:hint="default"/>
          <w:b/>
          <w:bCs/>
        </w:rPr>
        <w:t>1</w:t>
      </w:r>
      <w:r>
        <w:rPr>
          <w:rFonts w:ascii="宋体" w:hAnsi="宋体" w:cs="宋体" w:eastAsia="宋体" w:hint="default"/>
          <w:b/>
          <w:bCs/>
        </w:rPr>
        <w:t>、存货的分类</w:t>
      </w:r>
      <w:r>
        <w:rPr>
          <w:rFonts w:ascii="宋体" w:hAnsi="宋体" w:cs="宋体" w:eastAsia="宋体" w:hint="default"/>
          <w:b/>
          <w:bCs/>
          <w:w w:val="99"/>
        </w:rPr>
        <w:t> </w:t>
      </w:r>
      <w:r>
        <w:rPr>
          <w:spacing w:val="-1"/>
        </w:rPr>
        <w:t>存货是指本公司在日常活动中持有以备出售的产成品或商品、处在生产过程中的在产品、在生产过程</w:t>
      </w:r>
    </w:p>
    <w:p>
      <w:pPr>
        <w:pStyle w:val="Heading4"/>
        <w:spacing w:line="240" w:lineRule="auto"/>
        <w:ind w:right="1022"/>
        <w:jc w:val="left"/>
      </w:pPr>
      <w:r>
        <w:rPr/>
        <w:t>或提供劳务过程中耗用的材料和物料等。主要包括原材料、周转材料、在产品、自制半成品、产成品（库</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spacing w:line="273" w:lineRule="auto" w:before="35"/>
        <w:ind w:left="566" w:right="8443" w:hanging="413"/>
        <w:jc w:val="left"/>
        <w:rPr>
          <w:rFonts w:ascii="宋体" w:hAnsi="宋体" w:cs="宋体" w:eastAsia="宋体" w:hint="default"/>
          <w:sz w:val="21"/>
          <w:szCs w:val="21"/>
        </w:rPr>
      </w:pPr>
      <w:r>
        <w:rPr>
          <w:rFonts w:ascii="宋体" w:hAnsi="宋体" w:cs="宋体" w:eastAsia="宋体" w:hint="default"/>
          <w:sz w:val="21"/>
          <w:szCs w:val="21"/>
        </w:rPr>
        <w:t>存商品）、发出商品等。 </w:t>
      </w:r>
      <w:r>
        <w:rPr>
          <w:rFonts w:ascii="宋体" w:hAnsi="宋体" w:cs="宋体" w:eastAsia="宋体" w:hint="default"/>
          <w:b/>
          <w:bCs/>
          <w:sz w:val="21"/>
          <w:szCs w:val="21"/>
        </w:rPr>
        <w:t>2</w:t>
      </w:r>
      <w:r>
        <w:rPr>
          <w:rFonts w:ascii="宋体" w:hAnsi="宋体" w:cs="宋体" w:eastAsia="宋体" w:hint="default"/>
          <w:b/>
          <w:bCs/>
          <w:sz w:val="21"/>
          <w:szCs w:val="21"/>
        </w:rPr>
        <w:t>、存货的计价方法</w:t>
      </w:r>
      <w:r>
        <w:rPr>
          <w:rFonts w:ascii="宋体" w:hAnsi="宋体" w:cs="宋体" w:eastAsia="宋体" w:hint="default"/>
          <w:sz w:val="21"/>
          <w:szCs w:val="21"/>
        </w:rPr>
      </w:r>
    </w:p>
    <w:p>
      <w:pPr>
        <w:pStyle w:val="Heading4"/>
        <w:spacing w:line="273" w:lineRule="auto"/>
        <w:ind w:right="1133" w:firstLine="420"/>
        <w:jc w:val="both"/>
      </w:pPr>
      <w:r>
        <w:rPr>
          <w:spacing w:val="-1"/>
        </w:rPr>
        <w:t>存货在取得时，按成本进行初始计量，包括采购成本、加工成本和其他成本。存货发出时按先进先出</w:t>
      </w:r>
      <w:r>
        <w:rPr/>
        <w:t> 法计价。</w:t>
      </w:r>
    </w:p>
    <w:p>
      <w:pPr>
        <w:spacing w:line="273" w:lineRule="auto" w:before="8"/>
        <w:ind w:left="574" w:right="1022" w:hanging="8"/>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、存货可变现净值的确定依据及存货跌价准备的计提方法</w:t>
      </w:r>
      <w:r>
        <w:rPr>
          <w:rFonts w:ascii="宋体" w:hAnsi="宋体" w:cs="宋体" w:eastAsia="宋体" w:hint="default"/>
          <w:b/>
          <w:bCs/>
          <w:w w:val="99"/>
          <w:sz w:val="21"/>
          <w:szCs w:val="21"/>
        </w:rPr>
        <w:t> </w:t>
      </w:r>
      <w:r>
        <w:rPr>
          <w:rFonts w:ascii="宋体" w:hAnsi="宋体" w:cs="宋体" w:eastAsia="宋体" w:hint="default"/>
          <w:spacing w:val="-1"/>
          <w:sz w:val="21"/>
          <w:szCs w:val="21"/>
        </w:rPr>
        <w:t>期末对存货进行全面清查后，按存货的成本与可变现净值孰低提取或调整存货跌价准备。产成品、库</w:t>
      </w:r>
    </w:p>
    <w:p>
      <w:pPr>
        <w:pStyle w:val="Heading4"/>
        <w:spacing w:line="273" w:lineRule="auto"/>
        <w:ind w:right="1131"/>
        <w:jc w:val="both"/>
      </w:pPr>
      <w:r>
        <w:rPr>
          <w:spacing w:val="-1"/>
        </w:rPr>
        <w:t>存商品和用于出售的材料等直接用于出售的商品存货，在正常生产经营过程中，以该存货的估计售价减去</w:t>
      </w:r>
      <w:r>
        <w:rPr>
          <w:spacing w:val="-81"/>
        </w:rPr>
        <w:t> </w:t>
      </w:r>
      <w:r>
        <w:rPr>
          <w:spacing w:val="-81"/>
        </w:rPr>
      </w:r>
      <w:r>
        <w:rPr>
          <w:spacing w:val="-1"/>
        </w:rPr>
        <w:t>估计的销售费用和相关税费后的金额，确定其可变现净值；需要经过加工的材料存货，在正常生产经营过</w:t>
      </w:r>
      <w:r>
        <w:rPr>
          <w:spacing w:val="-83"/>
        </w:rPr>
        <w:t> </w:t>
      </w:r>
      <w:r>
        <w:rPr>
          <w:spacing w:val="-83"/>
        </w:rPr>
      </w:r>
      <w:r>
        <w:rPr>
          <w:spacing w:val="-1"/>
        </w:rPr>
        <w:t>程中，以所生产的产成品的估计售价减去至完工时估计将要发生的成本、估计的销售费用和相关税费后的</w:t>
      </w:r>
      <w:r>
        <w:rPr>
          <w:spacing w:val="-81"/>
        </w:rPr>
        <w:t> </w:t>
      </w:r>
      <w:r>
        <w:rPr>
          <w:spacing w:val="-81"/>
        </w:rPr>
      </w:r>
      <w:r>
        <w:rPr>
          <w:spacing w:val="-1"/>
        </w:rPr>
        <w:t>金额，确定其可变现净值；为执行销售合同或者劳务合同而持有的存货，其可变现净值以合同价格为基础</w:t>
      </w:r>
      <w:r>
        <w:rPr>
          <w:spacing w:val="-83"/>
        </w:rPr>
        <w:t> </w:t>
      </w:r>
      <w:r>
        <w:rPr>
          <w:spacing w:val="-83"/>
        </w:rPr>
      </w:r>
      <w:r>
        <w:rPr>
          <w:spacing w:val="-1"/>
        </w:rPr>
        <w:t>计算，若持有存货的数量多于销售合同订购数量的，超出部分的存货的可变现净值以一般销售价格为基础</w:t>
      </w:r>
      <w:r>
        <w:rPr>
          <w:spacing w:val="-81"/>
        </w:rPr>
        <w:t> </w:t>
      </w:r>
      <w:r>
        <w:rPr>
          <w:spacing w:val="-81"/>
        </w:rPr>
      </w:r>
      <w:r>
        <w:rPr/>
        <w:t>计算。</w:t>
      </w:r>
    </w:p>
    <w:p>
      <w:pPr>
        <w:pStyle w:val="Heading4"/>
        <w:spacing w:line="273" w:lineRule="auto"/>
        <w:ind w:right="1131" w:firstLine="420"/>
        <w:jc w:val="both"/>
      </w:pPr>
      <w:r>
        <w:rPr>
          <w:spacing w:val="-1"/>
        </w:rPr>
        <w:t>期末按照单个存货项目计提存货跌价准备；但对于数量繁多、单价较低的存货，按照存货类别计提存</w:t>
      </w:r>
      <w:r>
        <w:rPr/>
        <w:t> </w:t>
      </w:r>
      <w:r>
        <w:rPr>
          <w:spacing w:val="-1"/>
        </w:rPr>
        <w:t>货跌价准备；与在同一地区生产和销售的产品系列相关、具有相同或类似最终用途或目的，且难以与其他</w:t>
      </w:r>
      <w:r>
        <w:rPr>
          <w:spacing w:val="-82"/>
        </w:rPr>
        <w:t> </w:t>
      </w:r>
      <w:r>
        <w:rPr>
          <w:spacing w:val="-82"/>
        </w:rPr>
      </w:r>
      <w:r>
        <w:rPr/>
        <w:t>项目分开计量的存货，则合并计提存货跌价准备。</w:t>
      </w:r>
    </w:p>
    <w:p>
      <w:pPr>
        <w:pStyle w:val="Heading4"/>
        <w:spacing w:line="273" w:lineRule="auto"/>
        <w:ind w:right="1131" w:firstLine="420"/>
        <w:jc w:val="both"/>
      </w:pPr>
      <w:r>
        <w:rPr>
          <w:spacing w:val="-1"/>
        </w:rPr>
        <w:t>以前减记存货价值的影响因素已经消失的，减记的金额予以恢复，并在原已计提的存货跌价准备金额</w:t>
      </w:r>
      <w:r>
        <w:rPr/>
        <w:t> 内转回，转回的金额计入当期损益。</w:t>
      </w:r>
    </w:p>
    <w:p>
      <w:pPr>
        <w:spacing w:line="273" w:lineRule="auto" w:before="7"/>
        <w:ind w:left="566" w:right="7072"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、存货的盘存制度</w:t>
      </w:r>
      <w:r>
        <w:rPr>
          <w:rFonts w:ascii="宋体" w:hAnsi="宋体" w:cs="宋体" w:eastAsia="宋体" w:hint="default"/>
          <w:b/>
          <w:bCs/>
          <w:w w:val="99"/>
          <w:sz w:val="21"/>
          <w:szCs w:val="21"/>
        </w:rPr>
        <w:t> </w:t>
      </w:r>
      <w:r>
        <w:rPr>
          <w:rFonts w:ascii="宋体" w:hAnsi="宋体" w:cs="宋体" w:eastAsia="宋体" w:hint="default"/>
          <w:sz w:val="21"/>
          <w:szCs w:val="21"/>
        </w:rPr>
        <w:t>采用永续盘存制。 </w:t>
      </w:r>
      <w:r>
        <w:rPr>
          <w:rFonts w:ascii="宋体" w:hAnsi="宋体" w:cs="宋体" w:eastAsia="宋体" w:hint="default"/>
          <w:b/>
          <w:bCs/>
          <w:sz w:val="21"/>
          <w:szCs w:val="21"/>
        </w:rPr>
        <w:t>5</w:t>
      </w:r>
      <w:r>
        <w:rPr>
          <w:rFonts w:ascii="宋体" w:hAnsi="宋体" w:cs="宋体" w:eastAsia="宋体" w:hint="default"/>
          <w:b/>
          <w:bCs/>
          <w:sz w:val="21"/>
          <w:szCs w:val="21"/>
        </w:rPr>
        <w:t>、低值易耗品和包装物的摊销方法</w:t>
      </w:r>
      <w:r>
        <w:rPr>
          <w:rFonts w:ascii="宋体" w:hAnsi="宋体" w:cs="宋体" w:eastAsia="宋体" w:hint="default"/>
          <w:sz w:val="21"/>
          <w:szCs w:val="21"/>
        </w:rPr>
      </w:r>
    </w:p>
    <w:p>
      <w:pPr>
        <w:pStyle w:val="Heading4"/>
        <w:spacing w:line="240" w:lineRule="auto"/>
        <w:ind w:left="574" w:right="1022"/>
        <w:jc w:val="left"/>
      </w:pPr>
      <w:r>
        <w:rPr/>
        <w:t>低值易耗品和包装物均采用一次转销法。</w:t>
      </w:r>
    </w:p>
    <w:p>
      <w:pPr>
        <w:spacing w:line="240" w:lineRule="auto" w:before="12"/>
        <w:rPr>
          <w:rFonts w:ascii="宋体" w:hAnsi="宋体" w:cs="宋体" w:eastAsia="宋体" w:hint="default"/>
          <w:sz w:val="25"/>
          <w:szCs w:val="25"/>
        </w:rPr>
      </w:pPr>
    </w:p>
    <w:p>
      <w:pPr>
        <w:pStyle w:val="Heading3"/>
        <w:spacing w:line="240" w:lineRule="auto"/>
        <w:ind w:right="0"/>
        <w:jc w:val="both"/>
        <w:rPr>
          <w:b w:val="0"/>
          <w:bCs w:val="0"/>
        </w:rPr>
      </w:pPr>
      <w:bookmarkStart w:name="13、持有待售资产" w:id="183"/>
      <w:bookmarkEnd w:id="183"/>
      <w:r>
        <w:rPr>
          <w:b w:val="0"/>
          <w:bCs w:val="0"/>
        </w:rPr>
      </w:r>
      <w:r>
        <w:rPr>
          <w:rFonts w:ascii="Times New Roman" w:hAnsi="Times New Roman" w:cs="Times New Roman" w:eastAsia="Times New Roman" w:hint="default"/>
        </w:rPr>
        <w:t>13</w:t>
      </w:r>
      <w:r>
        <w:rPr/>
        <w:t>、持有待售资产</w:t>
      </w:r>
      <w:r>
        <w:rPr>
          <w:b w:val="0"/>
          <w:bCs w:val="0"/>
        </w:rPr>
      </w:r>
    </w:p>
    <w:p>
      <w:pPr>
        <w:spacing w:line="240" w:lineRule="auto" w:before="7"/>
        <w:rPr>
          <w:rFonts w:ascii="宋体" w:hAnsi="宋体" w:cs="宋体" w:eastAsia="宋体" w:hint="default"/>
          <w:b/>
          <w:bCs/>
          <w:sz w:val="24"/>
          <w:szCs w:val="24"/>
        </w:rPr>
      </w:pPr>
    </w:p>
    <w:p>
      <w:pPr>
        <w:spacing w:line="256" w:lineRule="auto" w:before="0"/>
        <w:ind w:left="574" w:right="3192" w:hanging="8"/>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、划分为持有待售确认标准</w:t>
      </w:r>
      <w:r>
        <w:rPr>
          <w:rFonts w:ascii="宋体" w:hAnsi="宋体" w:cs="宋体" w:eastAsia="宋体" w:hint="default"/>
          <w:b/>
          <w:bCs/>
          <w:w w:val="99"/>
          <w:sz w:val="21"/>
          <w:szCs w:val="21"/>
        </w:rPr>
        <w:t> </w:t>
      </w:r>
      <w:r>
        <w:rPr>
          <w:rFonts w:ascii="宋体" w:hAnsi="宋体" w:cs="宋体" w:eastAsia="宋体" w:hint="default"/>
          <w:sz w:val="21"/>
          <w:szCs w:val="21"/>
        </w:rPr>
        <w:t>本公司将同时满足下列条件的非流动资产或处置组确认为持有待售组成部分：</w:t>
      </w:r>
    </w:p>
    <w:p>
      <w:pPr>
        <w:pStyle w:val="Heading4"/>
        <w:spacing w:line="240" w:lineRule="auto" w:before="22"/>
        <w:ind w:left="574" w:right="1022"/>
        <w:jc w:val="left"/>
      </w:pPr>
      <w:r>
        <w:rPr/>
        <w:t>（</w:t>
      </w:r>
      <w:r>
        <w:rPr>
          <w:rFonts w:ascii="Times New Roman" w:hAnsi="Times New Roman" w:cs="Times New Roman" w:eastAsia="Times New Roman" w:hint="default"/>
        </w:rPr>
        <w:t>1</w:t>
      </w:r>
      <w:r>
        <w:rPr/>
        <w:t>）根据类似交易中出售此类资产或处置组的惯例，在当前状况下即可立即出售；</w:t>
      </w:r>
    </w:p>
    <w:p>
      <w:pPr>
        <w:pStyle w:val="Heading4"/>
        <w:spacing w:line="256" w:lineRule="auto" w:before="21"/>
        <w:ind w:right="1141" w:firstLine="420"/>
        <w:jc w:val="both"/>
      </w:pPr>
      <w:r>
        <w:rPr/>
        <w:t>（</w:t>
      </w:r>
      <w:r>
        <w:rPr>
          <w:rFonts w:ascii="Times New Roman" w:hAnsi="Times New Roman" w:cs="Times New Roman" w:eastAsia="Times New Roman" w:hint="default"/>
        </w:rPr>
        <w:t>2</w:t>
      </w:r>
      <w:r>
        <w:rPr/>
        <w:t>）出售极可能发生，即本公司已经就一项出售计划作出决议，并已获得监管部门批准，且获得确 定的购买承诺，预计出售将在一年内完成。</w:t>
      </w:r>
    </w:p>
    <w:p>
      <w:pPr>
        <w:pStyle w:val="Heading4"/>
        <w:spacing w:line="273" w:lineRule="auto" w:before="22"/>
        <w:ind w:right="1131" w:firstLine="420"/>
        <w:jc w:val="both"/>
      </w:pPr>
      <w:r>
        <w:rPr>
          <w:spacing w:val="-1"/>
        </w:rPr>
        <w:t>确定的购买承诺，是指本公司与其他方签订的具有法律约束力的购买协议，该协议包含交易价格、时</w:t>
      </w:r>
      <w:r>
        <w:rPr/>
        <w:t> 间和足够严厉的违约惩罚等重要条款，使协议出现重大调整或者撤销的可能性极小。</w:t>
      </w:r>
    </w:p>
    <w:p>
      <w:pPr>
        <w:pStyle w:val="Heading4"/>
        <w:spacing w:line="256" w:lineRule="auto"/>
        <w:ind w:left="574" w:right="1022" w:hanging="8"/>
        <w:jc w:val="left"/>
      </w:pPr>
      <w:r>
        <w:rPr>
          <w:rFonts w:ascii="Times New Roman" w:hAnsi="Times New Roman" w:cs="Times New Roman" w:eastAsia="Times New Roman" w:hint="default"/>
          <w:b/>
          <w:bCs/>
        </w:rPr>
        <w:t>2</w:t>
      </w:r>
      <w:r>
        <w:rPr>
          <w:rFonts w:ascii="宋体" w:hAnsi="宋体" w:cs="宋体" w:eastAsia="宋体" w:hint="default"/>
          <w:b/>
          <w:bCs/>
        </w:rPr>
        <w:t>、持有待售核算方法</w:t>
      </w:r>
      <w:r>
        <w:rPr>
          <w:rFonts w:ascii="宋体" w:hAnsi="宋体" w:cs="宋体" w:eastAsia="宋体" w:hint="default"/>
          <w:b/>
          <w:bCs/>
          <w:w w:val="99"/>
        </w:rPr>
        <w:t> </w:t>
      </w:r>
      <w:r>
        <w:rPr>
          <w:spacing w:val="-1"/>
        </w:rPr>
        <w:t>本公司对于持有待售的非流动资产或处置组不计提折旧或摊销，其账面价值高于公允价值减去出售费</w:t>
      </w:r>
    </w:p>
    <w:p>
      <w:pPr>
        <w:pStyle w:val="Heading4"/>
        <w:spacing w:line="273" w:lineRule="auto" w:before="22"/>
        <w:ind w:right="1023"/>
        <w:jc w:val="left"/>
      </w:pPr>
      <w:r>
        <w:rPr>
          <w:spacing w:val="-3"/>
        </w:rPr>
        <w:t>用后的净额的，应当将账面价值减记至公允价值减去出售费用后的净额，减记的金额确认为资产减值损失，</w:t>
      </w:r>
      <w:r>
        <w:rPr>
          <w:spacing w:val="-92"/>
        </w:rPr>
        <w:t> </w:t>
      </w:r>
      <w:r>
        <w:rPr>
          <w:spacing w:val="-92"/>
        </w:rPr>
      </w:r>
      <w:r>
        <w:rPr/>
        <w:t>计入当期损益，同时计提持有待售资产减值准备。</w:t>
      </w:r>
    </w:p>
    <w:p>
      <w:pPr>
        <w:pStyle w:val="Heading4"/>
        <w:spacing w:line="273" w:lineRule="auto"/>
        <w:ind w:right="1132" w:firstLine="420"/>
        <w:jc w:val="both"/>
      </w:pPr>
      <w:r>
        <w:rPr>
          <w:spacing w:val="-1"/>
        </w:rPr>
        <w:t>对于取得日划分为持有待售类别的非流动资产或处置组，在初始计量时比较假定其不划分为持有待售</w:t>
      </w:r>
      <w:r>
        <w:rPr/>
        <w:t> 类别情况下的初始计量金额和公允价值减去出售费用后的净额，以两者孰低计量。</w:t>
      </w:r>
    </w:p>
    <w:p>
      <w:pPr>
        <w:pStyle w:val="Heading4"/>
        <w:spacing w:line="273" w:lineRule="auto"/>
        <w:ind w:right="1131" w:firstLine="420"/>
        <w:jc w:val="both"/>
      </w:pPr>
      <w:r>
        <w:rPr>
          <w:spacing w:val="-1"/>
        </w:rPr>
        <w:t>上述原则适用于所有非流动资产，但不包括采用公允价值模式进行后续计量的投资性房地产、采用公</w:t>
      </w:r>
      <w:r>
        <w:rPr/>
        <w:t> </w:t>
      </w:r>
      <w:r>
        <w:rPr>
          <w:spacing w:val="-1"/>
        </w:rPr>
        <w:t>允价值减去出售费用后的净额计量的生物资产、职工薪酬形成的资产、递延所得税资产、由金融工具相关</w:t>
      </w:r>
      <w:r>
        <w:rPr>
          <w:spacing w:val="-83"/>
        </w:rPr>
        <w:t> </w:t>
      </w:r>
      <w:r>
        <w:rPr>
          <w:spacing w:val="-83"/>
        </w:rPr>
      </w:r>
      <w:r>
        <w:rPr/>
        <w:t>会计准则规范的金融资产、由保险合同相关会计准则规范的保险合同所产生的权利。</w:t>
      </w:r>
    </w:p>
    <w:p>
      <w:pPr>
        <w:spacing w:line="240" w:lineRule="auto" w:before="8"/>
        <w:rPr>
          <w:rFonts w:ascii="宋体" w:hAnsi="宋体" w:cs="宋体" w:eastAsia="宋体" w:hint="default"/>
          <w:sz w:val="23"/>
          <w:szCs w:val="23"/>
        </w:rPr>
      </w:pPr>
    </w:p>
    <w:p>
      <w:pPr>
        <w:pStyle w:val="Heading3"/>
        <w:spacing w:line="240" w:lineRule="auto"/>
        <w:ind w:right="0"/>
        <w:jc w:val="both"/>
        <w:rPr>
          <w:b w:val="0"/>
          <w:bCs w:val="0"/>
        </w:rPr>
      </w:pPr>
      <w:bookmarkStart w:name="14、长期股权投资" w:id="184"/>
      <w:bookmarkEnd w:id="184"/>
      <w:r>
        <w:rPr>
          <w:b w:val="0"/>
          <w:bCs w:val="0"/>
        </w:rPr>
      </w:r>
      <w:r>
        <w:rPr>
          <w:rFonts w:ascii="Times New Roman" w:hAnsi="Times New Roman" w:cs="Times New Roman" w:eastAsia="Times New Roman" w:hint="default"/>
        </w:rPr>
        <w:t>14</w:t>
      </w:r>
      <w:r>
        <w:rPr/>
        <w:t>、长期股权投资</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left="566" w:right="1022"/>
        <w:jc w:val="left"/>
        <w:rPr>
          <w:b w:val="0"/>
          <w:bCs w:val="0"/>
        </w:rPr>
      </w:pPr>
      <w:r>
        <w:rPr>
          <w:rFonts w:ascii="Times New Roman" w:hAnsi="Times New Roman" w:cs="Times New Roman" w:eastAsia="Times New Roman" w:hint="default"/>
        </w:rPr>
        <w:t>1</w:t>
      </w:r>
      <w:r>
        <w:rPr/>
        <w:t>、初始投资成本的确定</w:t>
      </w:r>
      <w:r>
        <w:rPr>
          <w:b w:val="0"/>
          <w:bCs w:val="0"/>
        </w:rPr>
      </w:r>
    </w:p>
    <w:p>
      <w:pPr>
        <w:spacing w:after="0" w:line="240" w:lineRule="auto"/>
        <w:jc w:val="left"/>
        <w:sectPr>
          <w:footerReference w:type="default" r:id="rId13"/>
          <w:pgSz w:w="11910" w:h="16840"/>
          <w:pgMar w:footer="979" w:header="747" w:top="1060" w:bottom="1160" w:left="980" w:right="0"/>
          <w:pgNumType w:start="97"/>
        </w:sectPr>
      </w:pPr>
    </w:p>
    <w:p>
      <w:pPr>
        <w:spacing w:line="240" w:lineRule="auto" w:before="9"/>
        <w:rPr>
          <w:rFonts w:ascii="宋体" w:hAnsi="宋体" w:cs="宋体" w:eastAsia="宋体" w:hint="default"/>
          <w:b/>
          <w:bCs/>
          <w:sz w:val="24"/>
          <w:szCs w:val="24"/>
        </w:rPr>
      </w:pPr>
    </w:p>
    <w:p>
      <w:pPr>
        <w:pStyle w:val="Heading4"/>
        <w:spacing w:line="256" w:lineRule="auto" w:before="35"/>
        <w:ind w:right="1132" w:firstLine="420"/>
        <w:jc w:val="both"/>
      </w:pPr>
      <w:r>
        <w:rPr>
          <w:spacing w:val="-1"/>
        </w:rPr>
        <w:t>（</w:t>
      </w:r>
      <w:r>
        <w:rPr>
          <w:rFonts w:ascii="Times New Roman" w:hAnsi="Times New Roman" w:cs="Times New Roman" w:eastAsia="Times New Roman" w:hint="default"/>
          <w:spacing w:val="-1"/>
        </w:rPr>
        <w:t>1</w:t>
      </w:r>
      <w:r>
        <w:rPr>
          <w:spacing w:val="-1"/>
        </w:rPr>
        <w:t>）企业合并形成的长期股权投资，具体会计政策详见附注五、重要会计估计及会计政策之</w:t>
      </w:r>
      <w:r>
        <w:rPr>
          <w:rFonts w:ascii="Times New Roman" w:hAnsi="Times New Roman" w:cs="Times New Roman" w:eastAsia="Times New Roman" w:hint="default"/>
          <w:spacing w:val="-1"/>
        </w:rPr>
        <w:t>5</w:t>
      </w:r>
      <w:r>
        <w:rPr>
          <w:spacing w:val="-1"/>
        </w:rPr>
        <w:t>、同一</w:t>
      </w:r>
      <w:r>
        <w:rPr/>
        <w:t> 控制下和非同一控制下企业合并的会计处理方法。</w:t>
      </w:r>
    </w:p>
    <w:p>
      <w:pPr>
        <w:pStyle w:val="Heading4"/>
        <w:spacing w:line="256" w:lineRule="auto" w:before="22"/>
        <w:ind w:left="574" w:right="1022"/>
        <w:jc w:val="left"/>
      </w:pPr>
      <w:r>
        <w:rPr/>
        <w:t>（</w:t>
      </w:r>
      <w:r>
        <w:rPr>
          <w:rFonts w:ascii="Times New Roman" w:hAnsi="Times New Roman" w:cs="Times New Roman" w:eastAsia="Times New Roman" w:hint="default"/>
        </w:rPr>
        <w:t>2</w:t>
      </w:r>
      <w:r>
        <w:rPr/>
        <w:t>）其他方式取得的长期股权投资 </w:t>
      </w:r>
      <w:r>
        <w:rPr>
          <w:spacing w:val="-1"/>
        </w:rPr>
        <w:t>以支付现金方式取得的长期股权投资，按照实际支付的购买价款作为初始投资成本。初始投资成本包</w:t>
      </w:r>
    </w:p>
    <w:p>
      <w:pPr>
        <w:pStyle w:val="Heading4"/>
        <w:spacing w:line="273" w:lineRule="auto" w:before="23"/>
        <w:ind w:left="574" w:right="1022" w:hanging="420"/>
        <w:jc w:val="left"/>
      </w:pPr>
      <w:r>
        <w:rPr/>
        <w:t>括与取得长期股权投资直接相关的费用、税金及其他必要支出。 </w:t>
      </w:r>
      <w:r>
        <w:rPr>
          <w:spacing w:val="-1"/>
        </w:rPr>
        <w:t>以发行权益性证券取得的长期股权投资，按照发行权益性证券的公允价值作为初始投资成本；发行或</w:t>
      </w:r>
    </w:p>
    <w:p>
      <w:pPr>
        <w:pStyle w:val="Heading4"/>
        <w:spacing w:line="273" w:lineRule="auto"/>
        <w:ind w:left="574" w:right="1022" w:hanging="420"/>
        <w:jc w:val="left"/>
      </w:pPr>
      <w:r>
        <w:rPr/>
        <w:t>取得自身权益工具时发生的交易费用，可直接归属于权益性交易的从权益中扣减。 </w:t>
      </w:r>
      <w:r>
        <w:rPr>
          <w:spacing w:val="-1"/>
        </w:rPr>
        <w:t>在非货币性资产交换具备商业实质和换入资产或换出资产的公允价值能够可靠计量的前提下，非货币</w:t>
      </w:r>
    </w:p>
    <w:p>
      <w:pPr>
        <w:pStyle w:val="Heading4"/>
        <w:spacing w:line="273" w:lineRule="auto"/>
        <w:ind w:right="1131"/>
        <w:jc w:val="both"/>
      </w:pPr>
      <w:r>
        <w:rPr>
          <w:spacing w:val="-1"/>
        </w:rPr>
        <w:t>性资产交换换入的长期股权投资以换出资产的公允价值为基础确定其初始投资成本，除非有确凿证据表明</w:t>
      </w:r>
      <w:r>
        <w:rPr>
          <w:spacing w:val="-81"/>
        </w:rPr>
        <w:t> </w:t>
      </w:r>
      <w:r>
        <w:rPr>
          <w:spacing w:val="-81"/>
        </w:rPr>
      </w:r>
      <w:r>
        <w:rPr>
          <w:spacing w:val="-1"/>
        </w:rPr>
        <w:t>换入资产的公允价值更加可靠；不满足上述前提的非货币性资产交换，以换出资产的账面价值和应支付的</w:t>
      </w:r>
      <w:r>
        <w:rPr>
          <w:spacing w:val="-81"/>
        </w:rPr>
        <w:t> </w:t>
      </w:r>
      <w:r>
        <w:rPr>
          <w:spacing w:val="-81"/>
        </w:rPr>
      </w:r>
      <w:r>
        <w:rPr/>
        <w:t>相关税费作为换入长期股权投资的初始投资成本。</w:t>
      </w:r>
    </w:p>
    <w:p>
      <w:pPr>
        <w:pStyle w:val="Heading4"/>
        <w:spacing w:line="240" w:lineRule="auto"/>
        <w:ind w:left="574" w:right="1022"/>
        <w:jc w:val="left"/>
      </w:pPr>
      <w:r>
        <w:rPr/>
        <w:t>通过债务重组取得的长期股权投资，其初始投资成本按照公允价值为基础确定。</w:t>
      </w:r>
    </w:p>
    <w:p>
      <w:pPr>
        <w:pStyle w:val="Heading3"/>
        <w:spacing w:line="240" w:lineRule="auto" w:before="37"/>
        <w:ind w:left="566" w:right="1022"/>
        <w:jc w:val="left"/>
        <w:rPr>
          <w:b w:val="0"/>
          <w:bCs w:val="0"/>
        </w:rPr>
      </w:pPr>
      <w:r>
        <w:rPr>
          <w:rFonts w:ascii="Times New Roman" w:hAnsi="Times New Roman" w:cs="Times New Roman" w:eastAsia="Times New Roman" w:hint="default"/>
        </w:rPr>
        <w:t>2</w:t>
      </w:r>
      <w:r>
        <w:rPr/>
        <w:t>、后续计量及损益确认</w:t>
      </w:r>
      <w:r>
        <w:rPr>
          <w:b w:val="0"/>
          <w:bCs w:val="0"/>
        </w:rPr>
      </w:r>
    </w:p>
    <w:p>
      <w:pPr>
        <w:pStyle w:val="Heading4"/>
        <w:spacing w:line="256" w:lineRule="auto" w:before="21"/>
        <w:ind w:left="574" w:right="1022"/>
        <w:jc w:val="left"/>
      </w:pPr>
      <w:r>
        <w:rPr/>
        <w:t>（</w:t>
      </w:r>
      <w:r>
        <w:rPr>
          <w:rFonts w:ascii="Times New Roman" w:hAnsi="Times New Roman" w:cs="Times New Roman" w:eastAsia="Times New Roman" w:hint="default"/>
        </w:rPr>
        <w:t>1</w:t>
      </w:r>
      <w:r>
        <w:rPr/>
        <w:t>）成本法 </w:t>
      </w:r>
      <w:r>
        <w:rPr>
          <w:spacing w:val="-1"/>
        </w:rPr>
        <w:t>本公司能够对被投资单位实施控制的长期股权投资采用成本法核算，并按照初始投资成本计价，追加</w:t>
      </w:r>
    </w:p>
    <w:p>
      <w:pPr>
        <w:pStyle w:val="Heading4"/>
        <w:spacing w:line="273" w:lineRule="auto" w:before="22"/>
        <w:ind w:left="574" w:right="1022" w:hanging="420"/>
        <w:jc w:val="left"/>
      </w:pPr>
      <w:r>
        <w:rPr/>
        <w:t>或收回投资调整长期股权投资的成本。 </w:t>
      </w:r>
      <w:r>
        <w:rPr>
          <w:spacing w:val="-1"/>
        </w:rPr>
        <w:t>除取得投资时实际支付的价款或对价中包含的已宣告但尚未发放的现金股利或利润外，本公司按照享</w:t>
      </w:r>
    </w:p>
    <w:p>
      <w:pPr>
        <w:pStyle w:val="Heading4"/>
        <w:spacing w:line="240" w:lineRule="auto"/>
        <w:ind w:right="1022"/>
        <w:jc w:val="left"/>
      </w:pPr>
      <w:r>
        <w:rPr/>
        <w:t>有被投资单位宣告分派的现金股利或利润确认为当期投资收益。</w:t>
      </w:r>
    </w:p>
    <w:p>
      <w:pPr>
        <w:pStyle w:val="Heading4"/>
        <w:spacing w:line="256" w:lineRule="auto" w:before="37"/>
        <w:ind w:left="574" w:right="1092"/>
        <w:jc w:val="left"/>
      </w:pPr>
      <w:r>
        <w:rPr/>
        <w:t>（</w:t>
      </w:r>
      <w:r>
        <w:rPr>
          <w:rFonts w:ascii="Times New Roman" w:hAnsi="Times New Roman" w:cs="Times New Roman" w:eastAsia="Times New Roman" w:hint="default"/>
        </w:rPr>
        <w:t>2</w:t>
      </w:r>
      <w:r>
        <w:rPr/>
        <w:t>）权益法 本公司对联营企业和合营企业的长期股权投资采用权益法核算；对于其中一部分通过风险投资机构、</w:t>
      </w:r>
    </w:p>
    <w:p>
      <w:pPr>
        <w:pStyle w:val="Heading4"/>
        <w:spacing w:line="273" w:lineRule="auto" w:before="22"/>
        <w:ind w:right="1131"/>
        <w:jc w:val="both"/>
      </w:pPr>
      <w:r>
        <w:rPr>
          <w:spacing w:val="-1"/>
        </w:rPr>
        <w:t>共同基金、信托公司或包括投连险基金在内的类似主体间接持有的联营企业的权益性投资，采用公允价值</w:t>
      </w:r>
      <w:r>
        <w:rPr>
          <w:spacing w:val="-81"/>
        </w:rPr>
        <w:t> </w:t>
      </w:r>
      <w:r>
        <w:rPr>
          <w:spacing w:val="-81"/>
        </w:rPr>
      </w:r>
      <w:r>
        <w:rPr/>
        <w:t>计量且其变动计入损益。</w:t>
      </w:r>
    </w:p>
    <w:p>
      <w:pPr>
        <w:pStyle w:val="Heading4"/>
        <w:spacing w:line="273" w:lineRule="auto" w:before="8"/>
        <w:ind w:right="1130" w:firstLine="420"/>
        <w:jc w:val="both"/>
      </w:pPr>
      <w:r>
        <w:rPr>
          <w:spacing w:val="-1"/>
        </w:rPr>
        <w:t>长期股权投资的初始投资成本大于投资时应享有被投资单位可辨认净资产公允价值份额的差额，不调</w:t>
      </w:r>
      <w:r>
        <w:rPr/>
        <w:t> </w:t>
      </w:r>
      <w:r>
        <w:rPr>
          <w:spacing w:val="-1"/>
        </w:rPr>
        <w:t>整长期股权投资的初始投资成本；初始投资成本小于投资时应享有被投资单位可辨认净资产公允价值份额</w:t>
      </w:r>
      <w:r>
        <w:rPr>
          <w:spacing w:val="-80"/>
        </w:rPr>
        <w:t> </w:t>
      </w:r>
      <w:r>
        <w:rPr>
          <w:spacing w:val="-80"/>
        </w:rPr>
      </w:r>
      <w:r>
        <w:rPr/>
        <w:t>的差额，计入当期损益。</w:t>
      </w:r>
    </w:p>
    <w:p>
      <w:pPr>
        <w:pStyle w:val="Heading4"/>
        <w:spacing w:line="273" w:lineRule="auto"/>
        <w:ind w:right="1131" w:firstLine="420"/>
        <w:jc w:val="both"/>
      </w:pPr>
      <w:r>
        <w:rPr>
          <w:spacing w:val="3"/>
        </w:rPr>
        <w:t>本公司取得长期股权投资后，按照应享有或应分担的被投资单位实现的净损益和其他综合收益的份</w:t>
      </w:r>
      <w:r>
        <w:rPr/>
        <w:t> </w:t>
      </w:r>
      <w:r>
        <w:rPr>
          <w:spacing w:val="-1"/>
        </w:rPr>
        <w:t>额，分别确认投资收益和其他综合收益，同时调整长期股权投资的账面价值；并按照被投资单位宣告分派</w:t>
      </w:r>
      <w:r>
        <w:rPr>
          <w:spacing w:val="-83"/>
        </w:rPr>
        <w:t> </w:t>
      </w:r>
      <w:r>
        <w:rPr>
          <w:spacing w:val="-83"/>
        </w:rPr>
      </w:r>
      <w:r>
        <w:rPr>
          <w:spacing w:val="-1"/>
        </w:rPr>
        <w:t>的利润或现金股利计算应享有的部分，相应减少长期股权投资的账面价值；对于被投资单位除净损益、其</w:t>
      </w:r>
      <w:r>
        <w:rPr>
          <w:spacing w:val="-83"/>
        </w:rPr>
        <w:t> </w:t>
      </w:r>
      <w:r>
        <w:rPr>
          <w:spacing w:val="-83"/>
        </w:rPr>
      </w:r>
      <w:r>
        <w:rPr/>
        <w:t>他综合收益和利润分配以外所有者权益的其他变动，调整长期股权投资的账面价值并计入所有者权益。</w:t>
      </w:r>
    </w:p>
    <w:p>
      <w:pPr>
        <w:pStyle w:val="Heading4"/>
        <w:spacing w:line="273" w:lineRule="auto"/>
        <w:ind w:right="1131" w:firstLine="420"/>
        <w:jc w:val="both"/>
      </w:pPr>
      <w:r>
        <w:rPr>
          <w:spacing w:val="-1"/>
        </w:rPr>
        <w:t>本公司在确认应享有被投资单位净损益的份额时，以取得投资时被投资单位各项可辨认资产等的公允</w:t>
      </w:r>
      <w:r>
        <w:rPr/>
        <w:t> </w:t>
      </w:r>
      <w:r>
        <w:rPr>
          <w:spacing w:val="-1"/>
        </w:rPr>
        <w:t>价值为基础，对被投资单位的净利润进行调整后确认。本公司与联营企业、合营企业之间发生的未实现内</w:t>
      </w:r>
      <w:r>
        <w:rPr>
          <w:spacing w:val="-83"/>
        </w:rPr>
        <w:t> </w:t>
      </w:r>
      <w:r>
        <w:rPr>
          <w:spacing w:val="-83"/>
        </w:rPr>
      </w:r>
      <w:r>
        <w:rPr/>
        <w:t>部交易损益按照应享有的比例计算归属于本公司的部分予以抵销，在此基础上确认投资损益。</w:t>
      </w:r>
    </w:p>
    <w:p>
      <w:pPr>
        <w:pStyle w:val="Heading4"/>
        <w:spacing w:line="273" w:lineRule="auto"/>
        <w:ind w:right="1131" w:firstLine="420"/>
        <w:jc w:val="both"/>
      </w:pPr>
      <w:r>
        <w:rPr>
          <w:spacing w:val="-1"/>
        </w:rPr>
        <w:t>本公司确认应分担被投资单位发生的亏损时，按照以下顺序进行处理：首先，冲减长期股权投资的账</w:t>
      </w:r>
      <w:r>
        <w:rPr/>
        <w:t> </w:t>
      </w:r>
      <w:r>
        <w:rPr>
          <w:spacing w:val="-1"/>
        </w:rPr>
        <w:t>面价值。其次，长期股权投资的账面价值不足以冲减的，以其他实质上构成对被投资单位净投资的长期权</w:t>
      </w:r>
      <w:r>
        <w:rPr>
          <w:spacing w:val="-83"/>
        </w:rPr>
        <w:t> </w:t>
      </w:r>
      <w:r>
        <w:rPr>
          <w:spacing w:val="-83"/>
        </w:rPr>
      </w:r>
      <w:r>
        <w:rPr>
          <w:spacing w:val="-1"/>
        </w:rPr>
        <w:t>益账面价值为限继续确认投资损失，冲减长期应收项目等的账面价值。最后，经过上述处理，按照投资合</w:t>
      </w:r>
      <w:r>
        <w:rPr>
          <w:spacing w:val="-86"/>
        </w:rPr>
        <w:t> </w:t>
      </w:r>
      <w:r>
        <w:rPr>
          <w:spacing w:val="-86"/>
        </w:rPr>
      </w:r>
      <w:r>
        <w:rPr/>
        <w:t>同或协议约定企业仍承担额外义务的，按预计承担的义务确认预计负债，计入当期投资损失。</w:t>
      </w:r>
    </w:p>
    <w:p>
      <w:pPr>
        <w:pStyle w:val="Heading4"/>
        <w:spacing w:line="273" w:lineRule="auto"/>
        <w:ind w:right="1131" w:firstLine="420"/>
        <w:jc w:val="both"/>
      </w:pPr>
      <w:r>
        <w:rPr>
          <w:spacing w:val="-1"/>
        </w:rPr>
        <w:t>被投资单位以后期间实现盈利的，公司在扣除未确认的亏损分担额后，按与上述相反的顺序处理，减</w:t>
      </w:r>
      <w:r>
        <w:rPr/>
        <w:t> </w:t>
      </w:r>
      <w:r>
        <w:rPr>
          <w:spacing w:val="-1"/>
        </w:rPr>
        <w:t>记已确认预计负债的账面余额、恢复其他实质上构成对被投资单位净投资的长期权益及长期股权投资的账</w:t>
      </w:r>
      <w:r>
        <w:rPr>
          <w:spacing w:val="-81"/>
        </w:rPr>
        <w:t> </w:t>
      </w:r>
      <w:r>
        <w:rPr>
          <w:spacing w:val="-81"/>
        </w:rPr>
      </w:r>
      <w:r>
        <w:rPr/>
        <w:t>面价值后，恢复确认投资收益。</w:t>
      </w:r>
    </w:p>
    <w:p>
      <w:pPr>
        <w:pStyle w:val="Heading3"/>
        <w:spacing w:line="240" w:lineRule="auto" w:before="7"/>
        <w:ind w:left="566" w:right="1022"/>
        <w:jc w:val="left"/>
        <w:rPr>
          <w:b w:val="0"/>
          <w:bCs w:val="0"/>
        </w:rPr>
      </w:pPr>
      <w:r>
        <w:rPr>
          <w:rFonts w:ascii="Times New Roman" w:hAnsi="Times New Roman" w:cs="Times New Roman" w:eastAsia="Times New Roman" w:hint="default"/>
        </w:rPr>
        <w:t>3</w:t>
      </w:r>
      <w:r>
        <w:rPr/>
        <w:t>、长期股权投资核算方法的转换</w:t>
      </w:r>
      <w:r>
        <w:rPr>
          <w:b w:val="0"/>
          <w:bCs w:val="0"/>
        </w:rPr>
      </w:r>
    </w:p>
    <w:p>
      <w:pPr>
        <w:pStyle w:val="Heading4"/>
        <w:spacing w:line="256" w:lineRule="auto" w:before="21"/>
        <w:ind w:left="574" w:right="1022" w:hanging="105"/>
        <w:jc w:val="left"/>
      </w:pPr>
      <w:r>
        <w:rPr/>
        <w:t>（</w:t>
      </w:r>
      <w:r>
        <w:rPr>
          <w:rFonts w:ascii="Times New Roman" w:hAnsi="Times New Roman" w:cs="Times New Roman" w:eastAsia="Times New Roman" w:hint="default"/>
        </w:rPr>
        <w:t>1</w:t>
      </w:r>
      <w:r>
        <w:rPr/>
        <w:t>）公允价值计量转权益法核算 </w:t>
      </w:r>
      <w:r>
        <w:rPr>
          <w:spacing w:val="-1"/>
        </w:rPr>
        <w:t>本公司原持有的对被投资单位不具有控制、共同控制或重大影响的按金融工具确认和计量准则进行会</w:t>
      </w:r>
    </w:p>
    <w:p>
      <w:pPr>
        <w:pStyle w:val="Heading4"/>
        <w:spacing w:line="273" w:lineRule="auto" w:before="22"/>
        <w:ind w:right="1131"/>
        <w:jc w:val="both"/>
      </w:pPr>
      <w:r>
        <w:rPr>
          <w:spacing w:val="3"/>
        </w:rPr>
        <w:t>计处理的权益性投资，因追加投资等原因能够对被投资单位施加重大影响或实施共同控制但不构成控制</w:t>
      </w:r>
      <w:r>
        <w:rPr>
          <w:spacing w:val="-82"/>
        </w:rPr>
        <w:t> </w:t>
      </w:r>
      <w:r>
        <w:rPr>
          <w:spacing w:val="-82"/>
        </w:rPr>
      </w:r>
      <w:r>
        <w:rPr>
          <w:spacing w:val="-1"/>
        </w:rPr>
        <w:t>的，按照《企业会计准则第</w:t>
      </w:r>
      <w:r>
        <w:rPr>
          <w:rFonts w:ascii="Times New Roman" w:hAnsi="Times New Roman" w:cs="Times New Roman" w:eastAsia="Times New Roman" w:hint="default"/>
          <w:spacing w:val="-1"/>
        </w:rPr>
        <w:t>22</w:t>
      </w:r>
      <w:r>
        <w:rPr>
          <w:spacing w:val="-1"/>
        </w:rPr>
        <w:t>号</w:t>
      </w:r>
      <w:r>
        <w:rPr>
          <w:rFonts w:ascii="Times New Roman" w:hAnsi="Times New Roman" w:cs="Times New Roman" w:eastAsia="Times New Roman" w:hint="default"/>
          <w:spacing w:val="-1"/>
        </w:rPr>
        <w:t>——</w:t>
      </w:r>
      <w:r>
        <w:rPr>
          <w:spacing w:val="-1"/>
        </w:rPr>
        <w:t>金融工具确认和计量》确定的原持有的股权投资的公允价值加上新增</w:t>
      </w:r>
    </w:p>
    <w:p>
      <w:pPr>
        <w:spacing w:after="0" w:line="273"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73" w:lineRule="auto" w:before="35"/>
        <w:ind w:left="574" w:right="1022" w:hanging="420"/>
        <w:jc w:val="left"/>
      </w:pPr>
      <w:r>
        <w:rPr/>
        <w:t>投资成本之和，作为改按权益法核算的初始投资成本。 </w:t>
      </w:r>
      <w:r>
        <w:rPr>
          <w:spacing w:val="-1"/>
        </w:rPr>
        <w:t>原持有的股权投资分类为可供出售金融资产的，其公允价值与账面价值之间的差额，以及原计入其他</w:t>
      </w:r>
    </w:p>
    <w:p>
      <w:pPr>
        <w:pStyle w:val="Heading4"/>
        <w:spacing w:line="273" w:lineRule="auto"/>
        <w:ind w:left="574" w:right="1022" w:hanging="420"/>
        <w:jc w:val="left"/>
      </w:pPr>
      <w:r>
        <w:rPr/>
        <w:t>综合收益的累计公允价值变动转入改按权益法核算的当期损益。 </w:t>
      </w:r>
      <w:r>
        <w:rPr>
          <w:spacing w:val="3"/>
        </w:rPr>
        <w:t>按权益法核算的初始投资成本小于按照追加投资后全新的持股比例计算确定的应享有被投资单位在</w:t>
      </w:r>
    </w:p>
    <w:p>
      <w:pPr>
        <w:pStyle w:val="Heading4"/>
        <w:spacing w:line="273" w:lineRule="auto" w:before="8"/>
        <w:ind w:right="1131"/>
        <w:jc w:val="both"/>
      </w:pPr>
      <w:r>
        <w:rPr>
          <w:spacing w:val="-1"/>
        </w:rPr>
        <w:t>追加投资日可辨认净资产公允价值份额之间的差额，调整长期股权投资的账面价值，并计入当期营业外收</w:t>
      </w:r>
      <w:r>
        <w:rPr>
          <w:spacing w:val="-81"/>
        </w:rPr>
        <w:t> </w:t>
      </w:r>
      <w:r>
        <w:rPr>
          <w:spacing w:val="-81"/>
        </w:rPr>
      </w:r>
      <w:r>
        <w:rPr/>
        <w:t>入。</w:t>
      </w:r>
    </w:p>
    <w:p>
      <w:pPr>
        <w:pStyle w:val="Heading4"/>
        <w:spacing w:line="256" w:lineRule="auto"/>
        <w:ind w:left="574" w:right="1022" w:hanging="105"/>
        <w:jc w:val="left"/>
      </w:pPr>
      <w:r>
        <w:rPr/>
        <w:t>（</w:t>
      </w:r>
      <w:r>
        <w:rPr>
          <w:rFonts w:ascii="Times New Roman" w:hAnsi="Times New Roman" w:cs="Times New Roman" w:eastAsia="Times New Roman" w:hint="default"/>
        </w:rPr>
        <w:t>2</w:t>
      </w:r>
      <w:r>
        <w:rPr/>
        <w:t>）公允价值计量或权益法核算转成本法核算 </w:t>
      </w:r>
      <w:r>
        <w:rPr>
          <w:spacing w:val="-1"/>
        </w:rPr>
        <w:t>本公司原持有的对被投资单位不具有控制、共同控制或重大影响的按金融工具确认和计量准则进行会</w:t>
      </w:r>
    </w:p>
    <w:p>
      <w:pPr>
        <w:pStyle w:val="Heading4"/>
        <w:spacing w:line="273" w:lineRule="auto" w:before="22"/>
        <w:ind w:right="1131"/>
        <w:jc w:val="both"/>
      </w:pPr>
      <w:r>
        <w:rPr>
          <w:spacing w:val="-1"/>
        </w:rPr>
        <w:t>计处理的权益性投资，或原持有对联营企业、合营企业的长期股权投资，因追加投资等原因能够对非同一</w:t>
      </w:r>
      <w:r>
        <w:rPr>
          <w:spacing w:val="-83"/>
        </w:rPr>
        <w:t> </w:t>
      </w:r>
      <w:r>
        <w:rPr>
          <w:spacing w:val="-83"/>
        </w:rPr>
      </w:r>
      <w:r>
        <w:rPr>
          <w:spacing w:val="-1"/>
        </w:rPr>
        <w:t>控制下的被投资单位实施控制的，在编制个别财务报表时，按照原持有的股权投资账面价值加上新增投资</w:t>
      </w:r>
      <w:r>
        <w:rPr>
          <w:spacing w:val="-81"/>
        </w:rPr>
        <w:t> </w:t>
      </w:r>
      <w:r>
        <w:rPr>
          <w:spacing w:val="-81"/>
        </w:rPr>
      </w:r>
      <w:r>
        <w:rPr/>
        <w:t>成本之和，作为改按成本法核算的初始投资成本。</w:t>
      </w:r>
    </w:p>
    <w:p>
      <w:pPr>
        <w:pStyle w:val="Heading4"/>
        <w:spacing w:line="273" w:lineRule="auto"/>
        <w:ind w:right="1132" w:firstLine="420"/>
        <w:jc w:val="both"/>
      </w:pPr>
      <w:r>
        <w:rPr>
          <w:spacing w:val="-1"/>
        </w:rPr>
        <w:t>购买日之前持有的股权投资因采用权益法核算而确认的其他综合收益，在处置该项投资时采用与被投</w:t>
      </w:r>
      <w:r>
        <w:rPr/>
        <w:t> 资单位直接处置相关资产或负债相同的基础进行会计处理。</w:t>
      </w:r>
    </w:p>
    <w:p>
      <w:pPr>
        <w:pStyle w:val="Heading4"/>
        <w:spacing w:line="256" w:lineRule="auto"/>
        <w:ind w:right="1131" w:firstLine="420"/>
        <w:jc w:val="both"/>
      </w:pPr>
      <w:r>
        <w:rPr>
          <w:spacing w:val="-1"/>
        </w:rPr>
        <w:t>购买日之前持有的股权投资按照《企业会计准则第</w:t>
      </w:r>
      <w:r>
        <w:rPr>
          <w:rFonts w:ascii="Times New Roman" w:hAnsi="Times New Roman" w:cs="Times New Roman" w:eastAsia="Times New Roman" w:hint="default"/>
          <w:spacing w:val="-1"/>
        </w:rPr>
        <w:t>22</w:t>
      </w:r>
      <w:r>
        <w:rPr>
          <w:spacing w:val="-1"/>
        </w:rPr>
        <w:t>号</w:t>
      </w:r>
      <w:r>
        <w:rPr>
          <w:rFonts w:ascii="Times New Roman" w:hAnsi="Times New Roman" w:cs="Times New Roman" w:eastAsia="Times New Roman" w:hint="default"/>
          <w:spacing w:val="-1"/>
        </w:rPr>
        <w:t>——</w:t>
      </w:r>
      <w:r>
        <w:rPr>
          <w:spacing w:val="-1"/>
        </w:rPr>
        <w:t>金融工具确认和计量》的有关规定进行会</w:t>
      </w:r>
      <w:r>
        <w:rPr/>
        <w:t> 计处理的，原计入其他综合收益的累计公允价值变动在改按成本法核算时转入当期损益。</w:t>
      </w:r>
    </w:p>
    <w:p>
      <w:pPr>
        <w:pStyle w:val="Heading4"/>
        <w:spacing w:line="256" w:lineRule="auto" w:before="22"/>
        <w:ind w:left="574" w:right="1022" w:hanging="105"/>
        <w:jc w:val="left"/>
      </w:pPr>
      <w:r>
        <w:rPr/>
        <w:t>（</w:t>
      </w:r>
      <w:r>
        <w:rPr>
          <w:rFonts w:ascii="Times New Roman" w:hAnsi="Times New Roman" w:cs="Times New Roman" w:eastAsia="Times New Roman" w:hint="default"/>
        </w:rPr>
        <w:t>3</w:t>
      </w:r>
      <w:r>
        <w:rPr/>
        <w:t>）权益法核算转公允价值计量 </w:t>
      </w:r>
      <w:r>
        <w:rPr>
          <w:spacing w:val="-1"/>
        </w:rPr>
        <w:t>本公司因处置部分股权投资等原因丧失了对被投资单位的共同控制或重大影响的，处置后的剩余股权</w:t>
      </w:r>
    </w:p>
    <w:p>
      <w:pPr>
        <w:pStyle w:val="Heading4"/>
        <w:spacing w:line="256" w:lineRule="auto" w:before="22"/>
        <w:ind w:right="1132"/>
        <w:jc w:val="both"/>
      </w:pPr>
      <w:r>
        <w:rPr>
          <w:spacing w:val="-1"/>
        </w:rPr>
        <w:t>改按《企业会计准则第</w:t>
      </w:r>
      <w:r>
        <w:rPr>
          <w:rFonts w:ascii="Times New Roman" w:hAnsi="Times New Roman" w:cs="Times New Roman" w:eastAsia="Times New Roman" w:hint="default"/>
          <w:spacing w:val="-1"/>
        </w:rPr>
        <w:t>22</w:t>
      </w:r>
      <w:r>
        <w:rPr>
          <w:spacing w:val="-1"/>
        </w:rPr>
        <w:t>号</w:t>
      </w:r>
      <w:r>
        <w:rPr>
          <w:rFonts w:ascii="Times New Roman" w:hAnsi="Times New Roman" w:cs="Times New Roman" w:eastAsia="Times New Roman" w:hint="default"/>
          <w:spacing w:val="-1"/>
        </w:rPr>
        <w:t>——</w:t>
      </w:r>
      <w:r>
        <w:rPr>
          <w:spacing w:val="-1"/>
        </w:rPr>
        <w:t>金融工具确认和计量》核算，其在丧失共同控制或重大影响之日的公允价</w:t>
      </w:r>
      <w:r>
        <w:rPr>
          <w:spacing w:val="-85"/>
        </w:rPr>
        <w:t> </w:t>
      </w:r>
      <w:r>
        <w:rPr>
          <w:spacing w:val="-85"/>
        </w:rPr>
      </w:r>
      <w:r>
        <w:rPr/>
        <w:t>值与账面价值之间的差额计入当期损益。</w:t>
      </w:r>
    </w:p>
    <w:p>
      <w:pPr>
        <w:pStyle w:val="Heading4"/>
        <w:spacing w:line="273" w:lineRule="auto" w:before="22"/>
        <w:ind w:right="1132" w:firstLine="420"/>
        <w:jc w:val="both"/>
      </w:pPr>
      <w:r>
        <w:rPr>
          <w:spacing w:val="-1"/>
        </w:rPr>
        <w:t>原股权投资因采用权益法核算而确认的其他综合收益，在终止采用权益法核算时采用与被投资单位直</w:t>
      </w:r>
      <w:r>
        <w:rPr/>
        <w:t> 接处置相关资产或负债相同的基础进行会计处理。</w:t>
      </w:r>
    </w:p>
    <w:p>
      <w:pPr>
        <w:pStyle w:val="Heading4"/>
        <w:spacing w:line="256" w:lineRule="auto"/>
        <w:ind w:left="574" w:right="1022" w:hanging="105"/>
        <w:jc w:val="left"/>
      </w:pPr>
      <w:r>
        <w:rPr/>
        <w:t>（</w:t>
      </w:r>
      <w:r>
        <w:rPr>
          <w:rFonts w:ascii="Times New Roman" w:hAnsi="Times New Roman" w:cs="Times New Roman" w:eastAsia="Times New Roman" w:hint="default"/>
        </w:rPr>
        <w:t>4</w:t>
      </w:r>
      <w:r>
        <w:rPr/>
        <w:t>）成本法转权益法 </w:t>
      </w:r>
      <w:r>
        <w:rPr>
          <w:spacing w:val="-1"/>
        </w:rPr>
        <w:t>本公司因处置部分权益性投资等原因丧失了对被投资单位的控制的，在编制个别财务报表时，处置后</w:t>
      </w:r>
    </w:p>
    <w:p>
      <w:pPr>
        <w:pStyle w:val="Heading4"/>
        <w:spacing w:line="273" w:lineRule="auto" w:before="22"/>
        <w:ind w:right="1131"/>
        <w:jc w:val="both"/>
      </w:pPr>
      <w:r>
        <w:rPr>
          <w:spacing w:val="-1"/>
        </w:rPr>
        <w:t>的剩余股权能够对被投资单位实施共同控制或施加重大影响的，改按权益法核算，并对该剩余股权视同自</w:t>
      </w:r>
      <w:r>
        <w:rPr>
          <w:spacing w:val="-81"/>
        </w:rPr>
        <w:t> </w:t>
      </w:r>
      <w:r>
        <w:rPr>
          <w:spacing w:val="-81"/>
        </w:rPr>
      </w:r>
      <w:r>
        <w:rPr/>
        <w:t>取得时即采用权益法核算进行调整。</w:t>
      </w:r>
    </w:p>
    <w:p>
      <w:pPr>
        <w:pStyle w:val="Heading4"/>
        <w:spacing w:line="256" w:lineRule="auto"/>
        <w:ind w:left="574" w:right="1022" w:hanging="105"/>
        <w:jc w:val="left"/>
      </w:pPr>
      <w:r>
        <w:rPr/>
        <w:t>（</w:t>
      </w:r>
      <w:r>
        <w:rPr>
          <w:rFonts w:ascii="Times New Roman" w:hAnsi="Times New Roman" w:cs="Times New Roman" w:eastAsia="Times New Roman" w:hint="default"/>
        </w:rPr>
        <w:t>5</w:t>
      </w:r>
      <w:r>
        <w:rPr/>
        <w:t>）成本法转公允价值计量 </w:t>
      </w:r>
      <w:r>
        <w:rPr>
          <w:spacing w:val="-1"/>
        </w:rPr>
        <w:t>本公司因处置部分权益性投资等原因丧失了对被投资单位的控制的，在编制个别财务报表时，处置后</w:t>
      </w:r>
    </w:p>
    <w:p>
      <w:pPr>
        <w:pStyle w:val="Heading4"/>
        <w:spacing w:line="256" w:lineRule="auto" w:before="22"/>
        <w:ind w:right="1023"/>
        <w:jc w:val="left"/>
      </w:pPr>
      <w:r>
        <w:rPr/>
        <w:t>的剩余股权不能对被投资单位实施共同控制或施加重大影响的，改按《企业会计准则第</w:t>
      </w:r>
      <w:r>
        <w:rPr>
          <w:rFonts w:ascii="Times New Roman" w:hAnsi="Times New Roman" w:cs="Times New Roman" w:eastAsia="Times New Roman" w:hint="default"/>
        </w:rPr>
        <w:t>22</w:t>
      </w:r>
      <w:r>
        <w:rPr/>
        <w:t>号</w:t>
      </w:r>
      <w:r>
        <w:rPr>
          <w:rFonts w:ascii="Times New Roman" w:hAnsi="Times New Roman" w:cs="Times New Roman" w:eastAsia="Times New Roman" w:hint="default"/>
        </w:rPr>
        <w:t>——</w:t>
      </w:r>
      <w:r>
        <w:rPr/>
        <w:t>金融工具 </w:t>
      </w:r>
      <w:r>
        <w:rPr>
          <w:spacing w:val="-3"/>
        </w:rPr>
        <w:t>确认和计量》的有关规定进行会计处理，其在丧失控制之日的公允价值与账面价值间的差额计入当期损益。</w:t>
      </w:r>
    </w:p>
    <w:p>
      <w:pPr>
        <w:spacing w:line="256" w:lineRule="auto" w:before="22"/>
        <w:ind w:left="574" w:right="1022" w:hanging="8"/>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、长期股权投资的处置</w:t>
      </w:r>
      <w:r>
        <w:rPr>
          <w:rFonts w:ascii="宋体" w:hAnsi="宋体" w:cs="宋体" w:eastAsia="宋体" w:hint="default"/>
          <w:b/>
          <w:bCs/>
          <w:w w:val="99"/>
          <w:sz w:val="21"/>
          <w:szCs w:val="21"/>
        </w:rPr>
        <w:t> </w:t>
      </w:r>
      <w:r>
        <w:rPr>
          <w:rFonts w:ascii="宋体" w:hAnsi="宋体" w:cs="宋体" w:eastAsia="宋体" w:hint="default"/>
          <w:spacing w:val="-1"/>
          <w:sz w:val="21"/>
          <w:szCs w:val="21"/>
        </w:rPr>
        <w:t>处置长期股权投资，其账面价值与实际取得价款之间的差额，应当计入当期损益。采用权益法核算的</w:t>
      </w:r>
    </w:p>
    <w:p>
      <w:pPr>
        <w:pStyle w:val="Heading4"/>
        <w:spacing w:line="273" w:lineRule="auto" w:before="22"/>
        <w:ind w:right="1131"/>
        <w:jc w:val="both"/>
      </w:pPr>
      <w:r>
        <w:rPr>
          <w:spacing w:val="-1"/>
        </w:rPr>
        <w:t>长期股权投资，在处置该项投资时，采用与被投资单位直接处置相关资产或负债相同的基础，按相应比例</w:t>
      </w:r>
      <w:r>
        <w:rPr>
          <w:spacing w:val="-83"/>
        </w:rPr>
        <w:t> </w:t>
      </w:r>
      <w:r>
        <w:rPr>
          <w:spacing w:val="-83"/>
        </w:rPr>
      </w:r>
      <w:r>
        <w:rPr/>
        <w:t>对原计入其他综合收益的部分进行会计处理。</w:t>
      </w:r>
    </w:p>
    <w:p>
      <w:pPr>
        <w:pStyle w:val="Heading4"/>
        <w:spacing w:line="273" w:lineRule="auto"/>
        <w:ind w:right="1131" w:firstLine="420"/>
        <w:jc w:val="both"/>
      </w:pPr>
      <w:r>
        <w:rPr>
          <w:spacing w:val="-1"/>
        </w:rPr>
        <w:t>处置对子公司股权投资的各项交易的条款、条件以及经济影响符合以下一种或多种情况，将多次交易</w:t>
      </w:r>
      <w:r>
        <w:rPr/>
        <w:t> 事项作为一揽子交易进行会计处理：</w:t>
      </w:r>
    </w:p>
    <w:p>
      <w:pPr>
        <w:pStyle w:val="Heading4"/>
        <w:spacing w:line="240" w:lineRule="auto"/>
        <w:ind w:left="574" w:right="1022"/>
        <w:jc w:val="left"/>
      </w:pPr>
      <w:r>
        <w:rPr/>
        <w:t>（</w:t>
      </w:r>
      <w:r>
        <w:rPr>
          <w:rFonts w:ascii="Times New Roman" w:hAnsi="Times New Roman" w:cs="Times New Roman" w:eastAsia="Times New Roman" w:hint="default"/>
        </w:rPr>
        <w:t>1</w:t>
      </w:r>
      <w:r>
        <w:rPr/>
        <w:t>）这些交易是同时或者在考虑了彼此影响的情况下订立的；</w:t>
      </w:r>
    </w:p>
    <w:p>
      <w:pPr>
        <w:pStyle w:val="Heading4"/>
        <w:spacing w:line="240" w:lineRule="auto" w:before="21"/>
        <w:ind w:left="490" w:right="1022"/>
        <w:jc w:val="left"/>
      </w:pPr>
      <w:r>
        <w:rPr/>
        <w:t>（</w:t>
      </w:r>
      <w:r>
        <w:rPr>
          <w:rFonts w:ascii="Times New Roman" w:hAnsi="Times New Roman" w:cs="Times New Roman" w:eastAsia="Times New Roman" w:hint="default"/>
        </w:rPr>
        <w:t>2</w:t>
      </w:r>
      <w:r>
        <w:rPr/>
        <w:t>）这些交易整体才能达成一项完整的商业结果；</w:t>
      </w:r>
    </w:p>
    <w:p>
      <w:pPr>
        <w:pStyle w:val="Heading4"/>
        <w:spacing w:line="240" w:lineRule="auto" w:before="21"/>
        <w:ind w:left="490" w:right="1022"/>
        <w:jc w:val="left"/>
      </w:pPr>
      <w:r>
        <w:rPr/>
        <w:t>（</w:t>
      </w:r>
      <w:r>
        <w:rPr>
          <w:rFonts w:ascii="Times New Roman" w:hAnsi="Times New Roman" w:cs="Times New Roman" w:eastAsia="Times New Roman" w:hint="default"/>
        </w:rPr>
        <w:t>3</w:t>
      </w:r>
      <w:r>
        <w:rPr/>
        <w:t>）一项交易的发生取决于其他至少一项交易的发生；</w:t>
      </w:r>
    </w:p>
    <w:p>
      <w:pPr>
        <w:pStyle w:val="Heading4"/>
        <w:spacing w:line="256" w:lineRule="auto" w:before="21"/>
        <w:ind w:left="574" w:right="1022" w:hanging="84"/>
        <w:jc w:val="left"/>
      </w:pPr>
      <w:r>
        <w:rPr/>
        <w:t>（</w:t>
      </w:r>
      <w:r>
        <w:rPr>
          <w:rFonts w:ascii="Times New Roman" w:hAnsi="Times New Roman" w:cs="Times New Roman" w:eastAsia="Times New Roman" w:hint="default"/>
        </w:rPr>
        <w:t>4</w:t>
      </w:r>
      <w:r>
        <w:rPr/>
        <w:t>）一项交易单独看是不经济的，但是和其他交易一并考虑时是经济的。 </w:t>
      </w:r>
      <w:r>
        <w:rPr>
          <w:spacing w:val="-1"/>
        </w:rPr>
        <w:t>因处置部分股权投资或其他原因丧失了对原有子公司控制权的，不属于一揽子交易的，区分个别财务</w:t>
      </w:r>
    </w:p>
    <w:p>
      <w:pPr>
        <w:pStyle w:val="Heading4"/>
        <w:spacing w:line="240" w:lineRule="auto" w:before="23"/>
        <w:ind w:right="1022"/>
        <w:jc w:val="left"/>
      </w:pPr>
      <w:r>
        <w:rPr/>
        <w:t>报表和合并财务报表进行相关会计处理：</w:t>
      </w:r>
    </w:p>
    <w:p>
      <w:pPr>
        <w:pStyle w:val="Heading4"/>
        <w:spacing w:line="264" w:lineRule="auto" w:before="37"/>
        <w:ind w:right="1131" w:firstLine="420"/>
        <w:jc w:val="both"/>
      </w:pPr>
      <w:r>
        <w:rPr/>
        <w:t>（</w:t>
      </w:r>
      <w:r>
        <w:rPr>
          <w:rFonts w:ascii="Times New Roman" w:hAnsi="Times New Roman" w:cs="Times New Roman" w:eastAsia="Times New Roman" w:hint="default"/>
        </w:rPr>
        <w:t>1</w:t>
      </w:r>
      <w:r>
        <w:rPr/>
        <w:t>）在个别财务报表中，对于处置的股权，其账面价值与实际取得价款之间的差额计入当期损益。 </w:t>
      </w:r>
      <w:r>
        <w:rPr>
          <w:spacing w:val="-1"/>
        </w:rPr>
        <w:t>处置后的剩余股权能够对被投资单位实施共同控制或施加重大影响的，改按权益法核算，并对该剩余股权</w:t>
      </w:r>
      <w:r>
        <w:rPr>
          <w:spacing w:val="-81"/>
        </w:rPr>
        <w:t> </w:t>
      </w:r>
      <w:r>
        <w:rPr>
          <w:spacing w:val="-81"/>
        </w:rPr>
      </w:r>
      <w:r>
        <w:rPr>
          <w:spacing w:val="-1"/>
        </w:rPr>
        <w:t>视同自取得时即采用权益法核算进行调整；处置后的剩余股权不能对被投资单位实施共同控制或施加重大</w:t>
      </w:r>
    </w:p>
    <w:p>
      <w:pPr>
        <w:spacing w:after="0" w:line="264"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56" w:lineRule="auto" w:before="35"/>
        <w:ind w:right="1022"/>
        <w:jc w:val="left"/>
      </w:pPr>
      <w:r>
        <w:rPr>
          <w:spacing w:val="-1"/>
        </w:rPr>
        <w:t>影响的，改按《企业会计准则第</w:t>
      </w:r>
      <w:r>
        <w:rPr>
          <w:rFonts w:ascii="Times New Roman" w:hAnsi="Times New Roman" w:cs="Times New Roman" w:eastAsia="Times New Roman" w:hint="default"/>
          <w:spacing w:val="-1"/>
        </w:rPr>
        <w:t>22</w:t>
      </w:r>
      <w:r>
        <w:rPr>
          <w:spacing w:val="-1"/>
        </w:rPr>
        <w:t>号</w:t>
      </w:r>
      <w:r>
        <w:rPr>
          <w:rFonts w:ascii="Times New Roman" w:hAnsi="Times New Roman" w:cs="Times New Roman" w:eastAsia="Times New Roman" w:hint="default"/>
          <w:spacing w:val="-1"/>
        </w:rPr>
        <w:t>——</w:t>
      </w:r>
      <w:r>
        <w:rPr>
          <w:spacing w:val="-1"/>
        </w:rPr>
        <w:t>金融工具确认和计量》的有关规定进行会计处理，其在丧失控制</w:t>
      </w:r>
      <w:r>
        <w:rPr>
          <w:spacing w:val="-86"/>
        </w:rPr>
        <w:t> </w:t>
      </w:r>
      <w:r>
        <w:rPr>
          <w:spacing w:val="-86"/>
        </w:rPr>
      </w:r>
      <w:r>
        <w:rPr/>
        <w:t>之日的公允价值与账面价值间的差额计入当期损益。</w:t>
      </w:r>
    </w:p>
    <w:p>
      <w:pPr>
        <w:pStyle w:val="Heading4"/>
        <w:spacing w:line="268" w:lineRule="auto" w:before="22"/>
        <w:ind w:right="1109" w:firstLine="420"/>
        <w:jc w:val="both"/>
      </w:pPr>
      <w:r>
        <w:rPr/>
        <w:t>（</w:t>
      </w:r>
      <w:r>
        <w:rPr>
          <w:rFonts w:ascii="Times New Roman" w:hAnsi="Times New Roman" w:cs="Times New Roman" w:eastAsia="Times New Roman" w:hint="default"/>
        </w:rPr>
        <w:t>2</w:t>
      </w:r>
      <w:r>
        <w:rPr/>
        <w:t>）在合并财务报表中，对于在丧失对子公司控制权以前的各项交易，处置价款与处置长期股权投 </w:t>
      </w:r>
      <w:r>
        <w:rPr>
          <w:spacing w:val="3"/>
        </w:rPr>
        <w:t>资相应对享有子公司自购买日或合并日开始持续计算的净资产份额之间的差额，调整资本公积（股本溢</w:t>
      </w:r>
      <w:r>
        <w:rPr>
          <w:spacing w:val="-82"/>
        </w:rPr>
        <w:t> </w:t>
      </w:r>
      <w:r>
        <w:rPr>
          <w:spacing w:val="-82"/>
        </w:rPr>
      </w:r>
      <w:r>
        <w:rPr>
          <w:spacing w:val="-1"/>
        </w:rPr>
        <w:t>价），资本公积不足冲减的，调整留存收益；在丧失对子公司控制权时，对于剩余股权，按照其在丧失控</w:t>
      </w:r>
      <w:r>
        <w:rPr>
          <w:spacing w:val="-83"/>
        </w:rPr>
        <w:t> </w:t>
      </w:r>
      <w:r>
        <w:rPr>
          <w:spacing w:val="-83"/>
        </w:rPr>
      </w:r>
      <w:r>
        <w:rPr>
          <w:spacing w:val="-1"/>
        </w:rPr>
        <w:t>制权日的公允价值进行重新计量。处置股权取得的对价与剩余股权公允价值之和，减去按原持股比例计算</w:t>
      </w:r>
      <w:r>
        <w:rPr>
          <w:spacing w:val="-81"/>
        </w:rPr>
        <w:t> </w:t>
      </w:r>
      <w:r>
        <w:rPr>
          <w:spacing w:val="-81"/>
        </w:rPr>
      </w:r>
      <w:r>
        <w:rPr/>
        <w:t>应享有原有子公司自购买日开始持续计算的净资产的份额之间的差额，计入丧失控制权当期的投资收益， 同时冲减商誉。与原有子公司股权投资相关的其他综合收益等，在丧失控制权时转为当期投资收益。</w:t>
      </w:r>
    </w:p>
    <w:p>
      <w:pPr>
        <w:pStyle w:val="Heading4"/>
        <w:spacing w:line="273" w:lineRule="auto" w:before="12"/>
        <w:ind w:right="1132" w:firstLine="420"/>
        <w:jc w:val="both"/>
      </w:pPr>
      <w:r>
        <w:rPr>
          <w:spacing w:val="-1"/>
        </w:rPr>
        <w:t>处置对子公司股权投资直至丧失控制权的各项交易属于一揽子交易的，将各项交易作为一项处置子公</w:t>
      </w:r>
      <w:r>
        <w:rPr/>
        <w:t> 司股权投资并丧失控制权的交易进行会计处理，区分个别财务报表和合并财务报表进行相关会计处理：</w:t>
      </w:r>
    </w:p>
    <w:p>
      <w:pPr>
        <w:pStyle w:val="Heading4"/>
        <w:spacing w:line="256" w:lineRule="auto"/>
        <w:ind w:right="1141" w:firstLine="420"/>
        <w:jc w:val="both"/>
      </w:pPr>
      <w:r>
        <w:rPr/>
        <w:t>（</w:t>
      </w:r>
      <w:r>
        <w:rPr>
          <w:rFonts w:ascii="Times New Roman" w:hAnsi="Times New Roman" w:cs="Times New Roman" w:eastAsia="Times New Roman" w:hint="default"/>
        </w:rPr>
        <w:t>1</w:t>
      </w:r>
      <w:r>
        <w:rPr/>
        <w:t>）在个别财务报表中，在丧失控制权之前每一次处置价款与处置的股权对应的长期股权投资账面 价值之间的差额，确认为其他综合收益，在丧失控制权时一并转入丧失控制权当期的损益。</w:t>
      </w:r>
    </w:p>
    <w:p>
      <w:pPr>
        <w:pStyle w:val="Heading4"/>
        <w:spacing w:line="256" w:lineRule="auto" w:before="22"/>
        <w:ind w:right="1138" w:firstLine="420"/>
        <w:jc w:val="both"/>
      </w:pPr>
      <w:r>
        <w:rPr/>
        <w:t>（</w:t>
      </w:r>
      <w:r>
        <w:rPr>
          <w:rFonts w:ascii="Times New Roman" w:hAnsi="Times New Roman" w:cs="Times New Roman" w:eastAsia="Times New Roman" w:hint="default"/>
        </w:rPr>
        <w:t>2</w:t>
      </w:r>
      <w:r>
        <w:rPr/>
        <w:t>）在合并财务报表中，在丧失控制权之前每一次处置价款与处置投资对应的享有该子公司净资产 份额的差额，确认为其他综合收益，在丧失控制权时一并转入丧失控制权当期的损益。</w:t>
      </w:r>
    </w:p>
    <w:p>
      <w:pPr>
        <w:spacing w:line="256" w:lineRule="auto" w:before="22"/>
        <w:ind w:left="574" w:right="1022" w:hanging="8"/>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、共同控制、重大影响的判断标准</w:t>
      </w:r>
      <w:r>
        <w:rPr>
          <w:rFonts w:ascii="宋体" w:hAnsi="宋体" w:cs="宋体" w:eastAsia="宋体" w:hint="default"/>
          <w:b/>
          <w:bCs/>
          <w:w w:val="99"/>
          <w:sz w:val="21"/>
          <w:szCs w:val="21"/>
        </w:rPr>
        <w:t> </w:t>
      </w:r>
      <w:r>
        <w:rPr>
          <w:rFonts w:ascii="宋体" w:hAnsi="宋体" w:cs="宋体" w:eastAsia="宋体" w:hint="default"/>
          <w:spacing w:val="-1"/>
          <w:sz w:val="21"/>
          <w:szCs w:val="21"/>
        </w:rPr>
        <w:t>如果本公司按照相关约定与其他参与方集体控制某项安排，并且对该安排回报具有重大影响的活动决</w:t>
      </w:r>
    </w:p>
    <w:p>
      <w:pPr>
        <w:pStyle w:val="Heading4"/>
        <w:spacing w:line="273" w:lineRule="auto" w:before="22"/>
        <w:ind w:right="1022"/>
        <w:jc w:val="left"/>
      </w:pPr>
      <w:r>
        <w:rPr>
          <w:spacing w:val="-1"/>
        </w:rPr>
        <w:t>策，需要经过分享控制权的参与方一致同意时才存在，则视为本公司与其他参与方共同控制某项安排，该</w:t>
      </w:r>
      <w:r>
        <w:rPr>
          <w:spacing w:val="-83"/>
        </w:rPr>
        <w:t> </w:t>
      </w:r>
      <w:r>
        <w:rPr>
          <w:spacing w:val="-83"/>
        </w:rPr>
      </w:r>
      <w:r>
        <w:rPr/>
        <w:t>安排即属于合营安排。</w:t>
      </w:r>
    </w:p>
    <w:p>
      <w:pPr>
        <w:pStyle w:val="Heading4"/>
        <w:spacing w:line="273" w:lineRule="auto"/>
        <w:ind w:right="1131" w:firstLine="420"/>
        <w:jc w:val="both"/>
      </w:pPr>
      <w:r>
        <w:rPr>
          <w:spacing w:val="-1"/>
        </w:rPr>
        <w:t>合营安排通过单独主体达成的，根据相关约定判断本公司对该单独主体的净资产享有权利时，将该单</w:t>
      </w:r>
      <w:r>
        <w:rPr/>
        <w:t> </w:t>
      </w:r>
      <w:r>
        <w:rPr>
          <w:spacing w:val="-1"/>
        </w:rPr>
        <w:t>独主体作为合营企业，采用权益法核算。若根据相关约定判断本公司并非对该单独主体的净资产享有权利</w:t>
      </w:r>
      <w:r>
        <w:rPr>
          <w:spacing w:val="-81"/>
        </w:rPr>
        <w:t> </w:t>
      </w:r>
      <w:r>
        <w:rPr>
          <w:spacing w:val="-81"/>
        </w:rPr>
      </w:r>
      <w:r>
        <w:rPr>
          <w:spacing w:val="-1"/>
        </w:rPr>
        <w:t>时，该单独主体作为共同经营，本公司确认与共同经营利益份额相关的项目，并按照相关企业会计准则的</w:t>
      </w:r>
      <w:r>
        <w:rPr>
          <w:spacing w:val="-83"/>
        </w:rPr>
        <w:t> </w:t>
      </w:r>
      <w:r>
        <w:rPr>
          <w:spacing w:val="-83"/>
        </w:rPr>
      </w:r>
      <w:r>
        <w:rPr/>
        <w:t>规定进行会计处理。</w:t>
      </w:r>
    </w:p>
    <w:p>
      <w:pPr>
        <w:pStyle w:val="Heading4"/>
        <w:spacing w:line="264" w:lineRule="auto" w:before="8"/>
        <w:ind w:right="1131" w:firstLine="420"/>
        <w:jc w:val="both"/>
      </w:pPr>
      <w:r>
        <w:rPr>
          <w:spacing w:val="-1"/>
        </w:rPr>
        <w:t>重大影响，是指投资方对被投资单位的财务和经营政策有参与决策的权力，但并不能够控制或者与其</w:t>
      </w:r>
      <w:r>
        <w:rPr/>
        <w:t> </w:t>
      </w:r>
      <w:r>
        <w:rPr>
          <w:spacing w:val="-1"/>
        </w:rPr>
        <w:t>他方一起共同控制这些政策的制定。本公司通过以下一种或多种情形，并综合考虑所有事实和情况后，判</w:t>
      </w:r>
      <w:r>
        <w:rPr>
          <w:spacing w:val="-83"/>
        </w:rPr>
        <w:t> </w:t>
      </w:r>
      <w:r>
        <w:rPr>
          <w:spacing w:val="-83"/>
        </w:rPr>
      </w:r>
      <w:r>
        <w:rPr>
          <w:spacing w:val="-1"/>
        </w:rPr>
        <w:t>断对被投资单位具有重大影响。（</w:t>
      </w:r>
      <w:r>
        <w:rPr>
          <w:rFonts w:ascii="Times New Roman" w:hAnsi="Times New Roman" w:cs="Times New Roman" w:eastAsia="Times New Roman" w:hint="default"/>
          <w:spacing w:val="-1"/>
        </w:rPr>
        <w:t>1</w:t>
      </w:r>
      <w:r>
        <w:rPr>
          <w:spacing w:val="-1"/>
        </w:rPr>
        <w:t>）在被投资单位的董事会或类似权力机构中派有代表；（</w:t>
      </w:r>
      <w:r>
        <w:rPr>
          <w:rFonts w:ascii="Times New Roman" w:hAnsi="Times New Roman" w:cs="Times New Roman" w:eastAsia="Times New Roman" w:hint="default"/>
          <w:spacing w:val="-1"/>
        </w:rPr>
        <w:t>2</w:t>
      </w:r>
      <w:r>
        <w:rPr>
          <w:spacing w:val="-1"/>
        </w:rPr>
        <w:t>）参与被投</w:t>
      </w:r>
      <w:r>
        <w:rPr>
          <w:spacing w:val="-84"/>
        </w:rPr>
        <w:t> </w:t>
      </w:r>
      <w:r>
        <w:rPr>
          <w:spacing w:val="-84"/>
        </w:rPr>
      </w:r>
      <w:r>
        <w:rPr>
          <w:spacing w:val="-1"/>
        </w:rPr>
        <w:t>资单位财务和经营政策制定过程；（</w:t>
      </w:r>
      <w:r>
        <w:rPr>
          <w:rFonts w:ascii="Times New Roman" w:hAnsi="Times New Roman" w:cs="Times New Roman" w:eastAsia="Times New Roman" w:hint="default"/>
          <w:spacing w:val="-1"/>
        </w:rPr>
        <w:t>3</w:t>
      </w:r>
      <w:r>
        <w:rPr>
          <w:spacing w:val="-1"/>
        </w:rPr>
        <w:t>）与被投资单位之间发生重要交易；（</w:t>
      </w:r>
      <w:r>
        <w:rPr>
          <w:rFonts w:ascii="Times New Roman" w:hAnsi="Times New Roman" w:cs="Times New Roman" w:eastAsia="Times New Roman" w:hint="default"/>
          <w:spacing w:val="-1"/>
        </w:rPr>
        <w:t>4</w:t>
      </w:r>
      <w:r>
        <w:rPr>
          <w:spacing w:val="-1"/>
        </w:rPr>
        <w:t>）向被投资单位派出管理人</w:t>
      </w:r>
      <w:r>
        <w:rPr>
          <w:spacing w:val="-86"/>
        </w:rPr>
        <w:t> </w:t>
      </w:r>
      <w:r>
        <w:rPr>
          <w:spacing w:val="-86"/>
        </w:rPr>
      </w:r>
      <w:r>
        <w:rPr/>
        <w:t>员；（</w:t>
      </w:r>
      <w:r>
        <w:rPr>
          <w:rFonts w:ascii="Times New Roman" w:hAnsi="Times New Roman" w:cs="Times New Roman" w:eastAsia="Times New Roman" w:hint="default"/>
        </w:rPr>
        <w:t>5</w:t>
      </w:r>
      <w:r>
        <w:rPr/>
        <w:t>）向被投资单位提供关键技术资料。</w:t>
      </w:r>
    </w:p>
    <w:p>
      <w:pPr>
        <w:spacing w:line="240" w:lineRule="auto" w:before="11"/>
        <w:rPr>
          <w:rFonts w:ascii="宋体" w:hAnsi="宋体" w:cs="宋体" w:eastAsia="宋体" w:hint="default"/>
          <w:sz w:val="22"/>
          <w:szCs w:val="22"/>
        </w:rPr>
      </w:pPr>
    </w:p>
    <w:p>
      <w:pPr>
        <w:pStyle w:val="Heading3"/>
        <w:spacing w:line="240" w:lineRule="auto"/>
        <w:ind w:right="1022"/>
        <w:jc w:val="left"/>
        <w:rPr>
          <w:b w:val="0"/>
          <w:bCs w:val="0"/>
        </w:rPr>
      </w:pPr>
      <w:bookmarkStart w:name="15、投资性房地产" w:id="185"/>
      <w:bookmarkEnd w:id="185"/>
      <w:r>
        <w:rPr>
          <w:b w:val="0"/>
          <w:bCs w:val="0"/>
        </w:rPr>
      </w:r>
      <w:r>
        <w:rPr>
          <w:rFonts w:ascii="Times New Roman" w:hAnsi="Times New Roman" w:cs="Times New Roman" w:eastAsia="Times New Roman" w:hint="default"/>
        </w:rPr>
        <w:t>15</w:t>
      </w:r>
      <w:r>
        <w:rPr/>
        <w:t>、投资性房地产</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8952"/>
        <w:jc w:val="left"/>
      </w:pPr>
      <w:r>
        <w:rPr/>
        <w:t>投资性房地产计量模式 不适用</w:t>
      </w:r>
    </w:p>
    <w:p>
      <w:pPr>
        <w:spacing w:line="240" w:lineRule="auto" w:before="1"/>
        <w:rPr>
          <w:rFonts w:ascii="宋体" w:hAnsi="宋体" w:cs="宋体" w:eastAsia="宋体" w:hint="default"/>
          <w:sz w:val="20"/>
          <w:szCs w:val="20"/>
        </w:rPr>
      </w:pPr>
    </w:p>
    <w:p>
      <w:pPr>
        <w:pStyle w:val="Heading3"/>
        <w:spacing w:line="240" w:lineRule="auto"/>
        <w:ind w:right="1022"/>
        <w:jc w:val="left"/>
        <w:rPr>
          <w:b w:val="0"/>
          <w:bCs w:val="0"/>
        </w:rPr>
      </w:pPr>
      <w:bookmarkStart w:name="16、固定资产" w:id="186"/>
      <w:bookmarkEnd w:id="186"/>
      <w:r>
        <w:rPr>
          <w:b w:val="0"/>
          <w:bCs w:val="0"/>
        </w:rPr>
      </w:r>
      <w:r>
        <w:rPr>
          <w:rFonts w:ascii="Times New Roman" w:hAnsi="Times New Roman" w:cs="Times New Roman" w:eastAsia="Times New Roman" w:hint="default"/>
        </w:rPr>
        <w:t>16</w:t>
      </w:r>
      <w:r>
        <w:rPr/>
        <w:t>、固定资产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22"/>
        <w:jc w:val="left"/>
        <w:rPr>
          <w:b w:val="0"/>
          <w:bCs w:val="0"/>
        </w:rPr>
      </w:pPr>
      <w:bookmarkStart w:name="（1）确认条件" w:id="187"/>
      <w:bookmarkEnd w:id="187"/>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8"/>
        <w:rPr>
          <w:rFonts w:ascii="宋体" w:hAnsi="宋体" w:cs="宋体" w:eastAsia="宋体" w:hint="default"/>
          <w:b/>
          <w:bCs/>
          <w:sz w:val="26"/>
          <w:szCs w:val="26"/>
        </w:rPr>
      </w:pPr>
    </w:p>
    <w:p>
      <w:pPr>
        <w:pStyle w:val="BodyText"/>
        <w:spacing w:line="316" w:lineRule="auto"/>
        <w:ind w:right="1131" w:firstLine="360"/>
        <w:jc w:val="both"/>
      </w:pPr>
      <w:r>
        <w:rPr>
          <w:spacing w:val="-2"/>
        </w:rPr>
        <w:t>固定资产指为生产商品、提供劳务、出租或经营管理而持有，并且使用寿命超过一个会计年度的有形资产。固定资产在</w:t>
      </w:r>
      <w:r>
        <w:rPr/>
        <w:t> 同时满足下列条件时予以确认：</w:t>
      </w:r>
    </w:p>
    <w:p>
      <w:pPr>
        <w:pStyle w:val="BodyText"/>
        <w:spacing w:line="240" w:lineRule="auto" w:before="59"/>
        <w:ind w:left="424" w:right="1022"/>
        <w:jc w:val="left"/>
      </w:pPr>
      <w:r>
        <w:rPr/>
        <w:t>（</w:t>
      </w:r>
      <w:r>
        <w:rPr>
          <w:rFonts w:ascii="Times New Roman" w:hAnsi="Times New Roman" w:cs="Times New Roman" w:eastAsia="Times New Roman" w:hint="default"/>
        </w:rPr>
        <w:t>1</w:t>
      </w:r>
      <w:r>
        <w:rPr/>
        <w:t>）与该固定资产有关的经济利益很可能流入企业</w:t>
      </w:r>
      <w:r>
        <w:rPr>
          <w:spacing w:val="-90"/>
        </w:rPr>
        <w:t>；</w:t>
      </w:r>
      <w:r>
        <w:rPr/>
        <w:t>（</w:t>
      </w:r>
      <w:r>
        <w:rPr>
          <w:rFonts w:ascii="Times New Roman" w:hAnsi="Times New Roman" w:cs="Times New Roman" w:eastAsia="Times New Roman" w:hint="default"/>
        </w:rPr>
        <w:t>2</w:t>
      </w:r>
      <w:r>
        <w:rPr/>
        <w:t>）该固定资产的成本能够可靠地计量。</w:t>
      </w:r>
    </w:p>
    <w:p>
      <w:pPr>
        <w:spacing w:line="240" w:lineRule="auto" w:before="9"/>
        <w:rPr>
          <w:rFonts w:ascii="宋体" w:hAnsi="宋体" w:cs="宋体" w:eastAsia="宋体" w:hint="default"/>
          <w:sz w:val="25"/>
          <w:szCs w:val="25"/>
        </w:rPr>
      </w:pPr>
    </w:p>
    <w:p>
      <w:pPr>
        <w:pStyle w:val="Heading3"/>
        <w:spacing w:line="240" w:lineRule="auto"/>
        <w:ind w:right="1022"/>
        <w:jc w:val="left"/>
        <w:rPr>
          <w:b w:val="0"/>
          <w:bCs w:val="0"/>
        </w:rPr>
      </w:pPr>
      <w:bookmarkStart w:name="（2）折旧方法" w:id="188"/>
      <w:bookmarkEnd w:id="188"/>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03"/>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bl>
    <w:p>
      <w:pPr>
        <w:spacing w:after="0" w:line="240" w:lineRule="auto"/>
        <w:jc w:val="left"/>
        <w:rPr>
          <w:rFonts w:ascii="宋体" w:hAnsi="宋体" w:cs="宋体" w:eastAsia="宋体" w:hint="default"/>
          <w:sz w:val="18"/>
          <w:szCs w:val="18"/>
        </w:rPr>
        <w:sectPr>
          <w:footerReference w:type="default" r:id="rId14"/>
          <w:pgSz w:w="11910" w:h="16840"/>
          <w:pgMar w:footer="979" w:header="747"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2.11%-4.75%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12.50%-20.00%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16.17%</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20.00%</w:t>
            </w:r>
          </w:p>
        </w:tc>
      </w:tr>
    </w:tbl>
    <w:p>
      <w:pPr>
        <w:pStyle w:val="Heading4"/>
        <w:spacing w:line="260" w:lineRule="exact" w:before="0"/>
        <w:ind w:right="1022" w:firstLine="420"/>
        <w:jc w:val="left"/>
      </w:pPr>
      <w:r>
        <w:rPr>
          <w:spacing w:val="3"/>
        </w:rPr>
        <w:t>固定资产折旧按其入账价值减去预计净残值后在预计使用寿命内计提。对计提了减值准备的固定资</w:t>
      </w:r>
    </w:p>
    <w:p>
      <w:pPr>
        <w:pStyle w:val="Heading4"/>
        <w:spacing w:line="273" w:lineRule="auto" w:before="37"/>
        <w:ind w:right="1022"/>
        <w:jc w:val="left"/>
      </w:pPr>
      <w:r>
        <w:rPr>
          <w:spacing w:val="-1"/>
        </w:rPr>
        <w:t>产，则在未来期间按扣除减值准备后的账面价值及依据尚可使用年限确定折旧额；已提足折旧仍继续使用</w:t>
      </w:r>
      <w:r>
        <w:rPr>
          <w:spacing w:val="-81"/>
        </w:rPr>
        <w:t> </w:t>
      </w:r>
      <w:r>
        <w:rPr>
          <w:spacing w:val="-81"/>
        </w:rPr>
      </w:r>
      <w:r>
        <w:rPr/>
        <w:t>的固定资产不计提折旧。</w:t>
      </w:r>
    </w:p>
    <w:p>
      <w:pPr>
        <w:pStyle w:val="Heading4"/>
        <w:spacing w:line="273" w:lineRule="auto"/>
        <w:ind w:right="1022" w:firstLine="420"/>
        <w:jc w:val="left"/>
      </w:pPr>
      <w:r>
        <w:rPr>
          <w:spacing w:val="-1"/>
        </w:rPr>
        <w:t>利用专项储备支出形成的固定资产，按照形成固定资产的成本冲减专项储备，并确认相同金额的累计</w:t>
      </w:r>
      <w:r>
        <w:rPr/>
        <w:t> 折旧，该固定资产在以后期间不再计提折旧。</w:t>
      </w:r>
    </w:p>
    <w:p>
      <w:pPr>
        <w:pStyle w:val="Heading4"/>
        <w:spacing w:line="273" w:lineRule="auto"/>
        <w:ind w:right="1092" w:firstLine="420"/>
        <w:jc w:val="left"/>
      </w:pPr>
      <w:r>
        <w:rPr>
          <w:spacing w:val="-1"/>
        </w:rPr>
        <w:t>本公司根据固定资产的性质和使用情况，确定固定资产的使用寿命和预计净残值。并在年度终了，对</w:t>
      </w:r>
      <w:r>
        <w:rPr/>
        <w:t> 固定资产的使用寿命、预计净残值和折旧方法进行复核，如与原先估计数存在差异的，进行相应的调整。</w:t>
      </w:r>
    </w:p>
    <w:p>
      <w:pPr>
        <w:spacing w:line="240" w:lineRule="auto" w:before="8"/>
        <w:rPr>
          <w:rFonts w:ascii="宋体" w:hAnsi="宋体" w:cs="宋体" w:eastAsia="宋体" w:hint="default"/>
          <w:sz w:val="23"/>
          <w:szCs w:val="23"/>
        </w:rPr>
      </w:pPr>
    </w:p>
    <w:p>
      <w:pPr>
        <w:pStyle w:val="Heading3"/>
        <w:spacing w:line="240" w:lineRule="auto"/>
        <w:ind w:right="0"/>
        <w:jc w:val="both"/>
        <w:rPr>
          <w:b w:val="0"/>
          <w:bCs w:val="0"/>
        </w:rPr>
      </w:pPr>
      <w:bookmarkStart w:name="（3）融资租入固定资产的认定依据、计价和折旧方法" w:id="189"/>
      <w:bookmarkEnd w:id="189"/>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7"/>
        <w:rPr>
          <w:rFonts w:ascii="宋体" w:hAnsi="宋体" w:cs="宋体" w:eastAsia="宋体" w:hint="default"/>
          <w:b/>
          <w:bCs/>
          <w:sz w:val="26"/>
          <w:szCs w:val="26"/>
        </w:rPr>
      </w:pPr>
    </w:p>
    <w:p>
      <w:pPr>
        <w:pStyle w:val="BodyText"/>
        <w:tabs>
          <w:tab w:pos="6733" w:val="left" w:leader="none"/>
        </w:tabs>
        <w:spacing w:line="309" w:lineRule="auto"/>
        <w:ind w:right="1043" w:firstLine="360"/>
        <w:jc w:val="left"/>
      </w:pPr>
      <w:r>
        <w:rPr>
          <w:spacing w:val="-4"/>
        </w:rPr>
        <w:t>当本公司租入的固定资产符合下列一项或数项标准时，确认为融资租入固定资产：（</w:t>
      </w:r>
      <w:r>
        <w:rPr>
          <w:rFonts w:ascii="Times New Roman" w:hAnsi="Times New Roman" w:cs="Times New Roman" w:eastAsia="Times New Roman" w:hint="default"/>
          <w:spacing w:val="-4"/>
        </w:rPr>
        <w:t>1</w:t>
      </w:r>
      <w:r>
        <w:rPr>
          <w:spacing w:val="-4"/>
        </w:rPr>
        <w:t>）在租赁期届满时，租赁资产的所</w:t>
      </w:r>
      <w:r>
        <w:rPr/>
        <w:t> </w:t>
      </w:r>
      <w:r>
        <w:rPr>
          <w:spacing w:val="-4"/>
        </w:rPr>
        <w:t>有权转移给本公司。（</w:t>
      </w:r>
      <w:r>
        <w:rPr>
          <w:rFonts w:ascii="Times New Roman" w:hAnsi="Times New Roman" w:cs="Times New Roman" w:eastAsia="Times New Roman" w:hint="default"/>
          <w:spacing w:val="-4"/>
        </w:rPr>
        <w:t>2</w:t>
      </w:r>
      <w:r>
        <w:rPr>
          <w:spacing w:val="-4"/>
        </w:rPr>
        <w:t>）本公司有购买租赁资产的选择权，所订立的购买价款预计将远低于行使选择权时租赁资产的公允价</w:t>
      </w:r>
      <w:r>
        <w:rPr>
          <w:spacing w:val="-44"/>
        </w:rPr>
        <w:t> </w:t>
      </w:r>
      <w:r>
        <w:rPr>
          <w:spacing w:val="-44"/>
        </w:rPr>
      </w:r>
      <w:r>
        <w:rPr>
          <w:spacing w:val="-4"/>
        </w:rPr>
        <w:t>值，因而在租赁开始日就可以合理确定本公司将会行使这种选择权。（</w:t>
      </w:r>
      <w:r>
        <w:rPr>
          <w:rFonts w:ascii="Times New Roman" w:hAnsi="Times New Roman" w:cs="Times New Roman" w:eastAsia="Times New Roman" w:hint="default"/>
          <w:spacing w:val="-4"/>
        </w:rPr>
        <w:t>3</w:t>
      </w:r>
      <w:r>
        <w:rPr>
          <w:spacing w:val="-4"/>
        </w:rPr>
        <w:t>）即使资产的所有权不转移，但租赁期占租赁资产使</w:t>
      </w:r>
      <w:r>
        <w:rPr>
          <w:spacing w:val="-44"/>
        </w:rPr>
        <w:t> </w:t>
      </w:r>
      <w:r>
        <w:rPr>
          <w:spacing w:val="-44"/>
        </w:rPr>
      </w:r>
      <w:r>
        <w:rPr>
          <w:spacing w:val="-5"/>
        </w:rPr>
        <w:t>用寿命的大部分。（</w:t>
      </w:r>
      <w:r>
        <w:rPr>
          <w:rFonts w:ascii="Times New Roman" w:hAnsi="Times New Roman" w:cs="Times New Roman" w:eastAsia="Times New Roman" w:hint="default"/>
          <w:spacing w:val="-5"/>
        </w:rPr>
        <w:t>4</w:t>
      </w:r>
      <w:r>
        <w:rPr>
          <w:spacing w:val="-5"/>
        </w:rPr>
        <w:t>）本公司在租赁开始日的最低租赁付款额现值，几乎相当于租赁开始日租赁资产公允价值。（</w:t>
      </w:r>
      <w:r>
        <w:rPr>
          <w:rFonts w:ascii="Times New Roman" w:hAnsi="Times New Roman" w:cs="Times New Roman" w:eastAsia="Times New Roman" w:hint="default"/>
          <w:spacing w:val="-5"/>
        </w:rPr>
        <w:t>5</w:t>
      </w:r>
      <w:r>
        <w:rPr>
          <w:spacing w:val="-5"/>
        </w:rPr>
        <w:t>）租赁资</w:t>
      </w:r>
      <w:r>
        <w:rPr>
          <w:spacing w:val="-74"/>
        </w:rPr>
        <w:t> </w:t>
      </w:r>
      <w:r>
        <w:rPr>
          <w:spacing w:val="-74"/>
        </w:rPr>
      </w:r>
      <w:r>
        <w:rPr>
          <w:spacing w:val="-2"/>
        </w:rPr>
        <w:t>产性质特殊，如果不作较大改造，只有本公司才能使用。融资租赁租入的固定资产，按租赁开始日租赁资产公允价值与最低</w:t>
      </w:r>
      <w:r>
        <w:rPr>
          <w:spacing w:val="-66"/>
        </w:rPr>
        <w:t> </w:t>
      </w:r>
      <w:r>
        <w:rPr>
          <w:spacing w:val="-66"/>
        </w:rPr>
      </w:r>
      <w:r>
        <w:rPr>
          <w:spacing w:val="-4"/>
        </w:rPr>
        <w:t>租赁付款额的现值两者中较低者，作为入账价值。最低租赁付款额作为长期应付款的入账价值，其差额作为未确认融资费用。</w:t>
      </w:r>
      <w:r>
        <w:rPr>
          <w:spacing w:val="-44"/>
        </w:rPr>
        <w:t> </w:t>
      </w:r>
      <w:r>
        <w:rPr>
          <w:spacing w:val="-44"/>
        </w:rPr>
      </w:r>
      <w:r>
        <w:rPr>
          <w:spacing w:val="-2"/>
        </w:rPr>
        <w:t>在租赁谈判和签订租赁合同过程中发生的，可归属于租赁项目的手续费、律师费、差旅费、印花税等初始直接费用，计入租</w:t>
      </w:r>
      <w:r>
        <w:rPr>
          <w:spacing w:val="-65"/>
        </w:rPr>
        <w:t> </w:t>
      </w:r>
      <w:r>
        <w:rPr>
          <w:spacing w:val="-65"/>
        </w:rPr>
      </w:r>
      <w:r>
        <w:rPr>
          <w:spacing w:val="-2"/>
        </w:rPr>
        <w:t>入资产价值。未确认融资费用在租赁期内各个期间采用实际利率法进行分摊。</w:t>
        <w:tab/>
      </w:r>
      <w:r>
        <w:rPr/>
        <w:t>本公司采用与自有固定资产相一致的折</w:t>
      </w:r>
      <w:r>
        <w:rPr/>
        <w:t> 旧政策计提融资租入固定资产折旧。能够合理确定租赁期届满时取得租赁资产所有权的，在租赁资产使用寿命内计提折旧。 无法合理确定租赁期届满时能够取得租赁资产所有权的，在租赁期与租赁资产使用寿命两者中较短的期间内计提折旧。</w:t>
      </w:r>
    </w:p>
    <w:p>
      <w:pPr>
        <w:spacing w:line="240" w:lineRule="auto" w:before="11"/>
        <w:rPr>
          <w:rFonts w:ascii="宋体" w:hAnsi="宋体" w:cs="宋体" w:eastAsia="宋体" w:hint="default"/>
          <w:sz w:val="22"/>
          <w:szCs w:val="22"/>
        </w:rPr>
      </w:pPr>
    </w:p>
    <w:p>
      <w:pPr>
        <w:pStyle w:val="Heading3"/>
        <w:spacing w:line="240" w:lineRule="auto"/>
        <w:ind w:right="0"/>
        <w:jc w:val="both"/>
        <w:rPr>
          <w:b w:val="0"/>
          <w:bCs w:val="0"/>
        </w:rPr>
      </w:pPr>
      <w:bookmarkStart w:name="17、在建工程" w:id="190"/>
      <w:bookmarkEnd w:id="190"/>
      <w:r>
        <w:rPr>
          <w:b w:val="0"/>
          <w:bCs w:val="0"/>
        </w:rPr>
      </w:r>
      <w:r>
        <w:rPr>
          <w:rFonts w:ascii="Times New Roman" w:hAnsi="Times New Roman" w:cs="Times New Roman" w:eastAsia="Times New Roman" w:hint="default"/>
        </w:rPr>
        <w:t>17</w:t>
      </w:r>
      <w:r>
        <w:rPr/>
        <w:t>、在建工程</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7692"/>
        <w:jc w:val="left"/>
      </w:pPr>
      <w:r>
        <w:rPr/>
        <w:t>公司是否需要遵守特殊行业的披露要求 是</w:t>
      </w:r>
    </w:p>
    <w:p>
      <w:pPr>
        <w:pStyle w:val="BodyText"/>
        <w:spacing w:line="240" w:lineRule="auto" w:before="26"/>
        <w:ind w:right="0"/>
        <w:jc w:val="both"/>
      </w:pPr>
      <w:r>
        <w:rPr/>
        <w:t>软件与信息技术服务业</w:t>
      </w:r>
    </w:p>
    <w:p>
      <w:pPr>
        <w:pStyle w:val="Heading4"/>
        <w:spacing w:line="256" w:lineRule="auto" w:before="89"/>
        <w:ind w:left="574" w:right="1022" w:hanging="8"/>
        <w:jc w:val="left"/>
      </w:pPr>
      <w:r>
        <w:rPr>
          <w:rFonts w:ascii="Times New Roman" w:hAnsi="Times New Roman" w:cs="Times New Roman" w:eastAsia="Times New Roman" w:hint="default"/>
          <w:b/>
          <w:bCs/>
        </w:rPr>
        <w:t>1</w:t>
      </w:r>
      <w:r>
        <w:rPr>
          <w:rFonts w:ascii="宋体" w:hAnsi="宋体" w:cs="宋体" w:eastAsia="宋体" w:hint="default"/>
          <w:b/>
          <w:bCs/>
        </w:rPr>
        <w:t>、在建工程初始计量</w:t>
      </w:r>
      <w:r>
        <w:rPr>
          <w:rFonts w:ascii="宋体" w:hAnsi="宋体" w:cs="宋体" w:eastAsia="宋体" w:hint="default"/>
          <w:b/>
          <w:bCs/>
          <w:w w:val="99"/>
        </w:rPr>
        <w:t> </w:t>
      </w:r>
      <w:r>
        <w:rPr>
          <w:spacing w:val="-1"/>
        </w:rPr>
        <w:t>本公司自行建造的在建工程按实际成本计价，实际成本由建造该项资产达到预定可使用状态前所发生</w:t>
      </w:r>
    </w:p>
    <w:p>
      <w:pPr>
        <w:pStyle w:val="Heading4"/>
        <w:spacing w:line="273" w:lineRule="auto" w:before="22"/>
        <w:ind w:right="1022"/>
        <w:jc w:val="left"/>
      </w:pPr>
      <w:r>
        <w:rPr>
          <w:spacing w:val="-1"/>
        </w:rPr>
        <w:t>的必要支出构成，包括工程用物资成本、人工成本、交纳的相关税费、应予资本化的借款费用以及应分摊</w:t>
      </w:r>
      <w:r>
        <w:rPr>
          <w:spacing w:val="-86"/>
        </w:rPr>
        <w:t> </w:t>
      </w:r>
      <w:r>
        <w:rPr>
          <w:spacing w:val="-86"/>
        </w:rPr>
      </w:r>
      <w:r>
        <w:rPr/>
        <w:t>的间接费用等。</w:t>
      </w:r>
    </w:p>
    <w:p>
      <w:pPr>
        <w:spacing w:line="256" w:lineRule="auto" w:before="7"/>
        <w:ind w:left="574" w:right="1092" w:hanging="8"/>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、在建工程结转为固定资产的标准和时点</w:t>
      </w:r>
      <w:r>
        <w:rPr>
          <w:rFonts w:ascii="宋体" w:hAnsi="宋体" w:cs="宋体" w:eastAsia="宋体" w:hint="default"/>
          <w:b/>
          <w:bCs/>
          <w:w w:val="99"/>
          <w:sz w:val="21"/>
          <w:szCs w:val="21"/>
        </w:rPr>
        <w:t> </w:t>
      </w:r>
      <w:r>
        <w:rPr>
          <w:rFonts w:ascii="宋体" w:hAnsi="宋体" w:cs="宋体" w:eastAsia="宋体" w:hint="default"/>
          <w:sz w:val="21"/>
          <w:szCs w:val="21"/>
        </w:rPr>
        <w:t>在建工程项目按建造该项资产达到预定可使用状态前所发生的全部支出，作为固定资产的入账价值。</w:t>
      </w:r>
    </w:p>
    <w:p>
      <w:pPr>
        <w:pStyle w:val="Heading4"/>
        <w:spacing w:line="273" w:lineRule="auto" w:before="22"/>
        <w:ind w:right="1131"/>
        <w:jc w:val="both"/>
      </w:pPr>
      <w:r>
        <w:rPr>
          <w:spacing w:val="-1"/>
        </w:rPr>
        <w:t>所建造的在建工程已达到预定可使用状态，但尚未办理竣工决算的，自达到预定可使用状态之日起，根据</w:t>
      </w:r>
      <w:r>
        <w:rPr>
          <w:spacing w:val="-83"/>
        </w:rPr>
        <w:t> </w:t>
      </w:r>
      <w:r>
        <w:rPr>
          <w:spacing w:val="-83"/>
        </w:rPr>
      </w:r>
      <w:r>
        <w:rPr>
          <w:spacing w:val="-1"/>
        </w:rPr>
        <w:t>工程预算、造价或者工程实际成本等，按估计的价值转入固定资产，并按本公司固定资产折旧政策计提固</w:t>
      </w:r>
      <w:r>
        <w:rPr>
          <w:spacing w:val="-83"/>
        </w:rPr>
        <w:t> </w:t>
      </w:r>
      <w:r>
        <w:rPr>
          <w:spacing w:val="-83"/>
        </w:rPr>
      </w:r>
      <w:r>
        <w:rPr/>
        <w:t>定资产的折旧，待办理竣工决算后，再按实际成本调整原来的暂估价值，但不调整原已计提的折旧额。</w:t>
      </w:r>
    </w:p>
    <w:p>
      <w:pPr>
        <w:spacing w:after="0" w:line="273" w:lineRule="auto"/>
        <w:jc w:val="both"/>
        <w:sectPr>
          <w:footerReference w:type="default" r:id="rId15"/>
          <w:pgSz w:w="11910" w:h="16840"/>
          <w:pgMar w:footer="979" w:header="747" w:top="1060" w:bottom="1160" w:left="980" w:right="0"/>
          <w:pgNumType w:start="101"/>
        </w:sectPr>
      </w:pPr>
    </w:p>
    <w:p>
      <w:pPr>
        <w:spacing w:line="240" w:lineRule="auto" w:before="10"/>
        <w:rPr>
          <w:rFonts w:ascii="宋体" w:hAnsi="宋体" w:cs="宋体" w:eastAsia="宋体" w:hint="default"/>
          <w:sz w:val="24"/>
          <w:szCs w:val="24"/>
        </w:rPr>
      </w:pPr>
    </w:p>
    <w:p>
      <w:pPr>
        <w:pStyle w:val="Heading3"/>
        <w:spacing w:line="240" w:lineRule="auto" w:before="35"/>
        <w:ind w:right="1022"/>
        <w:jc w:val="left"/>
        <w:rPr>
          <w:b w:val="0"/>
          <w:bCs w:val="0"/>
        </w:rPr>
      </w:pPr>
      <w:bookmarkStart w:name="18、借款费用" w:id="191"/>
      <w:bookmarkEnd w:id="191"/>
      <w:r>
        <w:rPr>
          <w:b w:val="0"/>
          <w:bCs w:val="0"/>
        </w:rPr>
      </w:r>
      <w:r>
        <w:rPr>
          <w:rFonts w:ascii="Times New Roman" w:hAnsi="Times New Roman" w:cs="Times New Roman" w:eastAsia="Times New Roman" w:hint="default"/>
        </w:rPr>
        <w:t>18</w:t>
      </w:r>
      <w:r>
        <w:rPr/>
        <w:t>、借款费用</w:t>
      </w:r>
      <w:r>
        <w:rPr>
          <w:b w:val="0"/>
          <w:bCs w:val="0"/>
        </w:rPr>
      </w:r>
    </w:p>
    <w:p>
      <w:pPr>
        <w:spacing w:line="240" w:lineRule="auto" w:before="7"/>
        <w:rPr>
          <w:rFonts w:ascii="宋体" w:hAnsi="宋体" w:cs="宋体" w:eastAsia="宋体" w:hint="default"/>
          <w:b/>
          <w:bCs/>
          <w:sz w:val="24"/>
          <w:szCs w:val="24"/>
        </w:rPr>
      </w:pPr>
    </w:p>
    <w:p>
      <w:pPr>
        <w:spacing w:line="256" w:lineRule="auto" w:before="0"/>
        <w:ind w:left="574" w:right="1022" w:hanging="8"/>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、借款费用资本化的确认原则</w:t>
      </w:r>
      <w:r>
        <w:rPr>
          <w:rFonts w:ascii="宋体" w:hAnsi="宋体" w:cs="宋体" w:eastAsia="宋体" w:hint="default"/>
          <w:b/>
          <w:bCs/>
          <w:w w:val="99"/>
          <w:sz w:val="21"/>
          <w:szCs w:val="21"/>
        </w:rPr>
        <w:t> </w:t>
      </w:r>
      <w:r>
        <w:rPr>
          <w:rFonts w:ascii="宋体" w:hAnsi="宋体" w:cs="宋体" w:eastAsia="宋体" w:hint="default"/>
          <w:spacing w:val="-1"/>
          <w:sz w:val="21"/>
          <w:szCs w:val="21"/>
        </w:rPr>
        <w:t>本公司发生的借款费用，可直接归属于符合资本化条件的资产的购建或者生产的，予以资本化，计入</w:t>
      </w:r>
    </w:p>
    <w:p>
      <w:pPr>
        <w:pStyle w:val="Heading4"/>
        <w:spacing w:line="273" w:lineRule="auto" w:before="23"/>
        <w:ind w:left="574" w:right="1022" w:hanging="420"/>
        <w:jc w:val="left"/>
      </w:pPr>
      <w:r>
        <w:rPr/>
        <w:t>相关资产成本；其他借款费用，在发生时根据其发生额确认为费用，计入当期损益。 </w:t>
      </w:r>
      <w:r>
        <w:rPr>
          <w:spacing w:val="-1"/>
        </w:rPr>
        <w:t>符合资本化条件的资产，是指需要经过相当长时间的购建或者生产活动才能达到预定可使用或者可销</w:t>
      </w:r>
    </w:p>
    <w:p>
      <w:pPr>
        <w:pStyle w:val="Heading4"/>
        <w:spacing w:line="273" w:lineRule="auto"/>
        <w:ind w:left="574" w:right="6132" w:hanging="420"/>
        <w:jc w:val="left"/>
      </w:pPr>
      <w:r>
        <w:rPr/>
        <w:t>售状态的固定资产、投资性房地产和存货等资产。 借款费用同时满足下列条件时开始资本化：</w:t>
      </w:r>
    </w:p>
    <w:p>
      <w:pPr>
        <w:pStyle w:val="Heading4"/>
        <w:spacing w:line="256" w:lineRule="auto"/>
        <w:ind w:right="1022" w:firstLine="420"/>
        <w:jc w:val="left"/>
      </w:pPr>
      <w:r>
        <w:rPr/>
        <w:t>（</w:t>
      </w:r>
      <w:r>
        <w:rPr>
          <w:rFonts w:ascii="Times New Roman" w:hAnsi="Times New Roman" w:cs="Times New Roman" w:eastAsia="Times New Roman" w:hint="default"/>
        </w:rPr>
        <w:t>1</w:t>
      </w:r>
      <w:r>
        <w:rPr/>
        <w:t>）资产支出已经发生，资产支出包括为购建或者生产符合资本化条件的资产而以支付现金、转移 非现金资产或者承担带息债务形式发生的支出；</w:t>
      </w:r>
    </w:p>
    <w:p>
      <w:pPr>
        <w:pStyle w:val="Heading4"/>
        <w:spacing w:line="240" w:lineRule="auto" w:before="22"/>
        <w:ind w:left="574" w:right="1022"/>
        <w:jc w:val="left"/>
      </w:pPr>
      <w:r>
        <w:rPr/>
        <w:t>（</w:t>
      </w:r>
      <w:r>
        <w:rPr>
          <w:rFonts w:ascii="Times New Roman" w:hAnsi="Times New Roman" w:cs="Times New Roman" w:eastAsia="Times New Roman" w:hint="default"/>
        </w:rPr>
        <w:t>2</w:t>
      </w:r>
      <w:r>
        <w:rPr/>
        <w:t>）借款费用已经发生；</w:t>
      </w:r>
    </w:p>
    <w:p>
      <w:pPr>
        <w:pStyle w:val="Heading4"/>
        <w:spacing w:line="256" w:lineRule="auto" w:before="21"/>
        <w:ind w:left="566" w:right="1022" w:firstLine="7"/>
        <w:jc w:val="left"/>
      </w:pPr>
      <w:r>
        <w:rPr/>
        <w:t>（</w:t>
      </w:r>
      <w:r>
        <w:rPr>
          <w:rFonts w:ascii="Times New Roman" w:hAnsi="Times New Roman" w:cs="Times New Roman" w:eastAsia="Times New Roman" w:hint="default"/>
        </w:rPr>
        <w:t>3</w:t>
      </w:r>
      <w:r>
        <w:rPr/>
        <w:t>）为使资产达到预定可使用或者可销售状态所必要的购建或者生产活动已经开始。 </w:t>
      </w:r>
      <w:r>
        <w:rPr>
          <w:rFonts w:ascii="Times New Roman" w:hAnsi="Times New Roman" w:cs="Times New Roman" w:eastAsia="Times New Roman" w:hint="default"/>
          <w:b/>
          <w:bCs/>
        </w:rPr>
        <w:t>2</w:t>
      </w:r>
      <w:r>
        <w:rPr>
          <w:rFonts w:ascii="宋体" w:hAnsi="宋体" w:cs="宋体" w:eastAsia="宋体" w:hint="default"/>
          <w:b/>
          <w:bCs/>
        </w:rPr>
        <w:t>、借款费用资本化期间</w:t>
      </w:r>
      <w:r>
        <w:rPr>
          <w:rFonts w:ascii="宋体" w:hAnsi="宋体" w:cs="宋体" w:eastAsia="宋体" w:hint="default"/>
          <w:b/>
          <w:bCs/>
          <w:w w:val="99"/>
        </w:rPr>
        <w:t> </w:t>
      </w:r>
      <w:r>
        <w:rPr>
          <w:spacing w:val="-1"/>
        </w:rPr>
        <w:t>资本化期间，指从借款费用开始资本化时点到停止资本化时点的期间，借款费用暂停资本化的期间不</w:t>
      </w:r>
    </w:p>
    <w:p>
      <w:pPr>
        <w:pStyle w:val="Heading4"/>
        <w:spacing w:line="240" w:lineRule="auto" w:before="22"/>
        <w:ind w:right="1022"/>
        <w:jc w:val="left"/>
      </w:pPr>
      <w:r>
        <w:rPr/>
        <w:t>包括在内。</w:t>
      </w:r>
    </w:p>
    <w:p>
      <w:pPr>
        <w:pStyle w:val="Heading4"/>
        <w:spacing w:line="273" w:lineRule="auto" w:before="37"/>
        <w:ind w:left="574" w:right="1022"/>
        <w:jc w:val="left"/>
      </w:pPr>
      <w:r>
        <w:rPr/>
        <w:t>当购建或者生产符合资本化条件的资产达到预定可使用或者可销售状态时，借款费用停止资本化。 </w:t>
      </w:r>
      <w:r>
        <w:rPr>
          <w:spacing w:val="-1"/>
        </w:rPr>
        <w:t>当购建或者生产符合资本化条件的资产中部分项目分别完工且可单独使用时，该部分资产借款费用停</w:t>
      </w:r>
    </w:p>
    <w:p>
      <w:pPr>
        <w:pStyle w:val="Heading4"/>
        <w:spacing w:line="240" w:lineRule="auto"/>
        <w:ind w:right="1022"/>
        <w:jc w:val="left"/>
      </w:pPr>
      <w:r>
        <w:rPr/>
        <w:t>止资本化。</w:t>
      </w:r>
    </w:p>
    <w:p>
      <w:pPr>
        <w:pStyle w:val="Heading4"/>
        <w:spacing w:line="273" w:lineRule="auto" w:before="37"/>
        <w:ind w:right="1022" w:firstLine="420"/>
        <w:jc w:val="left"/>
      </w:pPr>
      <w:r>
        <w:rPr>
          <w:spacing w:val="-1"/>
        </w:rPr>
        <w:t>购建或者生产的资产的各部分分别完工，但必须等到整体完工后才可使用或可对外销售的，在该资产</w:t>
      </w:r>
      <w:r>
        <w:rPr/>
        <w:t> 整体完工时停止借款费用资本化。</w:t>
      </w:r>
    </w:p>
    <w:p>
      <w:pPr>
        <w:pStyle w:val="Heading4"/>
        <w:spacing w:line="256" w:lineRule="auto"/>
        <w:ind w:left="574" w:right="1022" w:hanging="8"/>
        <w:jc w:val="left"/>
      </w:pPr>
      <w:r>
        <w:rPr>
          <w:rFonts w:ascii="Times New Roman" w:hAnsi="Times New Roman" w:cs="Times New Roman" w:eastAsia="Times New Roman" w:hint="default"/>
          <w:b/>
          <w:bCs/>
        </w:rPr>
        <w:t>3</w:t>
      </w:r>
      <w:r>
        <w:rPr>
          <w:rFonts w:ascii="宋体" w:hAnsi="宋体" w:cs="宋体" w:eastAsia="宋体" w:hint="default"/>
          <w:b/>
          <w:bCs/>
        </w:rPr>
        <w:t>、暂停资本化期间</w:t>
      </w:r>
      <w:r>
        <w:rPr>
          <w:rFonts w:ascii="宋体" w:hAnsi="宋体" w:cs="宋体" w:eastAsia="宋体" w:hint="default"/>
          <w:b/>
          <w:bCs/>
          <w:w w:val="99"/>
        </w:rPr>
        <w:t> </w:t>
      </w:r>
      <w:r>
        <w:rPr/>
        <w:t>符合资本化条件的资产在购建或生产过程中发生的非正常中断、且中断时间连续超过</w:t>
      </w:r>
      <w:r>
        <w:rPr>
          <w:rFonts w:ascii="Times New Roman" w:hAnsi="Times New Roman" w:cs="Times New Roman" w:eastAsia="Times New Roman" w:hint="default"/>
        </w:rPr>
        <w:t>3</w:t>
      </w:r>
      <w:r>
        <w:rPr/>
        <w:t>个月的，则借</w:t>
      </w:r>
    </w:p>
    <w:p>
      <w:pPr>
        <w:pStyle w:val="Heading4"/>
        <w:spacing w:line="273" w:lineRule="auto" w:before="5"/>
        <w:ind w:right="1131"/>
        <w:jc w:val="both"/>
      </w:pPr>
      <w:r>
        <w:rPr>
          <w:spacing w:val="-1"/>
        </w:rPr>
        <w:t>款费用暂停资本化；该项中断如是所购建或生产的符合资本化条件的资产达到预定可使用状态或者可销售</w:t>
      </w:r>
      <w:r>
        <w:rPr>
          <w:spacing w:val="-81"/>
        </w:rPr>
        <w:t> </w:t>
      </w:r>
      <w:r>
        <w:rPr>
          <w:spacing w:val="-81"/>
        </w:rPr>
      </w:r>
      <w:r>
        <w:rPr>
          <w:spacing w:val="-1"/>
        </w:rPr>
        <w:t>状态必要的程序，则借款费用继续资本化。在中断期间发生的借款费用确认为当期损益，直至资产的购建</w:t>
      </w:r>
      <w:r>
        <w:rPr>
          <w:spacing w:val="-83"/>
        </w:rPr>
        <w:t> </w:t>
      </w:r>
      <w:r>
        <w:rPr>
          <w:spacing w:val="-83"/>
        </w:rPr>
      </w:r>
      <w:r>
        <w:rPr/>
        <w:t>或者生产活动重新开始后借款费用继续资本化。</w:t>
      </w:r>
    </w:p>
    <w:p>
      <w:pPr>
        <w:spacing w:line="256" w:lineRule="auto" w:before="7"/>
        <w:ind w:left="574" w:right="1022" w:hanging="8"/>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、借款费用资本化金额的计算方法</w:t>
      </w:r>
      <w:r>
        <w:rPr>
          <w:rFonts w:ascii="宋体" w:hAnsi="宋体" w:cs="宋体" w:eastAsia="宋体" w:hint="default"/>
          <w:b/>
          <w:bCs/>
          <w:w w:val="99"/>
          <w:sz w:val="21"/>
          <w:szCs w:val="21"/>
        </w:rPr>
        <w:t> </w:t>
      </w:r>
      <w:r>
        <w:rPr>
          <w:rFonts w:ascii="宋体" w:hAnsi="宋体" w:cs="宋体" w:eastAsia="宋体" w:hint="default"/>
          <w:spacing w:val="-1"/>
          <w:sz w:val="21"/>
          <w:szCs w:val="21"/>
        </w:rPr>
        <w:t>专门借款的利息费用（扣除尚未动用的借款资金存入银行取得的利息收入或者进行暂时性投资取得的</w:t>
      </w:r>
    </w:p>
    <w:p>
      <w:pPr>
        <w:pStyle w:val="Heading4"/>
        <w:spacing w:line="273" w:lineRule="auto" w:before="22"/>
        <w:ind w:right="1092"/>
        <w:jc w:val="left"/>
      </w:pPr>
      <w:r>
        <w:rPr/>
        <w:t>投资收益）及其辅助费用在所购建或者生产的符合资本化条件的资产达到预定可使用或者可销售状态前， 予以资本化。</w:t>
      </w:r>
    </w:p>
    <w:p>
      <w:pPr>
        <w:pStyle w:val="Heading4"/>
        <w:spacing w:line="273" w:lineRule="auto"/>
        <w:ind w:right="1110" w:firstLine="420"/>
        <w:jc w:val="right"/>
      </w:pPr>
      <w:r>
        <w:rPr>
          <w:spacing w:val="-1"/>
        </w:rPr>
        <w:t>根据累计资产支出超过专门借款部分的资产支出加权平均数（按每月月末平均）乘以所占用一般借款</w:t>
      </w:r>
      <w:r>
        <w:rPr/>
        <w:t> 的资本化率，计算确定一般借款应予资本化的利息金额。资本化率根据一般借款加权平均利率计算确定。 </w:t>
      </w:r>
      <w:r>
        <w:rPr>
          <w:spacing w:val="-1"/>
        </w:rPr>
        <w:t>借款存在折价或者溢价的，按照实际利率法确定每一会计期间应摊销的折价或者溢价金额，调整每期</w:t>
      </w:r>
    </w:p>
    <w:p>
      <w:pPr>
        <w:pStyle w:val="Heading4"/>
        <w:spacing w:line="240" w:lineRule="auto"/>
        <w:ind w:right="1022"/>
        <w:jc w:val="left"/>
      </w:pPr>
      <w:r>
        <w:rPr/>
        <w:t>利息金额。</w:t>
      </w:r>
    </w:p>
    <w:p>
      <w:pPr>
        <w:spacing w:line="240" w:lineRule="auto" w:before="11"/>
        <w:rPr>
          <w:rFonts w:ascii="宋体" w:hAnsi="宋体" w:cs="宋体" w:eastAsia="宋体" w:hint="default"/>
          <w:sz w:val="25"/>
          <w:szCs w:val="25"/>
        </w:rPr>
      </w:pPr>
    </w:p>
    <w:p>
      <w:pPr>
        <w:pStyle w:val="Heading3"/>
        <w:spacing w:line="240" w:lineRule="auto"/>
        <w:ind w:right="1022"/>
        <w:jc w:val="left"/>
        <w:rPr>
          <w:b w:val="0"/>
          <w:bCs w:val="0"/>
        </w:rPr>
      </w:pPr>
      <w:bookmarkStart w:name="19、无形资产" w:id="192"/>
      <w:bookmarkEnd w:id="192"/>
      <w:r>
        <w:rPr>
          <w:b w:val="0"/>
          <w:bCs w:val="0"/>
        </w:rPr>
      </w:r>
      <w:r>
        <w:rPr>
          <w:rFonts w:ascii="Times New Roman" w:hAnsi="Times New Roman" w:cs="Times New Roman" w:eastAsia="Times New Roman" w:hint="default"/>
        </w:rPr>
        <w:t>19</w:t>
      </w:r>
      <w:r>
        <w:rPr/>
        <w:t>、无形资产</w:t>
      </w:r>
      <w:r>
        <w:rPr>
          <w:b w:val="0"/>
          <w:bCs w:val="0"/>
        </w:rPr>
      </w:r>
    </w:p>
    <w:p>
      <w:pPr>
        <w:spacing w:line="590" w:lineRule="atLeast" w:before="23"/>
        <w:ind w:left="574" w:right="1022" w:hanging="420"/>
        <w:jc w:val="left"/>
        <w:rPr>
          <w:rFonts w:ascii="宋体" w:hAnsi="宋体" w:cs="宋体" w:eastAsia="宋体" w:hint="default"/>
          <w:sz w:val="21"/>
          <w:szCs w:val="21"/>
        </w:rPr>
      </w:pPr>
      <w:bookmarkStart w:name="（1）计价方法、使用寿命、减值测试" w:id="193"/>
      <w:bookmarkEnd w:id="19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）计价方法、使用寿命、减值测试</w:t>
      </w:r>
      <w:r>
        <w:rPr>
          <w:rFonts w:ascii="宋体" w:hAnsi="宋体" w:cs="宋体" w:eastAsia="宋体" w:hint="default"/>
          <w:b/>
          <w:bCs/>
          <w:w w:val="99"/>
          <w:sz w:val="21"/>
          <w:szCs w:val="21"/>
        </w:rPr>
        <w:t> </w:t>
      </w:r>
      <w:r>
        <w:rPr>
          <w:rFonts w:ascii="宋体" w:hAnsi="宋体" w:cs="宋体" w:eastAsia="宋体" w:hint="default"/>
          <w:spacing w:val="-1"/>
          <w:sz w:val="21"/>
          <w:szCs w:val="21"/>
        </w:rPr>
        <w:t>无形资产是指本公司拥有或者控制的没有实物形态的可辨认非货币性资产，包括软件、专利权及非专</w:t>
      </w:r>
    </w:p>
    <w:p>
      <w:pPr>
        <w:pStyle w:val="Heading4"/>
        <w:spacing w:line="240" w:lineRule="auto" w:before="37"/>
        <w:ind w:right="1022"/>
        <w:jc w:val="left"/>
      </w:pPr>
      <w:r>
        <w:rPr/>
        <w:t>利技术等。</w:t>
      </w:r>
    </w:p>
    <w:p>
      <w:pPr>
        <w:spacing w:line="273" w:lineRule="auto" w:before="37"/>
        <w:ind w:left="574" w:right="1022" w:firstLine="43"/>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、无形资产的初始计量</w:t>
      </w:r>
      <w:r>
        <w:rPr>
          <w:rFonts w:ascii="宋体" w:hAnsi="宋体" w:cs="宋体" w:eastAsia="宋体" w:hint="default"/>
          <w:b/>
          <w:bCs/>
          <w:w w:val="99"/>
          <w:sz w:val="21"/>
          <w:szCs w:val="21"/>
        </w:rPr>
        <w:t> </w:t>
      </w:r>
      <w:r>
        <w:rPr>
          <w:rFonts w:ascii="宋体" w:hAnsi="宋体" w:cs="宋体" w:eastAsia="宋体" w:hint="default"/>
          <w:spacing w:val="-1"/>
          <w:sz w:val="21"/>
          <w:szCs w:val="21"/>
        </w:rPr>
        <w:t>外购无形资产的成本，包括购买价款、相关税费以及直接归属于使该项资产达到预定用途所发生的其</w:t>
      </w:r>
    </w:p>
    <w:p>
      <w:pPr>
        <w:pStyle w:val="Heading4"/>
        <w:spacing w:line="273" w:lineRule="auto"/>
        <w:ind w:right="1022"/>
        <w:jc w:val="left"/>
      </w:pPr>
      <w:r>
        <w:rPr>
          <w:spacing w:val="-1"/>
        </w:rPr>
        <w:t>他支出。购买无形资产的价款超过正常信用条件延期支付，实质上具有融资性质的，无形资产的成本以购</w:t>
      </w:r>
      <w:r>
        <w:rPr>
          <w:spacing w:val="-83"/>
        </w:rPr>
        <w:t> </w:t>
      </w:r>
      <w:r>
        <w:rPr>
          <w:spacing w:val="-83"/>
        </w:rPr>
      </w:r>
      <w:r>
        <w:rPr/>
        <w:t>买价款的现值为基础确定。</w:t>
      </w:r>
    </w:p>
    <w:p>
      <w:pPr>
        <w:spacing w:after="0" w:line="273"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73" w:lineRule="auto" w:before="35"/>
        <w:ind w:right="1131" w:firstLine="420"/>
        <w:jc w:val="both"/>
      </w:pPr>
      <w:r>
        <w:rPr>
          <w:spacing w:val="-1"/>
        </w:rPr>
        <w:t>债务重组取得债务人用以抵债的无形资产，以该无形资产的公允价值为基础确定其入账价值，并将重</w:t>
      </w:r>
      <w:r>
        <w:rPr/>
        <w:t> 组债务的账面价值与该用以抵债的无形资产公允价值之间的差额，计入当期损益。</w:t>
      </w:r>
    </w:p>
    <w:p>
      <w:pPr>
        <w:pStyle w:val="Heading4"/>
        <w:spacing w:line="273" w:lineRule="auto"/>
        <w:ind w:right="1131" w:firstLine="420"/>
        <w:jc w:val="both"/>
      </w:pPr>
      <w:r>
        <w:rPr>
          <w:spacing w:val="-1"/>
        </w:rPr>
        <w:t>在非货币性资产交换具备商业实质且换入资产或换出资产的公允价值能够可靠计量的前提下，非货币</w:t>
      </w:r>
      <w:r>
        <w:rPr/>
        <w:t> </w:t>
      </w:r>
      <w:r>
        <w:rPr>
          <w:spacing w:val="-1"/>
        </w:rPr>
        <w:t>性资产交换换入的无形资产以换出资产的公允价值为基础确定其入账价值，除非有确凿证据表明换入资产</w:t>
      </w:r>
      <w:r>
        <w:rPr>
          <w:spacing w:val="-81"/>
        </w:rPr>
        <w:t> </w:t>
      </w:r>
      <w:r>
        <w:rPr>
          <w:spacing w:val="-81"/>
        </w:rPr>
      </w:r>
      <w:r>
        <w:rPr>
          <w:spacing w:val="-1"/>
        </w:rPr>
        <w:t>的公允价值更加可靠；不满足上述前提的非货币性资产交换，以换出资产的账面价值和应支付的相关税费</w:t>
      </w:r>
      <w:r>
        <w:rPr>
          <w:spacing w:val="-81"/>
        </w:rPr>
        <w:t> </w:t>
      </w:r>
      <w:r>
        <w:rPr>
          <w:spacing w:val="-81"/>
        </w:rPr>
      </w:r>
      <w:r>
        <w:rPr/>
        <w:t>作为换入无形资产的成本，不确认损益。</w:t>
      </w:r>
    </w:p>
    <w:p>
      <w:pPr>
        <w:pStyle w:val="Heading4"/>
        <w:spacing w:line="273" w:lineRule="auto"/>
        <w:ind w:right="1132" w:firstLine="420"/>
        <w:jc w:val="both"/>
      </w:pPr>
      <w:r>
        <w:rPr>
          <w:spacing w:val="-1"/>
        </w:rPr>
        <w:t>以同一控制下的企业吸收合并方式取得的无形资产按被合并方的账面价值确定其入账价值；以非同一</w:t>
      </w:r>
      <w:r>
        <w:rPr/>
        <w:t> 控制下的企业吸收合并方式取得的无形资产按公允价值确定其入账价值。</w:t>
      </w:r>
    </w:p>
    <w:p>
      <w:pPr>
        <w:pStyle w:val="Heading4"/>
        <w:spacing w:line="273" w:lineRule="auto"/>
        <w:ind w:right="1131" w:firstLine="420"/>
        <w:jc w:val="both"/>
      </w:pPr>
      <w:r>
        <w:rPr>
          <w:spacing w:val="-1"/>
        </w:rPr>
        <w:t>内部自行开发的无形资产，其成本包括：开发该无形资产时耗用的材料、劳务成本、注册费、在开发</w:t>
      </w:r>
      <w:r>
        <w:rPr/>
        <w:t> </w:t>
      </w:r>
      <w:r>
        <w:rPr>
          <w:spacing w:val="-1"/>
        </w:rPr>
        <w:t>过程中使用的其他专利权和特许权的摊销以及满足资本化条件的利息费用，以及为使该无形资产达到预定</w:t>
      </w:r>
      <w:r>
        <w:rPr>
          <w:spacing w:val="-80"/>
        </w:rPr>
        <w:t> </w:t>
      </w:r>
      <w:r>
        <w:rPr>
          <w:spacing w:val="-80"/>
        </w:rPr>
      </w:r>
      <w:r>
        <w:rPr/>
        <w:t>用途前所发生的其他直接费用。</w:t>
      </w:r>
    </w:p>
    <w:p>
      <w:pPr>
        <w:pStyle w:val="Heading4"/>
        <w:spacing w:line="273" w:lineRule="auto"/>
        <w:ind w:left="571" w:right="1095" w:hanging="58"/>
        <w:jc w:val="left"/>
      </w:pPr>
      <w:r>
        <w:rPr>
          <w:rFonts w:ascii="宋体" w:hAnsi="宋体" w:cs="宋体" w:eastAsia="宋体" w:hint="default"/>
          <w:b/>
          <w:bCs/>
        </w:rPr>
        <w:t>2</w:t>
      </w:r>
      <w:r>
        <w:rPr>
          <w:rFonts w:ascii="宋体" w:hAnsi="宋体" w:cs="宋体" w:eastAsia="宋体" w:hint="default"/>
          <w:b/>
          <w:bCs/>
        </w:rPr>
        <w:t>、无形资产的后续计量</w:t>
      </w:r>
      <w:r>
        <w:rPr>
          <w:rFonts w:ascii="宋体" w:hAnsi="宋体" w:cs="宋体" w:eastAsia="宋体" w:hint="default"/>
          <w:b/>
          <w:bCs/>
          <w:w w:val="99"/>
        </w:rPr>
        <w:t> </w:t>
      </w:r>
      <w:r>
        <w:rPr/>
        <w:t>本公司在取得无形资产时分析判断其使用寿命，划分为使用寿命有限和使用寿命不确定的无形资产。 </w:t>
      </w:r>
      <w:r>
        <w:rPr>
          <w:rFonts w:ascii="宋体" w:hAnsi="宋体" w:cs="宋体" w:eastAsia="宋体" w:hint="default"/>
        </w:rPr>
        <w:t>1.</w:t>
      </w:r>
      <w:r>
        <w:rPr/>
        <w:t>使用寿命有限的无形资产 </w:t>
      </w:r>
      <w:r>
        <w:rPr>
          <w:spacing w:val="-1"/>
        </w:rPr>
        <w:t>对于使用寿命有限的无形资产，在为企业带来经济利益的期限内按直线法摊销。使用寿命有限的无形</w:t>
      </w:r>
    </w:p>
    <w:p>
      <w:pPr>
        <w:pStyle w:val="Heading4"/>
        <w:spacing w:line="240" w:lineRule="auto"/>
        <w:ind w:right="1022"/>
        <w:jc w:val="left"/>
      </w:pPr>
      <w:r>
        <w:rPr/>
        <w:t>资产预计寿命及依据如下：</w:t>
      </w:r>
    </w:p>
    <w:p>
      <w:pPr>
        <w:spacing w:line="240" w:lineRule="auto" w:before="13"/>
        <w:rPr>
          <w:rFonts w:ascii="宋体" w:hAnsi="宋体" w:cs="宋体" w:eastAsia="宋体" w:hint="default"/>
          <w:sz w:val="3"/>
          <w:szCs w:val="3"/>
        </w:rPr>
      </w:pPr>
    </w:p>
    <w:tbl>
      <w:tblPr>
        <w:tblW w:w="0" w:type="auto"/>
        <w:jc w:val="left"/>
        <w:tblInd w:w="759" w:type="dxa"/>
        <w:tblLayout w:type="fixed"/>
        <w:tblCellMar>
          <w:top w:w="0" w:type="dxa"/>
          <w:left w:w="0" w:type="dxa"/>
          <w:bottom w:w="0" w:type="dxa"/>
          <w:right w:w="0" w:type="dxa"/>
        </w:tblCellMar>
        <w:tblLook w:val="01E0"/>
      </w:tblPr>
      <w:tblGrid>
        <w:gridCol w:w="2806"/>
        <w:gridCol w:w="2807"/>
        <w:gridCol w:w="2807"/>
      </w:tblGrid>
      <w:tr>
        <w:trPr>
          <w:trHeight w:val="342"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预计使用寿命</w:t>
            </w:r>
          </w:p>
        </w:tc>
        <w:tc>
          <w:tcPr>
            <w:tcW w:w="2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依据</w:t>
            </w:r>
          </w:p>
        </w:tc>
      </w:tr>
      <w:tr>
        <w:trPr>
          <w:trHeight w:val="342"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02"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2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2807"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02"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2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2807"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02"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2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280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5"/>
          <w:szCs w:val="5"/>
        </w:rPr>
      </w:pPr>
    </w:p>
    <w:p>
      <w:pPr>
        <w:pStyle w:val="Heading4"/>
        <w:spacing w:line="273" w:lineRule="auto" w:before="35"/>
        <w:ind w:right="1092" w:firstLine="420"/>
        <w:jc w:val="left"/>
      </w:pPr>
      <w:r>
        <w:rPr/>
        <w:t>每期末，对使用寿命有限的无形资产的使用寿命及摊销方法进行复核，如与原先估计数存在差异的， 进行相应的调整。</w:t>
      </w:r>
    </w:p>
    <w:p>
      <w:pPr>
        <w:pStyle w:val="Heading4"/>
        <w:spacing w:line="273" w:lineRule="auto"/>
        <w:ind w:left="574" w:right="1022"/>
        <w:jc w:val="left"/>
      </w:pPr>
      <w:r>
        <w:rPr/>
        <w:t>经复核，本期期末无形资产的使用寿命及摊销方法与以前估计未有不同。 </w:t>
      </w:r>
      <w:r>
        <w:rPr>
          <w:rFonts w:ascii="宋体" w:hAnsi="宋体" w:cs="宋体" w:eastAsia="宋体" w:hint="default"/>
        </w:rPr>
        <w:t>2.</w:t>
      </w:r>
      <w:r>
        <w:rPr/>
        <w:t>使用寿命不确定的无形资产 </w:t>
      </w:r>
      <w:r>
        <w:rPr>
          <w:spacing w:val="-1"/>
        </w:rPr>
        <w:t>无法预见无形资产为企业带来经济利益期限的，视为使用寿命不确定的无形资产。对于使用寿命不确</w:t>
      </w:r>
    </w:p>
    <w:p>
      <w:pPr>
        <w:pStyle w:val="Heading4"/>
        <w:spacing w:line="273" w:lineRule="auto"/>
        <w:ind w:right="1022"/>
        <w:jc w:val="left"/>
      </w:pPr>
      <w:r>
        <w:rPr>
          <w:spacing w:val="-1"/>
        </w:rPr>
        <w:t>定的无形资产，在持有期间内不摊销，每期末对无形资产的寿命进行复核。如果期末重新复核后仍为不确</w:t>
      </w:r>
      <w:r>
        <w:rPr>
          <w:spacing w:val="-83"/>
        </w:rPr>
        <w:t> </w:t>
      </w:r>
      <w:r>
        <w:rPr>
          <w:spacing w:val="-83"/>
        </w:rPr>
      </w:r>
      <w:r>
        <w:rPr/>
        <w:t>定的，在每个会计期间继续进行减值测试。</w:t>
      </w:r>
    </w:p>
    <w:p>
      <w:pPr>
        <w:pStyle w:val="Heading3"/>
        <w:spacing w:line="590" w:lineRule="atLeast" w:before="9"/>
        <w:ind w:left="566" w:right="4542" w:hanging="413"/>
        <w:jc w:val="left"/>
        <w:rPr>
          <w:b w:val="0"/>
          <w:bCs w:val="0"/>
        </w:rPr>
      </w:pPr>
      <w:bookmarkStart w:name="（2）内部研究开发支出会计政策" w:id="194"/>
      <w:bookmarkEnd w:id="194"/>
      <w:r>
        <w:rPr>
          <w:b w:val="0"/>
          <w:bCs w:val="0"/>
        </w:rPr>
      </w:r>
      <w:r>
        <w:rPr/>
        <w:t>（</w:t>
      </w:r>
      <w:r>
        <w:rPr>
          <w:rFonts w:ascii="Times New Roman" w:hAnsi="Times New Roman" w:cs="Times New Roman" w:eastAsia="Times New Roman" w:hint="default"/>
        </w:rPr>
        <w:t>2</w:t>
      </w:r>
      <w:r>
        <w:rPr/>
        <w:t>）内部研究开发支出会计政策</w:t>
      </w:r>
      <w:r>
        <w:rPr>
          <w:w w:val="99"/>
        </w:rPr>
        <w:t> </w:t>
      </w:r>
      <w:r>
        <w:rPr>
          <w:rFonts w:ascii="宋体" w:hAnsi="宋体" w:cs="宋体" w:eastAsia="宋体" w:hint="default"/>
        </w:rPr>
        <w:t>1</w:t>
      </w:r>
      <w:r>
        <w:rPr/>
        <w:t>、划分公司内部研究开发项目的研究阶段和开发阶段具体标准</w:t>
      </w:r>
      <w:r>
        <w:rPr>
          <w:b w:val="0"/>
          <w:bCs w:val="0"/>
        </w:rPr>
      </w:r>
    </w:p>
    <w:p>
      <w:pPr>
        <w:pStyle w:val="Heading4"/>
        <w:spacing w:line="273" w:lineRule="auto" w:before="37"/>
        <w:ind w:left="574" w:right="1022"/>
        <w:jc w:val="left"/>
      </w:pPr>
      <w:r>
        <w:rPr/>
        <w:t>研究阶段：为获取并理解新的科学或技术知识等而进行的独创性的有计划调查、研究活动的阶段。 </w:t>
      </w:r>
      <w:r>
        <w:rPr>
          <w:spacing w:val="-1"/>
        </w:rPr>
        <w:t>开发阶段：在进行商业性生产或使用前，将研究成果或其他知识应用于某项计划或设计，以生产出新</w:t>
      </w:r>
    </w:p>
    <w:p>
      <w:pPr>
        <w:pStyle w:val="Heading4"/>
        <w:spacing w:line="273" w:lineRule="auto"/>
        <w:ind w:left="566" w:right="3410" w:hanging="413"/>
        <w:jc w:val="left"/>
      </w:pPr>
      <w:r>
        <w:rPr/>
        <w:t>的或具有实质性改进的材料、装置、产品等活动的阶段。 内部研究开发项目研究阶段的支出，在发生时计入当期损益。 </w:t>
      </w:r>
      <w:r>
        <w:rPr>
          <w:rFonts w:ascii="宋体" w:hAnsi="宋体" w:cs="宋体" w:eastAsia="宋体" w:hint="default"/>
          <w:b/>
          <w:bCs/>
        </w:rPr>
        <w:t>2</w:t>
      </w:r>
      <w:r>
        <w:rPr>
          <w:rFonts w:ascii="宋体" w:hAnsi="宋体" w:cs="宋体" w:eastAsia="宋体" w:hint="default"/>
          <w:b/>
          <w:bCs/>
        </w:rPr>
        <w:t>、开发阶段支出符合资本化的具体标准</w:t>
      </w:r>
      <w:r>
        <w:rPr>
          <w:rFonts w:ascii="宋体" w:hAnsi="宋体" w:cs="宋体" w:eastAsia="宋体" w:hint="default"/>
          <w:b/>
          <w:bCs/>
          <w:w w:val="99"/>
        </w:rPr>
        <w:t> </w:t>
      </w:r>
      <w:r>
        <w:rPr/>
        <w:t>内部研究开发项目开发阶段的支出，同时满足下列条件时确认为无形资产：</w:t>
      </w:r>
    </w:p>
    <w:p>
      <w:pPr>
        <w:pStyle w:val="Heading4"/>
        <w:spacing w:line="240" w:lineRule="auto"/>
        <w:ind w:left="574" w:right="1022"/>
        <w:jc w:val="left"/>
      </w:pPr>
      <w:r>
        <w:rPr/>
        <w:t>（</w:t>
      </w:r>
      <w:r>
        <w:rPr>
          <w:rFonts w:ascii="Times New Roman" w:hAnsi="Times New Roman" w:cs="Times New Roman" w:eastAsia="Times New Roman" w:hint="default"/>
        </w:rPr>
        <w:t>1</w:t>
      </w:r>
      <w:r>
        <w:rPr/>
        <w:t>）完成该无形资产以使其能够使用或出售在技术上具有可行性；</w:t>
      </w:r>
    </w:p>
    <w:p>
      <w:pPr>
        <w:pStyle w:val="Heading4"/>
        <w:spacing w:line="240" w:lineRule="auto" w:before="21"/>
        <w:ind w:left="574" w:right="1022"/>
        <w:jc w:val="left"/>
      </w:pPr>
      <w:r>
        <w:rPr/>
        <w:t>（</w:t>
      </w:r>
      <w:r>
        <w:rPr>
          <w:rFonts w:ascii="Times New Roman" w:hAnsi="Times New Roman" w:cs="Times New Roman" w:eastAsia="Times New Roman" w:hint="default"/>
        </w:rPr>
        <w:t>2</w:t>
      </w:r>
      <w:r>
        <w:rPr/>
        <w:t>）具有完成该无形资产并使用或出售的意图；</w:t>
      </w:r>
    </w:p>
    <w:p>
      <w:pPr>
        <w:pStyle w:val="Heading4"/>
        <w:spacing w:line="256" w:lineRule="auto" w:before="21"/>
        <w:ind w:right="1022" w:firstLine="420"/>
        <w:jc w:val="left"/>
      </w:pPr>
      <w:r>
        <w:rPr/>
        <w:t>（</w:t>
      </w:r>
      <w:r>
        <w:rPr>
          <w:rFonts w:ascii="Times New Roman" w:hAnsi="Times New Roman" w:cs="Times New Roman" w:eastAsia="Times New Roman" w:hint="default"/>
        </w:rPr>
        <w:t>3</w:t>
      </w:r>
      <w:r>
        <w:rPr/>
        <w:t>）无形资产产生经济利益的方式，包括能够证明运用该无形资产生产的产品存在市场或无形资产 自身存在市场，无形资产将在内部使用的，能够证明其有用性；</w:t>
      </w:r>
    </w:p>
    <w:p>
      <w:pPr>
        <w:pStyle w:val="Heading4"/>
        <w:spacing w:line="256" w:lineRule="auto" w:before="22"/>
        <w:ind w:right="1022" w:firstLine="420"/>
        <w:jc w:val="left"/>
      </w:pPr>
      <w:r>
        <w:rPr/>
        <w:t>（</w:t>
      </w:r>
      <w:r>
        <w:rPr>
          <w:rFonts w:ascii="Times New Roman" w:hAnsi="Times New Roman" w:cs="Times New Roman" w:eastAsia="Times New Roman" w:hint="default"/>
        </w:rPr>
        <w:t>4</w:t>
      </w:r>
      <w:r>
        <w:rPr/>
        <w:t>）有足够的技术、财务资源和其他资源支持，以完成该无形资产的开发，并有能力使用或出售该 无形资产；</w:t>
      </w:r>
    </w:p>
    <w:p>
      <w:pPr>
        <w:pStyle w:val="Heading4"/>
        <w:spacing w:line="240" w:lineRule="auto" w:before="22"/>
        <w:ind w:left="574" w:right="1022"/>
        <w:jc w:val="left"/>
      </w:pPr>
      <w:r>
        <w:rPr/>
        <w:t>（</w:t>
      </w:r>
      <w:r>
        <w:rPr>
          <w:rFonts w:ascii="Times New Roman" w:hAnsi="Times New Roman" w:cs="Times New Roman" w:eastAsia="Times New Roman" w:hint="default"/>
        </w:rPr>
        <w:t>5</w:t>
      </w:r>
      <w:r>
        <w:rPr/>
        <w:t>）归属于该无形资产开发阶段的支出能够可靠地计量。</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73" w:lineRule="auto" w:before="35"/>
        <w:ind w:right="1131" w:firstLine="420"/>
        <w:jc w:val="both"/>
      </w:pPr>
      <w:r>
        <w:rPr>
          <w:spacing w:val="-1"/>
        </w:rPr>
        <w:t>内部研究开发支出的资本化时点：研发项目经过前期市场调研和项目可行性论证，报经公司批准立项</w:t>
      </w:r>
      <w:r>
        <w:rPr/>
        <w:t> 后发生的开发费用计入开发支出，予以转资本化。</w:t>
      </w:r>
    </w:p>
    <w:p>
      <w:pPr>
        <w:pStyle w:val="Heading4"/>
        <w:spacing w:line="273" w:lineRule="auto"/>
        <w:ind w:right="1131" w:firstLine="420"/>
        <w:jc w:val="both"/>
      </w:pPr>
      <w:r>
        <w:rPr>
          <w:spacing w:val="-1"/>
        </w:rPr>
        <w:t>不满足上述条件的开发阶段的支出，于发生时计入当期损益。以前期间已计入损益的开发支出不在以</w:t>
      </w:r>
      <w:r>
        <w:rPr/>
        <w:t> </w:t>
      </w:r>
      <w:r>
        <w:rPr>
          <w:spacing w:val="-1"/>
        </w:rPr>
        <w:t>后期间重新确认为资产。已资本化的开发阶段的支出在资产负债表上列示为开发支出，自该项目达到预定</w:t>
      </w:r>
      <w:r>
        <w:rPr>
          <w:spacing w:val="-81"/>
        </w:rPr>
        <w:t> </w:t>
      </w:r>
      <w:r>
        <w:rPr>
          <w:spacing w:val="-81"/>
        </w:rPr>
      </w:r>
      <w:r>
        <w:rPr/>
        <w:t>用途之日起转为无形资产。</w:t>
      </w:r>
    </w:p>
    <w:p>
      <w:pPr>
        <w:pStyle w:val="Heading4"/>
        <w:spacing w:line="590" w:lineRule="atLeast" w:before="9"/>
        <w:ind w:left="574" w:right="1092" w:hanging="420"/>
        <w:jc w:val="left"/>
      </w:pPr>
      <w:bookmarkStart w:name="20、长期资产减值" w:id="195"/>
      <w:bookmarkEnd w:id="195"/>
      <w:r>
        <w:rPr/>
      </w:r>
      <w:r>
        <w:rPr>
          <w:rFonts w:ascii="Times New Roman" w:hAnsi="Times New Roman" w:cs="Times New Roman" w:eastAsia="Times New Roman" w:hint="default"/>
          <w:b/>
          <w:bCs/>
        </w:rPr>
        <w:t>20</w:t>
      </w:r>
      <w:r>
        <w:rPr>
          <w:rFonts w:ascii="宋体" w:hAnsi="宋体" w:cs="宋体" w:eastAsia="宋体" w:hint="default"/>
          <w:b/>
          <w:bCs/>
        </w:rPr>
        <w:t>、长期资产减值</w:t>
      </w:r>
      <w:r>
        <w:rPr>
          <w:rFonts w:ascii="宋体" w:hAnsi="宋体" w:cs="宋体" w:eastAsia="宋体" w:hint="default"/>
          <w:b/>
          <w:bCs/>
          <w:w w:val="99"/>
        </w:rPr>
        <w:t> </w:t>
      </w:r>
      <w:r>
        <w:rPr/>
        <w:t>本公司在资产负债表日判断长期资产是否存在可能发生减值的迹象。如果长期资产存在减值迹象的，</w:t>
      </w:r>
    </w:p>
    <w:p>
      <w:pPr>
        <w:pStyle w:val="Heading4"/>
        <w:spacing w:line="273" w:lineRule="auto" w:before="37"/>
        <w:ind w:right="1022"/>
        <w:jc w:val="left"/>
      </w:pPr>
      <w:r>
        <w:rPr>
          <w:spacing w:val="-1"/>
        </w:rPr>
        <w:t>以单项资产为基础估计其可收回金额；难以对单项资产的可收回金额进行估计的，以该资产所属的资产组</w:t>
      </w:r>
      <w:r>
        <w:rPr>
          <w:spacing w:val="-81"/>
        </w:rPr>
        <w:t> </w:t>
      </w:r>
      <w:r>
        <w:rPr>
          <w:spacing w:val="-81"/>
        </w:rPr>
      </w:r>
      <w:r>
        <w:rPr/>
        <w:t>为基础确定资产组的可收回金额。</w:t>
      </w:r>
    </w:p>
    <w:p>
      <w:pPr>
        <w:pStyle w:val="Heading4"/>
        <w:spacing w:line="273" w:lineRule="auto"/>
        <w:ind w:right="1132" w:firstLine="420"/>
        <w:jc w:val="both"/>
      </w:pPr>
      <w:r>
        <w:rPr>
          <w:spacing w:val="-1"/>
        </w:rPr>
        <w:t>资产可收回金额的估计，根据其公允价值减去处置费用后的净额与资产预计未来现金流量的现值两者</w:t>
      </w:r>
      <w:r>
        <w:rPr/>
        <w:t> 之间较高者确定。</w:t>
      </w:r>
    </w:p>
    <w:p>
      <w:pPr>
        <w:pStyle w:val="Heading4"/>
        <w:spacing w:line="273" w:lineRule="auto"/>
        <w:ind w:right="1131" w:firstLine="420"/>
        <w:jc w:val="both"/>
      </w:pPr>
      <w:r>
        <w:rPr>
          <w:spacing w:val="-1"/>
        </w:rPr>
        <w:t>可收回金额的计量结果表明，长期资产的可收回金额低于其账面价值的，将长期资产的账面价值减记</w:t>
      </w:r>
      <w:r>
        <w:rPr/>
        <w:t> </w:t>
      </w:r>
      <w:r>
        <w:rPr>
          <w:spacing w:val="-1"/>
        </w:rPr>
        <w:t>至可收回金额，减记的金额确认为资产减值损失，计入当期损益，同时计提相应的资产减值准备。资产减</w:t>
      </w:r>
      <w:r>
        <w:rPr>
          <w:spacing w:val="-85"/>
        </w:rPr>
        <w:t> </w:t>
      </w:r>
      <w:r>
        <w:rPr>
          <w:spacing w:val="-85"/>
        </w:rPr>
      </w:r>
      <w:r>
        <w:rPr/>
        <w:t>值损失一经确认，在以后会计期间不得转回。</w:t>
      </w:r>
    </w:p>
    <w:p>
      <w:pPr>
        <w:pStyle w:val="Heading4"/>
        <w:spacing w:line="273" w:lineRule="auto"/>
        <w:ind w:right="1131" w:firstLine="420"/>
        <w:jc w:val="both"/>
      </w:pPr>
      <w:r>
        <w:rPr>
          <w:spacing w:val="-1"/>
        </w:rPr>
        <w:t>资产减值损失确认后，减值资产的折旧或者摊销费用在未来期间作相应调整，以使该资产在剩余使用</w:t>
      </w:r>
      <w:r>
        <w:rPr/>
        <w:t> 寿命内，系统地分摊调整后的资产账面价值（扣除预计净残值）。</w:t>
      </w:r>
    </w:p>
    <w:p>
      <w:pPr>
        <w:pStyle w:val="Heading4"/>
        <w:spacing w:line="273" w:lineRule="auto"/>
        <w:ind w:right="1131" w:firstLine="420"/>
        <w:jc w:val="both"/>
      </w:pPr>
      <w:r>
        <w:rPr>
          <w:spacing w:val="-1"/>
        </w:rPr>
        <w:t>因企业合并所形成的商誉和使用寿命不确定的无形资产，无论是否存在减值迹象，每年都进行减值测</w:t>
      </w:r>
      <w:r>
        <w:rPr/>
        <w:t> 试。</w:t>
      </w:r>
    </w:p>
    <w:p>
      <w:pPr>
        <w:pStyle w:val="Heading4"/>
        <w:spacing w:line="273" w:lineRule="auto"/>
        <w:ind w:right="1131" w:firstLine="420"/>
        <w:jc w:val="both"/>
      </w:pPr>
      <w:r>
        <w:rPr>
          <w:spacing w:val="-1"/>
        </w:rPr>
        <w:t>在对商誉进行减值测试时，将商誉的账面价值分摊至预期从企业合并的协同效应中受益的资产组或资</w:t>
      </w:r>
      <w:r>
        <w:rPr/>
        <w:t> </w:t>
      </w:r>
      <w:r>
        <w:rPr>
          <w:spacing w:val="-1"/>
        </w:rPr>
        <w:t>产组组合。在对包含商誉的相关资产组或者资产组组合进行减值测试时，如与商誉相关的资产组或者资产</w:t>
      </w:r>
      <w:r>
        <w:rPr>
          <w:spacing w:val="-81"/>
        </w:rPr>
        <w:t> </w:t>
      </w:r>
      <w:r>
        <w:rPr>
          <w:spacing w:val="-81"/>
        </w:rPr>
      </w:r>
      <w:r>
        <w:rPr>
          <w:spacing w:val="-1"/>
        </w:rPr>
        <w:t>组组合存在减值迹象的，先对不包含商誉的资产组或者资产组组合进行减值测试，计算可收回金额，并与</w:t>
      </w:r>
      <w:r>
        <w:rPr>
          <w:spacing w:val="-83"/>
        </w:rPr>
        <w:t> </w:t>
      </w:r>
      <w:r>
        <w:rPr>
          <w:spacing w:val="-83"/>
        </w:rPr>
      </w:r>
      <w:r>
        <w:rPr>
          <w:spacing w:val="-1"/>
        </w:rPr>
        <w:t>相关账面价值相比较，确认相应的减值损失。再对包含商誉的资产组或者资产组组合进行减值测试，比较</w:t>
      </w:r>
      <w:r>
        <w:rPr>
          <w:spacing w:val="-83"/>
        </w:rPr>
        <w:t> </w:t>
      </w:r>
      <w:r>
        <w:rPr>
          <w:spacing w:val="-83"/>
        </w:rPr>
      </w:r>
      <w:r>
        <w:rPr>
          <w:spacing w:val="-1"/>
        </w:rPr>
        <w:t>这些相关资产组或者资产组组合的账面价值（包括所分摊的商誉的账面价值部分）与其可收回金额，如相</w:t>
      </w:r>
      <w:r>
        <w:rPr>
          <w:spacing w:val="-83"/>
        </w:rPr>
        <w:t> </w:t>
      </w:r>
      <w:r>
        <w:rPr>
          <w:spacing w:val="-83"/>
        </w:rPr>
      </w:r>
      <w:r>
        <w:rPr/>
        <w:t>关资产组或者资产组组合的可收回金额低于其账面价值的，确认商誉的减值损失。</w:t>
      </w:r>
    </w:p>
    <w:p>
      <w:pPr>
        <w:spacing w:line="240" w:lineRule="auto" w:before="8"/>
        <w:rPr>
          <w:rFonts w:ascii="宋体" w:hAnsi="宋体" w:cs="宋体" w:eastAsia="宋体" w:hint="default"/>
          <w:sz w:val="23"/>
          <w:szCs w:val="23"/>
        </w:rPr>
      </w:pPr>
    </w:p>
    <w:p>
      <w:pPr>
        <w:pStyle w:val="Heading3"/>
        <w:spacing w:line="240" w:lineRule="auto"/>
        <w:ind w:right="1022"/>
        <w:jc w:val="left"/>
        <w:rPr>
          <w:b w:val="0"/>
          <w:bCs w:val="0"/>
        </w:rPr>
      </w:pPr>
      <w:bookmarkStart w:name="21、长期待摊费用" w:id="196"/>
      <w:bookmarkEnd w:id="196"/>
      <w:r>
        <w:rPr>
          <w:b w:val="0"/>
          <w:bCs w:val="0"/>
        </w:rPr>
      </w:r>
      <w:r>
        <w:rPr>
          <w:rFonts w:ascii="Times New Roman" w:hAnsi="Times New Roman" w:cs="Times New Roman" w:eastAsia="Times New Roman" w:hint="default"/>
        </w:rPr>
        <w:t>21</w:t>
      </w:r>
      <w:r>
        <w:rPr/>
        <w:t>、长期待摊费用</w:t>
      </w:r>
      <w:r>
        <w:rPr>
          <w:b w:val="0"/>
          <w:bCs w:val="0"/>
        </w:rPr>
      </w:r>
    </w:p>
    <w:p>
      <w:pPr>
        <w:spacing w:line="240" w:lineRule="auto" w:before="7"/>
        <w:rPr>
          <w:rFonts w:ascii="宋体" w:hAnsi="宋体" w:cs="宋体" w:eastAsia="宋体" w:hint="default"/>
          <w:b/>
          <w:bCs/>
          <w:sz w:val="24"/>
          <w:szCs w:val="24"/>
        </w:rPr>
      </w:pPr>
    </w:p>
    <w:p>
      <w:pPr>
        <w:pStyle w:val="Heading4"/>
        <w:spacing w:line="256" w:lineRule="auto" w:before="0"/>
        <w:ind w:left="574" w:right="1022" w:hanging="8"/>
        <w:jc w:val="left"/>
      </w:pPr>
      <w:r>
        <w:rPr>
          <w:rFonts w:ascii="Times New Roman" w:hAnsi="Times New Roman" w:cs="Times New Roman" w:eastAsia="Times New Roman" w:hint="default"/>
          <w:b/>
          <w:bCs/>
        </w:rPr>
        <w:t>1</w:t>
      </w:r>
      <w:r>
        <w:rPr>
          <w:rFonts w:ascii="宋体" w:hAnsi="宋体" w:cs="宋体" w:eastAsia="宋体" w:hint="default"/>
          <w:b/>
          <w:bCs/>
        </w:rPr>
        <w:t>、摊销方法</w:t>
      </w:r>
      <w:r>
        <w:rPr>
          <w:rFonts w:ascii="宋体" w:hAnsi="宋体" w:cs="宋体" w:eastAsia="宋体" w:hint="default"/>
          <w:b/>
          <w:bCs/>
          <w:w w:val="99"/>
        </w:rPr>
        <w:t> </w:t>
      </w:r>
      <w:r>
        <w:rPr/>
        <w:t>长期待摊费用，是指本公司已经发生但应由本期和以后各期负担的分摊期限在</w:t>
      </w:r>
      <w:r>
        <w:rPr>
          <w:rFonts w:ascii="Times New Roman" w:hAnsi="Times New Roman" w:cs="Times New Roman" w:eastAsia="Times New Roman" w:hint="default"/>
        </w:rPr>
        <w:t>1</w:t>
      </w:r>
      <w:r>
        <w:rPr/>
        <w:t>年以上的各项费用。</w:t>
      </w:r>
    </w:p>
    <w:p>
      <w:pPr>
        <w:pStyle w:val="Heading4"/>
        <w:spacing w:line="240" w:lineRule="auto" w:before="5"/>
        <w:ind w:right="1022"/>
        <w:jc w:val="left"/>
      </w:pPr>
      <w:r>
        <w:rPr/>
        <w:t>长期待摊费用在受益期内按直线法分期摊销。</w:t>
      </w:r>
    </w:p>
    <w:p>
      <w:pPr>
        <w:pStyle w:val="Heading3"/>
        <w:spacing w:line="240" w:lineRule="auto" w:before="37"/>
        <w:ind w:left="566" w:right="1022"/>
        <w:jc w:val="left"/>
        <w:rPr>
          <w:b w:val="0"/>
          <w:bCs w:val="0"/>
        </w:rPr>
      </w:pPr>
      <w:r>
        <w:rPr>
          <w:rFonts w:ascii="Times New Roman" w:hAnsi="Times New Roman" w:cs="Times New Roman" w:eastAsia="Times New Roman" w:hint="default"/>
        </w:rPr>
        <w:t>2</w:t>
      </w:r>
      <w:r>
        <w:rPr/>
        <w:t>、摊销年限</w:t>
      </w:r>
      <w:r>
        <w:rPr>
          <w:b w:val="0"/>
          <w:bCs w:val="0"/>
        </w:rPr>
      </w:r>
    </w:p>
    <w:p>
      <w:pPr>
        <w:spacing w:line="240" w:lineRule="auto" w:before="10"/>
        <w:rPr>
          <w:rFonts w:ascii="宋体" w:hAnsi="宋体" w:cs="宋体" w:eastAsia="宋体" w:hint="default"/>
          <w:b/>
          <w:bCs/>
          <w:sz w:val="2"/>
          <w:szCs w:val="2"/>
        </w:rPr>
      </w:pPr>
    </w:p>
    <w:tbl>
      <w:tblPr>
        <w:tblW w:w="0" w:type="auto"/>
        <w:jc w:val="left"/>
        <w:tblInd w:w="705" w:type="dxa"/>
        <w:tblLayout w:type="fixed"/>
        <w:tblCellMar>
          <w:top w:w="0" w:type="dxa"/>
          <w:left w:w="0" w:type="dxa"/>
          <w:bottom w:w="0" w:type="dxa"/>
          <w:right w:w="0" w:type="dxa"/>
        </w:tblCellMar>
        <w:tblLook w:val="01E0"/>
      </w:tblPr>
      <w:tblGrid>
        <w:gridCol w:w="2842"/>
        <w:gridCol w:w="2843"/>
        <w:gridCol w:w="2843"/>
      </w:tblGrid>
      <w:tr>
        <w:trPr>
          <w:trHeight w:val="342"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摊销年限</w:t>
            </w:r>
          </w:p>
        </w:tc>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342"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装修费用</w:t>
            </w:r>
          </w:p>
        </w:tc>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年</w:t>
            </w:r>
          </w:p>
        </w:tc>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预计收益期限</w:t>
            </w:r>
          </w:p>
        </w:tc>
      </w:tr>
      <w:tr>
        <w:trPr>
          <w:trHeight w:val="342"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房屋改造布线工程</w:t>
            </w:r>
          </w:p>
        </w:tc>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年</w:t>
            </w:r>
          </w:p>
        </w:tc>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预计收益期限</w:t>
            </w:r>
          </w:p>
        </w:tc>
      </w:tr>
      <w:tr>
        <w:trPr>
          <w:trHeight w:val="342"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经营租入固定资产改良</w:t>
            </w:r>
          </w:p>
        </w:tc>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年</w:t>
            </w:r>
          </w:p>
        </w:tc>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预计收益期限</w:t>
            </w:r>
          </w:p>
        </w:tc>
      </w:tr>
    </w:tbl>
    <w:p>
      <w:pPr>
        <w:spacing w:line="240" w:lineRule="auto" w:before="2"/>
        <w:rPr>
          <w:rFonts w:ascii="宋体" w:hAnsi="宋体" w:cs="宋体" w:eastAsia="宋体" w:hint="default"/>
          <w:b/>
          <w:bCs/>
          <w:sz w:val="19"/>
          <w:szCs w:val="19"/>
        </w:rPr>
      </w:pPr>
    </w:p>
    <w:p>
      <w:pPr>
        <w:pStyle w:val="Heading3"/>
        <w:spacing w:line="240" w:lineRule="auto" w:before="35"/>
        <w:ind w:right="1022"/>
        <w:jc w:val="left"/>
        <w:rPr>
          <w:b w:val="0"/>
          <w:bCs w:val="0"/>
        </w:rPr>
      </w:pPr>
      <w:bookmarkStart w:name="22、职工薪酬" w:id="197"/>
      <w:bookmarkEnd w:id="197"/>
      <w:r>
        <w:rPr>
          <w:b w:val="0"/>
          <w:bCs w:val="0"/>
        </w:rPr>
      </w:r>
      <w:r>
        <w:rPr>
          <w:rFonts w:ascii="Times New Roman" w:hAnsi="Times New Roman" w:cs="Times New Roman" w:eastAsia="Times New Roman" w:hint="default"/>
        </w:rPr>
        <w:t>22</w:t>
      </w:r>
      <w:r>
        <w:rPr/>
        <w:t>、职工薪酬</w:t>
      </w:r>
      <w:r>
        <w:rPr>
          <w:b w:val="0"/>
          <w:bCs w:val="0"/>
        </w:rPr>
      </w:r>
    </w:p>
    <w:p>
      <w:pPr>
        <w:spacing w:line="590" w:lineRule="atLeast" w:before="23"/>
        <w:ind w:left="490" w:right="1022" w:hanging="336"/>
        <w:jc w:val="left"/>
        <w:rPr>
          <w:rFonts w:ascii="宋体" w:hAnsi="宋体" w:cs="宋体" w:eastAsia="宋体" w:hint="default"/>
          <w:sz w:val="21"/>
          <w:szCs w:val="21"/>
        </w:rPr>
      </w:pPr>
      <w:bookmarkStart w:name="（1）短期薪酬的会计处理方法" w:id="198"/>
      <w:bookmarkEnd w:id="19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）短期薪酬的会计处理方法</w:t>
      </w:r>
      <w:r>
        <w:rPr>
          <w:rFonts w:ascii="宋体" w:hAnsi="宋体" w:cs="宋体" w:eastAsia="宋体" w:hint="default"/>
          <w:b/>
          <w:bCs/>
          <w:w w:val="99"/>
          <w:sz w:val="21"/>
          <w:szCs w:val="21"/>
        </w:rPr>
        <w:t> </w:t>
      </w:r>
      <w:r>
        <w:rPr>
          <w:rFonts w:ascii="宋体" w:hAnsi="宋体" w:cs="宋体" w:eastAsia="宋体" w:hint="default"/>
          <w:sz w:val="21"/>
          <w:szCs w:val="21"/>
        </w:rPr>
        <w:t>短期薪酬是指本公司在职工提供相关服务的年度报告期间结束后十二个月内需要全部予以支付的职工</w:t>
      </w:r>
    </w:p>
    <w:p>
      <w:pPr>
        <w:pStyle w:val="Heading4"/>
        <w:spacing w:line="240" w:lineRule="auto" w:before="37"/>
        <w:ind w:right="1022"/>
        <w:jc w:val="left"/>
      </w:pPr>
      <w:r>
        <w:rPr/>
        <w:t>薪酬，离职后福利和辞退福利除外。本公司在职工提供服务的会计期间，将应付的短期薪酬确认为负债，</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1022"/>
        <w:jc w:val="left"/>
      </w:pPr>
      <w:r>
        <w:rPr/>
        <w:t>并根据职工提供服务的受益对象计入相关资产成本和费用。</w:t>
      </w:r>
    </w:p>
    <w:p>
      <w:pPr>
        <w:spacing w:line="590" w:lineRule="atLeast" w:before="39"/>
        <w:ind w:left="574" w:right="1022" w:hanging="420"/>
        <w:jc w:val="left"/>
        <w:rPr>
          <w:rFonts w:ascii="宋体" w:hAnsi="宋体" w:cs="宋体" w:eastAsia="宋体" w:hint="default"/>
          <w:sz w:val="21"/>
          <w:szCs w:val="21"/>
        </w:rPr>
      </w:pPr>
      <w:bookmarkStart w:name="（2）离职后福利的会计处理方法" w:id="199"/>
      <w:bookmarkEnd w:id="19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）离职后福利的会计处理方法</w:t>
      </w:r>
      <w:r>
        <w:rPr>
          <w:rFonts w:ascii="宋体" w:hAnsi="宋体" w:cs="宋体" w:eastAsia="宋体" w:hint="default"/>
          <w:b/>
          <w:bCs/>
          <w:w w:val="99"/>
          <w:sz w:val="21"/>
          <w:szCs w:val="21"/>
        </w:rPr>
        <w:t> </w:t>
      </w:r>
      <w:r>
        <w:rPr>
          <w:rFonts w:ascii="宋体" w:hAnsi="宋体" w:cs="宋体" w:eastAsia="宋体" w:hint="default"/>
          <w:spacing w:val="-1"/>
          <w:sz w:val="21"/>
          <w:szCs w:val="21"/>
        </w:rPr>
        <w:t>离职后福利是指本公司为获得职工提供的服务而在职工退休或与企业解除劳动关系后，提供的各种形</w:t>
      </w:r>
    </w:p>
    <w:p>
      <w:pPr>
        <w:pStyle w:val="Heading4"/>
        <w:spacing w:line="273" w:lineRule="auto" w:before="37"/>
        <w:ind w:left="574" w:right="6132" w:hanging="420"/>
        <w:jc w:val="left"/>
      </w:pPr>
      <w:r>
        <w:rPr/>
        <w:t>式的报酬和福利，短期薪酬和辞退福利除外。 本公司的离职后福利计划全部为设定提存计划</w:t>
      </w:r>
    </w:p>
    <w:p>
      <w:pPr>
        <w:pStyle w:val="Heading4"/>
        <w:spacing w:line="273" w:lineRule="auto"/>
        <w:ind w:right="1131" w:firstLine="420"/>
        <w:jc w:val="both"/>
      </w:pPr>
      <w:r>
        <w:rPr>
          <w:spacing w:val="-1"/>
        </w:rPr>
        <w:t>离职后福利设定提存计划主要为参加由各地劳动及社会保障机构组织实施的社会基本养老保险、失业</w:t>
      </w:r>
      <w:r>
        <w:rPr/>
        <w:t> </w:t>
      </w:r>
      <w:r>
        <w:rPr>
          <w:spacing w:val="-1"/>
        </w:rPr>
        <w:t>保险等。在职工为本公司提供服务的会计期间，将根据设定提存计划计算的应缴存金额确认为负债，并计</w:t>
      </w:r>
      <w:r>
        <w:rPr>
          <w:spacing w:val="-83"/>
        </w:rPr>
        <w:t> </w:t>
      </w:r>
      <w:r>
        <w:rPr>
          <w:spacing w:val="-83"/>
        </w:rPr>
      </w:r>
      <w:r>
        <w:rPr/>
        <w:t>入当期损益或相关资产成本。</w:t>
      </w:r>
    </w:p>
    <w:p>
      <w:pPr>
        <w:spacing w:line="590" w:lineRule="atLeast" w:before="9"/>
        <w:ind w:left="574" w:right="1022" w:hanging="420"/>
        <w:jc w:val="left"/>
        <w:rPr>
          <w:rFonts w:ascii="宋体" w:hAnsi="宋体" w:cs="宋体" w:eastAsia="宋体" w:hint="default"/>
          <w:sz w:val="21"/>
          <w:szCs w:val="21"/>
        </w:rPr>
      </w:pPr>
      <w:bookmarkStart w:name="（3）辞退福利的会计处理方法" w:id="200"/>
      <w:bookmarkEnd w:id="20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）辞退福利的会计处理方法</w:t>
      </w:r>
      <w:r>
        <w:rPr>
          <w:rFonts w:ascii="宋体" w:hAnsi="宋体" w:cs="宋体" w:eastAsia="宋体" w:hint="default"/>
          <w:b/>
          <w:bCs/>
          <w:w w:val="99"/>
          <w:sz w:val="21"/>
          <w:szCs w:val="21"/>
        </w:rPr>
        <w:t> </w:t>
      </w:r>
      <w:r>
        <w:rPr>
          <w:rFonts w:ascii="宋体" w:hAnsi="宋体" w:cs="宋体" w:eastAsia="宋体" w:hint="default"/>
          <w:spacing w:val="-1"/>
          <w:sz w:val="21"/>
          <w:szCs w:val="21"/>
        </w:rPr>
        <w:t>辞退福利是指本公司在职工劳动合同到期之前解除与职工的劳动关系，或者为鼓励职工自愿接受裁减</w:t>
      </w:r>
    </w:p>
    <w:p>
      <w:pPr>
        <w:pStyle w:val="Heading4"/>
        <w:spacing w:line="273" w:lineRule="auto" w:before="37"/>
        <w:ind w:right="1130"/>
        <w:jc w:val="both"/>
      </w:pPr>
      <w:r>
        <w:rPr>
          <w:spacing w:val="-1"/>
        </w:rPr>
        <w:t>而给予职工的补偿，在本公司不能单方面撤回解除劳动关系计划或裁减建议时和确认与涉及支付辞退福利</w:t>
      </w:r>
      <w:r>
        <w:rPr>
          <w:spacing w:val="-80"/>
        </w:rPr>
        <w:t> </w:t>
      </w:r>
      <w:r>
        <w:rPr>
          <w:spacing w:val="-80"/>
        </w:rPr>
      </w:r>
      <w:r>
        <w:rPr>
          <w:spacing w:val="-1"/>
        </w:rPr>
        <w:t>的重组相关的成本费用时两者孰早日，确认因解除与职工的劳动关系给予补偿而产生的负债，同时计入当</w:t>
      </w:r>
      <w:r>
        <w:rPr>
          <w:spacing w:val="-81"/>
        </w:rPr>
        <w:t> </w:t>
      </w:r>
      <w:r>
        <w:rPr>
          <w:spacing w:val="-81"/>
        </w:rPr>
      </w:r>
      <w:r>
        <w:rPr/>
        <w:t>期损益。</w:t>
      </w:r>
    </w:p>
    <w:p>
      <w:pPr>
        <w:pStyle w:val="Heading4"/>
        <w:spacing w:line="273" w:lineRule="auto"/>
        <w:ind w:right="1131" w:firstLine="420"/>
        <w:jc w:val="both"/>
      </w:pPr>
      <w:r>
        <w:rPr>
          <w:spacing w:val="-1"/>
        </w:rPr>
        <w:t>本公司向接受内部退休安排的职工提供内退福利。内退福利是指，向未达到国家规定的退休年龄、经</w:t>
      </w:r>
      <w:r>
        <w:rPr/>
        <w:t> </w:t>
      </w:r>
      <w:r>
        <w:rPr>
          <w:spacing w:val="-1"/>
        </w:rPr>
        <w:t>本公司管理层批准自愿退出工作岗位的职工支付的工资及为其缴纳的社会保险费等。本公司自内部退休安</w:t>
      </w:r>
      <w:r>
        <w:rPr>
          <w:spacing w:val="-81"/>
        </w:rPr>
        <w:t> </w:t>
      </w:r>
      <w:r>
        <w:rPr>
          <w:spacing w:val="-81"/>
        </w:rPr>
      </w:r>
      <w:r>
        <w:rPr>
          <w:spacing w:val="-1"/>
        </w:rPr>
        <w:t>排开始之日起至职工达到正常退休年龄止，向内退职工支付内部退养福利。对于内退福利，本公司比照辞</w:t>
      </w:r>
      <w:r>
        <w:rPr>
          <w:spacing w:val="-83"/>
        </w:rPr>
        <w:t> </w:t>
      </w:r>
      <w:r>
        <w:rPr>
          <w:spacing w:val="-83"/>
        </w:rPr>
      </w:r>
      <w:r>
        <w:rPr>
          <w:spacing w:val="-1"/>
        </w:rPr>
        <w:t>退福利进行会计处理，在符合辞退福利相关确认条件时，将自职工停止提供服务日至正常退休日期间拟支</w:t>
      </w:r>
      <w:r>
        <w:rPr>
          <w:spacing w:val="-81"/>
        </w:rPr>
        <w:t> </w:t>
      </w:r>
      <w:r>
        <w:rPr>
          <w:spacing w:val="-81"/>
        </w:rPr>
      </w:r>
      <w:r>
        <w:rPr>
          <w:spacing w:val="-1"/>
        </w:rPr>
        <w:t>付的内退职工工资和缴纳的社会保险费等，确认为负债，一次性计入当期损益。内退福利的精算假设变化</w:t>
      </w:r>
      <w:r>
        <w:rPr>
          <w:spacing w:val="-83"/>
        </w:rPr>
        <w:t> </w:t>
      </w:r>
      <w:r>
        <w:rPr>
          <w:spacing w:val="-83"/>
        </w:rPr>
      </w:r>
      <w:r>
        <w:rPr/>
        <w:t>及福利标准调整引起的差异于发生时计入当期损益。</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3"/>
        <w:spacing w:line="240" w:lineRule="auto"/>
        <w:ind w:right="1022"/>
        <w:jc w:val="left"/>
        <w:rPr>
          <w:b w:val="0"/>
          <w:bCs w:val="0"/>
        </w:rPr>
      </w:pPr>
      <w:bookmarkStart w:name="（4）其他长期职工福利的会计处理方法" w:id="201"/>
      <w:bookmarkEnd w:id="201"/>
      <w:r>
        <w:rPr>
          <w:b w:val="0"/>
          <w:bCs w:val="0"/>
        </w:rPr>
      </w: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7"/>
        <w:rPr>
          <w:rFonts w:ascii="宋体" w:hAnsi="宋体" w:cs="宋体" w:eastAsia="宋体" w:hint="default"/>
          <w:b/>
          <w:bCs/>
          <w:sz w:val="24"/>
          <w:szCs w:val="24"/>
        </w:rPr>
      </w:pPr>
    </w:p>
    <w:p>
      <w:pPr>
        <w:pStyle w:val="Heading4"/>
        <w:spacing w:line="273" w:lineRule="auto" w:before="0"/>
        <w:ind w:left="574" w:right="1022"/>
        <w:jc w:val="left"/>
      </w:pPr>
      <w:r>
        <w:rPr/>
        <w:t>其他长期职工福利是指除短期薪酬、离职后福利、辞退福利之外的其他所有职工福利。 </w:t>
      </w:r>
      <w:r>
        <w:rPr>
          <w:spacing w:val="-1"/>
        </w:rPr>
        <w:t>对符合设定提存计划条件的其他长期职工福利，在职工为本公司提供服务的会计期间，将应缴存金额</w:t>
      </w:r>
    </w:p>
    <w:p>
      <w:pPr>
        <w:pStyle w:val="Heading4"/>
        <w:spacing w:line="273" w:lineRule="auto"/>
        <w:ind w:right="1131"/>
        <w:jc w:val="both"/>
      </w:pPr>
      <w:r>
        <w:rPr>
          <w:spacing w:val="-1"/>
        </w:rPr>
        <w:t>确认为负债，并计入当期损益或相关资产成本；除上述情形外的其他长期职工福利，在资产负债表日使用</w:t>
      </w:r>
      <w:r>
        <w:rPr>
          <w:spacing w:val="-83"/>
        </w:rPr>
        <w:t> </w:t>
      </w:r>
      <w:r>
        <w:rPr>
          <w:spacing w:val="-83"/>
        </w:rPr>
      </w:r>
      <w:r>
        <w:rPr>
          <w:spacing w:val="-1"/>
        </w:rPr>
        <w:t>预期累计福利单位法进行精算，将设定受益计划产生的福利义务归属于职工提供服务的期间，并计入当期</w:t>
      </w:r>
      <w:r>
        <w:rPr>
          <w:spacing w:val="-81"/>
        </w:rPr>
        <w:t> </w:t>
      </w:r>
      <w:r>
        <w:rPr>
          <w:spacing w:val="-81"/>
        </w:rPr>
      </w:r>
      <w:r>
        <w:rPr/>
        <w:t>损益或相关资产成本。</w:t>
      </w:r>
    </w:p>
    <w:p>
      <w:pPr>
        <w:spacing w:line="240" w:lineRule="auto" w:before="8"/>
        <w:rPr>
          <w:rFonts w:ascii="宋体" w:hAnsi="宋体" w:cs="宋体" w:eastAsia="宋体" w:hint="default"/>
          <w:sz w:val="23"/>
          <w:szCs w:val="23"/>
        </w:rPr>
      </w:pPr>
    </w:p>
    <w:p>
      <w:pPr>
        <w:pStyle w:val="Heading3"/>
        <w:spacing w:line="240" w:lineRule="auto"/>
        <w:ind w:right="1022"/>
        <w:jc w:val="left"/>
        <w:rPr>
          <w:b w:val="0"/>
          <w:bCs w:val="0"/>
        </w:rPr>
      </w:pPr>
      <w:bookmarkStart w:name="23、预计负债" w:id="202"/>
      <w:bookmarkEnd w:id="202"/>
      <w:r>
        <w:rPr>
          <w:b w:val="0"/>
          <w:bCs w:val="0"/>
        </w:rPr>
      </w:r>
      <w:r>
        <w:rPr>
          <w:rFonts w:ascii="Times New Roman" w:hAnsi="Times New Roman" w:cs="Times New Roman" w:eastAsia="Times New Roman" w:hint="default"/>
        </w:rPr>
        <w:t>23</w:t>
      </w:r>
      <w:r>
        <w:rPr/>
        <w:t>、预计负债</w:t>
      </w:r>
      <w:r>
        <w:rPr>
          <w:b w:val="0"/>
          <w:bCs w:val="0"/>
        </w:rPr>
      </w:r>
    </w:p>
    <w:p>
      <w:pPr>
        <w:spacing w:line="240" w:lineRule="auto" w:before="7"/>
        <w:rPr>
          <w:rFonts w:ascii="宋体" w:hAnsi="宋体" w:cs="宋体" w:eastAsia="宋体" w:hint="default"/>
          <w:b/>
          <w:bCs/>
          <w:sz w:val="24"/>
          <w:szCs w:val="24"/>
        </w:rPr>
      </w:pPr>
    </w:p>
    <w:p>
      <w:pPr>
        <w:pStyle w:val="Heading4"/>
        <w:spacing w:line="268" w:lineRule="auto" w:before="0"/>
        <w:ind w:left="574" w:right="3822" w:hanging="8"/>
        <w:jc w:val="left"/>
      </w:pPr>
      <w:r>
        <w:rPr>
          <w:rFonts w:ascii="Times New Roman" w:hAnsi="Times New Roman" w:cs="Times New Roman" w:eastAsia="Times New Roman" w:hint="default"/>
          <w:b/>
          <w:bCs/>
        </w:rPr>
        <w:t>1</w:t>
      </w:r>
      <w:r>
        <w:rPr>
          <w:rFonts w:ascii="宋体" w:hAnsi="宋体" w:cs="宋体" w:eastAsia="宋体" w:hint="default"/>
          <w:b/>
          <w:bCs/>
        </w:rPr>
        <w:t>、预计负债的确认标准</w:t>
      </w:r>
      <w:r>
        <w:rPr>
          <w:rFonts w:ascii="宋体" w:hAnsi="宋体" w:cs="宋体" w:eastAsia="宋体" w:hint="default"/>
          <w:b/>
          <w:bCs/>
          <w:w w:val="99"/>
        </w:rPr>
        <w:t> </w:t>
      </w:r>
      <w:r>
        <w:rPr/>
        <w:t>与或有事项相关的义务同时满足下列条件时，本公司确认为预计负债： 该义务是本公司承担的现时义务； 履行该义务很可能导致经济利益流出本公司； 该义务的金额能够可靠地计量。</w:t>
      </w:r>
    </w:p>
    <w:p>
      <w:pPr>
        <w:pStyle w:val="Heading4"/>
        <w:spacing w:line="264" w:lineRule="auto" w:before="12"/>
        <w:ind w:left="574" w:right="1118" w:hanging="8"/>
        <w:jc w:val="left"/>
      </w:pPr>
      <w:r>
        <w:rPr>
          <w:rFonts w:ascii="Times New Roman" w:hAnsi="Times New Roman" w:cs="Times New Roman" w:eastAsia="Times New Roman" w:hint="default"/>
          <w:b/>
          <w:bCs/>
        </w:rPr>
        <w:t>2</w:t>
      </w:r>
      <w:r>
        <w:rPr>
          <w:rFonts w:ascii="宋体" w:hAnsi="宋体" w:cs="宋体" w:eastAsia="宋体" w:hint="default"/>
          <w:b/>
          <w:bCs/>
        </w:rPr>
        <w:t>、预计负债的计量方法</w:t>
      </w:r>
      <w:r>
        <w:rPr>
          <w:rFonts w:ascii="宋体" w:hAnsi="宋体" w:cs="宋体" w:eastAsia="宋体" w:hint="default"/>
          <w:b/>
          <w:bCs/>
          <w:w w:val="99"/>
        </w:rPr>
        <w:t> </w:t>
      </w:r>
      <w:r>
        <w:rPr/>
        <w:t>本公司预计负债按履行相关现时义务所需的支出的最佳估计数进行初始计量。 </w:t>
      </w:r>
      <w:r>
        <w:rPr>
          <w:spacing w:val="-1"/>
        </w:rPr>
        <w:t>本公司在确定最佳估计数时，综合考虑与或有事项有关的风险、不确定性和货币时间价值等因素。对</w:t>
      </w:r>
    </w:p>
    <w:p>
      <w:pPr>
        <w:pStyle w:val="Heading4"/>
        <w:spacing w:line="273" w:lineRule="auto" w:before="16"/>
        <w:ind w:left="574" w:right="2982" w:hanging="420"/>
        <w:jc w:val="left"/>
      </w:pPr>
      <w:r>
        <w:rPr/>
        <w:t>于货币时间价值影响重大的，通过对相关未来现金流出进行折现后确定最佳估计数。 最佳估计数分别以下情况处理：</w:t>
      </w:r>
    </w:p>
    <w:p>
      <w:pPr>
        <w:spacing w:after="0" w:line="273"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73" w:lineRule="auto" w:before="35"/>
        <w:ind w:right="1133" w:firstLine="420"/>
        <w:jc w:val="both"/>
      </w:pPr>
      <w:r>
        <w:rPr>
          <w:spacing w:val="-1"/>
        </w:rPr>
        <w:t>所需支出存在一个连续范围（或区间），且该范围内各种结果发生的可能性相同的，则最佳估计数按</w:t>
      </w:r>
      <w:r>
        <w:rPr/>
        <w:t> 照该范围的中间值即上下限金额的平均数确定。</w:t>
      </w:r>
    </w:p>
    <w:p>
      <w:pPr>
        <w:pStyle w:val="Heading4"/>
        <w:spacing w:line="273" w:lineRule="auto"/>
        <w:ind w:right="1131" w:firstLine="420"/>
        <w:jc w:val="both"/>
      </w:pPr>
      <w:r>
        <w:rPr>
          <w:spacing w:val="-1"/>
        </w:rPr>
        <w:t>所需支出不存在一个连续范围（或区间），或虽然存在一个连续范围但该范围内各种结果发生的可能</w:t>
      </w:r>
      <w:r>
        <w:rPr/>
        <w:t> </w:t>
      </w:r>
      <w:r>
        <w:rPr>
          <w:spacing w:val="-1"/>
        </w:rPr>
        <w:t>性不相同的，如或有事项涉及单个项目的，则最佳估计数按照最可能发生金额确定；如或有事项涉及多个</w:t>
      </w:r>
      <w:r>
        <w:rPr>
          <w:spacing w:val="-83"/>
        </w:rPr>
        <w:t> </w:t>
      </w:r>
      <w:r>
        <w:rPr>
          <w:spacing w:val="-83"/>
        </w:rPr>
      </w:r>
      <w:r>
        <w:rPr/>
        <w:t>项目的，则最佳估计数按各种可能结果及相关概率计算确定。</w:t>
      </w:r>
    </w:p>
    <w:p>
      <w:pPr>
        <w:pStyle w:val="Heading4"/>
        <w:spacing w:line="273" w:lineRule="auto"/>
        <w:ind w:right="1131" w:firstLine="420"/>
        <w:jc w:val="both"/>
      </w:pPr>
      <w:r>
        <w:rPr>
          <w:spacing w:val="-1"/>
        </w:rPr>
        <w:t>本公司清偿预计负债所需支出全部或部分预期由第三方补偿的，补偿金额在基本确定能够收到时，作</w:t>
      </w:r>
      <w:r>
        <w:rPr/>
        <w:t> 为资产单独确认，确认的补偿金额不超过预计负债的账面价值。</w:t>
      </w:r>
    </w:p>
    <w:p>
      <w:pPr>
        <w:spacing w:line="240" w:lineRule="auto" w:before="8"/>
        <w:rPr>
          <w:rFonts w:ascii="宋体" w:hAnsi="宋体" w:cs="宋体" w:eastAsia="宋体" w:hint="default"/>
          <w:sz w:val="23"/>
          <w:szCs w:val="23"/>
        </w:rPr>
      </w:pPr>
    </w:p>
    <w:p>
      <w:pPr>
        <w:pStyle w:val="Heading3"/>
        <w:spacing w:line="240" w:lineRule="auto"/>
        <w:ind w:right="0"/>
        <w:jc w:val="both"/>
        <w:rPr>
          <w:b w:val="0"/>
          <w:bCs w:val="0"/>
        </w:rPr>
      </w:pPr>
      <w:bookmarkStart w:name="24、收入" w:id="203"/>
      <w:bookmarkEnd w:id="203"/>
      <w:r>
        <w:rPr>
          <w:b w:val="0"/>
          <w:bCs w:val="0"/>
        </w:rPr>
      </w:r>
      <w:r>
        <w:rPr>
          <w:rFonts w:ascii="Times New Roman" w:hAnsi="Times New Roman" w:cs="Times New Roman" w:eastAsia="Times New Roman" w:hint="default"/>
        </w:rPr>
        <w:t>24</w:t>
      </w:r>
      <w:r>
        <w:rPr/>
        <w:t>、收入</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7692"/>
        <w:jc w:val="left"/>
      </w:pPr>
      <w:r>
        <w:rPr/>
        <w:t>公司是否需要遵守特殊行业的披露要求 是</w:t>
      </w:r>
    </w:p>
    <w:p>
      <w:pPr>
        <w:pStyle w:val="BodyText"/>
        <w:spacing w:line="240" w:lineRule="auto" w:before="29"/>
        <w:ind w:right="0"/>
        <w:jc w:val="both"/>
      </w:pPr>
      <w:r>
        <w:rPr/>
        <w:t>软件与信息技术服务业</w:t>
      </w:r>
    </w:p>
    <w:p>
      <w:pPr>
        <w:pStyle w:val="BodyText"/>
        <w:spacing w:line="240" w:lineRule="auto" w:before="116"/>
        <w:ind w:right="0"/>
        <w:jc w:val="both"/>
      </w:pPr>
      <w:r>
        <w:rPr/>
        <w:t>公司需遵守《深圳证券交易所行业信息披露指引第</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上市公司从事软件与信息技术服务业务》的披露要求</w:t>
      </w:r>
    </w:p>
    <w:p>
      <w:pPr>
        <w:spacing w:line="256" w:lineRule="auto" w:before="75"/>
        <w:ind w:left="574" w:right="1022" w:hanging="11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）销售商品收入确认时间的具体判断标准</w:t>
      </w:r>
      <w:r>
        <w:rPr>
          <w:rFonts w:ascii="宋体" w:hAnsi="宋体" w:cs="宋体" w:eastAsia="宋体" w:hint="default"/>
          <w:b/>
          <w:bCs/>
          <w:w w:val="99"/>
          <w:sz w:val="21"/>
          <w:szCs w:val="21"/>
        </w:rPr>
        <w:t> </w:t>
      </w:r>
      <w:r>
        <w:rPr>
          <w:rFonts w:ascii="宋体" w:hAnsi="宋体" w:cs="宋体" w:eastAsia="宋体" w:hint="default"/>
          <w:spacing w:val="-1"/>
          <w:sz w:val="21"/>
          <w:szCs w:val="21"/>
        </w:rPr>
        <w:t>公司已将商品所有权上的主要风险和报酬转移给购买方；公司既没有保留与所有权相联系的继续管理</w:t>
      </w:r>
    </w:p>
    <w:p>
      <w:pPr>
        <w:pStyle w:val="Heading4"/>
        <w:spacing w:line="273" w:lineRule="auto" w:before="22"/>
        <w:ind w:right="1023"/>
        <w:jc w:val="left"/>
      </w:pPr>
      <w:r>
        <w:rPr>
          <w:spacing w:val="-3"/>
        </w:rPr>
        <w:t>权，也没有对已售出的商品实施有效控制；收入的金额能够可靠地计量；相关的经济利益很可能流入企业；</w:t>
      </w:r>
      <w:r>
        <w:rPr>
          <w:spacing w:val="-90"/>
        </w:rPr>
        <w:t> </w:t>
      </w:r>
      <w:r>
        <w:rPr>
          <w:spacing w:val="-90"/>
        </w:rPr>
      </w:r>
      <w:r>
        <w:rPr/>
        <w:t>相关的已发生或将发生的成本能够可靠地计量时，确认商品销售收入实现。</w:t>
      </w:r>
    </w:p>
    <w:p>
      <w:pPr>
        <w:pStyle w:val="Heading4"/>
        <w:spacing w:line="273" w:lineRule="auto"/>
        <w:ind w:right="1131" w:firstLine="420"/>
        <w:jc w:val="both"/>
      </w:pPr>
      <w:r>
        <w:rPr>
          <w:spacing w:val="-1"/>
        </w:rPr>
        <w:t>本公司销售密码产品、信息安全产品、安全信息产品等信息安全相关产品时，在相关产品到达客户指</w:t>
      </w:r>
      <w:r>
        <w:rPr/>
        <w:t> 定地点并得到客户签收后，确认产品销售收入，同时结转产品对应的成本。</w:t>
      </w:r>
    </w:p>
    <w:p>
      <w:pPr>
        <w:pStyle w:val="Heading4"/>
        <w:spacing w:line="273" w:lineRule="auto"/>
        <w:ind w:right="1131" w:firstLine="420"/>
        <w:jc w:val="both"/>
      </w:pPr>
      <w:r>
        <w:rPr>
          <w:spacing w:val="-1"/>
        </w:rPr>
        <w:t>本公司销售系统集成产品时，在相关产品到达客户指定地点并得到客户签收后，按销售合同约定的安</w:t>
      </w:r>
      <w:r>
        <w:rPr/>
        <w:t> </w:t>
      </w:r>
      <w:r>
        <w:rPr>
          <w:spacing w:val="-1"/>
        </w:rPr>
        <w:t>装实施要求完成阶段性工作或总体目标，并经过客户阶段性验收或总体验收后确认产品销售收入，同时结</w:t>
      </w:r>
      <w:r>
        <w:rPr>
          <w:spacing w:val="-81"/>
        </w:rPr>
        <w:t> </w:t>
      </w:r>
      <w:r>
        <w:rPr>
          <w:spacing w:val="-81"/>
        </w:rPr>
      </w:r>
      <w:r>
        <w:rPr/>
        <w:t>转对应的成本</w:t>
      </w:r>
      <w:r>
        <w:rPr>
          <w:spacing w:val="-21"/>
        </w:rPr>
        <w:t> </w:t>
      </w:r>
      <w:r>
        <w:rPr/>
        <w:t>。</w:t>
      </w:r>
    </w:p>
    <w:p>
      <w:pPr>
        <w:pStyle w:val="Heading4"/>
        <w:spacing w:line="273" w:lineRule="auto"/>
        <w:ind w:right="1131" w:firstLine="420"/>
        <w:jc w:val="both"/>
      </w:pPr>
      <w:r>
        <w:rPr>
          <w:spacing w:val="-1"/>
        </w:rPr>
        <w:t>合同或协议价款的收取采用递延方式，实质上具有融资性质的，按照应收的合同或协议价款的公允价</w:t>
      </w:r>
      <w:r>
        <w:rPr/>
        <w:t> 值确定销售商品收入金额。</w:t>
      </w:r>
    </w:p>
    <w:p>
      <w:pPr>
        <w:spacing w:line="256" w:lineRule="auto" w:before="7"/>
        <w:ind w:left="574" w:right="1022" w:hanging="11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）确认让渡资产使用权收入的依据</w:t>
      </w:r>
      <w:r>
        <w:rPr>
          <w:rFonts w:ascii="宋体" w:hAnsi="宋体" w:cs="宋体" w:eastAsia="宋体" w:hint="default"/>
          <w:b/>
          <w:bCs/>
          <w:w w:val="99"/>
          <w:sz w:val="21"/>
          <w:szCs w:val="21"/>
        </w:rPr>
        <w:t> </w:t>
      </w:r>
      <w:r>
        <w:rPr>
          <w:rFonts w:ascii="宋体" w:hAnsi="宋体" w:cs="宋体" w:eastAsia="宋体" w:hint="default"/>
          <w:spacing w:val="-1"/>
          <w:sz w:val="21"/>
          <w:szCs w:val="21"/>
        </w:rPr>
        <w:t>与交易相关的经济利益很可能流入企业，收入的金额能够可靠地计量时，分别下列情况确定让渡资产</w:t>
      </w:r>
    </w:p>
    <w:p>
      <w:pPr>
        <w:pStyle w:val="Heading4"/>
        <w:spacing w:line="240" w:lineRule="auto" w:before="22"/>
        <w:ind w:right="0"/>
        <w:jc w:val="both"/>
      </w:pPr>
      <w:r>
        <w:rPr/>
        <w:t>使用权收入金额：</w:t>
      </w:r>
    </w:p>
    <w:p>
      <w:pPr>
        <w:pStyle w:val="Heading4"/>
        <w:spacing w:line="240" w:lineRule="auto" w:before="37"/>
        <w:ind w:left="574" w:right="1022"/>
        <w:jc w:val="left"/>
      </w:pPr>
      <w:r>
        <w:rPr/>
        <w:t>（</w:t>
      </w:r>
      <w:r>
        <w:rPr>
          <w:rFonts w:ascii="Times New Roman" w:hAnsi="Times New Roman" w:cs="Times New Roman" w:eastAsia="Times New Roman" w:hint="default"/>
        </w:rPr>
        <w:t>1</w:t>
      </w:r>
      <w:r>
        <w:rPr/>
        <w:t>）利息收入金额，按照他人使用本企业货币资金的时间和实际利率计算确定。</w:t>
      </w:r>
    </w:p>
    <w:p>
      <w:pPr>
        <w:pStyle w:val="Heading4"/>
        <w:spacing w:line="240" w:lineRule="auto" w:before="21"/>
        <w:ind w:left="574" w:right="1022"/>
        <w:jc w:val="left"/>
      </w:pPr>
      <w:r>
        <w:rPr/>
        <w:t>（</w:t>
      </w:r>
      <w:r>
        <w:rPr>
          <w:rFonts w:ascii="Times New Roman" w:hAnsi="Times New Roman" w:cs="Times New Roman" w:eastAsia="Times New Roman" w:hint="default"/>
        </w:rPr>
        <w:t>2</w:t>
      </w:r>
      <w:r>
        <w:rPr/>
        <w:t>）使用费收入金额，按照有关合同或协议约定的收费时间和方法计算确定。</w:t>
      </w:r>
    </w:p>
    <w:p>
      <w:pPr>
        <w:spacing w:line="256" w:lineRule="auto" w:before="21"/>
        <w:ind w:left="574" w:right="1022" w:hanging="11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）提供信息系统集成及信息技术服务收入的确认依据和方法</w:t>
      </w:r>
      <w:r>
        <w:rPr>
          <w:rFonts w:ascii="宋体" w:hAnsi="宋体" w:cs="宋体" w:eastAsia="宋体" w:hint="default"/>
          <w:b/>
          <w:bCs/>
          <w:w w:val="99"/>
          <w:sz w:val="21"/>
          <w:szCs w:val="21"/>
        </w:rPr>
        <w:t> </w:t>
      </w:r>
      <w:r>
        <w:rPr>
          <w:rFonts w:ascii="宋体" w:hAnsi="宋体" w:cs="宋体" w:eastAsia="宋体" w:hint="default"/>
          <w:spacing w:val="-1"/>
          <w:sz w:val="21"/>
          <w:szCs w:val="21"/>
        </w:rPr>
        <w:t>在资产负债表日提供服务交易的结果能够可靠估计的，采用完工百分比法确认提供服务收入。提供服</w:t>
      </w:r>
    </w:p>
    <w:p>
      <w:pPr>
        <w:pStyle w:val="Heading4"/>
        <w:spacing w:line="273" w:lineRule="auto" w:before="22"/>
        <w:ind w:left="574" w:right="4662" w:hanging="420"/>
        <w:jc w:val="left"/>
      </w:pPr>
      <w:r>
        <w:rPr/>
        <w:t>务交易的完工进度，依据已完工作的测量确定。 提供服务交易的结果能够可靠估计，是指同时满足下列条件：</w:t>
      </w:r>
    </w:p>
    <w:p>
      <w:pPr>
        <w:pStyle w:val="Heading4"/>
        <w:spacing w:line="240" w:lineRule="auto"/>
        <w:ind w:left="574" w:right="1022"/>
        <w:jc w:val="left"/>
      </w:pPr>
      <w:r>
        <w:rPr/>
        <w:t>（</w:t>
      </w:r>
      <w:r>
        <w:rPr>
          <w:rFonts w:ascii="Times New Roman" w:hAnsi="Times New Roman" w:cs="Times New Roman" w:eastAsia="Times New Roman" w:hint="default"/>
        </w:rPr>
        <w:t>1</w:t>
      </w:r>
      <w:r>
        <w:rPr/>
        <w:t>）收入的金额能够可靠地计量；</w:t>
      </w:r>
    </w:p>
    <w:p>
      <w:pPr>
        <w:pStyle w:val="Heading4"/>
        <w:spacing w:line="240" w:lineRule="auto" w:before="21"/>
        <w:ind w:left="574" w:right="1022"/>
        <w:jc w:val="left"/>
      </w:pPr>
      <w:r>
        <w:rPr/>
        <w:t>（</w:t>
      </w:r>
      <w:r>
        <w:rPr>
          <w:rFonts w:ascii="Times New Roman" w:hAnsi="Times New Roman" w:cs="Times New Roman" w:eastAsia="Times New Roman" w:hint="default"/>
        </w:rPr>
        <w:t>2</w:t>
      </w:r>
      <w:r>
        <w:rPr/>
        <w:t>）相关的经济利益很可能流入企业；</w:t>
      </w:r>
    </w:p>
    <w:p>
      <w:pPr>
        <w:pStyle w:val="Heading4"/>
        <w:spacing w:line="240" w:lineRule="auto" w:before="21"/>
        <w:ind w:left="574" w:right="1022"/>
        <w:jc w:val="left"/>
      </w:pPr>
      <w:r>
        <w:rPr/>
        <w:t>（</w:t>
      </w:r>
      <w:r>
        <w:rPr>
          <w:rFonts w:ascii="Times New Roman" w:hAnsi="Times New Roman" w:cs="Times New Roman" w:eastAsia="Times New Roman" w:hint="default"/>
        </w:rPr>
        <w:t>3</w:t>
      </w:r>
      <w:r>
        <w:rPr/>
        <w:t>）交易的完工进度能够可靠地确定；</w:t>
      </w:r>
    </w:p>
    <w:p>
      <w:pPr>
        <w:pStyle w:val="Heading4"/>
        <w:spacing w:line="256" w:lineRule="auto" w:before="21"/>
        <w:ind w:left="574" w:right="1022"/>
        <w:jc w:val="left"/>
      </w:pPr>
      <w:r>
        <w:rPr/>
        <w:t>（</w:t>
      </w:r>
      <w:r>
        <w:rPr>
          <w:rFonts w:ascii="Times New Roman" w:hAnsi="Times New Roman" w:cs="Times New Roman" w:eastAsia="Times New Roman" w:hint="default"/>
        </w:rPr>
        <w:t>4</w:t>
      </w:r>
      <w:r>
        <w:rPr/>
        <w:t>）交易中已发生和将发生的成本能够可靠地计量。 </w:t>
      </w:r>
      <w:r>
        <w:rPr>
          <w:spacing w:val="-1"/>
        </w:rPr>
        <w:t>按照已收或应收的合同或协议价款确定提供服务收入总额，但已收或应收的合同或协议价款不公允的</w:t>
      </w:r>
    </w:p>
    <w:p>
      <w:pPr>
        <w:pStyle w:val="Heading4"/>
        <w:spacing w:line="273" w:lineRule="auto" w:before="22"/>
        <w:ind w:right="1131"/>
        <w:jc w:val="both"/>
      </w:pPr>
      <w:r>
        <w:rPr>
          <w:spacing w:val="-1"/>
        </w:rPr>
        <w:t>除外。资产负债表日按照提供服务收入总额乘以完工进度扣除以前会计期间累计已确认提供服务收入后的</w:t>
      </w:r>
      <w:r>
        <w:rPr>
          <w:spacing w:val="-81"/>
        </w:rPr>
        <w:t> </w:t>
      </w:r>
      <w:r>
        <w:rPr>
          <w:spacing w:val="-81"/>
        </w:rPr>
      </w:r>
      <w:r>
        <w:rPr>
          <w:spacing w:val="-1"/>
        </w:rPr>
        <w:t>金额，确认当期提供服务收入；同时，按照提供服务估计总成本乘以完工进度扣除以前会计期间累计已确</w:t>
      </w:r>
      <w:r>
        <w:rPr>
          <w:spacing w:val="-83"/>
        </w:rPr>
        <w:t> </w:t>
      </w:r>
      <w:r>
        <w:rPr>
          <w:spacing w:val="-83"/>
        </w:rPr>
      </w:r>
      <w:r>
        <w:rPr/>
        <w:t>认服务成本后的金额，结转当期服务成本。</w:t>
      </w:r>
    </w:p>
    <w:p>
      <w:pPr>
        <w:pStyle w:val="Heading4"/>
        <w:spacing w:line="240" w:lineRule="auto"/>
        <w:ind w:left="574" w:right="1022"/>
        <w:jc w:val="left"/>
      </w:pPr>
      <w:r>
        <w:rPr/>
        <w:t>在资产负债表日提供服务交易结果不能够可靠估计的，分别下列情况处理：</w:t>
      </w:r>
    </w:p>
    <w:p>
      <w:pPr>
        <w:pStyle w:val="Heading4"/>
        <w:spacing w:line="240" w:lineRule="auto" w:before="37"/>
        <w:ind w:left="574" w:right="1022"/>
        <w:jc w:val="left"/>
      </w:pPr>
      <w:r>
        <w:rPr/>
        <w:t>（</w:t>
      </w:r>
      <w:r>
        <w:rPr>
          <w:rFonts w:ascii="Times New Roman" w:hAnsi="Times New Roman" w:cs="Times New Roman" w:eastAsia="Times New Roman" w:hint="default"/>
        </w:rPr>
        <w:t>1</w:t>
      </w:r>
      <w:r>
        <w:rPr/>
        <w:t>）已经发生的服务成本预计能够得到补偿的，按照已经发生的服务成本金额确认提供服务收入，</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1022"/>
        <w:jc w:val="left"/>
      </w:pPr>
      <w:r>
        <w:rPr/>
        <w:t>并按相同金额结转服务成本。</w:t>
      </w:r>
    </w:p>
    <w:p>
      <w:pPr>
        <w:pStyle w:val="Heading4"/>
        <w:spacing w:line="256" w:lineRule="auto" w:before="37"/>
        <w:ind w:right="1141" w:firstLine="420"/>
        <w:jc w:val="both"/>
      </w:pPr>
      <w:r>
        <w:rPr/>
        <w:t>（</w:t>
      </w:r>
      <w:r>
        <w:rPr>
          <w:rFonts w:ascii="Times New Roman" w:hAnsi="Times New Roman" w:cs="Times New Roman" w:eastAsia="Times New Roman" w:hint="default"/>
        </w:rPr>
        <w:t>2</w:t>
      </w:r>
      <w:r>
        <w:rPr/>
        <w:t>）已经发生的服务成本预计不能够得到补偿的，将已经发生的服务成本计入当期损益，不确认提 供服务收入。</w:t>
      </w:r>
    </w:p>
    <w:p>
      <w:pPr>
        <w:pStyle w:val="Heading4"/>
        <w:spacing w:line="273" w:lineRule="auto" w:before="22"/>
        <w:ind w:right="1131" w:firstLine="420"/>
        <w:jc w:val="both"/>
      </w:pPr>
      <w:r>
        <w:rPr>
          <w:spacing w:val="-1"/>
        </w:rPr>
        <w:t>本公司与其他企业签订的合同或协议包括销售商品和提供服务时，销售商品部分和提供服务部分能够</w:t>
      </w:r>
      <w:r>
        <w:rPr/>
        <w:t> </w:t>
      </w:r>
      <w:r>
        <w:rPr>
          <w:spacing w:val="-1"/>
        </w:rPr>
        <w:t>区分且能够单独计量的，将销售商品的部分作为销售商品处理，将提供服务的部分作为提供服务处理。销</w:t>
      </w:r>
      <w:r>
        <w:rPr>
          <w:spacing w:val="-83"/>
        </w:rPr>
        <w:t> </w:t>
      </w:r>
      <w:r>
        <w:rPr>
          <w:spacing w:val="-83"/>
        </w:rPr>
      </w:r>
      <w:r>
        <w:rPr>
          <w:spacing w:val="-1"/>
        </w:rPr>
        <w:t>售商品部分和提供服务部分不能够区分，或虽能区分但不能够单独计量的，将销售商品部分和提供服务部</w:t>
      </w:r>
      <w:r>
        <w:rPr>
          <w:spacing w:val="-81"/>
        </w:rPr>
        <w:t> </w:t>
      </w:r>
      <w:r>
        <w:rPr>
          <w:spacing w:val="-81"/>
        </w:rPr>
      </w:r>
      <w:r>
        <w:rPr/>
        <w:t>分全部作为销售商品处理。</w:t>
      </w:r>
    </w:p>
    <w:p>
      <w:pPr>
        <w:spacing w:line="240" w:lineRule="auto" w:before="8"/>
        <w:rPr>
          <w:rFonts w:ascii="宋体" w:hAnsi="宋体" w:cs="宋体" w:eastAsia="宋体" w:hint="default"/>
          <w:sz w:val="23"/>
          <w:szCs w:val="23"/>
        </w:rPr>
      </w:pPr>
    </w:p>
    <w:p>
      <w:pPr>
        <w:pStyle w:val="Heading3"/>
        <w:spacing w:line="240" w:lineRule="auto"/>
        <w:ind w:right="1022"/>
        <w:jc w:val="left"/>
        <w:rPr>
          <w:b w:val="0"/>
          <w:bCs w:val="0"/>
        </w:rPr>
      </w:pPr>
      <w:bookmarkStart w:name="25、政府补助" w:id="204"/>
      <w:bookmarkEnd w:id="204"/>
      <w:r>
        <w:rPr>
          <w:b w:val="0"/>
          <w:bCs w:val="0"/>
        </w:rPr>
      </w:r>
      <w:r>
        <w:rPr>
          <w:rFonts w:ascii="Times New Roman" w:hAnsi="Times New Roman" w:cs="Times New Roman" w:eastAsia="Times New Roman" w:hint="default"/>
        </w:rPr>
        <w:t>25</w:t>
      </w:r>
      <w:r>
        <w:rPr/>
        <w:t>、政府补助</w:t>
      </w:r>
      <w:r>
        <w:rPr>
          <w:b w:val="0"/>
          <w:bCs w:val="0"/>
        </w:rPr>
      </w:r>
    </w:p>
    <w:p>
      <w:pPr>
        <w:spacing w:line="240" w:lineRule="auto" w:before="7"/>
        <w:rPr>
          <w:rFonts w:ascii="宋体" w:hAnsi="宋体" w:cs="宋体" w:eastAsia="宋体" w:hint="default"/>
          <w:b/>
          <w:bCs/>
          <w:sz w:val="24"/>
          <w:szCs w:val="24"/>
        </w:rPr>
      </w:pPr>
    </w:p>
    <w:p>
      <w:pPr>
        <w:pStyle w:val="Heading4"/>
        <w:spacing w:line="256" w:lineRule="auto" w:before="0"/>
        <w:ind w:left="574" w:right="1022" w:hanging="111"/>
        <w:jc w:val="left"/>
      </w:pP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）类型</w:t>
      </w:r>
      <w:r>
        <w:rPr>
          <w:rFonts w:ascii="宋体" w:hAnsi="宋体" w:cs="宋体" w:eastAsia="宋体" w:hint="default"/>
          <w:b/>
          <w:bCs/>
          <w:w w:val="99"/>
        </w:rPr>
        <w:t> </w:t>
      </w:r>
      <w:r>
        <w:rPr>
          <w:spacing w:val="-1"/>
        </w:rPr>
        <w:t>政府补助，是本公司从政府无偿取得的货币性资产与非货币性资产。根据相关政府文件规定的补助对</w:t>
      </w:r>
    </w:p>
    <w:p>
      <w:pPr>
        <w:pStyle w:val="Heading4"/>
        <w:spacing w:line="273" w:lineRule="auto" w:before="22"/>
        <w:ind w:left="574" w:right="1022" w:hanging="420"/>
        <w:jc w:val="left"/>
      </w:pPr>
      <w:r>
        <w:rPr/>
        <w:t>象，将政府补助划分为与资产相关的政府补助和与收益相关的政府补助。 </w:t>
      </w:r>
      <w:r>
        <w:rPr>
          <w:spacing w:val="-1"/>
        </w:rPr>
        <w:t>对于政府文件未明确补助对象的政府补助，公司根据实际补助对象划分为与资产相关的政府补助或与</w:t>
      </w:r>
    </w:p>
    <w:p>
      <w:pPr>
        <w:pStyle w:val="Heading4"/>
        <w:spacing w:line="273" w:lineRule="auto"/>
        <w:ind w:left="574" w:right="1022" w:hanging="420"/>
        <w:jc w:val="left"/>
      </w:pPr>
      <w:r>
        <w:rPr/>
        <w:t>收益相关的政府补助，难以区分的，应当整体归类为与收益相关的政府补助。 </w:t>
      </w:r>
      <w:r>
        <w:rPr>
          <w:spacing w:val="-1"/>
        </w:rPr>
        <w:t>与资产相关的政府补助，是指本公司取得的、用于购建或以其他方式形成长期资产的政府补助。与收</w:t>
      </w:r>
    </w:p>
    <w:p>
      <w:pPr>
        <w:pStyle w:val="Heading4"/>
        <w:spacing w:line="240" w:lineRule="auto"/>
        <w:ind w:right="1022"/>
        <w:jc w:val="left"/>
      </w:pPr>
      <w:r>
        <w:rPr/>
        <w:t>益相关的政府补助，是指除与资产相关的政府补助之外的政府补助。</w:t>
      </w:r>
    </w:p>
    <w:p>
      <w:pPr>
        <w:pStyle w:val="Heading4"/>
        <w:spacing w:line="256" w:lineRule="auto" w:before="37"/>
        <w:ind w:left="574" w:right="1022" w:hanging="111"/>
        <w:jc w:val="left"/>
      </w:pPr>
      <w:r>
        <w:rPr>
          <w:rFonts w:ascii="宋体" w:hAnsi="宋体" w:cs="宋体" w:eastAsia="宋体" w:hint="default"/>
          <w:b/>
          <w:bCs/>
        </w:rPr>
        <w:t>（</w:t>
      </w:r>
      <w:r>
        <w:rPr>
          <w:rFonts w:ascii="Times New Roman" w:hAnsi="Times New Roman" w:cs="Times New Roman" w:eastAsia="Times New Roman" w:hint="default"/>
          <w:b/>
          <w:bCs/>
        </w:rPr>
        <w:t>2</w:t>
      </w:r>
      <w:r>
        <w:rPr>
          <w:rFonts w:ascii="宋体" w:hAnsi="宋体" w:cs="宋体" w:eastAsia="宋体" w:hint="default"/>
          <w:b/>
          <w:bCs/>
        </w:rPr>
        <w:t>）政府补助的确认</w:t>
      </w:r>
      <w:r>
        <w:rPr>
          <w:rFonts w:ascii="宋体" w:hAnsi="宋体" w:cs="宋体" w:eastAsia="宋体" w:hint="default"/>
          <w:b/>
          <w:bCs/>
          <w:w w:val="99"/>
        </w:rPr>
        <w:t> </w:t>
      </w:r>
      <w:r>
        <w:rPr>
          <w:spacing w:val="-1"/>
        </w:rPr>
        <w:t>对期末有证据表明公司能够符合财政扶持政策规定的相关条件且预计能够收到财政扶持资金的，按应</w:t>
      </w:r>
    </w:p>
    <w:p>
      <w:pPr>
        <w:pStyle w:val="Heading4"/>
        <w:spacing w:line="273" w:lineRule="auto" w:before="22"/>
        <w:ind w:left="574" w:right="1022" w:hanging="420"/>
        <w:jc w:val="left"/>
      </w:pPr>
      <w:r>
        <w:rPr/>
        <w:t>收金额确认政府补助。除此之外，政府补助均在实际收到时确认。 </w:t>
      </w:r>
      <w:r>
        <w:rPr>
          <w:spacing w:val="-1"/>
        </w:rPr>
        <w:t>政府补助为货币性资产的，按照收到或应收的金额计量。政府补助为非货币性资产的，按照公允价值</w:t>
      </w:r>
    </w:p>
    <w:p>
      <w:pPr>
        <w:pStyle w:val="Heading4"/>
        <w:spacing w:line="256" w:lineRule="auto"/>
        <w:ind w:right="1022"/>
        <w:jc w:val="left"/>
      </w:pPr>
      <w:r>
        <w:rPr/>
        <w:t>计量；公允价值不能够可靠取得的，按照名义金额（人民币</w:t>
      </w:r>
      <w:r>
        <w:rPr>
          <w:rFonts w:ascii="Times New Roman" w:hAnsi="Times New Roman" w:cs="Times New Roman" w:eastAsia="Times New Roman" w:hint="default"/>
        </w:rPr>
        <w:t>1</w:t>
      </w:r>
      <w:r>
        <w:rPr/>
        <w:t>元）计量。按照名义金额计量的政府补助，</w:t>
      </w:r>
      <w:r>
        <w:rPr>
          <w:spacing w:val="-28"/>
        </w:rPr>
        <w:t> </w:t>
      </w:r>
      <w:r>
        <w:rPr>
          <w:spacing w:val="-28"/>
        </w:rPr>
      </w:r>
      <w:r>
        <w:rPr/>
        <w:t>直接计入当期损益。</w:t>
      </w:r>
    </w:p>
    <w:p>
      <w:pPr>
        <w:pStyle w:val="Heading4"/>
        <w:spacing w:line="256" w:lineRule="auto" w:before="22"/>
        <w:ind w:left="577" w:right="1089" w:hanging="114"/>
        <w:jc w:val="left"/>
      </w:pPr>
      <w:r>
        <w:rPr>
          <w:rFonts w:ascii="宋体" w:hAnsi="宋体" w:cs="宋体" w:eastAsia="宋体" w:hint="default"/>
          <w:b/>
          <w:bCs/>
        </w:rPr>
        <w:t>（</w:t>
      </w:r>
      <w:r>
        <w:rPr>
          <w:rFonts w:ascii="Times New Roman" w:hAnsi="Times New Roman" w:cs="Times New Roman" w:eastAsia="Times New Roman" w:hint="default"/>
          <w:b/>
          <w:bCs/>
        </w:rPr>
        <w:t>3</w:t>
      </w:r>
      <w:r>
        <w:rPr>
          <w:rFonts w:ascii="宋体" w:hAnsi="宋体" w:cs="宋体" w:eastAsia="宋体" w:hint="default"/>
          <w:b/>
          <w:bCs/>
        </w:rPr>
        <w:t>）会计处理方法</w:t>
      </w:r>
      <w:r>
        <w:rPr>
          <w:rFonts w:ascii="宋体" w:hAnsi="宋体" w:cs="宋体" w:eastAsia="宋体" w:hint="default"/>
          <w:b/>
          <w:bCs/>
          <w:w w:val="99"/>
        </w:rPr>
        <w:t> </w:t>
      </w:r>
      <w:r>
        <w:rPr/>
        <w:t>本公司根据经济业务的实质，确定某一类政府补助业务应当采用总额法进行会计处理。通常情况下，</w:t>
      </w:r>
    </w:p>
    <w:p>
      <w:pPr>
        <w:pStyle w:val="Heading4"/>
        <w:spacing w:line="273" w:lineRule="auto" w:before="22"/>
        <w:ind w:left="574" w:right="1022" w:hanging="420"/>
        <w:jc w:val="left"/>
      </w:pPr>
      <w:r>
        <w:rPr/>
        <w:t>本公司对于同类或类似政府补助业务只选用一种方法，且对该业务一贯地运用该方法。 </w:t>
      </w:r>
      <w:r>
        <w:rPr>
          <w:spacing w:val="-1"/>
        </w:rPr>
        <w:t>与资产相关的政府补助，确认为递延收益，按照所建造或购买的资产使用年限内按照合理、系统的方</w:t>
      </w:r>
    </w:p>
    <w:p>
      <w:pPr>
        <w:pStyle w:val="Heading4"/>
        <w:spacing w:line="273" w:lineRule="auto"/>
        <w:ind w:left="574" w:right="1022" w:hanging="420"/>
        <w:jc w:val="left"/>
      </w:pPr>
      <w:r>
        <w:rPr/>
        <w:t>法分期计入损益； </w:t>
      </w:r>
      <w:r>
        <w:rPr>
          <w:spacing w:val="-1"/>
        </w:rPr>
        <w:t>与收益相关的政府补助，用于补偿企业以后期间的相关费用或损失的，确认为递延收益，在确认相关</w:t>
      </w:r>
    </w:p>
    <w:p>
      <w:pPr>
        <w:pStyle w:val="Heading4"/>
        <w:spacing w:line="273" w:lineRule="auto"/>
        <w:ind w:left="574" w:right="1092" w:hanging="420"/>
        <w:jc w:val="left"/>
      </w:pPr>
      <w:r>
        <w:rPr/>
        <w:t>费用或损失的期间计入当期损益；用于补偿企业已发生的相关费用或损失的，取得时直接计入当期损益。 与企业日常活动相关的政府补助计入其他收益；与企业日常活动无关的政府补助计入营业外收支。 </w:t>
      </w:r>
      <w:r>
        <w:rPr>
          <w:spacing w:val="-1"/>
        </w:rPr>
        <w:t>收到与政策性优惠贷款贴息相关的政府补助冲减相关借款费用；取得贷款银行提供的政策性优惠利率</w:t>
      </w:r>
    </w:p>
    <w:p>
      <w:pPr>
        <w:pStyle w:val="Heading4"/>
        <w:spacing w:line="273" w:lineRule="auto"/>
        <w:ind w:right="1022"/>
        <w:jc w:val="left"/>
      </w:pPr>
      <w:r>
        <w:rPr>
          <w:spacing w:val="-1"/>
        </w:rPr>
        <w:t>贷款的，以实际收到的借款金额作为借款的入账价值，按照借款本金和该政策性优惠利率计算相关借款费</w:t>
      </w:r>
      <w:r>
        <w:rPr>
          <w:spacing w:val="-80"/>
        </w:rPr>
        <w:t> </w:t>
      </w:r>
      <w:r>
        <w:rPr>
          <w:spacing w:val="-80"/>
        </w:rPr>
      </w:r>
      <w:r>
        <w:rPr/>
        <w:t>用。</w:t>
      </w:r>
    </w:p>
    <w:p>
      <w:pPr>
        <w:pStyle w:val="Heading4"/>
        <w:spacing w:line="273" w:lineRule="auto"/>
        <w:ind w:right="1131" w:firstLine="420"/>
        <w:jc w:val="both"/>
      </w:pPr>
      <w:r>
        <w:rPr>
          <w:spacing w:val="-1"/>
        </w:rPr>
        <w:t>已确认的政府补助需要返还时，初始确认时冲减相关资产账面价值的，调整资产账面价值；存在相关</w:t>
      </w:r>
      <w:r>
        <w:rPr/>
        <w:t> </w:t>
      </w:r>
      <w:r>
        <w:rPr>
          <w:spacing w:val="-1"/>
        </w:rPr>
        <w:t>递延收益余额的，冲减相关递延收益账面余额，超出部分计入当期损益；不存在相关递延收益的，直接计</w:t>
      </w:r>
      <w:r>
        <w:rPr>
          <w:spacing w:val="-86"/>
        </w:rPr>
        <w:t> </w:t>
      </w:r>
      <w:r>
        <w:rPr>
          <w:spacing w:val="-86"/>
        </w:rPr>
      </w:r>
      <w:r>
        <w:rPr/>
        <w:t>入当期损益。</w:t>
      </w:r>
    </w:p>
    <w:p>
      <w:pPr>
        <w:spacing w:line="612" w:lineRule="exact" w:before="64"/>
        <w:ind w:left="574" w:right="1022" w:hanging="420"/>
        <w:jc w:val="left"/>
        <w:rPr>
          <w:rFonts w:ascii="宋体" w:hAnsi="宋体" w:cs="宋体" w:eastAsia="宋体" w:hint="default"/>
          <w:sz w:val="21"/>
          <w:szCs w:val="21"/>
        </w:rPr>
      </w:pPr>
      <w:bookmarkStart w:name="26、递延所得税资产/递延所得税负债" w:id="205"/>
      <w:bookmarkEnd w:id="205"/>
      <w:r>
        <w:rPr/>
      </w:r>
      <w:r>
        <w:rPr>
          <w:rFonts w:ascii="Times New Roman" w:hAnsi="Times New Roman" w:cs="Times New Roman" w:eastAsia="Times New Roman" w:hint="default"/>
          <w:b/>
          <w:bCs/>
          <w:sz w:val="21"/>
          <w:szCs w:val="21"/>
        </w:rPr>
        <w:t>26</w:t>
      </w:r>
      <w:r>
        <w:rPr>
          <w:rFonts w:ascii="宋体" w:hAnsi="宋体" w:cs="宋体" w:eastAsia="宋体" w:hint="default"/>
          <w:b/>
          <w:bCs/>
          <w:sz w:val="21"/>
          <w:szCs w:val="21"/>
        </w:rPr>
        <w:t>、递延所得税资产</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递延所得税负债</w:t>
      </w:r>
      <w:r>
        <w:rPr>
          <w:rFonts w:ascii="宋体" w:hAnsi="宋体" w:cs="宋体" w:eastAsia="宋体" w:hint="default"/>
          <w:b/>
          <w:bCs/>
          <w:w w:val="99"/>
          <w:sz w:val="21"/>
          <w:szCs w:val="21"/>
        </w:rPr>
        <w:t> </w:t>
      </w:r>
      <w:r>
        <w:rPr>
          <w:rFonts w:ascii="宋体" w:hAnsi="宋体" w:cs="宋体" w:eastAsia="宋体" w:hint="default"/>
          <w:sz w:val="21"/>
          <w:szCs w:val="21"/>
        </w:rPr>
        <w:t>递延所得税资产和递延所得税负债根据资产和负债的计税基础与其账面价值的差额</w:t>
      </w:r>
      <w:r>
        <w:rPr>
          <w:rFonts w:ascii="Times New Roman" w:hAnsi="Times New Roman" w:cs="Times New Roman" w:eastAsia="Times New Roman" w:hint="default"/>
          <w:sz w:val="21"/>
          <w:szCs w:val="21"/>
        </w:rPr>
        <w:t>(</w:t>
      </w:r>
      <w:r>
        <w:rPr>
          <w:rFonts w:ascii="宋体" w:hAnsi="宋体" w:cs="宋体" w:eastAsia="宋体" w:hint="default"/>
          <w:sz w:val="21"/>
          <w:szCs w:val="21"/>
        </w:rPr>
        <w:t>暂时性差异</w:t>
      </w:r>
      <w:r>
        <w:rPr>
          <w:rFonts w:ascii="Times New Roman" w:hAnsi="Times New Roman" w:cs="Times New Roman" w:eastAsia="Times New Roman" w:hint="default"/>
          <w:sz w:val="21"/>
          <w:szCs w:val="21"/>
        </w:rPr>
        <w:t>)</w:t>
      </w:r>
      <w:r>
        <w:rPr>
          <w:rFonts w:ascii="宋体" w:hAnsi="宋体" w:cs="宋体" w:eastAsia="宋体" w:hint="default"/>
          <w:sz w:val="21"/>
          <w:szCs w:val="21"/>
        </w:rPr>
        <w:t>计算</w:t>
      </w:r>
    </w:p>
    <w:p>
      <w:pPr>
        <w:pStyle w:val="Heading4"/>
        <w:spacing w:line="219" w:lineRule="exact" w:before="0"/>
        <w:ind w:right="1022"/>
        <w:jc w:val="left"/>
      </w:pPr>
      <w:r>
        <w:rPr/>
        <w:t>确认。于资产负债表日，递延所得税资产和递延所得税负债，按照预期收回该资产或清偿该负债期间的适</w:t>
      </w:r>
    </w:p>
    <w:p>
      <w:pPr>
        <w:pStyle w:val="Heading4"/>
        <w:spacing w:line="240" w:lineRule="auto" w:before="37"/>
        <w:ind w:right="1022"/>
        <w:jc w:val="left"/>
      </w:pPr>
      <w:r>
        <w:rPr/>
        <w:t>用税率计量。</w:t>
      </w:r>
    </w:p>
    <w:p>
      <w:pPr>
        <w:pStyle w:val="Heading3"/>
        <w:spacing w:line="240" w:lineRule="auto" w:before="37"/>
        <w:ind w:left="617" w:right="1022"/>
        <w:jc w:val="left"/>
        <w:rPr>
          <w:b w:val="0"/>
          <w:bCs w:val="0"/>
        </w:rPr>
      </w:pPr>
      <w:r>
        <w:rPr>
          <w:rFonts w:ascii="宋体" w:hAnsi="宋体" w:cs="宋体" w:eastAsia="宋体" w:hint="default"/>
        </w:rPr>
        <w:t>1</w:t>
      </w:r>
      <w:r>
        <w:rPr/>
        <w:t>、确认递延所得税资产的依据</w:t>
      </w:r>
      <w:r>
        <w:rPr>
          <w:b w:val="0"/>
          <w:bCs w:val="0"/>
        </w:rPr>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b/>
          <w:bCs/>
          <w:sz w:val="24"/>
          <w:szCs w:val="24"/>
        </w:rPr>
      </w:pPr>
    </w:p>
    <w:p>
      <w:pPr>
        <w:pStyle w:val="Heading4"/>
        <w:spacing w:line="266" w:lineRule="auto" w:before="35"/>
        <w:ind w:right="1131" w:firstLine="420"/>
        <w:jc w:val="both"/>
      </w:pPr>
      <w:r>
        <w:rPr>
          <w:spacing w:val="-1"/>
        </w:rPr>
        <w:t>本公司以很可能取得用来抵扣可抵扣暂时性差异、能够结转以后年度的可抵扣亏损和税款抵减的应纳</w:t>
      </w:r>
      <w:r>
        <w:rPr/>
        <w:t> </w:t>
      </w:r>
      <w:r>
        <w:rPr>
          <w:spacing w:val="-1"/>
        </w:rPr>
        <w:t>税所得额为限，确认由可抵扣暂时性差异产生的递延所得税资产。但是，同时具有下列特征的交易中因资</w:t>
      </w:r>
      <w:r>
        <w:rPr>
          <w:spacing w:val="-83"/>
        </w:rPr>
        <w:t> </w:t>
      </w:r>
      <w:r>
        <w:rPr>
          <w:spacing w:val="-83"/>
        </w:rPr>
      </w:r>
      <w:r>
        <w:rPr>
          <w:spacing w:val="-1"/>
        </w:rPr>
        <w:t>产或负债的初始确认所产生的递延所得税资产不予确认：（</w:t>
      </w:r>
      <w:r>
        <w:rPr>
          <w:rFonts w:ascii="Times New Roman" w:hAnsi="Times New Roman" w:cs="Times New Roman" w:eastAsia="Times New Roman" w:hint="default"/>
          <w:spacing w:val="-1"/>
        </w:rPr>
        <w:t>1</w:t>
      </w:r>
      <w:r>
        <w:rPr>
          <w:spacing w:val="-1"/>
        </w:rPr>
        <w:t>）该交易不是企业合并；（</w:t>
      </w:r>
      <w:r>
        <w:rPr>
          <w:rFonts w:ascii="Times New Roman" w:hAnsi="Times New Roman" w:cs="Times New Roman" w:eastAsia="Times New Roman" w:hint="default"/>
          <w:spacing w:val="-1"/>
        </w:rPr>
        <w:t>2</w:t>
      </w:r>
      <w:r>
        <w:rPr>
          <w:spacing w:val="-1"/>
        </w:rPr>
        <w:t>）交易发生时既</w:t>
      </w:r>
      <w:r>
        <w:rPr>
          <w:spacing w:val="-86"/>
        </w:rPr>
        <w:t> </w:t>
      </w:r>
      <w:r>
        <w:rPr>
          <w:spacing w:val="-86"/>
        </w:rPr>
      </w:r>
      <w:r>
        <w:rPr/>
        <w:t>不影响会计利润也不影响应纳税所得额或可抵扣亏损。</w:t>
      </w:r>
    </w:p>
    <w:p>
      <w:pPr>
        <w:pStyle w:val="Heading4"/>
        <w:spacing w:line="273" w:lineRule="auto" w:before="14"/>
        <w:ind w:right="1110" w:firstLine="420"/>
        <w:jc w:val="both"/>
      </w:pPr>
      <w:r>
        <w:rPr/>
        <w:t>对于与联营企业投资相关的可抵扣暂时性差异，同时满足下列条件的，确认相应的递延所得税资产： 暂时性差异在可预见的未来很可能转回，且未来很可能获得用来抵扣可抵扣暂时性差异的应纳税所得额。</w:t>
      </w:r>
    </w:p>
    <w:p>
      <w:pPr>
        <w:spacing w:line="273" w:lineRule="auto" w:before="7"/>
        <w:ind w:left="574" w:right="2142" w:hanging="8"/>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、确认递延所得税负债的依据</w:t>
      </w:r>
      <w:r>
        <w:rPr>
          <w:rFonts w:ascii="宋体" w:hAnsi="宋体" w:cs="宋体" w:eastAsia="宋体" w:hint="default"/>
          <w:b/>
          <w:bCs/>
          <w:w w:val="99"/>
          <w:sz w:val="21"/>
          <w:szCs w:val="21"/>
        </w:rPr>
        <w:t> </w:t>
      </w:r>
      <w:r>
        <w:rPr>
          <w:rFonts w:ascii="宋体" w:hAnsi="宋体" w:cs="宋体" w:eastAsia="宋体" w:hint="default"/>
          <w:sz w:val="21"/>
          <w:szCs w:val="21"/>
        </w:rPr>
        <w:t>公司将当期与以前期间应交未交的应纳税暂时性差异确认为递延所得税负债。但不包括：</w:t>
      </w:r>
    </w:p>
    <w:p>
      <w:pPr>
        <w:pStyle w:val="Heading4"/>
        <w:spacing w:line="240" w:lineRule="auto"/>
        <w:ind w:left="469" w:right="1022"/>
        <w:jc w:val="left"/>
      </w:pPr>
      <w:r>
        <w:rPr/>
        <w:t>（</w:t>
      </w:r>
      <w:r>
        <w:rPr>
          <w:rFonts w:ascii="Times New Roman" w:hAnsi="Times New Roman" w:cs="Times New Roman" w:eastAsia="Times New Roman" w:hint="default"/>
        </w:rPr>
        <w:t>1</w:t>
      </w:r>
      <w:r>
        <w:rPr/>
        <w:t>）商誉的初始确认所形成的暂时性差异；</w:t>
      </w:r>
    </w:p>
    <w:p>
      <w:pPr>
        <w:pStyle w:val="Heading4"/>
        <w:spacing w:line="256" w:lineRule="auto" w:before="21"/>
        <w:ind w:right="1131" w:firstLine="315"/>
        <w:jc w:val="both"/>
      </w:pPr>
      <w:r>
        <w:rPr>
          <w:spacing w:val="-1"/>
        </w:rPr>
        <w:t>（</w:t>
      </w:r>
      <w:r>
        <w:rPr>
          <w:rFonts w:ascii="Times New Roman" w:hAnsi="Times New Roman" w:cs="Times New Roman" w:eastAsia="Times New Roman" w:hint="default"/>
          <w:spacing w:val="-1"/>
        </w:rPr>
        <w:t>2</w:t>
      </w:r>
      <w:r>
        <w:rPr>
          <w:spacing w:val="-1"/>
        </w:rPr>
        <w:t>）非企业合并形成的交易或事项，且该交易或事项发生时既不影响会计利润，也不影响应纳税所得</w:t>
      </w:r>
      <w:r>
        <w:rPr/>
        <w:t> 额（或可抵扣亏损）所形成的暂时性差异；</w:t>
      </w:r>
    </w:p>
    <w:p>
      <w:pPr>
        <w:pStyle w:val="Heading4"/>
        <w:spacing w:line="256" w:lineRule="auto" w:before="22"/>
        <w:ind w:right="1131" w:firstLine="315"/>
        <w:jc w:val="both"/>
      </w:pPr>
      <w:r>
        <w:rPr>
          <w:spacing w:val="-1"/>
        </w:rPr>
        <w:t>（</w:t>
      </w:r>
      <w:r>
        <w:rPr>
          <w:rFonts w:ascii="Times New Roman" w:hAnsi="Times New Roman" w:cs="Times New Roman" w:eastAsia="Times New Roman" w:hint="default"/>
          <w:spacing w:val="-1"/>
        </w:rPr>
        <w:t>3</w:t>
      </w:r>
      <w:r>
        <w:rPr>
          <w:spacing w:val="-1"/>
        </w:rPr>
        <w:t>）对于与子公司、联营企业投资相关的应纳税暂时性差异，该暂时性差异转回的时间能够控制并且</w:t>
      </w:r>
      <w:r>
        <w:rPr/>
        <w:t> 该暂时性差异在可预见的未来很可能不会转回。</w:t>
      </w:r>
    </w:p>
    <w:p>
      <w:pPr>
        <w:pStyle w:val="Heading3"/>
        <w:spacing w:line="240" w:lineRule="auto" w:before="22"/>
        <w:ind w:left="566" w:right="1022"/>
        <w:jc w:val="left"/>
        <w:rPr>
          <w:b w:val="0"/>
          <w:bCs w:val="0"/>
        </w:rPr>
      </w:pPr>
      <w:r>
        <w:rPr>
          <w:rFonts w:ascii="宋体" w:hAnsi="宋体" w:cs="宋体" w:eastAsia="宋体" w:hint="default"/>
        </w:rPr>
        <w:t>3</w:t>
      </w:r>
      <w:r>
        <w:rPr/>
        <w:t>、同时满足下列条件时，将递延所得税资产及递延所得税负债以抵销后的净额列示</w:t>
      </w:r>
      <w:r>
        <w:rPr>
          <w:b w:val="0"/>
          <w:bCs w:val="0"/>
        </w:rPr>
      </w:r>
    </w:p>
    <w:p>
      <w:pPr>
        <w:pStyle w:val="Heading4"/>
        <w:spacing w:line="240" w:lineRule="auto" w:before="37"/>
        <w:ind w:left="469" w:right="1022"/>
        <w:jc w:val="left"/>
      </w:pPr>
      <w:r>
        <w:rPr/>
        <w:t>（</w:t>
      </w:r>
      <w:r>
        <w:rPr>
          <w:rFonts w:ascii="Times New Roman" w:hAnsi="Times New Roman" w:cs="Times New Roman" w:eastAsia="Times New Roman" w:hint="default"/>
        </w:rPr>
        <w:t>1</w:t>
      </w:r>
      <w:r>
        <w:rPr/>
        <w:t>）企业拥有以净额结算当期所得税资产及当期所得税负债的法定权利；</w:t>
      </w:r>
    </w:p>
    <w:p>
      <w:pPr>
        <w:pStyle w:val="Heading4"/>
        <w:spacing w:line="264" w:lineRule="auto" w:before="21"/>
        <w:ind w:right="1131" w:firstLine="315"/>
        <w:jc w:val="both"/>
      </w:pPr>
      <w:r>
        <w:rPr>
          <w:spacing w:val="-1"/>
        </w:rPr>
        <w:t>（</w:t>
      </w:r>
      <w:r>
        <w:rPr>
          <w:rFonts w:ascii="Times New Roman" w:hAnsi="Times New Roman" w:cs="Times New Roman" w:eastAsia="Times New Roman" w:hint="default"/>
          <w:spacing w:val="-1"/>
        </w:rPr>
        <w:t>2</w:t>
      </w:r>
      <w:r>
        <w:rPr>
          <w:spacing w:val="-1"/>
        </w:rPr>
        <w:t>）递延所得税资产和递延所得税负债是与同一税收征管部门对同一纳税主体征收的所得税相关或者</w:t>
      </w:r>
      <w:r>
        <w:rPr/>
        <w:t> </w:t>
      </w:r>
      <w:r>
        <w:rPr>
          <w:spacing w:val="-1"/>
        </w:rPr>
        <w:t>对不同的纳税主体相关，但在未来每一具有重要性的递延所得税资产和递延所得税负债转回的期间内，涉</w:t>
      </w:r>
      <w:r>
        <w:rPr>
          <w:spacing w:val="-81"/>
        </w:rPr>
        <w:t> </w:t>
      </w:r>
      <w:r>
        <w:rPr>
          <w:spacing w:val="-81"/>
        </w:rPr>
      </w:r>
      <w:r>
        <w:rPr/>
        <w:t>及的纳税主体体意图以净额结算当期所得税资产及当期所得税负债或是同时取得资产、清偿债务。</w:t>
      </w:r>
    </w:p>
    <w:p>
      <w:pPr>
        <w:spacing w:line="240" w:lineRule="auto" w:before="3"/>
        <w:rPr>
          <w:rFonts w:ascii="宋体" w:hAnsi="宋体" w:cs="宋体" w:eastAsia="宋体" w:hint="default"/>
          <w:sz w:val="24"/>
          <w:szCs w:val="24"/>
        </w:rPr>
      </w:pPr>
    </w:p>
    <w:p>
      <w:pPr>
        <w:pStyle w:val="Heading3"/>
        <w:spacing w:line="240" w:lineRule="auto"/>
        <w:ind w:right="1022"/>
        <w:jc w:val="left"/>
        <w:rPr>
          <w:b w:val="0"/>
          <w:bCs w:val="0"/>
        </w:rPr>
      </w:pPr>
      <w:bookmarkStart w:name="27、租赁" w:id="206"/>
      <w:bookmarkEnd w:id="206"/>
      <w:r>
        <w:rPr>
          <w:b w:val="0"/>
          <w:bCs w:val="0"/>
        </w:rPr>
      </w:r>
      <w:r>
        <w:rPr>
          <w:rFonts w:ascii="Times New Roman" w:hAnsi="Times New Roman" w:cs="Times New Roman" w:eastAsia="Times New Roman" w:hint="default"/>
        </w:rPr>
        <w:t>27</w:t>
      </w:r>
      <w:r>
        <w:rPr/>
        <w:t>、租赁</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22"/>
        <w:jc w:val="left"/>
        <w:rPr>
          <w:b w:val="0"/>
          <w:bCs w:val="0"/>
        </w:rPr>
      </w:pPr>
      <w:bookmarkStart w:name="（1）经营租赁的会计处理方法" w:id="207"/>
      <w:bookmarkEnd w:id="207"/>
      <w:r>
        <w:rPr>
          <w:b w:val="0"/>
          <w:bCs w:val="0"/>
        </w:rPr>
      </w: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8"/>
        <w:rPr>
          <w:rFonts w:ascii="宋体" w:hAnsi="宋体" w:cs="宋体" w:eastAsia="宋体" w:hint="default"/>
          <w:b/>
          <w:bCs/>
          <w:sz w:val="24"/>
          <w:szCs w:val="24"/>
        </w:rPr>
      </w:pPr>
    </w:p>
    <w:p>
      <w:pPr>
        <w:pStyle w:val="Heading4"/>
        <w:spacing w:line="256" w:lineRule="auto" w:before="0"/>
        <w:ind w:left="574" w:right="1017"/>
        <w:jc w:val="left"/>
      </w:pPr>
      <w:r>
        <w:rPr/>
        <w:t>（</w:t>
      </w:r>
      <w:r>
        <w:rPr>
          <w:rFonts w:ascii="Times New Roman" w:hAnsi="Times New Roman" w:cs="Times New Roman" w:eastAsia="Times New Roman" w:hint="default"/>
        </w:rPr>
        <w:t>1</w:t>
      </w:r>
      <w:r>
        <w:rPr/>
        <w:t>）经营租入资产 </w:t>
      </w:r>
      <w:r>
        <w:rPr>
          <w:spacing w:val="-3"/>
        </w:rPr>
        <w:t>公司租入资产所支付的租赁费，在不扣除免租期的整个租赁期内，按直线法进行分摊，计入当期费用。</w:t>
      </w:r>
    </w:p>
    <w:p>
      <w:pPr>
        <w:pStyle w:val="Heading4"/>
        <w:spacing w:line="273" w:lineRule="auto" w:before="22"/>
        <w:ind w:left="574" w:right="1022" w:hanging="420"/>
        <w:jc w:val="left"/>
      </w:pPr>
      <w:r>
        <w:rPr/>
        <w:t>公司支付的与租赁交易相关的初始直接费用，计入当期费用。 </w:t>
      </w:r>
      <w:r>
        <w:rPr>
          <w:spacing w:val="-1"/>
        </w:rPr>
        <w:t>资产出租方承担了应由公司承担的与租赁相关的费用时，公司将该部分费用从租金总额中扣除，按扣</w:t>
      </w:r>
    </w:p>
    <w:p>
      <w:pPr>
        <w:pStyle w:val="Heading4"/>
        <w:spacing w:line="240" w:lineRule="auto"/>
        <w:ind w:right="1022"/>
        <w:jc w:val="left"/>
      </w:pPr>
      <w:r>
        <w:rPr/>
        <w:t>除后的租金费用在租赁期内分摊，计入当期费用。</w:t>
      </w:r>
    </w:p>
    <w:p>
      <w:pPr>
        <w:pStyle w:val="Heading4"/>
        <w:spacing w:line="256" w:lineRule="auto" w:before="37"/>
        <w:ind w:left="574" w:right="1022"/>
        <w:jc w:val="left"/>
      </w:pPr>
      <w:r>
        <w:rPr/>
        <w:t>（</w:t>
      </w:r>
      <w:r>
        <w:rPr>
          <w:rFonts w:ascii="Times New Roman" w:hAnsi="Times New Roman" w:cs="Times New Roman" w:eastAsia="Times New Roman" w:hint="default"/>
        </w:rPr>
        <w:t>2</w:t>
      </w:r>
      <w:r>
        <w:rPr/>
        <w:t>）经营租出资产 </w:t>
      </w:r>
      <w:r>
        <w:rPr>
          <w:spacing w:val="-1"/>
        </w:rPr>
        <w:t>公司出租资产所收取的租赁费，在不扣除免租期的整个租赁期内，按直线法进行分摊，确认为租赁收</w:t>
      </w:r>
    </w:p>
    <w:p>
      <w:pPr>
        <w:pStyle w:val="Heading4"/>
        <w:spacing w:line="273" w:lineRule="auto" w:before="22"/>
        <w:ind w:right="1022"/>
        <w:jc w:val="left"/>
      </w:pPr>
      <w:r>
        <w:rPr>
          <w:spacing w:val="-1"/>
        </w:rPr>
        <w:t>入。公司支付的与租赁交易相关的初始直接费用，计入当期费用；如金额较大的，则予以资本化，在整个</w:t>
      </w:r>
      <w:r>
        <w:rPr>
          <w:spacing w:val="-83"/>
        </w:rPr>
        <w:t> </w:t>
      </w:r>
      <w:r>
        <w:rPr>
          <w:spacing w:val="-83"/>
        </w:rPr>
      </w:r>
      <w:r>
        <w:rPr/>
        <w:t>租赁期间内按照与租赁收入确认相同的基础分期计入当期收益。</w:t>
      </w:r>
    </w:p>
    <w:p>
      <w:pPr>
        <w:pStyle w:val="Heading4"/>
        <w:spacing w:line="273" w:lineRule="auto"/>
        <w:ind w:right="1131" w:firstLine="420"/>
        <w:jc w:val="both"/>
      </w:pPr>
      <w:r>
        <w:rPr>
          <w:spacing w:val="-1"/>
        </w:rPr>
        <w:t>公司承担了应由承租方承担的与租赁相关的费用时，公司将该部分费用从租金收入总额中扣除，按扣</w:t>
      </w:r>
      <w:r>
        <w:rPr/>
        <w:t> 除后的租金费用在租赁期内分配。</w:t>
      </w:r>
    </w:p>
    <w:p>
      <w:pPr>
        <w:spacing w:line="240" w:lineRule="auto" w:before="8"/>
        <w:rPr>
          <w:rFonts w:ascii="宋体" w:hAnsi="宋体" w:cs="宋体" w:eastAsia="宋体" w:hint="default"/>
          <w:sz w:val="23"/>
          <w:szCs w:val="23"/>
        </w:rPr>
      </w:pPr>
    </w:p>
    <w:p>
      <w:pPr>
        <w:pStyle w:val="Heading3"/>
        <w:spacing w:line="240" w:lineRule="auto"/>
        <w:ind w:right="1022"/>
        <w:jc w:val="left"/>
        <w:rPr>
          <w:b w:val="0"/>
          <w:bCs w:val="0"/>
        </w:rPr>
      </w:pPr>
      <w:bookmarkStart w:name="（2）融资租赁的会计处理方法" w:id="208"/>
      <w:bookmarkEnd w:id="208"/>
      <w:r>
        <w:rPr>
          <w:b w:val="0"/>
          <w:bCs w:val="0"/>
        </w:rPr>
      </w: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7"/>
        <w:rPr>
          <w:rFonts w:ascii="宋体" w:hAnsi="宋体" w:cs="宋体" w:eastAsia="宋体" w:hint="default"/>
          <w:b/>
          <w:bCs/>
          <w:sz w:val="24"/>
          <w:szCs w:val="24"/>
        </w:rPr>
      </w:pPr>
    </w:p>
    <w:p>
      <w:pPr>
        <w:pStyle w:val="Heading4"/>
        <w:spacing w:line="264" w:lineRule="auto" w:before="0"/>
        <w:ind w:right="1023" w:firstLine="420"/>
        <w:jc w:val="left"/>
      </w:pPr>
      <w:r>
        <w:rPr/>
        <w:t>（</w:t>
      </w:r>
      <w:r>
        <w:rPr>
          <w:rFonts w:ascii="Times New Roman" w:hAnsi="Times New Roman" w:cs="Times New Roman" w:eastAsia="Times New Roman" w:hint="default"/>
        </w:rPr>
        <w:t>1</w:t>
      </w:r>
      <w:r>
        <w:rPr/>
        <w:t>）融资租入资产：公司在承租开始日，将租赁资产公允价值与最低租赁付款额现值两者中较低者 </w:t>
      </w:r>
      <w:r>
        <w:rPr>
          <w:spacing w:val="-3"/>
        </w:rPr>
        <w:t>作为租入资产的入账价值，将最低租赁付款额作为长期应付款的入账价值，其差额作为未确认的融资费用。</w:t>
      </w:r>
      <w:r>
        <w:rPr>
          <w:spacing w:val="-92"/>
        </w:rPr>
        <w:t> </w:t>
      </w:r>
      <w:r>
        <w:rPr>
          <w:spacing w:val="-92"/>
        </w:rPr>
      </w:r>
      <w:r>
        <w:rPr>
          <w:spacing w:val="-3"/>
        </w:rPr>
        <w:t>融资租入资产的认定依据、计价和折旧方法详见本附注五、重要会计政策及会计估计变更之</w:t>
      </w:r>
      <w:r>
        <w:rPr>
          <w:rFonts w:ascii="Times New Roman" w:hAnsi="Times New Roman" w:cs="Times New Roman" w:eastAsia="Times New Roman" w:hint="default"/>
          <w:spacing w:val="-3"/>
        </w:rPr>
        <w:t>16</w:t>
      </w:r>
      <w:r>
        <w:rPr>
          <w:spacing w:val="-3"/>
        </w:rPr>
        <w:t>、固定资产。</w:t>
      </w:r>
    </w:p>
    <w:p>
      <w:pPr>
        <w:pStyle w:val="Heading4"/>
        <w:spacing w:line="273" w:lineRule="exact" w:before="0"/>
        <w:ind w:left="574" w:right="1022"/>
        <w:jc w:val="left"/>
      </w:pPr>
      <w:r>
        <w:rPr/>
        <w:t>公司采用实际利率法对未确认的融资费用，在资产租赁期间内摊销，计入财务费用。</w:t>
      </w:r>
    </w:p>
    <w:p>
      <w:pPr>
        <w:pStyle w:val="Heading4"/>
        <w:spacing w:line="264" w:lineRule="auto" w:before="37"/>
        <w:ind w:right="1131" w:firstLine="420"/>
        <w:jc w:val="both"/>
      </w:pPr>
      <w:r>
        <w:rPr/>
        <w:t>（</w:t>
      </w:r>
      <w:r>
        <w:rPr>
          <w:rFonts w:ascii="Times New Roman" w:hAnsi="Times New Roman" w:cs="Times New Roman" w:eastAsia="Times New Roman" w:hint="default"/>
        </w:rPr>
        <w:t>2</w:t>
      </w:r>
      <w:r>
        <w:rPr/>
        <w:t>）融资租出资产：公司在租赁开始日，将应收融资租赁款，未担保余值之和与其现值的差额确认 </w:t>
      </w:r>
      <w:r>
        <w:rPr>
          <w:spacing w:val="-1"/>
        </w:rPr>
        <w:t>为未实现融资收益，在将来收到租金的各期间内确认为租赁收入，公司发生的与出租交易相关的初始直接</w:t>
      </w:r>
      <w:r>
        <w:rPr>
          <w:spacing w:val="-81"/>
        </w:rPr>
        <w:t> </w:t>
      </w:r>
      <w:r>
        <w:rPr>
          <w:spacing w:val="-81"/>
        </w:rPr>
      </w:r>
      <w:r>
        <w:rPr/>
        <w:t>费用，计入应收融资租赁款的初始计量中，并减少租赁期内确认的收益金额。</w:t>
      </w:r>
    </w:p>
    <w:p>
      <w:pPr>
        <w:spacing w:after="0" w:line="264" w:lineRule="auto"/>
        <w:jc w:val="both"/>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506" w:lineRule="auto" w:before="35"/>
        <w:ind w:right="7380"/>
        <w:jc w:val="left"/>
        <w:rPr>
          <w:rFonts w:ascii="宋体" w:hAnsi="宋体" w:cs="宋体" w:eastAsia="宋体" w:hint="default"/>
          <w:b w:val="0"/>
          <w:bCs w:val="0"/>
        </w:rPr>
      </w:pPr>
      <w:bookmarkStart w:name="28、其他重要的会计政策和会计估计" w:id="209"/>
      <w:bookmarkEnd w:id="209"/>
      <w:r>
        <w:rPr>
          <w:b w:val="0"/>
          <w:bCs w:val="0"/>
        </w:rPr>
      </w:r>
      <w:r>
        <w:rPr>
          <w:rFonts w:ascii="Times New Roman" w:hAnsi="Times New Roman" w:cs="Times New Roman" w:eastAsia="Times New Roman" w:hint="default"/>
        </w:rPr>
        <w:t>28</w:t>
      </w:r>
      <w:r>
        <w:rPr/>
        <w:t>、其他重要的会计政策和会计估计</w:t>
      </w:r>
      <w:r>
        <w:rPr>
          <w:w w:val="99"/>
        </w:rPr>
        <w:t> </w:t>
      </w:r>
      <w:r>
        <w:rPr>
          <w:rFonts w:ascii="宋体" w:hAnsi="宋体" w:cs="宋体" w:eastAsia="宋体" w:hint="default"/>
          <w:b w:val="0"/>
          <w:bCs w:val="0"/>
        </w:rPr>
        <w:t>无</w:t>
      </w:r>
    </w:p>
    <w:p>
      <w:pPr>
        <w:pStyle w:val="Heading3"/>
        <w:spacing w:line="240" w:lineRule="auto" w:before="105"/>
        <w:ind w:right="1022"/>
        <w:jc w:val="left"/>
        <w:rPr>
          <w:b w:val="0"/>
          <w:bCs w:val="0"/>
        </w:rPr>
      </w:pPr>
      <w:bookmarkStart w:name="29、重要会计政策和会计估计变更" w:id="210"/>
      <w:bookmarkEnd w:id="210"/>
      <w:r>
        <w:rPr>
          <w:b w:val="0"/>
          <w:bCs w:val="0"/>
        </w:rPr>
      </w:r>
      <w:r>
        <w:rPr>
          <w:rFonts w:ascii="Times New Roman" w:hAnsi="Times New Roman" w:cs="Times New Roman" w:eastAsia="Times New Roman" w:hint="default"/>
        </w:rPr>
        <w:t>29</w:t>
      </w:r>
      <w:r>
        <w:rPr/>
        <w:t>、重要会计政策和会计估计变更</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22"/>
        <w:jc w:val="left"/>
        <w:rPr>
          <w:b w:val="0"/>
          <w:bCs w:val="0"/>
        </w:rPr>
      </w:pPr>
      <w:bookmarkStart w:name="（1）重要会计政策变更" w:id="211"/>
      <w:bookmarkEnd w:id="211"/>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1022"/>
        <w:jc w:val="left"/>
        <w:rPr>
          <w:b w:val="0"/>
          <w:bCs w:val="0"/>
        </w:rPr>
      </w:pPr>
      <w:bookmarkStart w:name="（2）重要会计估计变更" w:id="212"/>
      <w:bookmarkEnd w:id="212"/>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1022"/>
        <w:jc w:val="left"/>
        <w:rPr>
          <w:b w:val="0"/>
          <w:bCs w:val="0"/>
        </w:rPr>
      </w:pPr>
      <w:bookmarkStart w:name="30、其他" w:id="213"/>
      <w:bookmarkEnd w:id="213"/>
      <w:r>
        <w:rPr>
          <w:b w:val="0"/>
          <w:bCs w:val="0"/>
        </w:rPr>
      </w:r>
      <w:r>
        <w:rPr>
          <w:rFonts w:ascii="Times New Roman" w:hAnsi="Times New Roman" w:cs="Times New Roman" w:eastAsia="Times New Roman" w:hint="default"/>
        </w:rPr>
        <w:t>30</w:t>
      </w:r>
      <w:r>
        <w:rPr/>
        <w:t>、其他</w:t>
      </w:r>
      <w:r>
        <w:rPr>
          <w:b w:val="0"/>
          <w:bCs w:val="0"/>
        </w:rPr>
      </w:r>
    </w:p>
    <w:p>
      <w:pPr>
        <w:spacing w:line="240" w:lineRule="auto" w:before="7"/>
        <w:rPr>
          <w:rFonts w:ascii="宋体" w:hAnsi="宋体" w:cs="宋体" w:eastAsia="宋体" w:hint="default"/>
          <w:b/>
          <w:bCs/>
          <w:sz w:val="24"/>
          <w:szCs w:val="24"/>
        </w:rPr>
      </w:pPr>
    </w:p>
    <w:p>
      <w:pPr>
        <w:pStyle w:val="Heading4"/>
        <w:spacing w:line="256" w:lineRule="auto" w:before="0"/>
        <w:ind w:right="1022" w:firstLine="423"/>
        <w:jc w:val="left"/>
      </w:pPr>
      <w:r>
        <w:rPr>
          <w:spacing w:val="-5"/>
        </w:rPr>
        <w:t>财政部于</w:t>
      </w:r>
      <w:r>
        <w:rPr>
          <w:rFonts w:ascii="Times New Roman" w:hAnsi="Times New Roman" w:cs="Times New Roman" w:eastAsia="Times New Roman" w:hint="default"/>
          <w:spacing w:val="-5"/>
        </w:rPr>
        <w:t>2018</w:t>
      </w:r>
      <w:r>
        <w:rPr>
          <w:spacing w:val="-5"/>
        </w:rPr>
        <w:t>年</w:t>
      </w:r>
      <w:r>
        <w:rPr>
          <w:rFonts w:ascii="Times New Roman" w:hAnsi="Times New Roman" w:cs="Times New Roman" w:eastAsia="Times New Roman" w:hint="default"/>
          <w:spacing w:val="-5"/>
        </w:rPr>
        <w:t>6</w:t>
      </w:r>
      <w:r>
        <w:rPr>
          <w:spacing w:val="-5"/>
        </w:rPr>
        <w:t>月</w:t>
      </w:r>
      <w:r>
        <w:rPr>
          <w:rFonts w:ascii="Times New Roman" w:hAnsi="Times New Roman" w:cs="Times New Roman" w:eastAsia="Times New Roman" w:hint="default"/>
          <w:spacing w:val="-5"/>
        </w:rPr>
        <w:t>15</w:t>
      </w:r>
      <w:r>
        <w:rPr>
          <w:spacing w:val="-5"/>
        </w:rPr>
        <w:t>日发布了《关于修订印发</w:t>
      </w:r>
      <w:r>
        <w:rPr>
          <w:rFonts w:ascii="Times New Roman" w:hAnsi="Times New Roman" w:cs="Times New Roman" w:eastAsia="Times New Roman" w:hint="default"/>
          <w:spacing w:val="-5"/>
        </w:rPr>
        <w:t>2018</w:t>
      </w:r>
      <w:r>
        <w:rPr>
          <w:spacing w:val="-5"/>
        </w:rPr>
        <w:t>年度一般企业财务报表格式的通知》（财会〔</w:t>
      </w:r>
      <w:r>
        <w:rPr>
          <w:rFonts w:ascii="Times New Roman" w:hAnsi="Times New Roman" w:cs="Times New Roman" w:eastAsia="Times New Roman" w:hint="default"/>
          <w:spacing w:val="-5"/>
        </w:rPr>
        <w:t>2018</w:t>
      </w:r>
      <w:r>
        <w:rPr>
          <w:spacing w:val="-5"/>
        </w:rPr>
        <w:t>〕</w:t>
      </w:r>
      <w:r>
        <w:rPr/>
        <w:t> </w:t>
      </w:r>
      <w:r>
        <w:rPr>
          <w:rFonts w:ascii="Times New Roman" w:hAnsi="Times New Roman" w:cs="Times New Roman" w:eastAsia="Times New Roman" w:hint="default"/>
          <w:spacing w:val="-5"/>
        </w:rPr>
        <w:t>15</w:t>
      </w:r>
      <w:r>
        <w:rPr>
          <w:spacing w:val="-5"/>
        </w:rPr>
        <w:t>号），对一般企业财务报表格式进行了修订，归并部分资产负债表项目，拆分部分利润表项目；并于</w:t>
      </w:r>
      <w:r>
        <w:rPr>
          <w:rFonts w:ascii="Times New Roman" w:hAnsi="Times New Roman" w:cs="Times New Roman" w:eastAsia="Times New Roman" w:hint="default"/>
          <w:spacing w:val="-5"/>
        </w:rPr>
        <w:t>2018</w:t>
      </w:r>
      <w:r>
        <w:rPr>
          <w:rFonts w:ascii="Times New Roman" w:hAnsi="Times New Roman" w:cs="Times New Roman" w:eastAsia="Times New Roman" w:hint="default"/>
          <w:spacing w:val="-37"/>
        </w:rPr>
        <w:t> </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7</w:t>
      </w:r>
      <w:r>
        <w:rPr/>
        <w:t>日发布了《关于</w:t>
      </w:r>
      <w:r>
        <w:rPr>
          <w:rFonts w:ascii="Times New Roman" w:hAnsi="Times New Roman" w:cs="Times New Roman" w:eastAsia="Times New Roman" w:hint="default"/>
        </w:rPr>
        <w:t>2018</w:t>
      </w:r>
      <w:r>
        <w:rPr/>
        <w:t>年度一般企业财务报表格式有关问题的解读》，明确要求代扣个人所得税手续 费返还在</w:t>
      </w:r>
      <w:r>
        <w:rPr>
          <w:rFonts w:ascii="Times New Roman" w:hAnsi="Times New Roman" w:cs="Times New Roman" w:eastAsia="Times New Roman" w:hint="default"/>
        </w:rPr>
        <w:t>“</w:t>
      </w:r>
      <w:r>
        <w:rPr/>
        <w:t>其他收益</w:t>
      </w:r>
      <w:r>
        <w:rPr>
          <w:rFonts w:ascii="Times New Roman" w:hAnsi="Times New Roman" w:cs="Times New Roman" w:eastAsia="Times New Roman" w:hint="default"/>
        </w:rPr>
        <w:t>”</w:t>
      </w:r>
      <w:r>
        <w:rPr/>
        <w:t>列报，实际收到的政府补助，无论是与资产相关还是与收益相关，在编制现金流量表 时均作为经营活动产生的现金流量列报等。</w:t>
      </w:r>
    </w:p>
    <w:p>
      <w:pPr>
        <w:pStyle w:val="Heading4"/>
        <w:spacing w:line="273" w:lineRule="auto" w:before="22"/>
        <w:ind w:right="1089" w:firstLine="423"/>
        <w:jc w:val="left"/>
      </w:pPr>
      <w:r>
        <w:rPr/>
        <w:t>本公司已经根据新的企业财务报表格式的要求编制财务报表，财务报表的列报项目因此发生变更的， 已经按照《企业会计准则第</w:t>
      </w:r>
      <w:r>
        <w:rPr>
          <w:rFonts w:ascii="Times New Roman" w:hAnsi="Times New Roman" w:cs="Times New Roman" w:eastAsia="Times New Roman" w:hint="default"/>
        </w:rPr>
        <w:t>30</w:t>
      </w:r>
      <w:r>
        <w:rPr/>
        <w:t>号</w:t>
      </w:r>
      <w:r>
        <w:rPr>
          <w:rFonts w:ascii="Times New Roman" w:hAnsi="Times New Roman" w:cs="Times New Roman" w:eastAsia="Times New Roman" w:hint="default"/>
        </w:rPr>
        <w:t>——</w:t>
      </w:r>
      <w:r>
        <w:rPr/>
        <w:t>财务报表列报》等的相关规定，对可比期间的比较数据进行调整。</w:t>
      </w:r>
    </w:p>
    <w:p>
      <w:pPr>
        <w:pStyle w:val="Heading4"/>
        <w:spacing w:line="264" w:lineRule="exact" w:before="0"/>
        <w:ind w:left="577" w:right="1022"/>
        <w:jc w:val="left"/>
      </w:pPr>
      <w:r>
        <w:rPr/>
        <w:t>对可比期间的财务报表列报项目及金额的影响如下：</w:t>
      </w:r>
    </w:p>
    <w:p>
      <w:pPr>
        <w:spacing w:line="240" w:lineRule="auto" w:before="13"/>
        <w:rPr>
          <w:rFonts w:ascii="宋体" w:hAnsi="宋体" w:cs="宋体" w:eastAsia="宋体" w:hint="default"/>
          <w:sz w:val="3"/>
          <w:szCs w:val="3"/>
        </w:rPr>
      </w:pPr>
    </w:p>
    <w:tbl>
      <w:tblPr>
        <w:tblW w:w="0" w:type="auto"/>
        <w:jc w:val="left"/>
        <w:tblInd w:w="288" w:type="dxa"/>
        <w:tblLayout w:type="fixed"/>
        <w:tblCellMar>
          <w:top w:w="0" w:type="dxa"/>
          <w:left w:w="0" w:type="dxa"/>
          <w:bottom w:w="0" w:type="dxa"/>
          <w:right w:w="0" w:type="dxa"/>
        </w:tblCellMar>
        <w:tblLook w:val="01E0"/>
      </w:tblPr>
      <w:tblGrid>
        <w:gridCol w:w="1378"/>
        <w:gridCol w:w="1498"/>
        <w:gridCol w:w="2110"/>
        <w:gridCol w:w="2109"/>
        <w:gridCol w:w="2262"/>
      </w:tblGrid>
      <w:tr>
        <w:trPr>
          <w:trHeight w:val="668" w:hRule="exact"/>
        </w:trPr>
        <w:tc>
          <w:tcPr>
            <w:tcW w:w="137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列报项目</w:t>
            </w:r>
          </w:p>
        </w:tc>
        <w:tc>
          <w:tcPr>
            <w:tcW w:w="1498" w:type="dxa"/>
            <w:tcBorders>
              <w:top w:val="single" w:sz="6" w:space="0" w:color="000000"/>
              <w:left w:val="single" w:sz="6" w:space="0" w:color="000000"/>
              <w:bottom w:val="single" w:sz="12" w:space="0" w:color="000000"/>
              <w:right w:val="single" w:sz="6" w:space="0" w:color="000000"/>
            </w:tcBorders>
          </w:tcPr>
          <w:p>
            <w:pPr>
              <w:pStyle w:val="TableParagraph"/>
              <w:spacing w:line="300" w:lineRule="auto" w:before="21"/>
              <w:ind w:left="291" w:right="19" w:hanging="27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日之 前列报金额</w:t>
            </w:r>
          </w:p>
        </w:tc>
        <w:tc>
          <w:tcPr>
            <w:tcW w:w="211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687" w:right="0"/>
              <w:jc w:val="left"/>
              <w:rPr>
                <w:rFonts w:ascii="宋体" w:hAnsi="宋体" w:cs="宋体" w:eastAsia="宋体" w:hint="default"/>
                <w:sz w:val="18"/>
                <w:szCs w:val="18"/>
              </w:rPr>
            </w:pPr>
            <w:r>
              <w:rPr>
                <w:rFonts w:ascii="宋体" w:hAnsi="宋体" w:cs="宋体" w:eastAsia="宋体" w:hint="default"/>
                <w:sz w:val="18"/>
                <w:szCs w:val="18"/>
              </w:rPr>
              <w:t>影响金额</w:t>
            </w:r>
          </w:p>
        </w:tc>
        <w:tc>
          <w:tcPr>
            <w:tcW w:w="2109" w:type="dxa"/>
            <w:tcBorders>
              <w:top w:val="single" w:sz="6" w:space="0" w:color="000000"/>
              <w:left w:val="single" w:sz="6" w:space="0" w:color="000000"/>
              <w:bottom w:val="single" w:sz="12" w:space="0" w:color="000000"/>
              <w:right w:val="single" w:sz="6" w:space="0" w:color="000000"/>
            </w:tcBorders>
          </w:tcPr>
          <w:p>
            <w:pPr>
              <w:pStyle w:val="TableParagraph"/>
              <w:spacing w:line="300" w:lineRule="auto" w:before="21"/>
              <w:ind w:left="956" w:right="57" w:hanging="90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日经重列后金 额</w:t>
            </w:r>
          </w:p>
        </w:tc>
        <w:tc>
          <w:tcPr>
            <w:tcW w:w="226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352" w:hRule="exact"/>
        </w:trPr>
        <w:tc>
          <w:tcPr>
            <w:tcW w:w="13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49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199,067,637.97</w:t>
            </w:r>
          </w:p>
        </w:tc>
        <w:tc>
          <w:tcPr>
            <w:tcW w:w="21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-199,067,637.97</w:t>
            </w:r>
          </w:p>
        </w:tc>
        <w:tc>
          <w:tcPr>
            <w:tcW w:w="2109" w:type="dxa"/>
            <w:tcBorders>
              <w:top w:val="single" w:sz="12" w:space="0" w:color="000000"/>
              <w:left w:val="single" w:sz="6" w:space="0" w:color="000000"/>
              <w:bottom w:val="single" w:sz="12" w:space="0" w:color="000000"/>
              <w:right w:val="single" w:sz="6" w:space="0" w:color="000000"/>
            </w:tcBorders>
          </w:tcPr>
          <w:p>
            <w:pPr/>
          </w:p>
        </w:tc>
        <w:tc>
          <w:tcPr>
            <w:tcW w:w="2262" w:type="dxa"/>
            <w:tcBorders>
              <w:top w:val="single" w:sz="12" w:space="0" w:color="000000"/>
              <w:left w:val="single" w:sz="6" w:space="0" w:color="000000"/>
              <w:bottom w:val="single" w:sz="12" w:space="0" w:color="000000"/>
              <w:right w:val="single" w:sz="6" w:space="0" w:color="000000"/>
            </w:tcBorders>
          </w:tcPr>
          <w:p>
            <w:pPr/>
          </w:p>
        </w:tc>
      </w:tr>
      <w:tr>
        <w:trPr>
          <w:trHeight w:val="352" w:hRule="exact"/>
        </w:trPr>
        <w:tc>
          <w:tcPr>
            <w:tcW w:w="13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49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1,616,093,944.20</w:t>
            </w:r>
          </w:p>
        </w:tc>
        <w:tc>
          <w:tcPr>
            <w:tcW w:w="21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-1,616,093,944.20</w:t>
            </w:r>
          </w:p>
        </w:tc>
        <w:tc>
          <w:tcPr>
            <w:tcW w:w="2109" w:type="dxa"/>
            <w:tcBorders>
              <w:top w:val="single" w:sz="12" w:space="0" w:color="000000"/>
              <w:left w:val="single" w:sz="6" w:space="0" w:color="000000"/>
              <w:bottom w:val="single" w:sz="12" w:space="0" w:color="000000"/>
              <w:right w:val="single" w:sz="6" w:space="0" w:color="000000"/>
            </w:tcBorders>
          </w:tcPr>
          <w:p>
            <w:pPr/>
          </w:p>
        </w:tc>
        <w:tc>
          <w:tcPr>
            <w:tcW w:w="2262" w:type="dxa"/>
            <w:tcBorders>
              <w:top w:val="single" w:sz="12" w:space="0" w:color="000000"/>
              <w:left w:val="single" w:sz="6" w:space="0" w:color="000000"/>
              <w:bottom w:val="single" w:sz="12" w:space="0" w:color="000000"/>
              <w:right w:val="single" w:sz="6" w:space="0" w:color="000000"/>
            </w:tcBorders>
          </w:tcPr>
          <w:p>
            <w:pPr/>
          </w:p>
        </w:tc>
      </w:tr>
      <w:tr>
        <w:trPr>
          <w:trHeight w:val="665" w:hRule="exact"/>
        </w:trPr>
        <w:tc>
          <w:tcPr>
            <w:tcW w:w="1378"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2" w:right="99"/>
              <w:jc w:val="left"/>
              <w:rPr>
                <w:rFonts w:ascii="宋体" w:hAnsi="宋体" w:cs="宋体" w:eastAsia="宋体" w:hint="default"/>
                <w:sz w:val="18"/>
                <w:szCs w:val="18"/>
              </w:rPr>
            </w:pPr>
            <w:r>
              <w:rPr>
                <w:rFonts w:ascii="宋体" w:hAnsi="宋体" w:cs="宋体" w:eastAsia="宋体" w:hint="default"/>
                <w:sz w:val="18"/>
                <w:szCs w:val="18"/>
              </w:rPr>
              <w:t>应收票据及应收 账款</w:t>
            </w:r>
          </w:p>
        </w:tc>
        <w:tc>
          <w:tcPr>
            <w:tcW w:w="1498" w:type="dxa"/>
            <w:tcBorders>
              <w:top w:val="single" w:sz="12" w:space="0" w:color="000000"/>
              <w:left w:val="single" w:sz="6" w:space="0" w:color="000000"/>
              <w:bottom w:val="single" w:sz="12" w:space="0" w:color="000000"/>
              <w:right w:val="single" w:sz="6" w:space="0" w:color="000000"/>
            </w:tcBorders>
          </w:tcPr>
          <w:p>
            <w:pPr/>
          </w:p>
        </w:tc>
        <w:tc>
          <w:tcPr>
            <w:tcW w:w="21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1,815,161,582.17</w:t>
            </w:r>
          </w:p>
        </w:tc>
        <w:tc>
          <w:tcPr>
            <w:tcW w:w="21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1,815,161,582.17</w:t>
            </w:r>
          </w:p>
        </w:tc>
        <w:tc>
          <w:tcPr>
            <w:tcW w:w="2262" w:type="dxa"/>
            <w:tcBorders>
              <w:top w:val="single" w:sz="12" w:space="0" w:color="000000"/>
              <w:left w:val="single" w:sz="6" w:space="0" w:color="000000"/>
              <w:bottom w:val="single" w:sz="12" w:space="0" w:color="000000"/>
              <w:right w:val="single" w:sz="6" w:space="0" w:color="000000"/>
            </w:tcBorders>
          </w:tcPr>
          <w:p>
            <w:pPr/>
          </w:p>
        </w:tc>
      </w:tr>
      <w:tr>
        <w:trPr>
          <w:trHeight w:val="352" w:hRule="exact"/>
        </w:trPr>
        <w:tc>
          <w:tcPr>
            <w:tcW w:w="13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49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96,665,594.11</w:t>
            </w:r>
          </w:p>
        </w:tc>
        <w:tc>
          <w:tcPr>
            <w:tcW w:w="21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-96,665,594.11</w:t>
            </w:r>
          </w:p>
        </w:tc>
        <w:tc>
          <w:tcPr>
            <w:tcW w:w="2109" w:type="dxa"/>
            <w:tcBorders>
              <w:top w:val="single" w:sz="12" w:space="0" w:color="000000"/>
              <w:left w:val="single" w:sz="6" w:space="0" w:color="000000"/>
              <w:bottom w:val="single" w:sz="12" w:space="0" w:color="000000"/>
              <w:right w:val="single" w:sz="6" w:space="0" w:color="000000"/>
            </w:tcBorders>
          </w:tcPr>
          <w:p>
            <w:pPr/>
          </w:p>
        </w:tc>
        <w:tc>
          <w:tcPr>
            <w:tcW w:w="2262" w:type="dxa"/>
            <w:tcBorders>
              <w:top w:val="single" w:sz="12" w:space="0" w:color="000000"/>
              <w:left w:val="single" w:sz="6" w:space="0" w:color="000000"/>
              <w:bottom w:val="single" w:sz="12" w:space="0" w:color="000000"/>
              <w:right w:val="single" w:sz="6" w:space="0" w:color="000000"/>
            </w:tcBorders>
          </w:tcPr>
          <w:p>
            <w:pPr/>
          </w:p>
        </w:tc>
      </w:tr>
      <w:tr>
        <w:trPr>
          <w:trHeight w:val="352" w:hRule="exact"/>
        </w:trPr>
        <w:tc>
          <w:tcPr>
            <w:tcW w:w="13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49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980,334,806.73</w:t>
            </w:r>
          </w:p>
        </w:tc>
        <w:tc>
          <w:tcPr>
            <w:tcW w:w="21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-980,334,806.73</w:t>
            </w:r>
          </w:p>
        </w:tc>
        <w:tc>
          <w:tcPr>
            <w:tcW w:w="2109" w:type="dxa"/>
            <w:tcBorders>
              <w:top w:val="single" w:sz="12" w:space="0" w:color="000000"/>
              <w:left w:val="single" w:sz="6" w:space="0" w:color="000000"/>
              <w:bottom w:val="single" w:sz="12" w:space="0" w:color="000000"/>
              <w:right w:val="single" w:sz="6" w:space="0" w:color="000000"/>
            </w:tcBorders>
          </w:tcPr>
          <w:p>
            <w:pPr/>
          </w:p>
        </w:tc>
        <w:tc>
          <w:tcPr>
            <w:tcW w:w="2262" w:type="dxa"/>
            <w:tcBorders>
              <w:top w:val="single" w:sz="12" w:space="0" w:color="000000"/>
              <w:left w:val="single" w:sz="6" w:space="0" w:color="000000"/>
              <w:bottom w:val="single" w:sz="12" w:space="0" w:color="000000"/>
              <w:right w:val="single" w:sz="6" w:space="0" w:color="000000"/>
            </w:tcBorders>
          </w:tcPr>
          <w:p>
            <w:pPr/>
          </w:p>
        </w:tc>
      </w:tr>
      <w:tr>
        <w:trPr>
          <w:trHeight w:val="665" w:hRule="exact"/>
        </w:trPr>
        <w:tc>
          <w:tcPr>
            <w:tcW w:w="1378"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2" w:right="99"/>
              <w:jc w:val="left"/>
              <w:rPr>
                <w:rFonts w:ascii="宋体" w:hAnsi="宋体" w:cs="宋体" w:eastAsia="宋体" w:hint="default"/>
                <w:sz w:val="18"/>
                <w:szCs w:val="18"/>
              </w:rPr>
            </w:pPr>
            <w:r>
              <w:rPr>
                <w:rFonts w:ascii="宋体" w:hAnsi="宋体" w:cs="宋体" w:eastAsia="宋体" w:hint="default"/>
                <w:sz w:val="18"/>
                <w:szCs w:val="18"/>
              </w:rPr>
              <w:t>应付票据及应付 账款</w:t>
            </w:r>
          </w:p>
        </w:tc>
        <w:tc>
          <w:tcPr>
            <w:tcW w:w="1498" w:type="dxa"/>
            <w:tcBorders>
              <w:top w:val="single" w:sz="12" w:space="0" w:color="000000"/>
              <w:left w:val="single" w:sz="6" w:space="0" w:color="000000"/>
              <w:bottom w:val="single" w:sz="12" w:space="0" w:color="000000"/>
              <w:right w:val="single" w:sz="6" w:space="0" w:color="000000"/>
            </w:tcBorders>
          </w:tcPr>
          <w:p>
            <w:pPr/>
          </w:p>
        </w:tc>
        <w:tc>
          <w:tcPr>
            <w:tcW w:w="21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1,077,000,400.84</w:t>
            </w:r>
          </w:p>
        </w:tc>
        <w:tc>
          <w:tcPr>
            <w:tcW w:w="21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1,077,000,400.84</w:t>
            </w:r>
          </w:p>
        </w:tc>
        <w:tc>
          <w:tcPr>
            <w:tcW w:w="2262" w:type="dxa"/>
            <w:tcBorders>
              <w:top w:val="single" w:sz="12" w:space="0" w:color="000000"/>
              <w:left w:val="single" w:sz="6" w:space="0" w:color="000000"/>
              <w:bottom w:val="single" w:sz="12" w:space="0" w:color="000000"/>
              <w:right w:val="single" w:sz="6" w:space="0" w:color="000000"/>
            </w:tcBorders>
          </w:tcPr>
          <w:p>
            <w:pPr/>
          </w:p>
        </w:tc>
      </w:tr>
      <w:tr>
        <w:trPr>
          <w:trHeight w:val="352" w:hRule="exact"/>
        </w:trPr>
        <w:tc>
          <w:tcPr>
            <w:tcW w:w="13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49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330,226,734.42</w:t>
            </w:r>
          </w:p>
        </w:tc>
        <w:tc>
          <w:tcPr>
            <w:tcW w:w="21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-180,844,148.08</w:t>
            </w:r>
          </w:p>
        </w:tc>
        <w:tc>
          <w:tcPr>
            <w:tcW w:w="21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149,382,586.34</w:t>
            </w:r>
          </w:p>
        </w:tc>
        <w:tc>
          <w:tcPr>
            <w:tcW w:w="2262" w:type="dxa"/>
            <w:tcBorders>
              <w:top w:val="single" w:sz="12" w:space="0" w:color="000000"/>
              <w:left w:val="single" w:sz="6" w:space="0" w:color="000000"/>
              <w:bottom w:val="single" w:sz="12" w:space="0" w:color="000000"/>
              <w:right w:val="single" w:sz="6" w:space="0" w:color="000000"/>
            </w:tcBorders>
          </w:tcPr>
          <w:p>
            <w:pPr/>
          </w:p>
        </w:tc>
      </w:tr>
      <w:tr>
        <w:trPr>
          <w:trHeight w:val="352" w:hRule="exact"/>
        </w:trPr>
        <w:tc>
          <w:tcPr>
            <w:tcW w:w="13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研发支出</w:t>
            </w:r>
          </w:p>
        </w:tc>
        <w:tc>
          <w:tcPr>
            <w:tcW w:w="1498" w:type="dxa"/>
            <w:tcBorders>
              <w:top w:val="single" w:sz="12" w:space="0" w:color="000000"/>
              <w:left w:val="single" w:sz="6" w:space="0" w:color="000000"/>
              <w:bottom w:val="single" w:sz="12" w:space="0" w:color="000000"/>
              <w:right w:val="single" w:sz="6" w:space="0" w:color="000000"/>
            </w:tcBorders>
          </w:tcPr>
          <w:p>
            <w:pPr/>
          </w:p>
        </w:tc>
        <w:tc>
          <w:tcPr>
            <w:tcW w:w="21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180,844,148.08</w:t>
            </w:r>
          </w:p>
        </w:tc>
        <w:tc>
          <w:tcPr>
            <w:tcW w:w="21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180,844,148.08</w:t>
            </w:r>
          </w:p>
        </w:tc>
        <w:tc>
          <w:tcPr>
            <w:tcW w:w="2262" w:type="dxa"/>
            <w:tcBorders>
              <w:top w:val="single" w:sz="12" w:space="0" w:color="000000"/>
              <w:left w:val="single" w:sz="6" w:space="0" w:color="000000"/>
              <w:bottom w:val="single" w:sz="12" w:space="0" w:color="000000"/>
              <w:right w:val="single" w:sz="6" w:space="0" w:color="000000"/>
            </w:tcBorders>
          </w:tcPr>
          <w:p>
            <w:pPr/>
          </w:p>
        </w:tc>
      </w:tr>
      <w:tr>
        <w:trPr>
          <w:trHeight w:val="353" w:hRule="exact"/>
        </w:trPr>
        <w:tc>
          <w:tcPr>
            <w:tcW w:w="13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49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2,137,114,975.61</w:t>
            </w:r>
          </w:p>
        </w:tc>
        <w:tc>
          <w:tcPr>
            <w:tcW w:w="21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w w:val="95"/>
                <w:sz w:val="18"/>
              </w:rPr>
              <w:t>-181,608.93</w:t>
            </w:r>
            <w:r>
              <w:rPr>
                <w:rFonts w:ascii="Times New Roman"/>
                <w:sz w:val="18"/>
              </w:rPr>
            </w:r>
          </w:p>
        </w:tc>
        <w:tc>
          <w:tcPr>
            <w:tcW w:w="21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2,136,933,366.68</w:t>
            </w:r>
          </w:p>
        </w:tc>
        <w:tc>
          <w:tcPr>
            <w:tcW w:w="2262" w:type="dxa"/>
            <w:vMerge w:val="restart"/>
            <w:tcBorders>
              <w:top w:val="single" w:sz="12" w:space="0" w:color="000000"/>
              <w:left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 w:right="4"/>
              <w:jc w:val="left"/>
              <w:rPr>
                <w:rFonts w:ascii="宋体" w:hAnsi="宋体" w:cs="宋体" w:eastAsia="宋体" w:hint="default"/>
                <w:sz w:val="18"/>
                <w:szCs w:val="18"/>
              </w:rPr>
            </w:pPr>
            <w:r>
              <w:rPr>
                <w:rFonts w:ascii="宋体" w:hAnsi="宋体" w:cs="宋体" w:eastAsia="宋体" w:hint="default"/>
                <w:spacing w:val="6"/>
                <w:sz w:val="18"/>
                <w:szCs w:val="18"/>
              </w:rPr>
              <w:t>与日常经营活动相关的政府</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补助重分类</w:t>
            </w:r>
          </w:p>
        </w:tc>
      </w:tr>
      <w:tr>
        <w:trPr>
          <w:trHeight w:val="352" w:hRule="exact"/>
        </w:trPr>
        <w:tc>
          <w:tcPr>
            <w:tcW w:w="13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49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24,146,483.82</w:t>
            </w:r>
          </w:p>
        </w:tc>
        <w:tc>
          <w:tcPr>
            <w:tcW w:w="21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43,801,206.32</w:t>
            </w:r>
          </w:p>
        </w:tc>
        <w:tc>
          <w:tcPr>
            <w:tcW w:w="21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67,947,690.14</w:t>
            </w:r>
          </w:p>
        </w:tc>
        <w:tc>
          <w:tcPr>
            <w:tcW w:w="2262" w:type="dxa"/>
            <w:vMerge/>
            <w:tcBorders>
              <w:left w:val="single" w:sz="6" w:space="0" w:color="000000"/>
              <w:right w:val="single" w:sz="6" w:space="0" w:color="000000"/>
            </w:tcBorders>
          </w:tcPr>
          <w:p>
            <w:pPr/>
          </w:p>
        </w:tc>
      </w:tr>
      <w:tr>
        <w:trPr>
          <w:trHeight w:val="352" w:hRule="exact"/>
        </w:trPr>
        <w:tc>
          <w:tcPr>
            <w:tcW w:w="13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49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50,751,443.20</w:t>
            </w:r>
          </w:p>
        </w:tc>
        <w:tc>
          <w:tcPr>
            <w:tcW w:w="21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-43,619,597.39</w:t>
            </w:r>
          </w:p>
        </w:tc>
        <w:tc>
          <w:tcPr>
            <w:tcW w:w="21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7,131,845.81</w:t>
            </w:r>
          </w:p>
        </w:tc>
        <w:tc>
          <w:tcPr>
            <w:tcW w:w="2262" w:type="dxa"/>
            <w:vMerge/>
            <w:tcBorders>
              <w:left w:val="single" w:sz="6" w:space="0" w:color="000000"/>
              <w:bottom w:val="single" w:sz="12" w:space="0" w:color="000000"/>
              <w:right w:val="single" w:sz="6" w:space="0" w:color="000000"/>
            </w:tcBorders>
          </w:tcPr>
          <w:p>
            <w:pPr/>
          </w:p>
        </w:tc>
      </w:tr>
    </w:tbl>
    <w:p>
      <w:pPr>
        <w:spacing w:after="0"/>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1022"/>
        <w:jc w:val="left"/>
        <w:rPr>
          <w:b w:val="0"/>
          <w:bCs w:val="0"/>
        </w:rPr>
      </w:pPr>
      <w:bookmarkStart w:name="六、税项" w:id="214"/>
      <w:bookmarkEnd w:id="214"/>
      <w:r>
        <w:rPr>
          <w:b w:val="0"/>
          <w:bCs w:val="0"/>
        </w:rPr>
      </w:r>
      <w:r>
        <w:rPr/>
        <w:t>六、税项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22"/>
        <w:jc w:val="left"/>
        <w:rPr>
          <w:b w:val="0"/>
          <w:bCs w:val="0"/>
        </w:rPr>
      </w:pPr>
      <w:bookmarkStart w:name="1、主要税种及税率" w:id="215"/>
      <w:bookmarkEnd w:id="215"/>
      <w:r>
        <w:rPr>
          <w:b w:val="0"/>
          <w:bCs w:val="0"/>
        </w:rPr>
      </w:r>
      <w:r>
        <w:rPr>
          <w:rFonts w:ascii="Times New Roman" w:hAnsi="Times New Roman" w:cs="Times New Roman" w:eastAsia="Times New Roman" w:hint="default"/>
        </w:rPr>
        <w:t>1</w:t>
      </w:r>
      <w:r>
        <w:rPr/>
        <w:t>、主要税种及税率</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702"/>
        <w:gridCol w:w="4678"/>
        <w:gridCol w:w="3190"/>
      </w:tblGrid>
      <w:tr>
        <w:trPr>
          <w:trHeight w:val="402"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46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应交增值税为销项税额减可抵扣进项税额后的余额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16%</w:t>
            </w:r>
            <w:r>
              <w:rPr>
                <w:rFonts w:ascii="宋体" w:hAnsi="宋体" w:cs="宋体" w:eastAsia="宋体" w:hint="default"/>
                <w:sz w:val="18"/>
                <w:szCs w:val="18"/>
              </w:rPr>
              <w:t>、</w:t>
            </w:r>
            <w:r>
              <w:rPr>
                <w:rFonts w:ascii="Times New Roman" w:hAnsi="Times New Roman" w:cs="Times New Roman" w:eastAsia="Times New Roman" w:hint="default"/>
                <w:sz w:val="18"/>
                <w:szCs w:val="18"/>
              </w:rPr>
              <w:t>11%</w:t>
            </w:r>
            <w:r>
              <w:rPr>
                <w:rFonts w:ascii="宋体" w:hAnsi="宋体" w:cs="宋体" w:eastAsia="宋体" w:hint="default"/>
                <w:sz w:val="18"/>
                <w:szCs w:val="18"/>
              </w:rPr>
              <w:t>、</w:t>
            </w:r>
            <w:r>
              <w:rPr>
                <w:rFonts w:ascii="Times New Roman" w:hAnsi="Times New Roman" w:cs="Times New Roman" w:eastAsia="Times New Roman" w:hint="default"/>
                <w:sz w:val="18"/>
                <w:szCs w:val="18"/>
              </w:rPr>
              <w:t>17%</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46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缴纳流转税税额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7%</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46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缴纳流转税税额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缴纳流转税税额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房产原值的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或房屋租赁收入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w:t>
            </w:r>
            <w:r>
              <w:rPr>
                <w:rFonts w:ascii="Times New Roman" w:hAnsi="Times New Roman" w:cs="Times New Roman" w:eastAsia="Times New Roman" w:hint="default"/>
                <w:sz w:val="18"/>
                <w:szCs w:val="18"/>
              </w:rPr>
              <w:t>12%</w:t>
            </w:r>
          </w:p>
        </w:tc>
      </w:tr>
    </w:tbl>
    <w:p>
      <w:pPr>
        <w:pStyle w:val="BodyText"/>
        <w:spacing w:line="240" w:lineRule="auto" w:before="51"/>
        <w:ind w:right="1022"/>
        <w:jc w:val="left"/>
      </w:pPr>
      <w:r>
        <w:rPr/>
        <w:t>存在不同企业所得税税率纳税主体的，披露情况说明</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成都卫士通信息安全技术有限公司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四川卫士通信息安全平台技术有限公司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成都三零盛安信息系统有限公司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成都三零瑞通移动通信有限公司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成都三零嘉微电子有限公司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中电科（北京）网络信息安全有限公司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中电科（天津）网络信息安全有限公司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上海卫士通网络安全有限公司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成都三零豪赛网络安全技术有限公司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bl>
    <w:p>
      <w:pPr>
        <w:spacing w:line="240" w:lineRule="auto" w:before="2"/>
        <w:rPr>
          <w:rFonts w:ascii="宋体" w:hAnsi="宋体" w:cs="宋体" w:eastAsia="宋体" w:hint="default"/>
          <w:sz w:val="19"/>
          <w:szCs w:val="19"/>
        </w:rPr>
      </w:pPr>
    </w:p>
    <w:p>
      <w:pPr>
        <w:pStyle w:val="Heading3"/>
        <w:spacing w:line="240" w:lineRule="auto" w:before="35"/>
        <w:ind w:right="1022"/>
        <w:jc w:val="left"/>
        <w:rPr>
          <w:b w:val="0"/>
          <w:bCs w:val="0"/>
        </w:rPr>
      </w:pPr>
      <w:bookmarkStart w:name="2、税收优惠" w:id="216"/>
      <w:bookmarkEnd w:id="216"/>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8"/>
        <w:rPr>
          <w:rFonts w:ascii="宋体" w:hAnsi="宋体" w:cs="宋体" w:eastAsia="宋体" w:hint="default"/>
          <w:b/>
          <w:bCs/>
          <w:sz w:val="24"/>
          <w:szCs w:val="24"/>
        </w:rPr>
      </w:pPr>
    </w:p>
    <w:p>
      <w:pPr>
        <w:pStyle w:val="Heading4"/>
        <w:spacing w:line="256" w:lineRule="auto" w:before="0"/>
        <w:ind w:right="1132" w:firstLine="420"/>
        <w:jc w:val="both"/>
      </w:pPr>
      <w:r>
        <w:rPr>
          <w:rFonts w:ascii="Times New Roman" w:hAnsi="Times New Roman" w:cs="Times New Roman" w:eastAsia="Times New Roman" w:hint="default"/>
          <w:spacing w:val="2"/>
        </w:rPr>
        <w:t>1.</w:t>
      </w:r>
      <w:r>
        <w:rPr>
          <w:spacing w:val="2"/>
        </w:rPr>
        <w:t>本公司经成都市高新技术企业认定管理机构认定为高新技术企业，取得</w:t>
      </w:r>
      <w:r>
        <w:rPr>
          <w:spacing w:val="1"/>
        </w:rPr>
        <w:t> </w:t>
      </w:r>
      <w:r>
        <w:rPr>
          <w:rFonts w:ascii="Times New Roman" w:hAnsi="Times New Roman" w:cs="Times New Roman" w:eastAsia="Times New Roman" w:hint="default"/>
        </w:rPr>
        <w:t>“GR201751001494”</w:t>
      </w:r>
      <w:r>
        <w:rPr/>
        <w:t>号高新 技术企业证书，有效期</w:t>
      </w:r>
      <w:r>
        <w:rPr>
          <w:rFonts w:ascii="Times New Roman" w:hAnsi="Times New Roman" w:cs="Times New Roman" w:eastAsia="Times New Roman" w:hint="default"/>
        </w:rPr>
        <w:t>3</w:t>
      </w:r>
      <w:r>
        <w:rPr/>
        <w:t>年，</w:t>
      </w:r>
      <w:r>
        <w:rPr>
          <w:rFonts w:ascii="Times New Roman" w:hAnsi="Times New Roman" w:cs="Times New Roman" w:eastAsia="Times New Roman" w:hint="default"/>
        </w:rPr>
        <w:t>2017</w:t>
      </w:r>
      <w:r>
        <w:rPr/>
        <w:t>至</w:t>
      </w:r>
      <w:r>
        <w:rPr>
          <w:rFonts w:ascii="Times New Roman" w:hAnsi="Times New Roman" w:cs="Times New Roman" w:eastAsia="Times New Roman" w:hint="default"/>
        </w:rPr>
        <w:t>2019</w:t>
      </w:r>
      <w:r>
        <w:rPr/>
        <w:t>年度享受国家高新技术企业</w:t>
      </w:r>
      <w:r>
        <w:rPr>
          <w:rFonts w:ascii="Times New Roman" w:hAnsi="Times New Roman" w:cs="Times New Roman" w:eastAsia="Times New Roman" w:hint="default"/>
        </w:rPr>
        <w:t>15%</w:t>
      </w:r>
      <w:r>
        <w:rPr/>
        <w:t>的所得税税率。</w:t>
      </w:r>
    </w:p>
    <w:p>
      <w:pPr>
        <w:pStyle w:val="Heading4"/>
        <w:spacing w:line="256" w:lineRule="auto" w:before="5"/>
        <w:ind w:right="1132" w:firstLine="420"/>
        <w:jc w:val="both"/>
      </w:pPr>
      <w:r>
        <w:rPr>
          <w:rFonts w:ascii="Times New Roman" w:hAnsi="Times New Roman" w:cs="Times New Roman" w:eastAsia="Times New Roman" w:hint="default"/>
        </w:rPr>
        <w:t>2.</w:t>
      </w:r>
      <w:r>
        <w:rPr/>
        <w:t>本公司下属子公司成都卫士通信息安全技术有限公司依据</w:t>
      </w:r>
      <w:r>
        <w:rPr>
          <w:rFonts w:ascii="Times New Roman" w:hAnsi="Times New Roman" w:cs="Times New Roman" w:eastAsia="Times New Roman" w:hint="default"/>
        </w:rPr>
        <w:t>“</w:t>
      </w:r>
      <w:r>
        <w:rPr/>
        <w:t>财税</w:t>
      </w:r>
      <w:r>
        <w:rPr>
          <w:rFonts w:ascii="Times New Roman" w:hAnsi="Times New Roman" w:cs="Times New Roman" w:eastAsia="Times New Roman" w:hint="default"/>
        </w:rPr>
        <w:t>201158</w:t>
      </w:r>
      <w:r>
        <w:rPr/>
        <w:t>号</w:t>
      </w:r>
      <w:r>
        <w:rPr>
          <w:rFonts w:ascii="Times New Roman" w:hAnsi="Times New Roman" w:cs="Times New Roman" w:eastAsia="Times New Roman" w:hint="default"/>
        </w:rPr>
        <w:t>”</w:t>
      </w:r>
      <w:r>
        <w:rPr/>
        <w:t>《关于深入实施西部大开 </w:t>
      </w:r>
      <w:r>
        <w:rPr>
          <w:spacing w:val="-1"/>
        </w:rPr>
        <w:t>发战略有关税收政策问题的通知》规定，自</w:t>
      </w:r>
      <w:r>
        <w:rPr>
          <w:rFonts w:ascii="Times New Roman" w:hAnsi="Times New Roman" w:cs="Times New Roman" w:eastAsia="Times New Roman" w:hint="default"/>
          <w:spacing w:val="-1"/>
        </w:rPr>
        <w:t>2011</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1</w:t>
      </w:r>
      <w:r>
        <w:rPr>
          <w:spacing w:val="-1"/>
        </w:rPr>
        <w:t>日至</w:t>
      </w:r>
      <w:r>
        <w:rPr>
          <w:rFonts w:ascii="Times New Roman" w:hAnsi="Times New Roman" w:cs="Times New Roman" w:eastAsia="Times New Roman" w:hint="default"/>
          <w:spacing w:val="-1"/>
        </w:rPr>
        <w:t>2020</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日，享受设在西部地区的鼓励类</w:t>
      </w:r>
      <w:r>
        <w:rPr>
          <w:spacing w:val="-85"/>
        </w:rPr>
        <w:t> </w:t>
      </w:r>
      <w:r>
        <w:rPr>
          <w:spacing w:val="-85"/>
        </w:rPr>
      </w:r>
      <w:r>
        <w:rPr/>
        <w:t>产业企业减按</w:t>
      </w:r>
      <w:r>
        <w:rPr>
          <w:rFonts w:ascii="Times New Roman" w:hAnsi="Times New Roman" w:cs="Times New Roman" w:eastAsia="Times New Roman" w:hint="default"/>
        </w:rPr>
        <w:t>15%</w:t>
      </w:r>
      <w:r>
        <w:rPr/>
        <w:t>的税率征收企业所得税的税收优惠。</w:t>
      </w:r>
    </w:p>
    <w:p>
      <w:pPr>
        <w:pStyle w:val="Heading4"/>
        <w:spacing w:line="256" w:lineRule="auto" w:before="5"/>
        <w:ind w:right="1130" w:firstLine="420"/>
        <w:jc w:val="both"/>
      </w:pPr>
      <w:r>
        <w:rPr>
          <w:rFonts w:ascii="Times New Roman" w:hAnsi="Times New Roman" w:cs="Times New Roman" w:eastAsia="Times New Roman" w:hint="default"/>
        </w:rPr>
        <w:t>3.</w:t>
      </w:r>
      <w:r>
        <w:rPr/>
        <w:t>本公司下属子公司四川卫士通信息安全平台技术有限公司经成都市高新技术企业认定管理机构认定 为高新技术企业，取得</w:t>
      </w:r>
      <w:r>
        <w:rPr>
          <w:rFonts w:ascii="Times New Roman" w:hAnsi="Times New Roman" w:cs="Times New Roman" w:eastAsia="Times New Roman" w:hint="default"/>
        </w:rPr>
        <w:t>“GR201751000821”</w:t>
      </w:r>
      <w:r>
        <w:rPr/>
        <w:t>号高新技术企业证书，有效期</w:t>
      </w:r>
      <w:r>
        <w:rPr>
          <w:rFonts w:ascii="Times New Roman" w:hAnsi="Times New Roman" w:cs="Times New Roman" w:eastAsia="Times New Roman" w:hint="default"/>
        </w:rPr>
        <w:t>3</w:t>
      </w:r>
      <w:r>
        <w:rPr/>
        <w:t>年，</w:t>
      </w:r>
      <w:r>
        <w:rPr>
          <w:rFonts w:ascii="Times New Roman" w:hAnsi="Times New Roman" w:cs="Times New Roman" w:eastAsia="Times New Roman" w:hint="default"/>
        </w:rPr>
        <w:t>2017</w:t>
      </w:r>
      <w:r>
        <w:rPr/>
        <w:t>至</w:t>
      </w:r>
      <w:r>
        <w:rPr>
          <w:rFonts w:ascii="Times New Roman" w:hAnsi="Times New Roman" w:cs="Times New Roman" w:eastAsia="Times New Roman" w:hint="default"/>
        </w:rPr>
        <w:t>2019</w:t>
      </w:r>
      <w:r>
        <w:rPr/>
        <w:t>年度享受国家高</w:t>
      </w:r>
      <w:r>
        <w:rPr>
          <w:spacing w:val="-84"/>
        </w:rPr>
        <w:t> </w:t>
      </w:r>
      <w:r>
        <w:rPr>
          <w:spacing w:val="-84"/>
        </w:rPr>
      </w:r>
      <w:r>
        <w:rPr/>
        <w:t>新技术企业</w:t>
      </w:r>
      <w:r>
        <w:rPr>
          <w:rFonts w:ascii="Times New Roman" w:hAnsi="Times New Roman" w:cs="Times New Roman" w:eastAsia="Times New Roman" w:hint="default"/>
        </w:rPr>
        <w:t>15%</w:t>
      </w:r>
      <w:r>
        <w:rPr/>
        <w:t>的所得税税率。</w:t>
      </w:r>
    </w:p>
    <w:p>
      <w:pPr>
        <w:pStyle w:val="Heading4"/>
        <w:spacing w:line="256" w:lineRule="auto" w:before="5"/>
        <w:ind w:right="1130" w:firstLine="420"/>
        <w:jc w:val="both"/>
      </w:pPr>
      <w:r>
        <w:rPr>
          <w:rFonts w:ascii="Times New Roman" w:hAnsi="Times New Roman" w:cs="Times New Roman" w:eastAsia="Times New Roman" w:hint="default"/>
        </w:rPr>
        <w:t>4.</w:t>
      </w:r>
      <w:r>
        <w:rPr/>
        <w:t>本公司下属子公司成都三零盛安信息系统有限公司经成都市高新技术企业认定管理机构认定为高新 技术企业，取得</w:t>
      </w:r>
      <w:r>
        <w:rPr>
          <w:rFonts w:ascii="Times New Roman" w:hAnsi="Times New Roman" w:cs="Times New Roman" w:eastAsia="Times New Roman" w:hint="default"/>
        </w:rPr>
        <w:t>“GR201751000369”</w:t>
      </w:r>
      <w:r>
        <w:rPr/>
        <w:t>号高新技术企业证书，有效期</w:t>
      </w:r>
      <w:r>
        <w:rPr>
          <w:rFonts w:ascii="Times New Roman" w:hAnsi="Times New Roman" w:cs="Times New Roman" w:eastAsia="Times New Roman" w:hint="default"/>
        </w:rPr>
        <w:t>3</w:t>
      </w:r>
      <w:r>
        <w:rPr/>
        <w:t>年，</w:t>
      </w:r>
      <w:r>
        <w:rPr>
          <w:rFonts w:ascii="Times New Roman" w:hAnsi="Times New Roman" w:cs="Times New Roman" w:eastAsia="Times New Roman" w:hint="default"/>
        </w:rPr>
        <w:t>2017</w:t>
      </w:r>
      <w:r>
        <w:rPr/>
        <w:t>至</w:t>
      </w:r>
      <w:r>
        <w:rPr>
          <w:rFonts w:ascii="Times New Roman" w:hAnsi="Times New Roman" w:cs="Times New Roman" w:eastAsia="Times New Roman" w:hint="default"/>
        </w:rPr>
        <w:t>2019</w:t>
      </w:r>
      <w:r>
        <w:rPr/>
        <w:t>年度享受国家高新技术</w:t>
      </w:r>
      <w:r>
        <w:rPr>
          <w:spacing w:val="-84"/>
        </w:rPr>
        <w:t> </w:t>
      </w:r>
      <w:r>
        <w:rPr>
          <w:spacing w:val="-84"/>
        </w:rPr>
      </w:r>
      <w:r>
        <w:rPr/>
        <w:t>企业</w:t>
      </w:r>
      <w:r>
        <w:rPr>
          <w:rFonts w:ascii="Times New Roman" w:hAnsi="Times New Roman" w:cs="Times New Roman" w:eastAsia="Times New Roman" w:hint="default"/>
        </w:rPr>
        <w:t>15%</w:t>
      </w:r>
      <w:r>
        <w:rPr/>
        <w:t>的所得税税率。</w:t>
      </w:r>
    </w:p>
    <w:p>
      <w:pPr>
        <w:pStyle w:val="Heading4"/>
        <w:spacing w:line="256" w:lineRule="auto" w:before="4"/>
        <w:ind w:right="1128" w:firstLine="420"/>
        <w:jc w:val="both"/>
      </w:pPr>
      <w:r>
        <w:rPr>
          <w:rFonts w:ascii="Times New Roman" w:hAnsi="Times New Roman" w:cs="Times New Roman" w:eastAsia="Times New Roman" w:hint="default"/>
        </w:rPr>
        <w:t>5.</w:t>
      </w:r>
      <w:r>
        <w:rPr/>
        <w:t>本公司下属子公司成都三零瑞通移动通信有限公司经成都市高新技术企业认定管理机构认定为高新 技术企业，取得</w:t>
      </w:r>
      <w:r>
        <w:rPr>
          <w:rFonts w:ascii="Times New Roman" w:hAnsi="Times New Roman" w:cs="Times New Roman" w:eastAsia="Times New Roman" w:hint="default"/>
        </w:rPr>
        <w:t>“GR201751000067”</w:t>
      </w:r>
      <w:r>
        <w:rPr/>
        <w:t>号高新技术企业证书，有效期</w:t>
      </w:r>
      <w:r>
        <w:rPr>
          <w:rFonts w:ascii="Times New Roman" w:hAnsi="Times New Roman" w:cs="Times New Roman" w:eastAsia="Times New Roman" w:hint="default"/>
        </w:rPr>
        <w:t>3</w:t>
      </w:r>
      <w:r>
        <w:rPr/>
        <w:t>年，</w:t>
      </w:r>
      <w:r>
        <w:rPr>
          <w:rFonts w:ascii="Times New Roman" w:hAnsi="Times New Roman" w:cs="Times New Roman" w:eastAsia="Times New Roman" w:hint="default"/>
        </w:rPr>
        <w:t>2017</w:t>
      </w:r>
      <w:r>
        <w:rPr/>
        <w:t>至</w:t>
      </w:r>
      <w:r>
        <w:rPr>
          <w:rFonts w:ascii="Times New Roman" w:hAnsi="Times New Roman" w:cs="Times New Roman" w:eastAsia="Times New Roman" w:hint="default"/>
        </w:rPr>
        <w:t>2019</w:t>
      </w:r>
      <w:r>
        <w:rPr/>
        <w:t>年度享受国家高新技术</w:t>
      </w:r>
    </w:p>
    <w:p>
      <w:pPr>
        <w:spacing w:after="0" w:line="256"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1022"/>
        <w:jc w:val="left"/>
      </w:pPr>
      <w:r>
        <w:rPr/>
        <w:t>企业</w:t>
      </w:r>
      <w:r>
        <w:rPr>
          <w:rFonts w:ascii="Times New Roman" w:hAnsi="Times New Roman" w:cs="Times New Roman" w:eastAsia="Times New Roman" w:hint="default"/>
        </w:rPr>
        <w:t>15%</w:t>
      </w:r>
      <w:r>
        <w:rPr/>
        <w:t>的所得税税率。</w:t>
      </w:r>
    </w:p>
    <w:p>
      <w:pPr>
        <w:pStyle w:val="Heading4"/>
        <w:spacing w:line="256" w:lineRule="auto" w:before="21"/>
        <w:ind w:right="1130" w:firstLine="420"/>
        <w:jc w:val="both"/>
      </w:pPr>
      <w:r>
        <w:rPr>
          <w:rFonts w:ascii="Times New Roman" w:hAnsi="Times New Roman" w:cs="Times New Roman" w:eastAsia="Times New Roman" w:hint="default"/>
        </w:rPr>
        <w:t>6.</w:t>
      </w:r>
      <w:r>
        <w:rPr/>
        <w:t>本公司下属子公司成都三零嘉微电子有限公司经成都市高新技术企业认定管理机构认定为高新技术 企业，取得</w:t>
      </w:r>
      <w:r>
        <w:rPr>
          <w:rFonts w:ascii="Times New Roman" w:hAnsi="Times New Roman" w:cs="Times New Roman" w:eastAsia="Times New Roman" w:hint="default"/>
        </w:rPr>
        <w:t>“GR201751000005”</w:t>
      </w:r>
      <w:r>
        <w:rPr/>
        <w:t>号高新技术企业证书，有效期</w:t>
      </w:r>
      <w:r>
        <w:rPr>
          <w:rFonts w:ascii="Times New Roman" w:hAnsi="Times New Roman" w:cs="Times New Roman" w:eastAsia="Times New Roman" w:hint="default"/>
        </w:rPr>
        <w:t>3</w:t>
      </w:r>
      <w:r>
        <w:rPr/>
        <w:t>年，</w:t>
      </w:r>
      <w:r>
        <w:rPr>
          <w:rFonts w:ascii="Times New Roman" w:hAnsi="Times New Roman" w:cs="Times New Roman" w:eastAsia="Times New Roman" w:hint="default"/>
        </w:rPr>
        <w:t>2017</w:t>
      </w:r>
      <w:r>
        <w:rPr/>
        <w:t>至</w:t>
      </w:r>
      <w:r>
        <w:rPr>
          <w:rFonts w:ascii="Times New Roman" w:hAnsi="Times New Roman" w:cs="Times New Roman" w:eastAsia="Times New Roman" w:hint="default"/>
        </w:rPr>
        <w:t>2019</w:t>
      </w:r>
      <w:r>
        <w:rPr/>
        <w:t>年度享受国家高新技术企业</w:t>
      </w:r>
      <w:r>
        <w:rPr>
          <w:spacing w:val="-84"/>
        </w:rPr>
        <w:t> </w:t>
      </w:r>
      <w:r>
        <w:rPr>
          <w:spacing w:val="-84"/>
        </w:rPr>
      </w:r>
      <w:r>
        <w:rPr>
          <w:rFonts w:ascii="Times New Roman" w:hAnsi="Times New Roman" w:cs="Times New Roman" w:eastAsia="Times New Roman" w:hint="default"/>
        </w:rPr>
        <w:t>15%</w:t>
      </w:r>
      <w:r>
        <w:rPr/>
        <w:t>的所得税税率。</w:t>
      </w:r>
    </w:p>
    <w:p>
      <w:pPr>
        <w:pStyle w:val="Heading4"/>
        <w:spacing w:line="256" w:lineRule="auto" w:before="5"/>
        <w:ind w:right="1130" w:firstLine="420"/>
        <w:jc w:val="both"/>
      </w:pPr>
      <w:r>
        <w:rPr>
          <w:rFonts w:ascii="Times New Roman" w:hAnsi="Times New Roman" w:cs="Times New Roman" w:eastAsia="Times New Roman" w:hint="default"/>
        </w:rPr>
        <w:t>7.</w:t>
      </w:r>
      <w:r>
        <w:rPr/>
        <w:t>本公司下属子公司中电科（北京）网络信息安全有限公司经北京市高新技术企业认定管理机构认定 为高新技术企业，取得</w:t>
      </w:r>
      <w:r>
        <w:rPr>
          <w:rFonts w:ascii="Times New Roman" w:hAnsi="Times New Roman" w:cs="Times New Roman" w:eastAsia="Times New Roman" w:hint="default"/>
        </w:rPr>
        <w:t>“GR201611005090”</w:t>
      </w:r>
      <w:r>
        <w:rPr/>
        <w:t>号高新技术企业证书，有效期</w:t>
      </w:r>
      <w:r>
        <w:rPr>
          <w:rFonts w:ascii="Times New Roman" w:hAnsi="Times New Roman" w:cs="Times New Roman" w:eastAsia="Times New Roman" w:hint="default"/>
        </w:rPr>
        <w:t>3</w:t>
      </w:r>
      <w:r>
        <w:rPr/>
        <w:t>年，</w:t>
      </w:r>
      <w:r>
        <w:rPr>
          <w:rFonts w:ascii="Times New Roman" w:hAnsi="Times New Roman" w:cs="Times New Roman" w:eastAsia="Times New Roman" w:hint="default"/>
        </w:rPr>
        <w:t>2016</w:t>
      </w:r>
      <w:r>
        <w:rPr/>
        <w:t>至</w:t>
      </w:r>
      <w:r>
        <w:rPr>
          <w:rFonts w:ascii="Times New Roman" w:hAnsi="Times New Roman" w:cs="Times New Roman" w:eastAsia="Times New Roman" w:hint="default"/>
        </w:rPr>
        <w:t>2018</w:t>
      </w:r>
      <w:r>
        <w:rPr/>
        <w:t>年度享受国家高</w:t>
      </w:r>
      <w:r>
        <w:rPr>
          <w:spacing w:val="-83"/>
        </w:rPr>
        <w:t> </w:t>
      </w:r>
      <w:r>
        <w:rPr>
          <w:spacing w:val="-83"/>
        </w:rPr>
      </w:r>
      <w:r>
        <w:rPr/>
        <w:t>新技术企业</w:t>
      </w:r>
      <w:r>
        <w:rPr>
          <w:rFonts w:ascii="Times New Roman" w:hAnsi="Times New Roman" w:cs="Times New Roman" w:eastAsia="Times New Roman" w:hint="default"/>
        </w:rPr>
        <w:t>15%</w:t>
      </w:r>
      <w:r>
        <w:rPr/>
        <w:t>的所得税税率。</w:t>
      </w:r>
    </w:p>
    <w:p>
      <w:pPr>
        <w:pStyle w:val="Heading4"/>
        <w:spacing w:line="256" w:lineRule="auto" w:before="5"/>
        <w:ind w:right="1130" w:firstLine="420"/>
        <w:jc w:val="both"/>
      </w:pPr>
      <w:r>
        <w:rPr>
          <w:rFonts w:ascii="Times New Roman" w:hAnsi="Times New Roman" w:cs="Times New Roman" w:eastAsia="Times New Roman" w:hint="default"/>
        </w:rPr>
        <w:t>8.</w:t>
      </w:r>
      <w:r>
        <w:rPr/>
        <w:t>本公司下属子公司中电科（天津）网络信息安全有限公司经天津市高新技术企业认定管理机构认定 为高新技术企业，取得</w:t>
      </w:r>
      <w:r>
        <w:rPr>
          <w:rFonts w:ascii="Times New Roman" w:hAnsi="Times New Roman" w:cs="Times New Roman" w:eastAsia="Times New Roman" w:hint="default"/>
        </w:rPr>
        <w:t>“GR201812001680”</w:t>
      </w:r>
      <w:r>
        <w:rPr/>
        <w:t>号高新技术企业证书，有效期</w:t>
      </w:r>
      <w:r>
        <w:rPr>
          <w:rFonts w:ascii="Times New Roman" w:hAnsi="Times New Roman" w:cs="Times New Roman" w:eastAsia="Times New Roman" w:hint="default"/>
        </w:rPr>
        <w:t>3</w:t>
      </w:r>
      <w:r>
        <w:rPr/>
        <w:t>年，</w:t>
      </w:r>
      <w:r>
        <w:rPr>
          <w:rFonts w:ascii="Times New Roman" w:hAnsi="Times New Roman" w:cs="Times New Roman" w:eastAsia="Times New Roman" w:hint="default"/>
        </w:rPr>
        <w:t>2018</w:t>
      </w:r>
      <w:r>
        <w:rPr/>
        <w:t>至</w:t>
      </w:r>
      <w:r>
        <w:rPr>
          <w:rFonts w:ascii="Times New Roman" w:hAnsi="Times New Roman" w:cs="Times New Roman" w:eastAsia="Times New Roman" w:hint="default"/>
        </w:rPr>
        <w:t>2020</w:t>
      </w:r>
      <w:r>
        <w:rPr/>
        <w:t>年度享受国家高</w:t>
      </w:r>
      <w:r>
        <w:rPr>
          <w:spacing w:val="-83"/>
        </w:rPr>
        <w:t> </w:t>
      </w:r>
      <w:r>
        <w:rPr>
          <w:spacing w:val="-83"/>
        </w:rPr>
      </w:r>
      <w:r>
        <w:rPr/>
        <w:t>新技术企业</w:t>
      </w:r>
      <w:r>
        <w:rPr>
          <w:rFonts w:ascii="Times New Roman" w:hAnsi="Times New Roman" w:cs="Times New Roman" w:eastAsia="Times New Roman" w:hint="default"/>
        </w:rPr>
        <w:t>15%</w:t>
      </w:r>
      <w:r>
        <w:rPr/>
        <w:t>的所得税税率。</w:t>
      </w:r>
    </w:p>
    <w:p>
      <w:pPr>
        <w:spacing w:line="240" w:lineRule="auto" w:before="4"/>
        <w:rPr>
          <w:rFonts w:ascii="宋体" w:hAnsi="宋体" w:cs="宋体" w:eastAsia="宋体" w:hint="default"/>
          <w:sz w:val="29"/>
          <w:szCs w:val="29"/>
        </w:rPr>
      </w:pPr>
    </w:p>
    <w:p>
      <w:pPr>
        <w:pStyle w:val="BodyText"/>
        <w:spacing w:line="240" w:lineRule="auto"/>
        <w:ind w:right="1022"/>
        <w:jc w:val="left"/>
      </w:pPr>
      <w:r>
        <w:rPr/>
        <w:t>公司需遵守《深圳证券交易所行业信息披露指引第</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上市公司从事软件与信息技术服务业务》的披露要求</w:t>
      </w:r>
    </w:p>
    <w:p>
      <w:pPr>
        <w:pStyle w:val="Heading4"/>
        <w:spacing w:line="268" w:lineRule="auto" w:before="77"/>
        <w:ind w:right="1120" w:firstLine="420"/>
        <w:jc w:val="left"/>
      </w:pPr>
      <w:r>
        <w:rPr/>
        <w:t>根据财税</w:t>
      </w:r>
      <w:r>
        <w:rPr>
          <w:rFonts w:ascii="Times New Roman" w:hAnsi="Times New Roman" w:cs="Times New Roman" w:eastAsia="Times New Roman" w:hint="default"/>
        </w:rPr>
        <w:t>[2011]100</w:t>
      </w:r>
      <w:r>
        <w:rPr>
          <w:rFonts w:ascii="Times New Roman" w:hAnsi="Times New Roman" w:cs="Times New Roman" w:eastAsia="Times New Roman" w:hint="default"/>
          <w:spacing w:val="-7"/>
        </w:rPr>
        <w:t> </w:t>
      </w:r>
      <w:r>
        <w:rPr>
          <w:spacing w:val="-3"/>
        </w:rPr>
        <w:t>号《财政部、国家税务总局关于软件产品增值税政策的通知》文件，除上海卫士通</w:t>
      </w:r>
      <w:r>
        <w:rPr/>
        <w:t> </w:t>
      </w:r>
      <w:r>
        <w:rPr>
          <w:spacing w:val="-1"/>
        </w:rPr>
        <w:t>网络安全有限公司、成都三零豪赛网络安全技术有限公司、中电科（天津）网络信息安全有限公司外，本</w:t>
      </w:r>
      <w:r>
        <w:rPr>
          <w:spacing w:val="-82"/>
        </w:rPr>
        <w:t> </w:t>
      </w:r>
      <w:r>
        <w:rPr>
          <w:spacing w:val="-82"/>
        </w:rPr>
      </w:r>
      <w:r>
        <w:rPr/>
        <w:t>公司及下属其他子公司销售软件产品享受增值税即征即退政策。本报告期公司收到软件增值税退税 </w:t>
      </w:r>
      <w:r>
        <w:rPr>
          <w:rFonts w:ascii="Times New Roman" w:hAnsi="Times New Roman" w:cs="Times New Roman" w:eastAsia="Times New Roman" w:hint="default"/>
        </w:rPr>
        <w:t>18,691,971.35</w:t>
      </w:r>
      <w:r>
        <w:rPr>
          <w:rFonts w:ascii="Times New Roman" w:hAnsi="Times New Roman" w:cs="Times New Roman" w:eastAsia="Times New Roman" w:hint="default"/>
          <w:spacing w:val="-2"/>
        </w:rPr>
        <w:t> </w:t>
      </w:r>
      <w:r>
        <w:rPr/>
        <w:t>元，计入其他收益项目，增加公司当期损益</w:t>
      </w:r>
      <w:r>
        <w:rPr>
          <w:spacing w:val="-55"/>
        </w:rPr>
        <w:t> </w:t>
      </w:r>
      <w:r>
        <w:rPr>
          <w:rFonts w:ascii="Times New Roman" w:hAnsi="Times New Roman" w:cs="Times New Roman" w:eastAsia="Times New Roman" w:hint="default"/>
        </w:rPr>
        <w:t>18,691,971.35</w:t>
      </w:r>
      <w:r>
        <w:rPr>
          <w:rFonts w:ascii="Times New Roman" w:hAnsi="Times New Roman" w:cs="Times New Roman" w:eastAsia="Times New Roman" w:hint="default"/>
          <w:spacing w:val="-2"/>
        </w:rPr>
        <w:t> </w:t>
      </w:r>
      <w:r>
        <w:rPr/>
        <w:t>元。</w:t>
      </w:r>
    </w:p>
    <w:p>
      <w:pPr>
        <w:spacing w:line="240" w:lineRule="auto" w:before="7"/>
        <w:rPr>
          <w:rFonts w:ascii="宋体" w:hAnsi="宋体" w:cs="宋体" w:eastAsia="宋体" w:hint="default"/>
          <w:sz w:val="20"/>
          <w:szCs w:val="20"/>
        </w:rPr>
      </w:pPr>
    </w:p>
    <w:p>
      <w:pPr>
        <w:pStyle w:val="Heading2"/>
        <w:spacing w:line="240" w:lineRule="auto"/>
        <w:ind w:right="1022"/>
        <w:jc w:val="left"/>
        <w:rPr>
          <w:b w:val="0"/>
          <w:bCs w:val="0"/>
        </w:rPr>
      </w:pPr>
      <w:bookmarkStart w:name="七、合并财务报表项目注释" w:id="217"/>
      <w:bookmarkEnd w:id="217"/>
      <w:r>
        <w:rPr>
          <w:b w:val="0"/>
          <w:bCs w:val="0"/>
        </w:rPr>
      </w:r>
      <w:r>
        <w:rPr/>
        <w:t>七、合并财务报表项目注释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022"/>
        <w:jc w:val="left"/>
        <w:rPr>
          <w:b w:val="0"/>
          <w:bCs w:val="0"/>
        </w:rPr>
      </w:pPr>
      <w:bookmarkStart w:name="1、货币资金" w:id="218"/>
      <w:bookmarkEnd w:id="218"/>
      <w:r>
        <w:rPr>
          <w:b w:val="0"/>
          <w:bCs w:val="0"/>
        </w:rPr>
      </w:r>
      <w:r>
        <w:rPr>
          <w:rFonts w:ascii="Times New Roman" w:hAnsi="Times New Roman" w:cs="Times New Roman" w:eastAsia="Times New Roman" w:hint="default"/>
        </w:rPr>
        <w:t>1</w:t>
      </w:r>
      <w:r>
        <w:rPr/>
        <w:t>、货币资金</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344,119.78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280,832.95</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1,930,954,470.59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1,867,776,333.84</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14,257,418.30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12,624,838.72</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1,945,556,008.67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1,880,682,005.51</w:t>
            </w:r>
          </w:p>
        </w:tc>
      </w:tr>
    </w:tbl>
    <w:p>
      <w:pPr>
        <w:pStyle w:val="BodyText"/>
        <w:spacing w:line="240" w:lineRule="auto" w:before="51"/>
        <w:ind w:right="1022"/>
        <w:jc w:val="left"/>
      </w:pPr>
      <w:r>
        <w:rPr/>
        <w:t>其他说明</w:t>
      </w:r>
    </w:p>
    <w:p>
      <w:pPr>
        <w:spacing w:line="240" w:lineRule="auto" w:before="1"/>
        <w:rPr>
          <w:rFonts w:ascii="宋体" w:hAnsi="宋体" w:cs="宋体" w:eastAsia="宋体" w:hint="default"/>
          <w:sz w:val="13"/>
          <w:szCs w:val="13"/>
        </w:rPr>
      </w:pPr>
    </w:p>
    <w:p>
      <w:pPr>
        <w:pStyle w:val="Heading4"/>
        <w:spacing w:line="240" w:lineRule="auto" w:before="0"/>
        <w:ind w:left="574" w:right="1022"/>
        <w:jc w:val="left"/>
      </w:pPr>
      <w:r>
        <w:rPr/>
        <w:t>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日，其中受限制的货币资金明细如下：</w:t>
      </w:r>
    </w:p>
    <w:p>
      <w:pPr>
        <w:spacing w:line="240" w:lineRule="auto" w:before="10"/>
        <w:rPr>
          <w:rFonts w:ascii="宋体" w:hAnsi="宋体" w:cs="宋体" w:eastAsia="宋体" w:hint="default"/>
          <w:sz w:val="2"/>
          <w:szCs w:val="2"/>
        </w:rPr>
      </w:pPr>
    </w:p>
    <w:tbl>
      <w:tblPr>
        <w:tblW w:w="0" w:type="auto"/>
        <w:jc w:val="left"/>
        <w:tblInd w:w="139" w:type="dxa"/>
        <w:tblLayout w:type="fixed"/>
        <w:tblCellMar>
          <w:top w:w="0" w:type="dxa"/>
          <w:left w:w="0" w:type="dxa"/>
          <w:bottom w:w="0" w:type="dxa"/>
          <w:right w:w="0" w:type="dxa"/>
        </w:tblCellMar>
        <w:tblLook w:val="01E0"/>
      </w:tblPr>
      <w:tblGrid>
        <w:gridCol w:w="3218"/>
        <w:gridCol w:w="3221"/>
        <w:gridCol w:w="3220"/>
      </w:tblGrid>
      <w:tr>
        <w:trPr>
          <w:trHeight w:val="342" w:hRule="exact"/>
        </w:trPr>
        <w:tc>
          <w:tcPr>
            <w:tcW w:w="3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422"/>
              <w:jc w:val="right"/>
              <w:rPr>
                <w:rFonts w:ascii="宋体" w:hAnsi="宋体" w:cs="宋体" w:eastAsia="宋体" w:hint="default"/>
                <w:sz w:val="18"/>
                <w:szCs w:val="18"/>
              </w:rPr>
            </w:pPr>
            <w:r>
              <w:rPr>
                <w:rFonts w:ascii="宋体" w:hAnsi="宋体" w:cs="宋体" w:eastAsia="宋体" w:hint="default"/>
                <w:sz w:val="18"/>
                <w:szCs w:val="18"/>
              </w:rPr>
              <w:t>项目</w:t>
            </w:r>
          </w:p>
        </w:tc>
        <w:tc>
          <w:tcPr>
            <w:tcW w:w="32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42" w:hRule="exact"/>
        </w:trPr>
        <w:tc>
          <w:tcPr>
            <w:tcW w:w="3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银行承兑汇票保证金</w:t>
            </w:r>
          </w:p>
        </w:tc>
        <w:tc>
          <w:tcPr>
            <w:tcW w:w="32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1,142,458.00</w:t>
            </w:r>
          </w:p>
        </w:tc>
        <w:tc>
          <w:tcPr>
            <w:tcW w:w="3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2,129,790.25</w:t>
            </w:r>
          </w:p>
        </w:tc>
      </w:tr>
      <w:tr>
        <w:trPr>
          <w:trHeight w:val="342" w:hRule="exact"/>
        </w:trPr>
        <w:tc>
          <w:tcPr>
            <w:tcW w:w="3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银行保函存出保证金</w:t>
            </w:r>
          </w:p>
        </w:tc>
        <w:tc>
          <w:tcPr>
            <w:tcW w:w="32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13,114,960.30</w:t>
            </w:r>
          </w:p>
        </w:tc>
        <w:tc>
          <w:tcPr>
            <w:tcW w:w="3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10,495,048.47</w:t>
            </w:r>
          </w:p>
        </w:tc>
      </w:tr>
      <w:tr>
        <w:trPr>
          <w:trHeight w:val="342" w:hRule="exact"/>
        </w:trPr>
        <w:tc>
          <w:tcPr>
            <w:tcW w:w="3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422"/>
              <w:jc w:val="right"/>
              <w:rPr>
                <w:rFonts w:ascii="宋体" w:hAnsi="宋体" w:cs="宋体" w:eastAsia="宋体" w:hint="default"/>
                <w:sz w:val="18"/>
                <w:szCs w:val="18"/>
              </w:rPr>
            </w:pPr>
            <w:r>
              <w:rPr>
                <w:rFonts w:ascii="宋体" w:hAnsi="宋体" w:cs="宋体" w:eastAsia="宋体" w:hint="default"/>
                <w:sz w:val="18"/>
                <w:szCs w:val="18"/>
              </w:rPr>
              <w:t>合计</w:t>
            </w:r>
          </w:p>
        </w:tc>
        <w:tc>
          <w:tcPr>
            <w:tcW w:w="32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14,257,418.30</w:t>
            </w:r>
          </w:p>
        </w:tc>
        <w:tc>
          <w:tcPr>
            <w:tcW w:w="3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12,624,838.72</w:t>
            </w:r>
          </w:p>
        </w:tc>
      </w:tr>
    </w:tbl>
    <w:p>
      <w:pPr>
        <w:spacing w:line="240" w:lineRule="auto" w:before="2"/>
        <w:rPr>
          <w:rFonts w:ascii="宋体" w:hAnsi="宋体" w:cs="宋体" w:eastAsia="宋体" w:hint="default"/>
          <w:sz w:val="19"/>
          <w:szCs w:val="19"/>
        </w:rPr>
      </w:pPr>
    </w:p>
    <w:p>
      <w:pPr>
        <w:pStyle w:val="Heading3"/>
        <w:spacing w:line="240" w:lineRule="auto" w:before="35"/>
        <w:ind w:right="1022"/>
        <w:jc w:val="left"/>
        <w:rPr>
          <w:b w:val="0"/>
          <w:bCs w:val="0"/>
        </w:rPr>
      </w:pPr>
      <w:bookmarkStart w:name="2、应收票据及应收账款" w:id="219"/>
      <w:bookmarkEnd w:id="219"/>
      <w:r>
        <w:rPr>
          <w:b w:val="0"/>
          <w:bCs w:val="0"/>
        </w:rPr>
      </w:r>
      <w:r>
        <w:rPr>
          <w:rFonts w:ascii="Times New Roman" w:hAnsi="Times New Roman" w:cs="Times New Roman" w:eastAsia="Times New Roman" w:hint="default"/>
        </w:rPr>
        <w:t>2</w:t>
      </w:r>
      <w:r>
        <w:rPr/>
        <w:t>、应收票据及应收账款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229,064,408.57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199,067,637.97</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1,722,557,405.12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1,616,093,944.20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98" w:right="0"/>
              <w:jc w:val="left"/>
              <w:rPr>
                <w:rFonts w:ascii="Times New Roman" w:hAnsi="Times New Roman" w:cs="Times New Roman" w:eastAsia="Times New Roman" w:hint="default"/>
                <w:sz w:val="18"/>
                <w:szCs w:val="18"/>
              </w:rPr>
            </w:pPr>
            <w:r>
              <w:rPr>
                <w:rFonts w:ascii="Times New Roman"/>
                <w:sz w:val="18"/>
              </w:rPr>
              <w:t>1,951,621,813.69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97" w:right="0"/>
              <w:jc w:val="left"/>
              <w:rPr>
                <w:rFonts w:ascii="Times New Roman" w:hAnsi="Times New Roman" w:cs="Times New Roman" w:eastAsia="Times New Roman" w:hint="default"/>
                <w:sz w:val="18"/>
                <w:szCs w:val="18"/>
              </w:rPr>
            </w:pPr>
            <w:r>
              <w:rPr>
                <w:rFonts w:ascii="Times New Roman"/>
                <w:sz w:val="18"/>
              </w:rPr>
              <w:t>1,815,161,582.17</w:t>
            </w:r>
          </w:p>
        </w:tc>
      </w:tr>
    </w:tbl>
    <w:p>
      <w:pPr>
        <w:spacing w:line="240" w:lineRule="auto" w:before="2"/>
        <w:rPr>
          <w:rFonts w:ascii="宋体" w:hAnsi="宋体" w:cs="宋体" w:eastAsia="宋体" w:hint="default"/>
          <w:sz w:val="19"/>
          <w:szCs w:val="19"/>
        </w:rPr>
      </w:pPr>
    </w:p>
    <w:p>
      <w:pPr>
        <w:pStyle w:val="Heading3"/>
        <w:spacing w:line="240" w:lineRule="auto" w:before="35"/>
        <w:ind w:right="1022"/>
        <w:jc w:val="left"/>
        <w:rPr>
          <w:b w:val="0"/>
          <w:bCs w:val="0"/>
        </w:rPr>
      </w:pPr>
      <w:bookmarkStart w:name="（1）应收票据" w:id="220"/>
      <w:bookmarkEnd w:id="220"/>
      <w:r>
        <w:rPr>
          <w:b w:val="0"/>
          <w:bCs w:val="0"/>
        </w:rPr>
      </w:r>
      <w:r>
        <w:rPr/>
        <w:t>（</w:t>
      </w:r>
      <w:r>
        <w:rPr>
          <w:rFonts w:ascii="Times New Roman" w:hAnsi="Times New Roman" w:cs="Times New Roman" w:eastAsia="Times New Roman" w:hint="default"/>
        </w:rPr>
        <w:t>1</w:t>
      </w:r>
      <w:r>
        <w:rPr/>
        <w:t>）应收票据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022"/>
        <w:jc w:val="left"/>
      </w:pPr>
      <w:r>
        <w:rPr>
          <w:rFonts w:ascii="Times New Roman" w:hAnsi="Times New Roman" w:cs="Times New Roman" w:eastAsia="Times New Roman" w:hint="default"/>
        </w:rPr>
        <w:t>1)</w:t>
      </w:r>
      <w:r>
        <w:rPr/>
        <w:t>应收票据分类列示</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34,823,634.27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40,316,280.97</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194,240,774.30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158,751,357.00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229,064,408.57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199,067,637.97</w:t>
            </w:r>
          </w:p>
        </w:tc>
      </w:tr>
    </w:tbl>
    <w:p>
      <w:pPr>
        <w:pStyle w:val="BodyText"/>
        <w:spacing w:line="240" w:lineRule="auto" w:before="51"/>
        <w:ind w:right="1022"/>
        <w:jc w:val="left"/>
      </w:pPr>
      <w:r>
        <w:rPr>
          <w:rFonts w:ascii="Times New Roman" w:hAnsi="Times New Roman" w:cs="Times New Roman" w:eastAsia="Times New Roman" w:hint="default"/>
        </w:rPr>
        <w:t>2)</w:t>
      </w:r>
      <w:r>
        <w:rPr/>
        <w:t>期末公司已背书或贴现且在资产负债表日尚未到期的应收票据</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82"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5,550,852.11</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13,639,850.00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19,190,702.11</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1022"/>
        <w:jc w:val="left"/>
        <w:rPr>
          <w:b w:val="0"/>
          <w:bCs w:val="0"/>
        </w:rPr>
      </w:pPr>
      <w:bookmarkStart w:name="（2）应收账款" w:id="221"/>
      <w:bookmarkEnd w:id="221"/>
      <w:r>
        <w:rPr>
          <w:b w:val="0"/>
          <w:bCs w:val="0"/>
        </w:rPr>
      </w:r>
      <w:r>
        <w:rPr/>
        <w:t>（</w:t>
      </w:r>
      <w:r>
        <w:rPr>
          <w:rFonts w:ascii="Times New Roman" w:hAnsi="Times New Roman" w:cs="Times New Roman" w:eastAsia="Times New Roman" w:hint="default"/>
        </w:rPr>
        <w:t>2</w:t>
      </w:r>
      <w:r>
        <w:rPr/>
        <w:t>）应收账款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022"/>
        <w:jc w:val="left"/>
      </w:pPr>
      <w:r>
        <w:rPr>
          <w:rFonts w:ascii="Times New Roman" w:hAnsi="Times New Roman" w:cs="Times New Roman" w:eastAsia="Times New Roman" w:hint="default"/>
        </w:rPr>
        <w:t>1)</w:t>
      </w:r>
      <w:r>
        <w:rPr/>
        <w:t>应收账款分类披露</w:t>
      </w:r>
    </w:p>
    <w:p>
      <w:pPr>
        <w:pStyle w:val="BodyText"/>
        <w:spacing w:line="240" w:lineRule="auto" w:before="102"/>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611"/>
        <w:gridCol w:w="775"/>
        <w:gridCol w:w="762"/>
        <w:gridCol w:w="762"/>
        <w:gridCol w:w="762"/>
        <w:gridCol w:w="790"/>
        <w:gridCol w:w="654"/>
        <w:gridCol w:w="762"/>
        <w:gridCol w:w="813"/>
        <w:gridCol w:w="932"/>
        <w:gridCol w:w="932"/>
      </w:tblGrid>
      <w:tr>
        <w:trPr>
          <w:trHeight w:val="403" w:hRule="exact"/>
        </w:trPr>
        <w:tc>
          <w:tcPr>
            <w:tcW w:w="1611"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611"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11"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2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11"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11"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1"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48"/>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40,871,3</w:t>
            </w:r>
          </w:p>
          <w:p>
            <w:pPr>
              <w:pStyle w:val="TableParagraph"/>
              <w:spacing w:line="240" w:lineRule="auto" w:before="105"/>
              <w:ind w:left="325" w:right="0"/>
              <w:jc w:val="left"/>
              <w:rPr>
                <w:rFonts w:ascii="Times New Roman" w:hAnsi="Times New Roman" w:cs="Times New Roman" w:eastAsia="Times New Roman" w:hint="default"/>
                <w:sz w:val="18"/>
                <w:szCs w:val="18"/>
              </w:rPr>
            </w:pPr>
            <w:r>
              <w:rPr>
                <w:rFonts w:ascii="Times New Roman"/>
                <w:sz w:val="18"/>
              </w:rPr>
              <w:t>71.64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32,153,5</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28.73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53" w:right="0"/>
              <w:jc w:val="center"/>
              <w:rPr>
                <w:rFonts w:ascii="Times New Roman" w:hAnsi="Times New Roman" w:cs="Times New Roman" w:eastAsia="Times New Roman" w:hint="default"/>
                <w:sz w:val="18"/>
                <w:szCs w:val="18"/>
              </w:rPr>
            </w:pPr>
            <w:r>
              <w:rPr>
                <w:rFonts w:ascii="Times New Roman"/>
                <w:sz w:val="18"/>
              </w:rPr>
              <w:t>78.67%</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8,717,842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.91</w:t>
            </w: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1,965,17</w:t>
            </w:r>
          </w:p>
          <w:p>
            <w:pPr>
              <w:pStyle w:val="TableParagraph"/>
              <w:spacing w:line="240" w:lineRule="auto" w:before="105"/>
              <w:ind w:left="99" w:right="0"/>
              <w:jc w:val="left"/>
              <w:rPr>
                <w:rFonts w:ascii="Times New Roman" w:hAnsi="Times New Roman" w:cs="Times New Roman" w:eastAsia="Times New Roman" w:hint="default"/>
                <w:sz w:val="18"/>
                <w:szCs w:val="18"/>
              </w:rPr>
            </w:pPr>
            <w:r>
              <w:rPr>
                <w:rFonts w:ascii="Times New Roman"/>
                <w:sz w:val="18"/>
              </w:rPr>
              <w:t>6,065.14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97.89%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4" w:right="0"/>
              <w:jc w:val="center"/>
              <w:rPr>
                <w:rFonts w:ascii="Times New Roman" w:hAnsi="Times New Roman" w:cs="Times New Roman" w:eastAsia="Times New Roman" w:hint="default"/>
                <w:sz w:val="18"/>
                <w:szCs w:val="18"/>
              </w:rPr>
            </w:pPr>
            <w:r>
              <w:rPr>
                <w:rFonts w:ascii="Times New Roman"/>
                <w:sz w:val="18"/>
              </w:rPr>
              <w:t>251,336,</w:t>
            </w:r>
          </w:p>
          <w:p>
            <w:pPr>
              <w:pStyle w:val="TableParagraph"/>
              <w:spacing w:line="240" w:lineRule="auto" w:before="105"/>
              <w:ind w:left="210" w:right="0"/>
              <w:jc w:val="center"/>
              <w:rPr>
                <w:rFonts w:ascii="Times New Roman" w:hAnsi="Times New Roman" w:cs="Times New Roman" w:eastAsia="Times New Roman" w:hint="default"/>
                <w:sz w:val="18"/>
                <w:szCs w:val="18"/>
              </w:rPr>
            </w:pPr>
            <w:r>
              <w:rPr>
                <w:rFonts w:ascii="Times New Roman"/>
                <w:sz w:val="18"/>
              </w:rPr>
              <w:t>502.93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53" w:right="0"/>
              <w:jc w:val="center"/>
              <w:rPr>
                <w:rFonts w:ascii="Times New Roman" w:hAnsi="Times New Roman" w:cs="Times New Roman" w:eastAsia="Times New Roman" w:hint="default"/>
                <w:sz w:val="18"/>
                <w:szCs w:val="18"/>
              </w:rPr>
            </w:pPr>
            <w:r>
              <w:rPr>
                <w:rFonts w:ascii="Times New Roman"/>
                <w:sz w:val="18"/>
              </w:rPr>
              <w:t>12.79%</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5" w:right="0"/>
              <w:jc w:val="center"/>
              <w:rPr>
                <w:rFonts w:ascii="Times New Roman" w:hAnsi="Times New Roman" w:cs="Times New Roman" w:eastAsia="Times New Roman" w:hint="default"/>
                <w:sz w:val="18"/>
                <w:szCs w:val="18"/>
              </w:rPr>
            </w:pPr>
            <w:r>
              <w:rPr>
                <w:rFonts w:ascii="Times New Roman"/>
                <w:sz w:val="18"/>
              </w:rPr>
              <w:t>1,713,839</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,562.21</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1,820,2</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81,449.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99.89%</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204,187,5</w:t>
            </w:r>
          </w:p>
          <w:p>
            <w:pPr>
              <w:pStyle w:val="TableParagraph"/>
              <w:spacing w:line="240" w:lineRule="auto" w:before="105"/>
              <w:ind w:left="375" w:right="0"/>
              <w:jc w:val="left"/>
              <w:rPr>
                <w:rFonts w:ascii="Times New Roman" w:hAnsi="Times New Roman" w:cs="Times New Roman" w:eastAsia="Times New Roman" w:hint="default"/>
                <w:sz w:val="18"/>
                <w:szCs w:val="18"/>
              </w:rPr>
            </w:pPr>
            <w:r>
              <w:rPr>
                <w:rFonts w:ascii="Times New Roman"/>
                <w:sz w:val="18"/>
              </w:rPr>
              <w:t>05.18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11.22%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1,616,093,9</w:t>
            </w:r>
          </w:p>
          <w:p>
            <w:pPr>
              <w:pStyle w:val="TableParagraph"/>
              <w:spacing w:line="240" w:lineRule="auto" w:before="105"/>
              <w:ind w:left="494" w:right="0"/>
              <w:jc w:val="left"/>
              <w:rPr>
                <w:rFonts w:ascii="Times New Roman" w:hAnsi="Times New Roman" w:cs="Times New Roman" w:eastAsia="Times New Roman" w:hint="default"/>
                <w:sz w:val="18"/>
                <w:szCs w:val="18"/>
              </w:rPr>
            </w:pPr>
            <w:r>
              <w:rPr>
                <w:rFonts w:ascii="Times New Roman"/>
                <w:sz w:val="18"/>
              </w:rPr>
              <w:t>44.20</w:t>
            </w: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1,484,60</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1.65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1,484,60</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1.65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1,931,7</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11.65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0.11%</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1,931,711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318" w:hRule="exact"/>
        </w:trPr>
        <w:tc>
          <w:tcPr>
            <w:tcW w:w="1611"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2,007,53</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2,038.43</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74" w:right="0"/>
              <w:jc w:val="center"/>
              <w:rPr>
                <w:rFonts w:ascii="Times New Roman" w:hAnsi="Times New Roman" w:cs="Times New Roman" w:eastAsia="Times New Roman" w:hint="default"/>
                <w:sz w:val="18"/>
                <w:szCs w:val="18"/>
              </w:rPr>
            </w:pPr>
            <w:r>
              <w:rPr>
                <w:rFonts w:ascii="Times New Roman"/>
                <w:sz w:val="18"/>
              </w:rPr>
              <w:t>284,974,</w:t>
            </w:r>
          </w:p>
          <w:p>
            <w:pPr>
              <w:pStyle w:val="TableParagraph"/>
              <w:spacing w:line="240" w:lineRule="auto" w:before="105"/>
              <w:ind w:left="210" w:right="0"/>
              <w:jc w:val="center"/>
              <w:rPr>
                <w:rFonts w:ascii="Times New Roman" w:hAnsi="Times New Roman" w:cs="Times New Roman" w:eastAsia="Times New Roman" w:hint="default"/>
                <w:sz w:val="18"/>
                <w:szCs w:val="18"/>
              </w:rPr>
            </w:pPr>
            <w:r>
              <w:rPr>
                <w:rFonts w:ascii="Times New Roman"/>
                <w:sz w:val="18"/>
              </w:rPr>
              <w:t>633.31</w:t>
            </w:r>
          </w:p>
        </w:tc>
        <w:tc>
          <w:tcPr>
            <w:tcW w:w="762" w:type="dxa"/>
            <w:vMerge w:val="restart"/>
            <w:tcBorders>
              <w:top w:val="single" w:sz="4" w:space="0" w:color="000000"/>
              <w:left w:val="single" w:sz="4" w:space="0" w:color="000000"/>
              <w:right w:val="single" w:sz="4" w:space="0" w:color="000000"/>
            </w:tcBorders>
          </w:tcPr>
          <w:p>
            <w:pP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15" w:right="0"/>
              <w:jc w:val="center"/>
              <w:rPr>
                <w:rFonts w:ascii="Times New Roman" w:hAnsi="Times New Roman" w:cs="Times New Roman" w:eastAsia="Times New Roman" w:hint="default"/>
                <w:sz w:val="18"/>
                <w:szCs w:val="18"/>
              </w:rPr>
            </w:pPr>
            <w:r>
              <w:rPr>
                <w:rFonts w:ascii="Times New Roman"/>
                <w:sz w:val="18"/>
              </w:rPr>
              <w:t>1,722,557</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,405.12</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1,822,2</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13,161.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03</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206,119,2</w:t>
            </w:r>
          </w:p>
          <w:p>
            <w:pPr>
              <w:pStyle w:val="TableParagraph"/>
              <w:spacing w:line="240" w:lineRule="auto" w:before="105"/>
              <w:ind w:left="375" w:right="0"/>
              <w:jc w:val="left"/>
              <w:rPr>
                <w:rFonts w:ascii="Times New Roman" w:hAnsi="Times New Roman" w:cs="Times New Roman" w:eastAsia="Times New Roman" w:hint="default"/>
                <w:sz w:val="18"/>
                <w:szCs w:val="18"/>
              </w:rPr>
            </w:pPr>
            <w:r>
              <w:rPr>
                <w:rFonts w:ascii="Times New Roman"/>
                <w:sz w:val="18"/>
              </w:rPr>
              <w:t>16.83</w:t>
            </w:r>
          </w:p>
        </w:tc>
        <w:tc>
          <w:tcPr>
            <w:tcW w:w="932" w:type="dxa"/>
            <w:vMerge w:val="restart"/>
            <w:tcBorders>
              <w:top w:val="single" w:sz="4" w:space="0" w:color="000000"/>
              <w:left w:val="single" w:sz="4" w:space="0" w:color="000000"/>
              <w:right w:val="single" w:sz="4" w:space="0" w:color="000000"/>
            </w:tcBorders>
          </w:tcPr>
          <w:p>
            <w:pP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1,616,093,9</w:t>
            </w:r>
          </w:p>
          <w:p>
            <w:pPr>
              <w:pStyle w:val="TableParagraph"/>
              <w:spacing w:line="240" w:lineRule="auto" w:before="105"/>
              <w:ind w:left="494" w:right="0"/>
              <w:jc w:val="left"/>
              <w:rPr>
                <w:rFonts w:ascii="Times New Roman" w:hAnsi="Times New Roman" w:cs="Times New Roman" w:eastAsia="Times New Roman" w:hint="default"/>
                <w:sz w:val="18"/>
                <w:szCs w:val="18"/>
              </w:rPr>
            </w:pPr>
            <w:r>
              <w:rPr>
                <w:rFonts w:ascii="Times New Roman"/>
                <w:sz w:val="18"/>
              </w:rPr>
              <w:t>44.20</w:t>
            </w:r>
          </w:p>
        </w:tc>
      </w:tr>
      <w:tr>
        <w:trPr>
          <w:trHeight w:val="392" w:hRule="exact"/>
        </w:trPr>
        <w:tc>
          <w:tcPr>
            <w:tcW w:w="16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318" w:hRule="exact"/>
        </w:trPr>
        <w:tc>
          <w:tcPr>
            <w:tcW w:w="1611"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pStyle w:val="BodyText"/>
        <w:spacing w:line="240" w:lineRule="auto" w:before="51"/>
        <w:ind w:right="1022"/>
        <w:jc w:val="left"/>
      </w:pPr>
      <w:r>
        <w:rPr/>
        <w:t>期末单项金额重大并单项计提坏账准备的应收账款：</w:t>
      </w:r>
    </w:p>
    <w:p>
      <w:pPr>
        <w:pStyle w:val="BodyText"/>
        <w:spacing w:line="240" w:lineRule="auto" w:before="116"/>
        <w:ind w:right="10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402"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应收账款（按单位）</w:t>
            </w:r>
          </w:p>
        </w:tc>
        <w:tc>
          <w:tcPr>
            <w:tcW w:w="765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永兴开元投资有限公司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42"/>
              <w:jc w:val="center"/>
              <w:rPr>
                <w:rFonts w:ascii="Times New Roman" w:hAnsi="Times New Roman" w:cs="Times New Roman" w:eastAsia="Times New Roman" w:hint="default"/>
                <w:sz w:val="18"/>
                <w:szCs w:val="18"/>
              </w:rPr>
            </w:pPr>
            <w:r>
              <w:rPr>
                <w:rFonts w:ascii="宋体" w:hAnsi="宋体" w:cs="宋体" w:eastAsia="宋体" w:hint="default"/>
                <w:sz w:val="18"/>
                <w:szCs w:val="18"/>
              </w:rPr>
              <w:t>涉诉，预计可收回</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8"/>
              <w:jc w:val="left"/>
              <w:rPr>
                <w:rFonts w:ascii="宋体" w:hAnsi="宋体" w:cs="宋体" w:eastAsia="宋体" w:hint="default"/>
                <w:sz w:val="18"/>
                <w:szCs w:val="18"/>
              </w:rPr>
            </w:pPr>
            <w:r>
              <w:rPr>
                <w:rFonts w:ascii="宋体" w:hAnsi="宋体" w:cs="宋体" w:eastAsia="宋体" w:hint="default"/>
                <w:sz w:val="18"/>
                <w:szCs w:val="18"/>
              </w:rPr>
              <w:t>陕西国城数据科技有限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30,871,371.64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23,153,528.73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42"/>
              <w:jc w:val="center"/>
              <w:rPr>
                <w:rFonts w:ascii="Times New Roman" w:hAnsi="Times New Roman" w:cs="Times New Roman" w:eastAsia="Times New Roman" w:hint="default"/>
                <w:sz w:val="18"/>
                <w:szCs w:val="18"/>
              </w:rPr>
            </w:pPr>
            <w:r>
              <w:rPr>
                <w:rFonts w:ascii="宋体" w:hAnsi="宋体" w:cs="宋体" w:eastAsia="宋体" w:hint="default"/>
                <w:sz w:val="18"/>
                <w:szCs w:val="18"/>
              </w:rPr>
              <w:t>涉诉，预计可收回</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40,871,371.64</w:t>
            </w:r>
          </w:p>
        </w:tc>
        <w:tc>
          <w:tcPr>
            <w:tcW w:w="191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2"/>
              <w:ind w:right="10"/>
              <w:jc w:val="right"/>
              <w:rPr>
                <w:rFonts w:ascii="Times New Roman" w:hAnsi="Times New Roman" w:cs="Times New Roman" w:eastAsia="Times New Roman" w:hint="default"/>
                <w:sz w:val="18"/>
                <w:szCs w:val="18"/>
              </w:rPr>
            </w:pPr>
            <w:r>
              <w:rPr>
                <w:rFonts w:ascii="Times New Roman"/>
                <w:spacing w:val="-1"/>
                <w:sz w:val="18"/>
              </w:rPr>
              <w:t>32,153,528.73</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pStyle w:val="BodyText"/>
        <w:spacing w:line="240" w:lineRule="auto" w:before="51"/>
        <w:ind w:right="-20"/>
        <w:jc w:val="left"/>
      </w:pPr>
      <w:r>
        <w:rPr/>
        <w:t>组合中，按账龄分析法计提坏账准备的应收账款：</w:t>
      </w:r>
    </w:p>
    <w:p>
      <w:pPr>
        <w:pStyle w:val="BodyText"/>
        <w:spacing w:line="240" w:lineRule="auto" w:before="116"/>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0"/>
          <w:cols w:num="2" w:equalWidth="0">
            <w:col w:w="4115" w:space="4715"/>
            <w:col w:w="210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其中：信息安全产品及服务款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1,248,974,432.97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62,448,721.66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1,248,974,432.97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62,448,721.66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390,858,017.66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39,085,801.77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215,635,893.87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64,690,768.17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109,707,720.64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85,111,211.33</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41,035,954.92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20,517,977.46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20,392,659.23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16,314,127.38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48,279,106.49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48,279,106.49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1,965,176,065.14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251,336,502.93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12.79%</w:t>
            </w:r>
          </w:p>
        </w:tc>
      </w:tr>
    </w:tbl>
    <w:p>
      <w:pPr>
        <w:pStyle w:val="BodyText"/>
        <w:spacing w:line="360" w:lineRule="auto" w:before="51"/>
        <w:ind w:right="6432"/>
        <w:jc w:val="left"/>
      </w:pPr>
      <w:r>
        <w:rPr/>
        <w:t>确定该组合依据的说明： 组合中，采用余额百分比法计提坏账准备的应收账款：</w:t>
      </w:r>
    </w:p>
    <w:p>
      <w:pPr>
        <w:pStyle w:val="BodyText"/>
        <w:spacing w:line="340" w:lineRule="auto" w:before="26"/>
        <w:ind w:right="67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w:t>
      </w:r>
    </w:p>
    <w:p>
      <w:pPr>
        <w:pStyle w:val="BodyText"/>
        <w:spacing w:line="240" w:lineRule="auto" w:before="40"/>
        <w:ind w:right="1022"/>
        <w:jc w:val="left"/>
      </w:pPr>
      <w:r>
        <w:rPr/>
        <w:t>公司需遵守《深圳证券交易所行业信息披露指引第</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上市公司从事软件与信息技术服务业务》的披露要求</w:t>
      </w:r>
    </w:p>
    <w:p>
      <w:pPr>
        <w:pStyle w:val="BodyText"/>
        <w:spacing w:line="240" w:lineRule="auto" w:before="102"/>
        <w:ind w:right="1022"/>
        <w:jc w:val="left"/>
      </w:pPr>
      <w:r>
        <w:rPr>
          <w:rFonts w:ascii="Times New Roman" w:hAnsi="Times New Roman" w:cs="Times New Roman" w:eastAsia="Times New Roman" w:hint="default"/>
        </w:rPr>
        <w:t>2)</w:t>
      </w:r>
      <w:r>
        <w:rPr/>
        <w:t>本期计提、收回或转回的坏账准备情况</w:t>
      </w:r>
    </w:p>
    <w:p>
      <w:pPr>
        <w:pStyle w:val="BodyText"/>
        <w:spacing w:line="240" w:lineRule="auto" w:before="103"/>
        <w:ind w:right="1022"/>
        <w:jc w:val="left"/>
      </w:pPr>
      <w:r>
        <w:rPr/>
        <w:t>本期计提坏账准备金额</w:t>
      </w:r>
      <w:r>
        <w:rPr>
          <w:spacing w:val="-47"/>
        </w:rPr>
        <w:t> </w:t>
      </w:r>
      <w:r>
        <w:rPr>
          <w:rFonts w:ascii="Times New Roman" w:hAnsi="Times New Roman" w:cs="Times New Roman" w:eastAsia="Times New Roman" w:hint="default"/>
        </w:rPr>
        <w:t>80,571,362.54</w:t>
      </w:r>
      <w:r>
        <w:rPr>
          <w:rFonts w:ascii="Times New Roman" w:hAnsi="Times New Roman" w:cs="Times New Roman" w:eastAsia="Times New Roman" w:hint="default"/>
          <w:spacing w:val="-1"/>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338" w:lineRule="auto" w:before="102"/>
        <w:ind w:right="8262"/>
        <w:jc w:val="left"/>
      </w:pPr>
      <w:r>
        <w:rPr>
          <w:rFonts w:ascii="Times New Roman" w:hAnsi="Times New Roman" w:cs="Times New Roman" w:eastAsia="Times New Roman" w:hint="default"/>
        </w:rPr>
        <w:t>3)</w:t>
      </w:r>
      <w:r>
        <w:rPr/>
        <w:t>本期实际核销的应收账款情况</w:t>
      </w:r>
      <w:r>
        <w:rPr>
          <w:w w:val="99"/>
        </w:rPr>
        <w:t> </w:t>
      </w:r>
      <w:r>
        <w:rPr/>
        <w:t>应收账款核销说明：</w:t>
      </w:r>
    </w:p>
    <w:p>
      <w:pPr>
        <w:pStyle w:val="Heading4"/>
        <w:spacing w:line="240" w:lineRule="auto" w:before="17"/>
        <w:ind w:right="1022"/>
        <w:jc w:val="left"/>
      </w:pPr>
      <w:r>
        <w:rPr/>
        <w:t>本期子公司上海卫士通网络安全有限公司实际核销应收账款</w:t>
      </w:r>
      <w:r>
        <w:rPr>
          <w:rFonts w:ascii="Times New Roman" w:hAnsi="Times New Roman" w:cs="Times New Roman" w:eastAsia="Times New Roman" w:hint="default"/>
        </w:rPr>
        <w:t>1,953,040.00</w:t>
      </w:r>
      <w:r>
        <w:rPr/>
        <w:t>元，其中核销已计提的坏账准备</w:t>
      </w:r>
    </w:p>
    <w:p>
      <w:pPr>
        <w:pStyle w:val="Heading4"/>
        <w:spacing w:line="240" w:lineRule="auto" w:before="21"/>
        <w:ind w:right="1022"/>
        <w:jc w:val="left"/>
      </w:pPr>
      <w:r>
        <w:rPr>
          <w:rFonts w:ascii="Times New Roman" w:hAnsi="Times New Roman" w:cs="Times New Roman" w:eastAsia="Times New Roman" w:hint="default"/>
        </w:rPr>
        <w:t>1,715,946.06</w:t>
      </w:r>
      <w:r>
        <w:rPr/>
        <w:t>元，计入营业外支出</w:t>
      </w:r>
      <w:r>
        <w:rPr>
          <w:rFonts w:ascii="Times New Roman" w:hAnsi="Times New Roman" w:cs="Times New Roman" w:eastAsia="Times New Roman" w:hint="default"/>
        </w:rPr>
        <w:t>237,093.94</w:t>
      </w:r>
      <w:r>
        <w:rPr/>
        <w:t>元。</w:t>
      </w:r>
    </w:p>
    <w:p>
      <w:pPr>
        <w:pStyle w:val="BodyText"/>
        <w:spacing w:line="240" w:lineRule="auto" w:before="88"/>
        <w:ind w:right="1022"/>
        <w:jc w:val="left"/>
      </w:pPr>
      <w:r>
        <w:rPr>
          <w:rFonts w:ascii="Times New Roman" w:hAnsi="Times New Roman" w:cs="Times New Roman" w:eastAsia="Times New Roman" w:hint="default"/>
        </w:rPr>
        <w:t>4)</w:t>
      </w:r>
      <w:r>
        <w:rPr/>
        <w:t>按欠款方归集的期末余额前五名的应收账款情况</w:t>
      </w:r>
    </w:p>
    <w:p>
      <w:pPr>
        <w:spacing w:line="240" w:lineRule="auto" w:before="12"/>
        <w:rPr>
          <w:rFonts w:ascii="宋体" w:hAnsi="宋体" w:cs="宋体" w:eastAsia="宋体" w:hint="default"/>
          <w:sz w:val="6"/>
          <w:szCs w:val="6"/>
        </w:rPr>
      </w:pPr>
    </w:p>
    <w:tbl>
      <w:tblPr>
        <w:tblW w:w="0" w:type="auto"/>
        <w:jc w:val="left"/>
        <w:tblInd w:w="139" w:type="dxa"/>
        <w:tblLayout w:type="fixed"/>
        <w:tblCellMar>
          <w:top w:w="0" w:type="dxa"/>
          <w:left w:w="0" w:type="dxa"/>
          <w:bottom w:w="0" w:type="dxa"/>
          <w:right w:w="0" w:type="dxa"/>
        </w:tblCellMar>
        <w:tblLook w:val="01E0"/>
      </w:tblPr>
      <w:tblGrid>
        <w:gridCol w:w="2426"/>
        <w:gridCol w:w="2411"/>
        <w:gridCol w:w="2411"/>
        <w:gridCol w:w="2411"/>
      </w:tblGrid>
      <w:tr>
        <w:trPr>
          <w:trHeight w:val="654" w:hRule="exact"/>
        </w:trPr>
        <w:tc>
          <w:tcPr>
            <w:tcW w:w="2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占应收账款期末余额的比例</w:t>
            </w:r>
          </w:p>
          <w:p>
            <w:pPr>
              <w:pStyle w:val="TableParagraph"/>
              <w:spacing w:line="240" w:lineRule="auto" w:before="116"/>
              <w:ind w:right="0"/>
              <w:jc w:val="center"/>
              <w:rPr>
                <w:rFonts w:ascii="Times New Roman" w:hAnsi="Times New Roman" w:cs="Times New Roman" w:eastAsia="Times New Roman" w:hint="default"/>
                <w:sz w:val="18"/>
                <w:szCs w:val="18"/>
              </w:rPr>
            </w:pPr>
            <w:r>
              <w:rPr>
                <w:rFonts w:ascii="Times New Roman"/>
                <w:sz w:val="18"/>
              </w:rPr>
              <w:t>(%)</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70" w:right="0"/>
              <w:jc w:val="left"/>
              <w:rPr>
                <w:rFonts w:ascii="宋体" w:hAnsi="宋体" w:cs="宋体" w:eastAsia="宋体" w:hint="default"/>
                <w:sz w:val="18"/>
                <w:szCs w:val="18"/>
              </w:rPr>
            </w:pPr>
            <w:r>
              <w:rPr>
                <w:rFonts w:ascii="宋体" w:hAnsi="宋体" w:cs="宋体" w:eastAsia="宋体" w:hint="default"/>
                <w:sz w:val="18"/>
                <w:szCs w:val="18"/>
              </w:rPr>
              <w:t>已计提坏账准备</w:t>
            </w:r>
          </w:p>
        </w:tc>
      </w:tr>
      <w:tr>
        <w:trPr>
          <w:trHeight w:val="343" w:hRule="exact"/>
        </w:trPr>
        <w:tc>
          <w:tcPr>
            <w:tcW w:w="2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270" w:right="0"/>
              <w:jc w:val="left"/>
              <w:rPr>
                <w:rFonts w:ascii="Times New Roman" w:hAnsi="Times New Roman" w:cs="Times New Roman" w:eastAsia="Times New Roman" w:hint="default"/>
                <w:sz w:val="18"/>
                <w:szCs w:val="18"/>
              </w:rPr>
            </w:pPr>
            <w:r>
              <w:rPr>
                <w:rFonts w:ascii="Times New Roman"/>
                <w:sz w:val="18"/>
              </w:rPr>
              <w:t>260,625,280.38</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12.98</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360" w:right="0"/>
              <w:jc w:val="left"/>
              <w:rPr>
                <w:rFonts w:ascii="Times New Roman" w:hAnsi="Times New Roman" w:cs="Times New Roman" w:eastAsia="Times New Roman" w:hint="default"/>
                <w:sz w:val="18"/>
                <w:szCs w:val="18"/>
              </w:rPr>
            </w:pPr>
            <w:r>
              <w:rPr>
                <w:rFonts w:ascii="Times New Roman"/>
                <w:sz w:val="18"/>
              </w:rPr>
              <w:t>14,960,991.17</w:t>
            </w:r>
          </w:p>
        </w:tc>
      </w:tr>
    </w:tbl>
    <w:p>
      <w:pPr>
        <w:spacing w:after="0" w:line="240" w:lineRule="auto"/>
        <w:jc w:val="lef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39" w:type="dxa"/>
        <w:tblLayout w:type="fixed"/>
        <w:tblCellMar>
          <w:top w:w="0" w:type="dxa"/>
          <w:left w:w="0" w:type="dxa"/>
          <w:bottom w:w="0" w:type="dxa"/>
          <w:right w:w="0" w:type="dxa"/>
        </w:tblCellMar>
        <w:tblLook w:val="01E0"/>
      </w:tblPr>
      <w:tblGrid>
        <w:gridCol w:w="2426"/>
        <w:gridCol w:w="2411"/>
        <w:gridCol w:w="2411"/>
        <w:gridCol w:w="2411"/>
      </w:tblGrid>
      <w:tr>
        <w:trPr>
          <w:trHeight w:val="342" w:hRule="exact"/>
        </w:trPr>
        <w:tc>
          <w:tcPr>
            <w:tcW w:w="2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233,990,891.22</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11.66</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19,575,028.53</w:t>
            </w:r>
          </w:p>
        </w:tc>
      </w:tr>
      <w:tr>
        <w:trPr>
          <w:trHeight w:val="342" w:hRule="exact"/>
        </w:trPr>
        <w:tc>
          <w:tcPr>
            <w:tcW w:w="2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101,004,426.03</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5.03</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5,062,644.38</w:t>
            </w:r>
          </w:p>
        </w:tc>
      </w:tr>
      <w:tr>
        <w:trPr>
          <w:trHeight w:val="342" w:hRule="exact"/>
        </w:trPr>
        <w:tc>
          <w:tcPr>
            <w:tcW w:w="2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44,351,296.00</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2.21</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2,217,564.80</w:t>
            </w:r>
          </w:p>
        </w:tc>
      </w:tr>
      <w:tr>
        <w:trPr>
          <w:trHeight w:val="342" w:hRule="exact"/>
        </w:trPr>
        <w:tc>
          <w:tcPr>
            <w:tcW w:w="2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43,060,675.30</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2.14</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8,686,653.77</w:t>
            </w:r>
          </w:p>
        </w:tc>
      </w:tr>
      <w:tr>
        <w:trPr>
          <w:trHeight w:val="342" w:hRule="exact"/>
        </w:trPr>
        <w:tc>
          <w:tcPr>
            <w:tcW w:w="2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683,032,568.93</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34.02</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50,502,882.65</w:t>
            </w:r>
          </w:p>
        </w:tc>
      </w:tr>
    </w:tbl>
    <w:p>
      <w:pPr>
        <w:spacing w:line="240" w:lineRule="auto" w:before="2"/>
        <w:rPr>
          <w:rFonts w:ascii="宋体" w:hAnsi="宋体" w:cs="宋体" w:eastAsia="宋体" w:hint="default"/>
          <w:sz w:val="19"/>
          <w:szCs w:val="19"/>
        </w:rPr>
      </w:pPr>
    </w:p>
    <w:p>
      <w:pPr>
        <w:pStyle w:val="Heading3"/>
        <w:spacing w:line="240" w:lineRule="auto" w:before="35"/>
        <w:ind w:right="1022"/>
        <w:jc w:val="left"/>
        <w:rPr>
          <w:b w:val="0"/>
          <w:bCs w:val="0"/>
        </w:rPr>
      </w:pPr>
      <w:bookmarkStart w:name="3、预付款项" w:id="222"/>
      <w:bookmarkEnd w:id="222"/>
      <w:r>
        <w:rPr>
          <w:b w:val="0"/>
          <w:bCs w:val="0"/>
        </w:rPr>
      </w:r>
      <w:r>
        <w:rPr>
          <w:rFonts w:ascii="Times New Roman" w:hAnsi="Times New Roman" w:cs="Times New Roman" w:eastAsia="Times New Roman" w:hint="default"/>
        </w:rPr>
        <w:t>3</w:t>
      </w:r>
      <w:r>
        <w:rPr/>
        <w:t>、预付款项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22"/>
        <w:jc w:val="left"/>
        <w:rPr>
          <w:b w:val="0"/>
          <w:bCs w:val="0"/>
        </w:rPr>
      </w:pPr>
      <w:bookmarkStart w:name="（1）预付款项按账龄列示" w:id="223"/>
      <w:bookmarkEnd w:id="223"/>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7"/>
        <w:gridCol w:w="1914"/>
        <w:gridCol w:w="1914"/>
        <w:gridCol w:w="1915"/>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0"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57,543,643.78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74.05%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60,774,393.36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88.74%</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15,716,381.23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2,902,781.66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4.24%</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843,217.95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2,312,801.00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3.38%</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3,605,740.36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2,495,659.19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3.64%</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77,708,983.32</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68,485,635.21</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1022"/>
        <w:jc w:val="left"/>
      </w:pP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w:t>
      </w:r>
    </w:p>
    <w:p>
      <w:pPr>
        <w:spacing w:line="240" w:lineRule="auto" w:before="0"/>
        <w:rPr>
          <w:rFonts w:ascii="宋体" w:hAnsi="宋体" w:cs="宋体" w:eastAsia="宋体" w:hint="default"/>
          <w:sz w:val="7"/>
          <w:szCs w:val="7"/>
        </w:rPr>
      </w:pPr>
    </w:p>
    <w:tbl>
      <w:tblPr>
        <w:tblW w:w="0" w:type="auto"/>
        <w:jc w:val="left"/>
        <w:tblInd w:w="139" w:type="dxa"/>
        <w:tblLayout w:type="fixed"/>
        <w:tblCellMar>
          <w:top w:w="0" w:type="dxa"/>
          <w:left w:w="0" w:type="dxa"/>
          <w:bottom w:w="0" w:type="dxa"/>
          <w:right w:w="0" w:type="dxa"/>
        </w:tblCellMar>
        <w:tblLook w:val="01E0"/>
      </w:tblPr>
      <w:tblGrid>
        <w:gridCol w:w="2570"/>
        <w:gridCol w:w="2363"/>
        <w:gridCol w:w="2364"/>
        <w:gridCol w:w="2362"/>
      </w:tblGrid>
      <w:tr>
        <w:trPr>
          <w:trHeight w:val="342" w:hRule="exact"/>
        </w:trPr>
        <w:tc>
          <w:tcPr>
            <w:tcW w:w="2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96"/>
              <w:jc w:val="right"/>
              <w:rPr>
                <w:rFonts w:ascii="宋体" w:hAnsi="宋体" w:cs="宋体" w:eastAsia="宋体" w:hint="default"/>
                <w:sz w:val="18"/>
                <w:szCs w:val="18"/>
              </w:rPr>
            </w:pPr>
            <w:r>
              <w:rPr>
                <w:rFonts w:ascii="宋体" w:hAnsi="宋体" w:cs="宋体" w:eastAsia="宋体" w:hint="default"/>
                <w:sz w:val="18"/>
                <w:szCs w:val="18"/>
              </w:rPr>
              <w:t>账龄</w:t>
            </w:r>
          </w:p>
        </w:tc>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46" w:right="0"/>
              <w:jc w:val="left"/>
              <w:rPr>
                <w:rFonts w:ascii="宋体" w:hAnsi="宋体" w:cs="宋体" w:eastAsia="宋体" w:hint="default"/>
                <w:sz w:val="18"/>
                <w:szCs w:val="18"/>
              </w:rPr>
            </w:pPr>
            <w:r>
              <w:rPr>
                <w:rFonts w:ascii="宋体" w:hAnsi="宋体" w:cs="宋体" w:eastAsia="宋体" w:hint="default"/>
                <w:sz w:val="18"/>
                <w:szCs w:val="18"/>
              </w:rPr>
              <w:t>未及时结算原因</w:t>
            </w:r>
          </w:p>
        </w:tc>
      </w:tr>
      <w:tr>
        <w:trPr>
          <w:trHeight w:val="342" w:hRule="exact"/>
        </w:trPr>
        <w:tc>
          <w:tcPr>
            <w:tcW w:w="2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7,503,000.00</w:t>
            </w:r>
          </w:p>
        </w:tc>
        <w:tc>
          <w:tcPr>
            <w:tcW w:w="2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尚未达到结算条件</w:t>
            </w:r>
          </w:p>
        </w:tc>
      </w:tr>
      <w:tr>
        <w:trPr>
          <w:trHeight w:val="342" w:hRule="exact"/>
        </w:trPr>
        <w:tc>
          <w:tcPr>
            <w:tcW w:w="2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4,800,000.00</w:t>
            </w:r>
          </w:p>
        </w:tc>
        <w:tc>
          <w:tcPr>
            <w:tcW w:w="2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尚未达到结算条件</w:t>
            </w:r>
          </w:p>
        </w:tc>
      </w:tr>
      <w:tr>
        <w:trPr>
          <w:trHeight w:val="342" w:hRule="exact"/>
        </w:trPr>
        <w:tc>
          <w:tcPr>
            <w:tcW w:w="2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1,814,050.00</w:t>
            </w:r>
          </w:p>
        </w:tc>
        <w:tc>
          <w:tcPr>
            <w:tcW w:w="2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尚未达到结算条件</w:t>
            </w:r>
          </w:p>
        </w:tc>
      </w:tr>
      <w:tr>
        <w:trPr>
          <w:trHeight w:val="342" w:hRule="exact"/>
        </w:trPr>
        <w:tc>
          <w:tcPr>
            <w:tcW w:w="2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950,000.00</w:t>
            </w:r>
          </w:p>
        </w:tc>
        <w:tc>
          <w:tcPr>
            <w:tcW w:w="2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年以上</w:t>
            </w:r>
          </w:p>
        </w:tc>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尚未达到结算条件</w:t>
            </w:r>
          </w:p>
        </w:tc>
      </w:tr>
      <w:tr>
        <w:trPr>
          <w:trHeight w:val="342" w:hRule="exact"/>
        </w:trPr>
        <w:tc>
          <w:tcPr>
            <w:tcW w:w="2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534,646.50</w:t>
            </w:r>
          </w:p>
        </w:tc>
        <w:tc>
          <w:tcPr>
            <w:tcW w:w="2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宋体" w:hAnsi="宋体" w:cs="宋体" w:eastAsia="宋体" w:hint="default"/>
                <w:sz w:val="18"/>
                <w:szCs w:val="18"/>
              </w:rPr>
              <w:t>年</w:t>
            </w:r>
          </w:p>
        </w:tc>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尚未达到结算条件</w:t>
            </w:r>
          </w:p>
        </w:tc>
      </w:tr>
      <w:tr>
        <w:trPr>
          <w:trHeight w:val="342" w:hRule="exact"/>
        </w:trPr>
        <w:tc>
          <w:tcPr>
            <w:tcW w:w="2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15,601,696.50</w:t>
            </w:r>
          </w:p>
        </w:tc>
        <w:tc>
          <w:tcPr>
            <w:tcW w:w="2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96"/>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1022"/>
        <w:jc w:val="left"/>
        <w:rPr>
          <w:b w:val="0"/>
          <w:bCs w:val="0"/>
        </w:rPr>
      </w:pPr>
      <w:bookmarkStart w:name="（2）按预付对象归集的期末余额前五名的预付款情况" w:id="224"/>
      <w:bookmarkEnd w:id="224"/>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9"/>
        <w:rPr>
          <w:rFonts w:ascii="宋体" w:hAnsi="宋体" w:cs="宋体" w:eastAsia="宋体" w:hint="default"/>
          <w:b/>
          <w:bCs/>
          <w:sz w:val="25"/>
          <w:szCs w:val="25"/>
        </w:rPr>
      </w:pPr>
    </w:p>
    <w:tbl>
      <w:tblPr>
        <w:tblW w:w="0" w:type="auto"/>
        <w:jc w:val="left"/>
        <w:tblInd w:w="139" w:type="dxa"/>
        <w:tblLayout w:type="fixed"/>
        <w:tblCellMar>
          <w:top w:w="0" w:type="dxa"/>
          <w:left w:w="0" w:type="dxa"/>
          <w:bottom w:w="0" w:type="dxa"/>
          <w:right w:w="0" w:type="dxa"/>
        </w:tblCellMar>
        <w:tblLook w:val="01E0"/>
      </w:tblPr>
      <w:tblGrid>
        <w:gridCol w:w="2570"/>
        <w:gridCol w:w="1774"/>
        <w:gridCol w:w="1772"/>
        <w:gridCol w:w="1774"/>
        <w:gridCol w:w="1769"/>
      </w:tblGrid>
      <w:tr>
        <w:trPr>
          <w:trHeight w:val="654" w:hRule="exact"/>
        </w:trPr>
        <w:tc>
          <w:tcPr>
            <w:tcW w:w="2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21" w:right="0"/>
              <w:jc w:val="left"/>
              <w:rPr>
                <w:rFonts w:ascii="宋体" w:hAnsi="宋体" w:cs="宋体" w:eastAsia="宋体" w:hint="default"/>
                <w:sz w:val="18"/>
                <w:szCs w:val="18"/>
              </w:rPr>
            </w:pPr>
            <w:r>
              <w:rPr>
                <w:rFonts w:ascii="宋体" w:hAnsi="宋体" w:cs="宋体" w:eastAsia="宋体" w:hint="default"/>
                <w:sz w:val="18"/>
                <w:szCs w:val="18"/>
              </w:rPr>
              <w:t>期末金额</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656" w:right="71" w:hanging="586"/>
              <w:jc w:val="left"/>
              <w:rPr>
                <w:rFonts w:ascii="Times New Roman" w:hAnsi="Times New Roman" w:cs="Times New Roman" w:eastAsia="Times New Roman" w:hint="default"/>
                <w:sz w:val="18"/>
                <w:szCs w:val="18"/>
              </w:rPr>
            </w:pPr>
            <w:r>
              <w:rPr>
                <w:rFonts w:ascii="宋体" w:hAnsi="宋体" w:cs="宋体" w:eastAsia="宋体" w:hint="default"/>
                <w:sz w:val="18"/>
                <w:szCs w:val="18"/>
              </w:rPr>
              <w:t>占预付账款总额的比 例</w:t>
            </w:r>
            <w:r>
              <w:rPr>
                <w:rFonts w:ascii="Times New Roman" w:hAnsi="Times New Roman" w:cs="Times New Roman" w:eastAsia="Times New Roman" w:hint="default"/>
                <w:sz w:val="18"/>
                <w:szCs w:val="18"/>
              </w:rPr>
              <w:t>(%)</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32" w:right="0"/>
              <w:jc w:val="left"/>
              <w:rPr>
                <w:rFonts w:ascii="宋体" w:hAnsi="宋体" w:cs="宋体" w:eastAsia="宋体" w:hint="default"/>
                <w:sz w:val="18"/>
                <w:szCs w:val="18"/>
              </w:rPr>
            </w:pPr>
            <w:r>
              <w:rPr>
                <w:rFonts w:ascii="宋体" w:hAnsi="宋体" w:cs="宋体" w:eastAsia="宋体" w:hint="default"/>
                <w:sz w:val="18"/>
                <w:szCs w:val="18"/>
              </w:rPr>
              <w:t>预付款时间</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28" w:right="0"/>
              <w:jc w:val="left"/>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342" w:hRule="exact"/>
        </w:trPr>
        <w:tc>
          <w:tcPr>
            <w:tcW w:w="2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16,054,000.00</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20.66</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尚未达到结算条件</w:t>
            </w:r>
          </w:p>
        </w:tc>
      </w:tr>
      <w:tr>
        <w:trPr>
          <w:trHeight w:val="342" w:hRule="exact"/>
        </w:trPr>
        <w:tc>
          <w:tcPr>
            <w:tcW w:w="2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7,740,000.00</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9.96</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尚未达到结算条件</w:t>
            </w:r>
          </w:p>
        </w:tc>
      </w:tr>
      <w:tr>
        <w:trPr>
          <w:trHeight w:val="342" w:hRule="exact"/>
        </w:trPr>
        <w:tc>
          <w:tcPr>
            <w:tcW w:w="2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6,644,310.00</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8.55</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尚未达到结算条件</w:t>
            </w:r>
          </w:p>
        </w:tc>
      </w:tr>
      <w:tr>
        <w:trPr>
          <w:trHeight w:val="342" w:hRule="exact"/>
        </w:trPr>
        <w:tc>
          <w:tcPr>
            <w:tcW w:w="2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4,800,000.00</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6.18</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尚未达到结算条件</w:t>
            </w:r>
          </w:p>
        </w:tc>
      </w:tr>
      <w:tr>
        <w:trPr>
          <w:trHeight w:val="342" w:hRule="exact"/>
        </w:trPr>
        <w:tc>
          <w:tcPr>
            <w:tcW w:w="2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4,704,853.00</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6.05</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尚未达到结算条件</w:t>
            </w:r>
          </w:p>
        </w:tc>
      </w:tr>
      <w:tr>
        <w:trPr>
          <w:trHeight w:val="344" w:hRule="exact"/>
        </w:trPr>
        <w:tc>
          <w:tcPr>
            <w:tcW w:w="2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39,943,163.00</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51.40</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b/>
          <w:bCs/>
          <w:sz w:val="24"/>
          <w:szCs w:val="24"/>
        </w:rPr>
      </w:pPr>
    </w:p>
    <w:p>
      <w:pPr>
        <w:pStyle w:val="Heading3"/>
        <w:spacing w:line="240" w:lineRule="auto" w:before="35"/>
        <w:ind w:right="1022"/>
        <w:jc w:val="left"/>
        <w:rPr>
          <w:b w:val="0"/>
          <w:bCs w:val="0"/>
        </w:rPr>
      </w:pPr>
      <w:bookmarkStart w:name="4、其他应收款" w:id="225"/>
      <w:bookmarkEnd w:id="225"/>
      <w:r>
        <w:rPr>
          <w:b w:val="0"/>
          <w:bCs w:val="0"/>
        </w:rPr>
      </w:r>
      <w:r>
        <w:rPr>
          <w:rFonts w:ascii="Times New Roman" w:hAnsi="Times New Roman" w:cs="Times New Roman" w:eastAsia="Times New Roman" w:hint="default"/>
        </w:rPr>
        <w:t>4</w:t>
      </w:r>
      <w:r>
        <w:rPr/>
        <w:t>、其他应收款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67,416,500.37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66,799,698.41</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67,416,500.37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66,799,698.41</w:t>
            </w:r>
          </w:p>
        </w:tc>
      </w:tr>
    </w:tbl>
    <w:p>
      <w:pPr>
        <w:spacing w:line="240" w:lineRule="auto" w:before="2"/>
        <w:rPr>
          <w:rFonts w:ascii="宋体" w:hAnsi="宋体" w:cs="宋体" w:eastAsia="宋体" w:hint="default"/>
          <w:sz w:val="19"/>
          <w:szCs w:val="19"/>
        </w:rPr>
      </w:pPr>
    </w:p>
    <w:p>
      <w:pPr>
        <w:pStyle w:val="Heading3"/>
        <w:spacing w:line="240" w:lineRule="auto" w:before="35"/>
        <w:ind w:right="1022"/>
        <w:jc w:val="left"/>
        <w:rPr>
          <w:b w:val="0"/>
          <w:bCs w:val="0"/>
        </w:rPr>
      </w:pPr>
      <w:bookmarkStart w:name="（1）其他应收款" w:id="226"/>
      <w:bookmarkEnd w:id="226"/>
      <w:r>
        <w:rPr>
          <w:b w:val="0"/>
          <w:bCs w:val="0"/>
        </w:rPr>
      </w:r>
      <w:r>
        <w:rPr/>
        <w:t>（</w:t>
      </w:r>
      <w:r>
        <w:rPr>
          <w:rFonts w:ascii="Times New Roman" w:hAnsi="Times New Roman" w:cs="Times New Roman" w:eastAsia="Times New Roman" w:hint="default"/>
        </w:rPr>
        <w:t>1</w:t>
      </w:r>
      <w:r>
        <w:rPr/>
        <w:t>）其他应收款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022"/>
        <w:jc w:val="left"/>
      </w:pPr>
      <w:r>
        <w:rPr>
          <w:rFonts w:ascii="Times New Roman" w:hAnsi="Times New Roman" w:cs="Times New Roman" w:eastAsia="Times New Roman" w:hint="default"/>
        </w:rPr>
        <w:t>1)</w:t>
      </w:r>
      <w:r>
        <w:rPr/>
        <w:t>其他应收款分类披露</w:t>
      </w:r>
    </w:p>
    <w:p>
      <w:pPr>
        <w:pStyle w:val="BodyText"/>
        <w:spacing w:line="240" w:lineRule="auto" w:before="102"/>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23"/>
        <w:gridCol w:w="775"/>
        <w:gridCol w:w="762"/>
        <w:gridCol w:w="762"/>
        <w:gridCol w:w="762"/>
        <w:gridCol w:w="790"/>
        <w:gridCol w:w="654"/>
        <w:gridCol w:w="762"/>
        <w:gridCol w:w="813"/>
        <w:gridCol w:w="932"/>
        <w:gridCol w:w="932"/>
      </w:tblGrid>
      <w:tr>
        <w:trPr>
          <w:trHeight w:val="403"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2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23"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80,447,3</w:t>
            </w:r>
          </w:p>
          <w:p>
            <w:pPr>
              <w:pStyle w:val="TableParagraph"/>
              <w:spacing w:line="240" w:lineRule="auto" w:before="105"/>
              <w:ind w:left="325" w:right="0"/>
              <w:jc w:val="left"/>
              <w:rPr>
                <w:rFonts w:ascii="Times New Roman" w:hAnsi="Times New Roman" w:cs="Times New Roman" w:eastAsia="Times New Roman" w:hint="default"/>
                <w:sz w:val="18"/>
                <w:szCs w:val="18"/>
              </w:rPr>
            </w:pPr>
            <w:r>
              <w:rPr>
                <w:rFonts w:ascii="Times New Roman"/>
                <w:sz w:val="18"/>
              </w:rPr>
              <w:t>02.92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99.37%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13,030,8</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02.55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53" w:right="0"/>
              <w:jc w:val="center"/>
              <w:rPr>
                <w:rFonts w:ascii="Times New Roman" w:hAnsi="Times New Roman" w:cs="Times New Roman" w:eastAsia="Times New Roman" w:hint="default"/>
                <w:sz w:val="18"/>
                <w:szCs w:val="18"/>
              </w:rPr>
            </w:pPr>
            <w:r>
              <w:rPr>
                <w:rFonts w:ascii="Times New Roman"/>
                <w:sz w:val="18"/>
              </w:rPr>
              <w:t>16.20%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67,416,50</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0.37</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80,265,</w:t>
            </w:r>
          </w:p>
          <w:p>
            <w:pPr>
              <w:pStyle w:val="TableParagraph"/>
              <w:spacing w:line="240" w:lineRule="auto" w:before="105"/>
              <w:ind w:left="126" w:right="0"/>
              <w:jc w:val="left"/>
              <w:rPr>
                <w:rFonts w:ascii="Times New Roman" w:hAnsi="Times New Roman" w:cs="Times New Roman" w:eastAsia="Times New Roman" w:hint="default"/>
                <w:sz w:val="18"/>
                <w:szCs w:val="18"/>
              </w:rPr>
            </w:pPr>
            <w:r>
              <w:rPr>
                <w:rFonts w:ascii="Times New Roman"/>
                <w:sz w:val="18"/>
              </w:rPr>
              <w:t>773.46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99.36%</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13,478,72</w:t>
            </w:r>
          </w:p>
          <w:p>
            <w:pPr>
              <w:pStyle w:val="TableParagraph"/>
              <w:spacing w:line="240" w:lineRule="auto" w:before="105"/>
              <w:ind w:left="465" w:right="0"/>
              <w:jc w:val="left"/>
              <w:rPr>
                <w:rFonts w:ascii="Times New Roman" w:hAnsi="Times New Roman" w:cs="Times New Roman" w:eastAsia="Times New Roman" w:hint="default"/>
                <w:sz w:val="18"/>
                <w:szCs w:val="18"/>
              </w:rPr>
            </w:pPr>
            <w:r>
              <w:rPr>
                <w:rFonts w:ascii="Times New Roman"/>
                <w:sz w:val="18"/>
              </w:rPr>
              <w:t>5.05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16.79%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66,787,048.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41</w:t>
            </w: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22"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509,080.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0.63%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509,080.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70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515,820</w:t>
            </w:r>
          </w:p>
          <w:p>
            <w:pPr>
              <w:pStyle w:val="TableParagraph"/>
              <w:spacing w:line="240" w:lineRule="auto" w:before="105"/>
              <w:ind w:left="396" w:right="0"/>
              <w:jc w:val="left"/>
              <w:rPr>
                <w:rFonts w:ascii="Times New Roman" w:hAnsi="Times New Roman" w:cs="Times New Roman" w:eastAsia="Times New Roman" w:hint="default"/>
                <w:sz w:val="18"/>
                <w:szCs w:val="18"/>
              </w:rPr>
            </w:pPr>
            <w:r>
              <w:rPr>
                <w:rFonts w:ascii="Times New Roman"/>
                <w:sz w:val="18"/>
              </w:rPr>
              <w:t>.70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0.64%</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503,170.7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97.55%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78" w:right="0"/>
              <w:jc w:val="left"/>
              <w:rPr>
                <w:rFonts w:ascii="Times New Roman" w:hAnsi="Times New Roman" w:cs="Times New Roman" w:eastAsia="Times New Roman" w:hint="default"/>
                <w:sz w:val="18"/>
                <w:szCs w:val="18"/>
              </w:rPr>
            </w:pPr>
            <w:r>
              <w:rPr>
                <w:rFonts w:ascii="Times New Roman"/>
                <w:sz w:val="18"/>
              </w:rPr>
              <w:t>12,650.00</w:t>
            </w:r>
          </w:p>
        </w:tc>
      </w:tr>
      <w:tr>
        <w:trPr>
          <w:trHeight w:val="162"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2"/>
              <w:ind w:left="105" w:right="0"/>
              <w:jc w:val="left"/>
              <w:rPr>
                <w:rFonts w:ascii="Times New Roman" w:hAnsi="Times New Roman" w:cs="Times New Roman" w:eastAsia="Times New Roman" w:hint="default"/>
                <w:sz w:val="18"/>
                <w:szCs w:val="18"/>
              </w:rPr>
            </w:pPr>
            <w:r>
              <w:rPr>
                <w:rFonts w:ascii="Times New Roman"/>
                <w:sz w:val="18"/>
              </w:rPr>
              <w:t>80,956,3</w:t>
            </w:r>
          </w:p>
          <w:p>
            <w:pPr>
              <w:pStyle w:val="TableParagraph"/>
              <w:spacing w:line="240" w:lineRule="auto" w:before="105"/>
              <w:ind w:left="330" w:right="0"/>
              <w:jc w:val="left"/>
              <w:rPr>
                <w:rFonts w:ascii="Times New Roman" w:hAnsi="Times New Roman" w:cs="Times New Roman" w:eastAsia="Times New Roman" w:hint="default"/>
                <w:sz w:val="18"/>
                <w:szCs w:val="18"/>
              </w:rPr>
            </w:pPr>
            <w:r>
              <w:rPr>
                <w:rFonts w:ascii="Times New Roman"/>
                <w:sz w:val="18"/>
              </w:rPr>
              <w:t>83.62</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2"/>
              <w:ind w:left="98" w:right="0"/>
              <w:jc w:val="left"/>
              <w:rPr>
                <w:rFonts w:ascii="Times New Roman" w:hAnsi="Times New Roman" w:cs="Times New Roman" w:eastAsia="Times New Roman" w:hint="default"/>
                <w:sz w:val="18"/>
                <w:szCs w:val="18"/>
              </w:rPr>
            </w:pPr>
            <w:r>
              <w:rPr>
                <w:rFonts w:ascii="Times New Roman"/>
                <w:sz w:val="18"/>
              </w:rPr>
              <w:t>13,539,8</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83.25</w:t>
            </w:r>
          </w:p>
        </w:tc>
        <w:tc>
          <w:tcPr>
            <w:tcW w:w="762" w:type="dxa"/>
            <w:vMerge w:val="restart"/>
            <w:tcBorders>
              <w:top w:val="single" w:sz="4" w:space="0" w:color="000000"/>
              <w:left w:val="single" w:sz="4" w:space="0" w:color="000000"/>
              <w:right w:val="single" w:sz="4" w:space="0" w:color="000000"/>
            </w:tcBorders>
          </w:tcPr>
          <w:p>
            <w:pP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2"/>
              <w:ind w:left="37" w:right="0"/>
              <w:jc w:val="left"/>
              <w:rPr>
                <w:rFonts w:ascii="Times New Roman" w:hAnsi="Times New Roman" w:cs="Times New Roman" w:eastAsia="Times New Roman" w:hint="default"/>
                <w:sz w:val="18"/>
                <w:szCs w:val="18"/>
              </w:rPr>
            </w:pPr>
            <w:r>
              <w:rPr>
                <w:rFonts w:ascii="Times New Roman"/>
                <w:sz w:val="18"/>
              </w:rPr>
              <w:t>67,416,50</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0.37</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2"/>
              <w:ind w:left="80" w:right="0"/>
              <w:jc w:val="left"/>
              <w:rPr>
                <w:rFonts w:ascii="Times New Roman" w:hAnsi="Times New Roman" w:cs="Times New Roman" w:eastAsia="Times New Roman" w:hint="default"/>
                <w:sz w:val="18"/>
                <w:szCs w:val="18"/>
              </w:rPr>
            </w:pPr>
            <w:r>
              <w:rPr>
                <w:rFonts w:ascii="Times New Roman"/>
                <w:sz w:val="18"/>
              </w:rPr>
              <w:t>80,781,</w:t>
            </w:r>
          </w:p>
          <w:p>
            <w:pPr>
              <w:pStyle w:val="TableParagraph"/>
              <w:spacing w:line="240" w:lineRule="auto" w:before="105"/>
              <w:ind w:left="126" w:right="0"/>
              <w:jc w:val="left"/>
              <w:rPr>
                <w:rFonts w:ascii="Times New Roman" w:hAnsi="Times New Roman" w:cs="Times New Roman" w:eastAsia="Times New Roman" w:hint="default"/>
                <w:sz w:val="18"/>
                <w:szCs w:val="18"/>
              </w:rPr>
            </w:pPr>
            <w:r>
              <w:rPr>
                <w:rFonts w:ascii="Times New Roman"/>
                <w:sz w:val="18"/>
              </w:rPr>
              <w:t>594.16</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2"/>
              <w:ind w:left="59" w:right="0"/>
              <w:jc w:val="left"/>
              <w:rPr>
                <w:rFonts w:ascii="Times New Roman" w:hAnsi="Times New Roman" w:cs="Times New Roman" w:eastAsia="Times New Roman" w:hint="default"/>
                <w:sz w:val="18"/>
                <w:szCs w:val="18"/>
              </w:rPr>
            </w:pPr>
            <w:r>
              <w:rPr>
                <w:rFonts w:ascii="Times New Roman"/>
                <w:sz w:val="18"/>
              </w:rPr>
              <w:t>13,981,89</w:t>
            </w:r>
          </w:p>
          <w:p>
            <w:pPr>
              <w:pStyle w:val="TableParagraph"/>
              <w:spacing w:line="240" w:lineRule="auto" w:before="105"/>
              <w:ind w:left="465" w:right="0"/>
              <w:jc w:val="left"/>
              <w:rPr>
                <w:rFonts w:ascii="Times New Roman" w:hAnsi="Times New Roman" w:cs="Times New Roman" w:eastAsia="Times New Roman" w:hint="default"/>
                <w:sz w:val="18"/>
                <w:szCs w:val="18"/>
              </w:rPr>
            </w:pPr>
            <w:r>
              <w:rPr>
                <w:rFonts w:ascii="Times New Roman"/>
                <w:sz w:val="18"/>
              </w:rPr>
              <w:t>5.75</w:t>
            </w:r>
          </w:p>
        </w:tc>
        <w:tc>
          <w:tcPr>
            <w:tcW w:w="932" w:type="dxa"/>
            <w:vMerge w:val="restart"/>
            <w:tcBorders>
              <w:top w:val="single" w:sz="4" w:space="0" w:color="000000"/>
              <w:left w:val="single" w:sz="4" w:space="0" w:color="000000"/>
              <w:right w:val="single" w:sz="4" w:space="0" w:color="000000"/>
            </w:tcBorders>
          </w:tcPr>
          <w:p>
            <w:pP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66,799,698.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41</w:t>
            </w:r>
          </w:p>
        </w:tc>
      </w:tr>
      <w:tr>
        <w:trPr>
          <w:trHeight w:val="391"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2"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pStyle w:val="BodyText"/>
        <w:spacing w:line="240" w:lineRule="auto" w:before="51"/>
        <w:ind w:right="-20"/>
        <w:jc w:val="left"/>
      </w:pPr>
      <w:r>
        <w:rPr/>
        <w:t>期末单项金额重大并单项计提坏账准备的其他应收款：</w:t>
      </w:r>
    </w:p>
    <w:p>
      <w:pPr>
        <w:pStyle w:val="BodyText"/>
        <w:spacing w:line="340" w:lineRule="auto" w:before="116"/>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240" w:lineRule="auto" w:before="40"/>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0"/>
          <w:cols w:num="2" w:equalWidth="0">
            <w:col w:w="4475" w:space="4355"/>
            <w:col w:w="210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37,741,784.98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1,886,028.83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37,741,784.98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1,886,028.83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25,519,831.62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2,551,983.16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9,128,730.30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2,738,619.10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8,056,956.02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5,854,171.46</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3,698,527.42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1,849,263.72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1,767,604.31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1,414,083.45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1"/>
        <w:gridCol w:w="2394"/>
        <w:gridCol w:w="2392"/>
        <w:gridCol w:w="2392"/>
      </w:tblGrid>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2,590,824.29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2,590,824.29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80,447,302.92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13,030,802.55</w:t>
            </w:r>
          </w:p>
        </w:tc>
        <w:tc>
          <w:tcPr>
            <w:tcW w:w="239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51"/>
        <w:ind w:right="6252"/>
        <w:jc w:val="left"/>
      </w:pPr>
      <w:r>
        <w:rPr/>
        <w:t>确定该组合依据的说明： 组合中，采用余额百分比法计提坏账准备的其他应收款：</w:t>
      </w:r>
    </w:p>
    <w:p>
      <w:pPr>
        <w:pStyle w:val="BodyText"/>
        <w:spacing w:line="340" w:lineRule="auto" w:before="26"/>
        <w:ind w:right="66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0"/>
        <w:ind w:right="10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1022"/>
        <w:jc w:val="left"/>
      </w:pPr>
      <w:r>
        <w:rPr>
          <w:rFonts w:ascii="Times New Roman" w:hAnsi="Times New Roman" w:cs="Times New Roman" w:eastAsia="Times New Roman" w:hint="default"/>
        </w:rPr>
        <w:t>2)</w:t>
      </w:r>
      <w:r>
        <w:rPr/>
        <w:t>本期计提、收回或转回的坏账准备情况</w:t>
      </w:r>
    </w:p>
    <w:p>
      <w:pPr>
        <w:pStyle w:val="BodyText"/>
        <w:spacing w:line="240" w:lineRule="auto" w:before="103"/>
        <w:ind w:right="1022"/>
        <w:jc w:val="left"/>
      </w:pPr>
      <w:r>
        <w:rPr/>
        <w:t>本期计提坏账准备金额</w:t>
      </w:r>
      <w:r>
        <w:rPr>
          <w:spacing w:val="-46"/>
        </w:rPr>
        <w:t> </w:t>
      </w:r>
      <w:r>
        <w:rPr>
          <w:rFonts w:ascii="Times New Roman" w:hAnsi="Times New Roman" w:cs="Times New Roman" w:eastAsia="Times New Roman" w:hint="default"/>
        </w:rPr>
        <w:t>440,012.50</w:t>
      </w:r>
      <w:r>
        <w:rPr>
          <w:rFonts w:ascii="Times New Roman" w:hAnsi="Times New Roman" w:cs="Times New Roman" w:eastAsia="Times New Roman" w:hint="default"/>
          <w:spacing w:val="-1"/>
        </w:rPr>
        <w:t> </w:t>
      </w:r>
      <w:r>
        <w:rPr/>
        <w:t>元；本期收回或转回坏账准备金额</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338" w:lineRule="auto" w:before="102"/>
        <w:ind w:right="8082"/>
        <w:jc w:val="left"/>
      </w:pPr>
      <w:r>
        <w:rPr>
          <w:rFonts w:ascii="Times New Roman" w:hAnsi="Times New Roman" w:cs="Times New Roman" w:eastAsia="Times New Roman" w:hint="default"/>
        </w:rPr>
        <w:t>3)</w:t>
      </w:r>
      <w:r>
        <w:rPr/>
        <w:t>本期实际核销的其他应收款情况</w:t>
      </w:r>
      <w:r>
        <w:rPr>
          <w:w w:val="99"/>
        </w:rPr>
        <w:t> </w:t>
      </w:r>
      <w:r>
        <w:rPr/>
        <w:t>其他应收款核销说明：</w:t>
      </w:r>
    </w:p>
    <w:p>
      <w:pPr>
        <w:pStyle w:val="Heading4"/>
        <w:spacing w:line="240" w:lineRule="auto" w:before="17"/>
        <w:ind w:right="1022"/>
        <w:jc w:val="left"/>
      </w:pPr>
      <w:r>
        <w:rPr/>
        <w:t>本期子公司上海卫士通网络安全有限公司实际核销其他应收款</w:t>
      </w:r>
      <w:r>
        <w:rPr>
          <w:rFonts w:ascii="Times New Roman" w:hAnsi="Times New Roman" w:cs="Times New Roman" w:eastAsia="Times New Roman" w:hint="default"/>
        </w:rPr>
        <w:t>2,000.00</w:t>
      </w:r>
      <w:r>
        <w:rPr/>
        <w:t>元，其中核销已计提的坏账准备</w:t>
      </w:r>
    </w:p>
    <w:p>
      <w:pPr>
        <w:pStyle w:val="Heading4"/>
        <w:spacing w:line="240" w:lineRule="auto" w:before="21"/>
        <w:ind w:right="1022"/>
        <w:jc w:val="left"/>
      </w:pPr>
      <w:r>
        <w:rPr>
          <w:rFonts w:ascii="Times New Roman" w:hAnsi="Times New Roman" w:cs="Times New Roman" w:eastAsia="Times New Roman" w:hint="default"/>
        </w:rPr>
        <w:t>2,000.00</w:t>
      </w:r>
      <w:r>
        <w:rPr/>
        <w:t>元。</w:t>
      </w:r>
    </w:p>
    <w:p>
      <w:pPr>
        <w:pStyle w:val="BodyText"/>
        <w:spacing w:line="240" w:lineRule="auto" w:before="87"/>
        <w:ind w:right="1022"/>
        <w:jc w:val="left"/>
      </w:pPr>
      <w:r>
        <w:rPr>
          <w:rFonts w:ascii="Times New Roman" w:hAnsi="Times New Roman" w:cs="Times New Roman" w:eastAsia="Times New Roman" w:hint="default"/>
        </w:rPr>
        <w:t>4)</w:t>
      </w:r>
      <w:r>
        <w:rPr/>
        <w:t>其他应收款按款项性质分类情况</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1,673,987.70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5,526,736.45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71,339,935.36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71,006,111.13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个人业务借款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4,967,971.15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1,539,669.07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1,901,006.34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1,843,646.34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1,073,483.07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865,431.17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80,956,383.62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80,781,594.16</w:t>
            </w:r>
          </w:p>
        </w:tc>
      </w:tr>
    </w:tbl>
    <w:p>
      <w:pPr>
        <w:pStyle w:val="BodyText"/>
        <w:spacing w:line="240" w:lineRule="auto" w:before="51"/>
        <w:ind w:right="1022"/>
        <w:jc w:val="left"/>
      </w:pPr>
      <w:r>
        <w:rPr>
          <w:rFonts w:ascii="Times New Roman" w:hAnsi="Times New Roman" w:cs="Times New Roman" w:eastAsia="Times New Roman" w:hint="default"/>
        </w:rPr>
        <w:t>5)</w:t>
      </w:r>
      <w:r>
        <w:rPr/>
        <w:t>按欠款方归集的期末余额前五名的其他应收款情况</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3"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3,849,582.00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384,958.20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3,376,295.00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168,814.75</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3,089,234.00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154,461.70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2,813,473.90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281,347.39</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2,404,392.30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240,439.23</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15,532,977.20</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19.19%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1,230,021.27</w:t>
            </w:r>
          </w:p>
        </w:tc>
      </w:tr>
    </w:tbl>
    <w:p>
      <w:pPr>
        <w:spacing w:line="240" w:lineRule="auto" w:before="3"/>
        <w:rPr>
          <w:rFonts w:ascii="宋体" w:hAnsi="宋体" w:cs="宋体" w:eastAsia="宋体" w:hint="default"/>
          <w:sz w:val="19"/>
          <w:szCs w:val="19"/>
        </w:rPr>
      </w:pPr>
    </w:p>
    <w:p>
      <w:pPr>
        <w:pStyle w:val="Heading3"/>
        <w:spacing w:line="240" w:lineRule="auto" w:before="35"/>
        <w:ind w:right="1022"/>
        <w:jc w:val="left"/>
        <w:rPr>
          <w:b w:val="0"/>
          <w:bCs w:val="0"/>
        </w:rPr>
      </w:pPr>
      <w:bookmarkStart w:name="5、存货" w:id="227"/>
      <w:bookmarkEnd w:id="227"/>
      <w:r>
        <w:rPr>
          <w:b w:val="0"/>
          <w:bCs w:val="0"/>
        </w:rPr>
      </w:r>
      <w:r>
        <w:rPr>
          <w:rFonts w:ascii="Times New Roman" w:hAnsi="Times New Roman" w:cs="Times New Roman" w:eastAsia="Times New Roman" w:hint="default"/>
        </w:rPr>
        <w:t>5</w:t>
      </w:r>
      <w:r>
        <w:rPr/>
        <w:t>、存货</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7512"/>
        <w:jc w:val="left"/>
      </w:pPr>
      <w:r>
        <w:rPr/>
        <w:t>公司是否需要遵守房地产行业的披露要求 否</w:t>
      </w:r>
    </w:p>
    <w:p>
      <w:pPr>
        <w:spacing w:after="0" w:line="36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1022"/>
        <w:jc w:val="left"/>
        <w:rPr>
          <w:b w:val="0"/>
          <w:bCs w:val="0"/>
        </w:rPr>
      </w:pPr>
      <w:bookmarkStart w:name="（1）存货分类" w:id="228"/>
      <w:bookmarkEnd w:id="228"/>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206"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7" w:hRule="exact"/>
        </w:trPr>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47,129,511.30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3,883,632.04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43,245,879.26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40,887,685.13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3,362,450.89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37,525,234.24</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54,399,118.84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54,399,118.84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52,553,248.57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76,896.42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52,476,352.15</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168,021,331.35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10,763,078.43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157,258,252.92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87,881,148.07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5,484,952.29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82,396,195.78</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140,533.85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140,533.85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142,858.38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142,858.38</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委托加工物资</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8,643,198.64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8,643,198.64</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在途物资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1,286,645.65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1,286,645.65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1,301,681.52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1,301,681.52</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61,708,261.37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8,221,864.65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53,486,396.72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43,442,190.64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14,956,390.90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28,485,799.74</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332,685,402.36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22,868,575.12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309,816,827.24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234,852,010.95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23,880,690.50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210,971,320.45</w:t>
            </w:r>
          </w:p>
        </w:tc>
      </w:tr>
    </w:tbl>
    <w:p>
      <w:pPr>
        <w:pStyle w:val="BodyText"/>
        <w:spacing w:line="338" w:lineRule="auto" w:before="51"/>
        <w:ind w:right="2473"/>
        <w:jc w:val="left"/>
      </w:pPr>
      <w:r>
        <w:rPr/>
        <w:t>公司是否需遵守《深圳证券交易所行业信息披露指引第</w:t>
      </w:r>
      <w:r>
        <w:rPr>
          <w:spacing w:val="-45"/>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上市公司从事种业、种植业务》的披露要求 否</w:t>
      </w:r>
    </w:p>
    <w:p>
      <w:pPr>
        <w:pStyle w:val="BodyText"/>
        <w:spacing w:line="338" w:lineRule="auto" w:before="43"/>
        <w:ind w:right="2751"/>
        <w:jc w:val="left"/>
      </w:pPr>
      <w:r>
        <w:rPr/>
        <w:t>公司需遵守《深圳证券交易所行业信息披露指引第</w:t>
      </w:r>
      <w:r>
        <w:rPr>
          <w:spacing w:val="-45"/>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上市公司从事珠宝相关业务》的披露要求 否</w:t>
      </w:r>
    </w:p>
    <w:p>
      <w:pPr>
        <w:spacing w:line="240" w:lineRule="auto" w:before="1"/>
        <w:rPr>
          <w:rFonts w:ascii="宋体" w:hAnsi="宋体" w:cs="宋体" w:eastAsia="宋体" w:hint="default"/>
          <w:sz w:val="21"/>
          <w:szCs w:val="21"/>
        </w:rPr>
      </w:pPr>
    </w:p>
    <w:p>
      <w:pPr>
        <w:pStyle w:val="Heading3"/>
        <w:spacing w:line="240" w:lineRule="auto"/>
        <w:ind w:right="1022"/>
        <w:jc w:val="left"/>
        <w:rPr>
          <w:b w:val="0"/>
          <w:bCs w:val="0"/>
        </w:rPr>
      </w:pPr>
      <w:bookmarkStart w:name="（2）存货跌价准备" w:id="229"/>
      <w:bookmarkEnd w:id="229"/>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206"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82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2735" w:type="dxa"/>
            <w:gridSpan w:val="2"/>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right w:val="single" w:sz="4" w:space="0" w:color="000000"/>
            </w:tcBorders>
            <w:shd w:val="clear" w:color="auto" w:fill="D2D2D2"/>
          </w:tcPr>
          <w:p>
            <w:pPr/>
          </w:p>
        </w:tc>
      </w:tr>
      <w:tr>
        <w:trPr>
          <w:trHeight w:val="196"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68" w:type="dxa"/>
            <w:vMerge/>
            <w:tcBorders>
              <w:left w:val="single" w:sz="4" w:space="0" w:color="000000"/>
              <w:bottom w:val="nil" w:sz="6" w:space="0" w:color="auto"/>
              <w:right w:val="single" w:sz="4" w:space="0" w:color="000000"/>
            </w:tcBorders>
            <w:shd w:val="clear" w:color="auto" w:fill="D2D2D2"/>
          </w:tcPr>
          <w:p>
            <w:pP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29"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right w:val="single" w:sz="4" w:space="0" w:color="000000"/>
            </w:tcBorders>
            <w:shd w:val="clear" w:color="auto" w:fill="D2D2D2"/>
          </w:tcPr>
          <w:p>
            <w:pPr/>
          </w:p>
        </w:tc>
      </w:tr>
      <w:tr>
        <w:trPr>
          <w:trHeight w:val="205"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3,362,450.89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818,961.89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297,780.74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3,883,632.04</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76,896.42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76,896.42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5,484,952.29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8,647,889.62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3,369,763.48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10,763,078.43</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14,956,390.90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1,300,764.31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8,035,290.56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8,221,864.65</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23,880,690.50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10,767,615.82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11,779,731.20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22,868,575.12</w:t>
            </w:r>
          </w:p>
        </w:tc>
      </w:tr>
    </w:tbl>
    <w:p>
      <w:pPr>
        <w:spacing w:line="240" w:lineRule="auto" w:before="2"/>
        <w:rPr>
          <w:rFonts w:ascii="宋体" w:hAnsi="宋体" w:cs="宋体" w:eastAsia="宋体" w:hint="default"/>
          <w:sz w:val="19"/>
          <w:szCs w:val="19"/>
        </w:rPr>
      </w:pPr>
    </w:p>
    <w:p>
      <w:pPr>
        <w:pStyle w:val="Heading3"/>
        <w:spacing w:line="240" w:lineRule="auto" w:before="35"/>
        <w:ind w:right="1022"/>
        <w:jc w:val="left"/>
        <w:rPr>
          <w:b w:val="0"/>
          <w:bCs w:val="0"/>
        </w:rPr>
      </w:pPr>
      <w:bookmarkStart w:name="（3）存货期末余额含有借款费用资本化金额的说明" w:id="230"/>
      <w:bookmarkEnd w:id="230"/>
      <w:r>
        <w:rPr>
          <w:b w:val="0"/>
          <w:bCs w:val="0"/>
        </w:rPr>
      </w: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22"/>
        <w:jc w:val="left"/>
      </w:pPr>
      <w:r>
        <w:rPr/>
        <w:t>无</w:t>
      </w:r>
    </w:p>
    <w:p>
      <w:pPr>
        <w:spacing w:line="240" w:lineRule="auto" w:before="10"/>
        <w:rPr>
          <w:rFonts w:ascii="宋体" w:hAnsi="宋体" w:cs="宋体" w:eastAsia="宋体" w:hint="default"/>
          <w:sz w:val="26"/>
          <w:szCs w:val="26"/>
        </w:rPr>
      </w:pPr>
    </w:p>
    <w:p>
      <w:pPr>
        <w:pStyle w:val="Heading3"/>
        <w:spacing w:line="240" w:lineRule="auto"/>
        <w:ind w:right="1022"/>
        <w:jc w:val="left"/>
        <w:rPr>
          <w:b w:val="0"/>
          <w:bCs w:val="0"/>
        </w:rPr>
      </w:pPr>
      <w:bookmarkStart w:name="（4）期末建造合同形成的已完工未结算资产情况" w:id="231"/>
      <w:bookmarkEnd w:id="231"/>
      <w:r>
        <w:rPr>
          <w:b w:val="0"/>
          <w:bCs w:val="0"/>
        </w:rPr>
      </w: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22"/>
        <w:jc w:val="left"/>
      </w:pPr>
      <w:r>
        <w:rPr/>
        <w:t>无</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1022"/>
        <w:jc w:val="left"/>
        <w:rPr>
          <w:b w:val="0"/>
          <w:bCs w:val="0"/>
        </w:rPr>
      </w:pPr>
      <w:bookmarkStart w:name="6、其他流动资产" w:id="232"/>
      <w:bookmarkEnd w:id="232"/>
      <w:r>
        <w:rPr>
          <w:b w:val="0"/>
          <w:bCs w:val="0"/>
        </w:rPr>
      </w:r>
      <w:r>
        <w:rPr>
          <w:rFonts w:ascii="Times New Roman" w:hAnsi="Times New Roman" w:cs="Times New Roman" w:eastAsia="Times New Roman" w:hint="default"/>
        </w:rPr>
        <w:t>6</w:t>
      </w:r>
      <w:r>
        <w:rPr/>
        <w:t>、其他流动资产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待抵扣增值税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56,825,569.77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25,159,637.90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预缴企业所得税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181,917.90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181,917.90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57,007,487.67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25,341,555.80</w:t>
            </w:r>
          </w:p>
        </w:tc>
      </w:tr>
    </w:tbl>
    <w:p>
      <w:pPr>
        <w:spacing w:line="240" w:lineRule="auto" w:before="2"/>
        <w:rPr>
          <w:rFonts w:ascii="宋体" w:hAnsi="宋体" w:cs="宋体" w:eastAsia="宋体" w:hint="default"/>
          <w:sz w:val="19"/>
          <w:szCs w:val="19"/>
        </w:rPr>
      </w:pPr>
    </w:p>
    <w:p>
      <w:pPr>
        <w:pStyle w:val="Heading3"/>
        <w:spacing w:line="240" w:lineRule="auto" w:before="35"/>
        <w:ind w:right="1022"/>
        <w:jc w:val="left"/>
        <w:rPr>
          <w:b w:val="0"/>
          <w:bCs w:val="0"/>
        </w:rPr>
      </w:pPr>
      <w:bookmarkStart w:name="7、可供出售金融资产" w:id="233"/>
      <w:bookmarkEnd w:id="233"/>
      <w:r>
        <w:rPr>
          <w:b w:val="0"/>
          <w:bCs w:val="0"/>
        </w:rPr>
      </w:r>
      <w:r>
        <w:rPr>
          <w:rFonts w:ascii="Times New Roman" w:hAnsi="Times New Roman" w:cs="Times New Roman" w:eastAsia="Times New Roman" w:hint="default"/>
        </w:rPr>
        <w:t>7</w:t>
      </w:r>
      <w:r>
        <w:rPr/>
        <w:t>、可供出售金融资产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22"/>
        <w:jc w:val="left"/>
        <w:rPr>
          <w:b w:val="0"/>
          <w:bCs w:val="0"/>
        </w:rPr>
      </w:pPr>
      <w:bookmarkStart w:name="（1）可供出售金融资产情况" w:id="234"/>
      <w:bookmarkEnd w:id="234"/>
      <w:r>
        <w:rPr>
          <w:b w:val="0"/>
          <w:bCs w:val="0"/>
        </w:rPr>
      </w: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89"/>
        <w:gridCol w:w="1195"/>
        <w:gridCol w:w="1196"/>
        <w:gridCol w:w="1196"/>
        <w:gridCol w:w="1248"/>
        <w:gridCol w:w="1367"/>
        <w:gridCol w:w="1367"/>
      </w:tblGrid>
      <w:tr>
        <w:trPr>
          <w:trHeight w:val="206" w:hRule="exact"/>
        </w:trPr>
        <w:tc>
          <w:tcPr>
            <w:tcW w:w="19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58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9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7" w:type="dxa"/>
            <w:gridSpan w:val="3"/>
            <w:vMerge/>
            <w:tcBorders>
              <w:left w:val="single" w:sz="4" w:space="0" w:color="000000"/>
              <w:bottom w:val="single" w:sz="4" w:space="0" w:color="000000"/>
              <w:right w:val="single" w:sz="4" w:space="0" w:color="000000"/>
            </w:tcBorders>
            <w:shd w:val="clear" w:color="auto" w:fill="D2D2D2"/>
          </w:tcPr>
          <w:p>
            <w:pPr/>
          </w:p>
        </w:tc>
        <w:tc>
          <w:tcPr>
            <w:tcW w:w="3982"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89" w:type="dxa"/>
            <w:vMerge/>
            <w:tcBorders>
              <w:left w:val="single" w:sz="4" w:space="0" w:color="000000"/>
              <w:bottom w:val="nil" w:sz="6" w:space="0" w:color="auto"/>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5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9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24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2,800,000.00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800,000.00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2,000,000.00</w:t>
            </w:r>
          </w:p>
        </w:tc>
      </w:tr>
      <w:tr>
        <w:trPr>
          <w:trHeight w:val="402" w:hRule="exact"/>
        </w:trPr>
        <w:tc>
          <w:tcPr>
            <w:tcW w:w="1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2,800,000.00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800,000.00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2,000,000.00</w:t>
            </w:r>
          </w:p>
        </w:tc>
      </w:tr>
      <w:tr>
        <w:trPr>
          <w:trHeight w:val="403" w:hRule="exact"/>
        </w:trPr>
        <w:tc>
          <w:tcPr>
            <w:tcW w:w="1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2,800,000.00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800,000.00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2,000,000.00</w:t>
            </w:r>
          </w:p>
        </w:tc>
      </w:tr>
    </w:tbl>
    <w:p>
      <w:pPr>
        <w:spacing w:line="240" w:lineRule="auto" w:before="3"/>
        <w:rPr>
          <w:rFonts w:ascii="宋体" w:hAnsi="宋体" w:cs="宋体" w:eastAsia="宋体" w:hint="default"/>
          <w:sz w:val="19"/>
          <w:szCs w:val="19"/>
        </w:rPr>
      </w:pPr>
    </w:p>
    <w:p>
      <w:pPr>
        <w:pStyle w:val="Heading3"/>
        <w:spacing w:line="240" w:lineRule="auto" w:before="35"/>
        <w:ind w:right="1022"/>
        <w:jc w:val="left"/>
        <w:rPr>
          <w:b w:val="0"/>
          <w:bCs w:val="0"/>
        </w:rPr>
      </w:pPr>
      <w:bookmarkStart w:name="（2）期末按成本计量的可供出售金融资产" w:id="235"/>
      <w:bookmarkEnd w:id="235"/>
      <w:r>
        <w:rPr>
          <w:b w:val="0"/>
          <w:bCs w:val="0"/>
        </w:rPr>
      </w:r>
      <w:r>
        <w:rPr/>
        <w:t>（</w:t>
      </w:r>
      <w:r>
        <w:rPr>
          <w:rFonts w:ascii="Times New Roman" w:hAnsi="Times New Roman" w:cs="Times New Roman" w:eastAsia="Times New Roman" w:hint="default"/>
        </w:rPr>
        <w:t>2</w:t>
      </w:r>
      <w:r>
        <w:rPr/>
        <w:t>）期末按成本计量的可供出售金融资产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402" w:hRule="exact"/>
        </w:trPr>
        <w:tc>
          <w:tcPr>
            <w:tcW w:w="8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35" w:right="65"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49" w:right="68"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624" w:hRule="exact"/>
        </w:trPr>
        <w:tc>
          <w:tcPr>
            <w:tcW w:w="863" w:type="dxa"/>
            <w:vMerge/>
            <w:tcBorders>
              <w:left w:val="single" w:sz="4" w:space="0" w:color="000000"/>
              <w:bottom w:val="single" w:sz="4" w:space="0" w:color="000000"/>
              <w:right w:val="single" w:sz="4" w:space="0" w:color="000000"/>
            </w:tcBorders>
            <w:shd w:val="clear" w:color="auto" w:fill="D2D2D2"/>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期末</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870" w:type="dxa"/>
            <w:vMerge/>
            <w:tcBorders>
              <w:left w:val="single" w:sz="4" w:space="0" w:color="000000"/>
              <w:bottom w:val="single" w:sz="4" w:space="0" w:color="000000"/>
              <w:right w:val="single" w:sz="4" w:space="0" w:color="000000"/>
            </w:tcBorders>
            <w:shd w:val="clear" w:color="auto" w:fill="D2D2D2"/>
          </w:tcPr>
          <w:p>
            <w:pPr/>
          </w:p>
        </w:tc>
        <w:tc>
          <w:tcPr>
            <w:tcW w:w="870" w:type="dxa"/>
            <w:vMerge/>
            <w:tcBorders>
              <w:left w:val="single" w:sz="4" w:space="0" w:color="000000"/>
              <w:bottom w:val="single" w:sz="4" w:space="0" w:color="000000"/>
              <w:right w:val="single" w:sz="4" w:space="0" w:color="000000"/>
            </w:tcBorders>
            <w:shd w:val="clear" w:color="auto" w:fill="D2D2D2"/>
          </w:tcPr>
          <w:p>
            <w:pPr/>
          </w:p>
        </w:tc>
      </w:tr>
      <w:tr>
        <w:trPr>
          <w:trHeight w:val="1338"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成都兴政 电子政务 运营服务 有限公司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200,000.00</w:t>
            </w:r>
          </w:p>
        </w:tc>
      </w:tr>
      <w:tr>
        <w:trPr>
          <w:trHeight w:val="1338"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深圳市虹 安信息安 全技术有 限公司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800,000.00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800,000.00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800,000.00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800,000.00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800,000.00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800,000.00</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200,000.00</w:t>
            </w:r>
          </w:p>
        </w:tc>
      </w:tr>
    </w:tbl>
    <w:p>
      <w:pPr>
        <w:spacing w:line="240" w:lineRule="auto" w:before="3"/>
        <w:rPr>
          <w:rFonts w:ascii="宋体" w:hAnsi="宋体" w:cs="宋体" w:eastAsia="宋体" w:hint="default"/>
          <w:sz w:val="19"/>
          <w:szCs w:val="19"/>
        </w:rPr>
      </w:pPr>
    </w:p>
    <w:p>
      <w:pPr>
        <w:pStyle w:val="Heading3"/>
        <w:spacing w:line="240" w:lineRule="auto" w:before="35"/>
        <w:ind w:right="1022"/>
        <w:jc w:val="left"/>
        <w:rPr>
          <w:b w:val="0"/>
          <w:bCs w:val="0"/>
        </w:rPr>
      </w:pPr>
      <w:bookmarkStart w:name="（3）报告期内可供出售金融资产减值的变动情况" w:id="236"/>
      <w:bookmarkEnd w:id="236"/>
      <w:r>
        <w:rPr>
          <w:b w:val="0"/>
          <w:bCs w:val="0"/>
        </w:rPr>
      </w:r>
      <w:r>
        <w:rPr/>
        <w:t>（</w:t>
      </w:r>
      <w:r>
        <w:rPr>
          <w:rFonts w:ascii="Times New Roman" w:hAnsi="Times New Roman" w:cs="Times New Roman" w:eastAsia="Times New Roman" w:hint="default"/>
        </w:rPr>
        <w:t>3</w:t>
      </w:r>
      <w:r>
        <w:rPr/>
        <w:t>）报告期内可供出售金融资产减值的变动情况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25"/>
        <w:gridCol w:w="1903"/>
        <w:gridCol w:w="1903"/>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25" w:type="dxa"/>
            <w:tcBorders>
              <w:top w:val="single" w:sz="4" w:space="0" w:color="000000"/>
              <w:left w:val="single" w:sz="4" w:space="0" w:color="000000"/>
              <w:bottom w:val="single" w:sz="4" w:space="0" w:color="000000"/>
              <w:right w:val="single" w:sz="13" w:space="0" w:color="E0FFFF"/>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0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期初已计提减值余额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800,000.00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800,000.00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期末已计提减值余额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800,000.00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800,000.00</w:t>
            </w:r>
          </w:p>
        </w:tc>
      </w:tr>
    </w:tbl>
    <w:p>
      <w:pPr>
        <w:spacing w:line="240" w:lineRule="auto" w:before="2"/>
        <w:rPr>
          <w:rFonts w:ascii="宋体" w:hAnsi="宋体" w:cs="宋体" w:eastAsia="宋体" w:hint="default"/>
          <w:sz w:val="19"/>
          <w:szCs w:val="19"/>
        </w:rPr>
      </w:pPr>
    </w:p>
    <w:p>
      <w:pPr>
        <w:pStyle w:val="Heading3"/>
        <w:spacing w:line="240" w:lineRule="auto" w:before="35"/>
        <w:ind w:right="1022"/>
        <w:jc w:val="left"/>
        <w:rPr>
          <w:b w:val="0"/>
          <w:bCs w:val="0"/>
        </w:rPr>
      </w:pPr>
      <w:bookmarkStart w:name="8、长期股权投资" w:id="237"/>
      <w:bookmarkEnd w:id="237"/>
      <w:r>
        <w:rPr>
          <w:b w:val="0"/>
          <w:bCs w:val="0"/>
        </w:rPr>
      </w:r>
      <w:r>
        <w:rPr>
          <w:rFonts w:ascii="Times New Roman" w:hAnsi="Times New Roman" w:cs="Times New Roman" w:eastAsia="Times New Roman" w:hint="default"/>
        </w:rPr>
        <w:t>8</w:t>
      </w:r>
      <w:r>
        <w:rPr/>
        <w:t>、长期股权投资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02" w:right="33"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成都摩宝 网络科技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26,606,40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6.67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-4,343,97</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6.55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22,262,43</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0.12</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成都市数 字城市运 营管理有 限公司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155,661.5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9,155,661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.59</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26,606,40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6.67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-4,188,31</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4.96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31,418,09</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1.71</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26,606,40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6.67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-4,188,31</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4.96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31,418,09</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1.71</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1022"/>
        <w:jc w:val="left"/>
        <w:rPr>
          <w:b w:val="0"/>
          <w:bCs w:val="0"/>
        </w:rPr>
      </w:pPr>
      <w:bookmarkStart w:name="9、固定资产" w:id="238"/>
      <w:bookmarkEnd w:id="238"/>
      <w:r>
        <w:rPr>
          <w:b w:val="0"/>
          <w:bCs w:val="0"/>
        </w:rPr>
      </w:r>
      <w:r>
        <w:rPr>
          <w:rFonts w:ascii="Times New Roman" w:hAnsi="Times New Roman" w:cs="Times New Roman" w:eastAsia="Times New Roman" w:hint="default"/>
        </w:rPr>
        <w:t>9</w:t>
      </w:r>
      <w:r>
        <w:rPr/>
        <w:t>、固定资产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71"/>
        <w:gridCol w:w="3200"/>
        <w:gridCol w:w="3188"/>
      </w:tblGrid>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2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263,195,958.75</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265,655,093.62</w:t>
            </w:r>
          </w:p>
        </w:tc>
      </w:tr>
      <w:tr>
        <w:trPr>
          <w:trHeight w:val="403"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263,195,958.75</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265,655,093.62</w:t>
            </w:r>
          </w:p>
        </w:tc>
      </w:tr>
    </w:tbl>
    <w:p>
      <w:pPr>
        <w:spacing w:line="240" w:lineRule="auto" w:before="2"/>
        <w:rPr>
          <w:rFonts w:ascii="宋体" w:hAnsi="宋体" w:cs="宋体" w:eastAsia="宋体" w:hint="default"/>
          <w:sz w:val="19"/>
          <w:szCs w:val="19"/>
        </w:rPr>
      </w:pPr>
    </w:p>
    <w:p>
      <w:pPr>
        <w:pStyle w:val="Heading3"/>
        <w:spacing w:line="240" w:lineRule="auto" w:before="35"/>
        <w:ind w:right="1022"/>
        <w:jc w:val="left"/>
        <w:rPr>
          <w:b w:val="0"/>
          <w:bCs w:val="0"/>
        </w:rPr>
      </w:pPr>
      <w:bookmarkStart w:name="（1）固定资产情况" w:id="239"/>
      <w:bookmarkEnd w:id="239"/>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268"/>
        <w:gridCol w:w="1276"/>
        <w:gridCol w:w="1277"/>
        <w:gridCol w:w="1134"/>
        <w:gridCol w:w="1276"/>
        <w:gridCol w:w="1134"/>
        <w:gridCol w:w="1205"/>
      </w:tblGrid>
      <w:tr>
        <w:trPr>
          <w:trHeight w:val="401"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27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9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27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73"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13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运输工具</w:t>
            </w:r>
          </w:p>
        </w:tc>
        <w:tc>
          <w:tcPr>
            <w:tcW w:w="127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7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13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268,821,978.28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10" w:right="0"/>
              <w:jc w:val="left"/>
              <w:rPr>
                <w:rFonts w:ascii="Times New Roman" w:hAnsi="Times New Roman" w:cs="Times New Roman" w:eastAsia="Times New Roman" w:hint="default"/>
                <w:sz w:val="18"/>
                <w:szCs w:val="18"/>
              </w:rPr>
            </w:pPr>
            <w:r>
              <w:rPr>
                <w:rFonts w:ascii="Times New Roman"/>
                <w:sz w:val="18"/>
              </w:rPr>
              <w:t>25,732,778.44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2" w:right="0"/>
              <w:jc w:val="center"/>
              <w:rPr>
                <w:rFonts w:ascii="Times New Roman" w:hAnsi="Times New Roman" w:cs="Times New Roman" w:eastAsia="Times New Roman" w:hint="default"/>
                <w:sz w:val="18"/>
                <w:szCs w:val="18"/>
              </w:rPr>
            </w:pPr>
            <w:r>
              <w:rPr>
                <w:rFonts w:ascii="Times New Roman"/>
                <w:sz w:val="18"/>
              </w:rPr>
              <w:t>17,798,861.06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93,670,050.86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6,854,518.61</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412,878,187.25</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27,027.03</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19,596,708.93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16,791.71</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19,640,527.67</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27,027.03</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13,347,053.93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16,791.71</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13,390,872.67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268"/>
        <w:gridCol w:w="1276"/>
        <w:gridCol w:w="1277"/>
        <w:gridCol w:w="1134"/>
        <w:gridCol w:w="1276"/>
        <w:gridCol w:w="1134"/>
        <w:gridCol w:w="1205"/>
      </w:tblGrid>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43"/>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）在建工程转入</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43"/>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其他增加</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6,249,655.00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6,249,655.00</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2,114,807.99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407,165.00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1,935,611.30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20,090.00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4,477,674.29</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2,114,807.99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407,165.00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1,935,611.30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20,090.00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4,477,674.29</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268,849,005.31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23,617,970.45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17,391,696.06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111,331,148.49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6,851,220.32</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428,041,040.63</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53,947,283.53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24,959,957.11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16,208,873.41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47,905,595.88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4,201,383.70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147,223,093.63</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5,134,644.12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192,389.95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480,011.93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15,585,553.32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657,051.43</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22,049,650.75</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5,134,644.12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192,389.95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480,011.93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15,585,553.32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657,051.43</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22,049,650.75</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2,111,943.96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394,950.05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1,901,199.59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19,568.90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4,427,662.50</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2,111,943.96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394,950.05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1,901,199.59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19,568.90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4,427,662.50</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59,081,927.65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23,040,403.10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16,293,935.29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61,589,949.61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4,838,866.23</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164,845,081.88</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209,767,077.66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577,567.35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1,097,760.77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49,741,198.88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2,012,354.09</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263,195,958.75</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214,874,694.75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772,821.33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1,589,987.65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45,764,454.98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2,653,134.91</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265,655,093.62</w:t>
            </w:r>
          </w:p>
        </w:tc>
      </w:tr>
    </w:tbl>
    <w:p>
      <w:pPr>
        <w:spacing w:line="240" w:lineRule="auto" w:before="2"/>
        <w:rPr>
          <w:rFonts w:ascii="宋体" w:hAnsi="宋体" w:cs="宋体" w:eastAsia="宋体" w:hint="default"/>
          <w:sz w:val="19"/>
          <w:szCs w:val="19"/>
        </w:rPr>
      </w:pPr>
    </w:p>
    <w:p>
      <w:pPr>
        <w:pStyle w:val="Heading3"/>
        <w:spacing w:line="240" w:lineRule="auto" w:before="35"/>
        <w:ind w:right="1022"/>
        <w:jc w:val="left"/>
        <w:rPr>
          <w:b w:val="0"/>
          <w:bCs w:val="0"/>
        </w:rPr>
      </w:pPr>
      <w:bookmarkStart w:name="（2）固定资产清理" w:id="240"/>
      <w:bookmarkEnd w:id="240"/>
      <w:r>
        <w:rPr>
          <w:b w:val="0"/>
          <w:bCs w:val="0"/>
        </w:rPr>
      </w:r>
      <w:r>
        <w:rPr/>
        <w:t>（</w:t>
      </w:r>
      <w:r>
        <w:rPr>
          <w:rFonts w:ascii="Times New Roman" w:hAnsi="Times New Roman" w:cs="Times New Roman" w:eastAsia="Times New Roman" w:hint="default"/>
        </w:rPr>
        <w:t>2</w:t>
      </w:r>
      <w:r>
        <w:rPr/>
        <w:t>）固定资产清理</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22"/>
        <w:jc w:val="left"/>
      </w:pPr>
      <w:r>
        <w:rPr/>
        <w:t>其他说明</w:t>
      </w:r>
    </w:p>
    <w:p>
      <w:pPr>
        <w:pStyle w:val="Heading4"/>
        <w:spacing w:line="256" w:lineRule="auto" w:before="91"/>
        <w:ind w:right="1116"/>
        <w:jc w:val="left"/>
      </w:pPr>
      <w:r>
        <w:rPr/>
        <w:t>本期其他增加系北京网安接受中城数据股份有限公司（曾用名</w:t>
      </w:r>
      <w:r>
        <w:rPr>
          <w:rFonts w:ascii="Times New Roman" w:hAnsi="Times New Roman" w:cs="Times New Roman" w:eastAsia="Times New Roman" w:hint="default"/>
        </w:rPr>
        <w:t>“</w:t>
      </w:r>
      <w:r>
        <w:rPr/>
        <w:t>国创科视科技股份有限公司</w:t>
      </w:r>
      <w:r>
        <w:rPr>
          <w:rFonts w:ascii="Times New Roman" w:hAnsi="Times New Roman" w:cs="Times New Roman" w:eastAsia="Times New Roman" w:hint="default"/>
        </w:rPr>
        <w:t>”</w:t>
      </w:r>
      <w:r>
        <w:rPr/>
        <w:t>）抵债实物资 产（价值为</w:t>
      </w:r>
      <w:r>
        <w:rPr>
          <w:rFonts w:ascii="Times New Roman" w:hAnsi="Times New Roman" w:cs="Times New Roman" w:eastAsia="Times New Roman" w:hint="default"/>
        </w:rPr>
        <w:t>6,249,655.00</w:t>
      </w:r>
      <w:r>
        <w:rPr/>
        <w:t>元）。</w:t>
      </w:r>
    </w:p>
    <w:p>
      <w:pPr>
        <w:spacing w:after="0" w:line="256"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1022"/>
        <w:jc w:val="left"/>
        <w:rPr>
          <w:b w:val="0"/>
          <w:bCs w:val="0"/>
        </w:rPr>
      </w:pPr>
      <w:bookmarkStart w:name="10、在建工程" w:id="241"/>
      <w:bookmarkEnd w:id="241"/>
      <w:r>
        <w:rPr>
          <w:b w:val="0"/>
          <w:bCs w:val="0"/>
        </w:rPr>
      </w:r>
      <w:r>
        <w:rPr>
          <w:rFonts w:ascii="Times New Roman" w:hAnsi="Times New Roman" w:cs="Times New Roman" w:eastAsia="Times New Roman" w:hint="default"/>
        </w:rPr>
        <w:t>10</w:t>
      </w:r>
      <w:r>
        <w:rPr/>
        <w:t>、在建工程</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884"/>
        <w:gridCol w:w="3827"/>
        <w:gridCol w:w="3858"/>
      </w:tblGrid>
      <w:tr>
        <w:trPr>
          <w:trHeight w:val="402" w:hRule="exact"/>
        </w:trPr>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82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1,174,009,876.86</w:t>
            </w:r>
          </w:p>
        </w:tc>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1,161,798,540.00</w:t>
            </w:r>
          </w:p>
        </w:tc>
      </w:tr>
      <w:tr>
        <w:trPr>
          <w:trHeight w:val="403" w:hRule="exact"/>
        </w:trPr>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82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1,174,009,876.86</w:t>
            </w:r>
          </w:p>
        </w:tc>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1,161,798,540.00</w:t>
            </w:r>
          </w:p>
        </w:tc>
      </w:tr>
    </w:tbl>
    <w:p>
      <w:pPr>
        <w:spacing w:line="240" w:lineRule="auto" w:before="2"/>
        <w:rPr>
          <w:rFonts w:ascii="宋体" w:hAnsi="宋体" w:cs="宋体" w:eastAsia="宋体" w:hint="default"/>
          <w:sz w:val="19"/>
          <w:szCs w:val="19"/>
        </w:rPr>
      </w:pPr>
    </w:p>
    <w:p>
      <w:pPr>
        <w:pStyle w:val="Heading3"/>
        <w:spacing w:line="240" w:lineRule="auto" w:before="35"/>
        <w:ind w:right="1022"/>
        <w:jc w:val="left"/>
        <w:rPr>
          <w:b w:val="0"/>
          <w:bCs w:val="0"/>
        </w:rPr>
      </w:pPr>
      <w:bookmarkStart w:name="（1）在建工程情况" w:id="242"/>
      <w:bookmarkEnd w:id="242"/>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85"/>
        <w:gridCol w:w="1417"/>
        <w:gridCol w:w="994"/>
        <w:gridCol w:w="1416"/>
        <w:gridCol w:w="1419"/>
        <w:gridCol w:w="974"/>
        <w:gridCol w:w="1367"/>
      </w:tblGrid>
      <w:tr>
        <w:trPr>
          <w:trHeight w:val="402" w:hRule="exact"/>
        </w:trPr>
        <w:tc>
          <w:tcPr>
            <w:tcW w:w="19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2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76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85" w:type="dxa"/>
            <w:vMerge/>
            <w:tcBorders>
              <w:left w:val="single" w:sz="4" w:space="0" w:color="000000"/>
              <w:bottom w:val="single" w:sz="4" w:space="0" w:color="000000"/>
              <w:right w:val="single" w:sz="4" w:space="0" w:color="000000"/>
            </w:tcBorders>
            <w:shd w:val="clear" w:color="auto" w:fill="D2D2D2"/>
          </w:tcPr>
          <w:p>
            <w:pP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0"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9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5"/>
                <w:sz w:val="18"/>
                <w:szCs w:val="18"/>
              </w:rPr>
              <w:t>北京网安生产、研发及办</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公环境建设项目</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1,163,097,398.37</w:t>
            </w:r>
          </w:p>
        </w:tc>
        <w:tc>
          <w:tcPr>
            <w:tcW w:w="99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1,163,097,398.37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1" w:right="0"/>
              <w:jc w:val="center"/>
              <w:rPr>
                <w:rFonts w:ascii="Times New Roman" w:hAnsi="Times New Roman" w:cs="Times New Roman" w:eastAsia="Times New Roman" w:hint="default"/>
                <w:sz w:val="18"/>
                <w:szCs w:val="18"/>
              </w:rPr>
            </w:pPr>
            <w:r>
              <w:rPr>
                <w:rFonts w:ascii="Times New Roman"/>
                <w:sz w:val="18"/>
              </w:rPr>
              <w:t>1,161,798,540.00</w:t>
            </w:r>
          </w:p>
        </w:tc>
        <w:tc>
          <w:tcPr>
            <w:tcW w:w="974"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1,161,798,540.00</w:t>
            </w:r>
          </w:p>
        </w:tc>
      </w:tr>
      <w:tr>
        <w:trPr>
          <w:trHeight w:val="71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
              <w:jc w:val="left"/>
              <w:rPr>
                <w:rFonts w:ascii="宋体" w:hAnsi="宋体" w:cs="宋体" w:eastAsia="宋体" w:hint="default"/>
                <w:sz w:val="18"/>
                <w:szCs w:val="18"/>
              </w:rPr>
            </w:pPr>
            <w:r>
              <w:rPr>
                <w:rFonts w:ascii="宋体" w:hAnsi="宋体" w:cs="宋体" w:eastAsia="宋体" w:hint="default"/>
                <w:spacing w:val="-19"/>
                <w:sz w:val="18"/>
                <w:szCs w:val="18"/>
              </w:rPr>
              <w:t>行业安全解决方案创新中心</w:t>
            </w:r>
            <w:r>
              <w:rPr>
                <w:rFonts w:ascii="宋体" w:hAnsi="宋体" w:cs="宋体" w:eastAsia="宋体" w:hint="default"/>
                <w:sz w:val="18"/>
                <w:szCs w:val="18"/>
              </w:rPr>
              <w:t> </w:t>
            </w:r>
            <w:r>
              <w:rPr>
                <w:rFonts w:ascii="宋体" w:hAnsi="宋体" w:cs="宋体" w:eastAsia="宋体" w:hint="default"/>
                <w:spacing w:val="-16"/>
                <w:sz w:val="18"/>
                <w:szCs w:val="18"/>
              </w:rPr>
              <w:t>平台建设</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8,999,848.29</w:t>
            </w:r>
          </w:p>
        </w:tc>
        <w:tc>
          <w:tcPr>
            <w:tcW w:w="99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8,999,848.29</w:t>
            </w:r>
          </w:p>
        </w:tc>
        <w:tc>
          <w:tcPr>
            <w:tcW w:w="1419"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本部云平台建设项目</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1,912,630.20</w:t>
            </w:r>
          </w:p>
        </w:tc>
        <w:tc>
          <w:tcPr>
            <w:tcW w:w="99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1,912,630.20</w:t>
            </w:r>
          </w:p>
        </w:tc>
        <w:tc>
          <w:tcPr>
            <w:tcW w:w="1419"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1,174,009,876.86</w:t>
            </w:r>
          </w:p>
        </w:tc>
        <w:tc>
          <w:tcPr>
            <w:tcW w:w="99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1,174,009,876.86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1" w:right="0"/>
              <w:jc w:val="center"/>
              <w:rPr>
                <w:rFonts w:ascii="Times New Roman" w:hAnsi="Times New Roman" w:cs="Times New Roman" w:eastAsia="Times New Roman" w:hint="default"/>
                <w:sz w:val="18"/>
                <w:szCs w:val="18"/>
              </w:rPr>
            </w:pPr>
            <w:r>
              <w:rPr>
                <w:rFonts w:ascii="Times New Roman"/>
                <w:sz w:val="18"/>
              </w:rPr>
              <w:t>1,161,798,540.00</w:t>
            </w:r>
          </w:p>
        </w:tc>
        <w:tc>
          <w:tcPr>
            <w:tcW w:w="974"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1,161,798,540.00</w:t>
            </w:r>
          </w:p>
        </w:tc>
      </w:tr>
    </w:tbl>
    <w:p>
      <w:pPr>
        <w:spacing w:line="240" w:lineRule="auto" w:before="3"/>
        <w:rPr>
          <w:rFonts w:ascii="宋体" w:hAnsi="宋体" w:cs="宋体" w:eastAsia="宋体" w:hint="default"/>
          <w:sz w:val="19"/>
          <w:szCs w:val="19"/>
        </w:rPr>
      </w:pPr>
    </w:p>
    <w:p>
      <w:pPr>
        <w:pStyle w:val="Heading3"/>
        <w:spacing w:line="240" w:lineRule="auto" w:before="35"/>
        <w:ind w:right="1022"/>
        <w:jc w:val="left"/>
        <w:rPr>
          <w:b w:val="0"/>
          <w:bCs w:val="0"/>
        </w:rPr>
      </w:pPr>
      <w:bookmarkStart w:name="（2）重要在建工程项目本期变动情况" w:id="243"/>
      <w:bookmarkEnd w:id="243"/>
      <w:r>
        <w:rPr>
          <w:b w:val="0"/>
          <w:bCs w:val="0"/>
        </w:rPr>
      </w: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1338"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0" w:right="90"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预算数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92" w:right="91"/>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2"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2"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92" w:right="93"/>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0"/>
              <w:jc w:val="center"/>
              <w:rPr>
                <w:rFonts w:ascii="宋体" w:hAnsi="宋体" w:cs="宋体" w:eastAsia="宋体" w:hint="default"/>
                <w:sz w:val="18"/>
                <w:szCs w:val="18"/>
              </w:rPr>
            </w:pPr>
            <w:r>
              <w:rPr>
                <w:rFonts w:ascii="宋体" w:hAnsi="宋体" w:cs="宋体" w:eastAsia="宋体" w:hint="default"/>
                <w:spacing w:val="-10"/>
                <w:sz w:val="18"/>
                <w:szCs w:val="18"/>
              </w:rPr>
              <w:t>其中：本</w:t>
            </w:r>
            <w:r>
              <w:rPr>
                <w:rFonts w:ascii="宋体" w:hAnsi="宋体" w:cs="宋体" w:eastAsia="宋体" w:hint="default"/>
                <w:sz w:val="18"/>
                <w:szCs w:val="18"/>
              </w:rPr>
              <w:t> 期利息 资本化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1962"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北京网 安生产、 研发及 办公环 境建设 项目</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1,342,68</w:t>
            </w:r>
          </w:p>
          <w:p>
            <w:pPr>
              <w:pStyle w:val="TableParagraph"/>
              <w:spacing w:line="240" w:lineRule="auto" w:before="106"/>
              <w:ind w:left="73" w:right="0"/>
              <w:jc w:val="left"/>
              <w:rPr>
                <w:rFonts w:ascii="Times New Roman" w:hAnsi="Times New Roman" w:cs="Times New Roman" w:eastAsia="Times New Roman" w:hint="default"/>
                <w:sz w:val="18"/>
                <w:szCs w:val="18"/>
              </w:rPr>
            </w:pPr>
            <w:r>
              <w:rPr>
                <w:rFonts w:ascii="Times New Roman"/>
                <w:sz w:val="18"/>
              </w:rPr>
              <w:t>0,000.00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1,161,79</w:t>
            </w:r>
          </w:p>
          <w:p>
            <w:pPr>
              <w:pStyle w:val="TableParagraph"/>
              <w:spacing w:line="240" w:lineRule="auto" w:before="106"/>
              <w:ind w:left="74" w:right="0"/>
              <w:jc w:val="left"/>
              <w:rPr>
                <w:rFonts w:ascii="Times New Roman" w:hAnsi="Times New Roman" w:cs="Times New Roman" w:eastAsia="Times New Roman" w:hint="default"/>
                <w:sz w:val="18"/>
                <w:szCs w:val="18"/>
              </w:rPr>
            </w:pPr>
            <w:r>
              <w:rPr>
                <w:rFonts w:ascii="Times New Roman"/>
                <w:sz w:val="18"/>
              </w:rPr>
              <w:t>8,540.00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1,298,85</w:t>
            </w:r>
          </w:p>
          <w:p>
            <w:pPr>
              <w:pStyle w:val="TableParagraph"/>
              <w:spacing w:line="240" w:lineRule="auto" w:before="106"/>
              <w:ind w:left="388" w:right="0"/>
              <w:jc w:val="left"/>
              <w:rPr>
                <w:rFonts w:ascii="Times New Roman" w:hAnsi="Times New Roman" w:cs="Times New Roman" w:eastAsia="Times New Roman" w:hint="default"/>
                <w:sz w:val="18"/>
                <w:szCs w:val="18"/>
              </w:rPr>
            </w:pPr>
            <w:r>
              <w:rPr>
                <w:rFonts w:ascii="Times New Roman"/>
                <w:sz w:val="18"/>
              </w:rPr>
              <w:t>8.37</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1,163,09</w:t>
            </w:r>
          </w:p>
          <w:p>
            <w:pPr>
              <w:pStyle w:val="TableParagraph"/>
              <w:spacing w:line="240" w:lineRule="auto" w:before="106"/>
              <w:ind w:left="73" w:right="0"/>
              <w:jc w:val="left"/>
              <w:rPr>
                <w:rFonts w:ascii="Times New Roman" w:hAnsi="Times New Roman" w:cs="Times New Roman" w:eastAsia="Times New Roman" w:hint="default"/>
                <w:sz w:val="18"/>
                <w:szCs w:val="18"/>
              </w:rPr>
            </w:pPr>
            <w:r>
              <w:rPr>
                <w:rFonts w:ascii="Times New Roman"/>
                <w:sz w:val="18"/>
              </w:rPr>
              <w:t>7,398.37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26" w:right="0"/>
              <w:jc w:val="center"/>
              <w:rPr>
                <w:rFonts w:ascii="Times New Roman" w:hAnsi="Times New Roman" w:cs="Times New Roman" w:eastAsia="Times New Roman" w:hint="default"/>
                <w:sz w:val="18"/>
                <w:szCs w:val="18"/>
              </w:rPr>
            </w:pPr>
            <w:r>
              <w:rPr>
                <w:rFonts w:ascii="Times New Roman"/>
                <w:sz w:val="18"/>
              </w:rPr>
              <w:t>86.63%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21"/>
              <w:jc w:val="center"/>
              <w:rPr>
                <w:rFonts w:ascii="Times New Roman" w:hAnsi="Times New Roman" w:cs="Times New Roman" w:eastAsia="Times New Roman" w:hint="default"/>
                <w:sz w:val="18"/>
                <w:szCs w:val="18"/>
              </w:rPr>
            </w:pPr>
            <w:r>
              <w:rPr>
                <w:rFonts w:ascii="Times New Roman"/>
                <w:sz w:val="18"/>
              </w:rPr>
              <w:t>86.63%</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22" w:right="161"/>
              <w:jc w:val="left"/>
              <w:rPr>
                <w:rFonts w:ascii="宋体" w:hAnsi="宋体" w:cs="宋体" w:eastAsia="宋体" w:hint="default"/>
                <w:sz w:val="18"/>
                <w:szCs w:val="18"/>
              </w:rPr>
            </w:pPr>
            <w:r>
              <w:rPr>
                <w:rFonts w:ascii="宋体" w:hAnsi="宋体" w:cs="宋体" w:eastAsia="宋体" w:hint="default"/>
                <w:sz w:val="18"/>
                <w:szCs w:val="18"/>
              </w:rPr>
              <w:t>募股资 金</w:t>
            </w:r>
          </w:p>
        </w:tc>
      </w:tr>
      <w:tr>
        <w:trPr>
          <w:trHeight w:val="1338"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37"/>
              <w:jc w:val="both"/>
              <w:rPr>
                <w:rFonts w:ascii="宋体" w:hAnsi="宋体" w:cs="宋体" w:eastAsia="宋体" w:hint="default"/>
                <w:sz w:val="18"/>
                <w:szCs w:val="18"/>
              </w:rPr>
            </w:pPr>
            <w:r>
              <w:rPr>
                <w:rFonts w:ascii="宋体" w:hAnsi="宋体" w:cs="宋体" w:eastAsia="宋体" w:hint="default"/>
                <w:spacing w:val="-16"/>
                <w:sz w:val="18"/>
                <w:szCs w:val="18"/>
              </w:rPr>
              <w:t>行业安全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6"/>
                <w:sz w:val="18"/>
                <w:szCs w:val="18"/>
              </w:rPr>
              <w:t>解决方案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6"/>
                <w:sz w:val="18"/>
                <w:szCs w:val="18"/>
              </w:rPr>
              <w:t>创新中心</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6"/>
                <w:sz w:val="18"/>
                <w:szCs w:val="18"/>
              </w:rPr>
              <w:t>平台建设</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20,294,4</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00.00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8,999,84</w:t>
            </w:r>
          </w:p>
          <w:p>
            <w:pPr>
              <w:pStyle w:val="TableParagraph"/>
              <w:spacing w:line="240" w:lineRule="auto" w:before="106"/>
              <w:ind w:left="388" w:right="0"/>
              <w:jc w:val="left"/>
              <w:rPr>
                <w:rFonts w:ascii="Times New Roman" w:hAnsi="Times New Roman" w:cs="Times New Roman" w:eastAsia="Times New Roman" w:hint="default"/>
                <w:sz w:val="18"/>
                <w:szCs w:val="18"/>
              </w:rPr>
            </w:pPr>
            <w:r>
              <w:rPr>
                <w:rFonts w:ascii="Times New Roman"/>
                <w:sz w:val="18"/>
              </w:rPr>
              <w:t>8.29</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8,999,84</w:t>
            </w:r>
          </w:p>
          <w:p>
            <w:pPr>
              <w:pStyle w:val="TableParagraph"/>
              <w:spacing w:line="240" w:lineRule="auto" w:before="106"/>
              <w:ind w:left="388" w:right="0"/>
              <w:jc w:val="left"/>
              <w:rPr>
                <w:rFonts w:ascii="Times New Roman" w:hAnsi="Times New Roman" w:cs="Times New Roman" w:eastAsia="Times New Roman" w:hint="default"/>
                <w:sz w:val="18"/>
                <w:szCs w:val="18"/>
              </w:rPr>
            </w:pPr>
            <w:r>
              <w:rPr>
                <w:rFonts w:ascii="Times New Roman"/>
                <w:sz w:val="18"/>
              </w:rPr>
              <w:t>8.29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26" w:right="0"/>
              <w:jc w:val="center"/>
              <w:rPr>
                <w:rFonts w:ascii="Times New Roman" w:hAnsi="Times New Roman" w:cs="Times New Roman" w:eastAsia="Times New Roman" w:hint="default"/>
                <w:sz w:val="18"/>
                <w:szCs w:val="18"/>
              </w:rPr>
            </w:pPr>
            <w:r>
              <w:rPr>
                <w:rFonts w:ascii="Times New Roman"/>
                <w:sz w:val="18"/>
              </w:rPr>
              <w:t>44.35%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21"/>
              <w:jc w:val="center"/>
              <w:rPr>
                <w:rFonts w:ascii="Times New Roman" w:hAnsi="Times New Roman" w:cs="Times New Roman" w:eastAsia="Times New Roman" w:hint="default"/>
                <w:sz w:val="18"/>
                <w:szCs w:val="18"/>
              </w:rPr>
            </w:pPr>
            <w:r>
              <w:rPr>
                <w:rFonts w:ascii="Times New Roman"/>
                <w:sz w:val="18"/>
              </w:rPr>
              <w:t>44.35%</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161"/>
              <w:jc w:val="left"/>
              <w:rPr>
                <w:rFonts w:ascii="宋体" w:hAnsi="宋体" w:cs="宋体" w:eastAsia="宋体" w:hint="default"/>
                <w:sz w:val="18"/>
                <w:szCs w:val="18"/>
              </w:rPr>
            </w:pPr>
            <w:r>
              <w:rPr>
                <w:rFonts w:ascii="宋体" w:hAnsi="宋体" w:cs="宋体" w:eastAsia="宋体" w:hint="default"/>
                <w:sz w:val="18"/>
                <w:szCs w:val="18"/>
              </w:rPr>
              <w:t>募股资 金</w:t>
            </w:r>
          </w:p>
        </w:tc>
      </w:tr>
      <w:tr>
        <w:trPr>
          <w:trHeight w:val="1026"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本部云 平台建 设项目</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4,020,00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1,912,63</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0.20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1,912,63</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0.20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6" w:right="0"/>
              <w:jc w:val="center"/>
              <w:rPr>
                <w:rFonts w:ascii="Times New Roman" w:hAnsi="Times New Roman" w:cs="Times New Roman" w:eastAsia="Times New Roman" w:hint="default"/>
                <w:sz w:val="18"/>
                <w:szCs w:val="18"/>
              </w:rPr>
            </w:pPr>
            <w:r>
              <w:rPr>
                <w:rFonts w:ascii="Times New Roman"/>
                <w:sz w:val="18"/>
              </w:rPr>
              <w:t>47.58%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21"/>
              <w:jc w:val="center"/>
              <w:rPr>
                <w:rFonts w:ascii="Times New Roman" w:hAnsi="Times New Roman" w:cs="Times New Roman" w:eastAsia="Times New Roman" w:hint="default"/>
                <w:sz w:val="18"/>
                <w:szCs w:val="18"/>
              </w:rPr>
            </w:pPr>
            <w:r>
              <w:rPr>
                <w:rFonts w:ascii="Times New Roman"/>
                <w:sz w:val="18"/>
              </w:rPr>
              <w:t>47.58%</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402"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51" w:right="0"/>
              <w:jc w:val="center"/>
              <w:rPr>
                <w:rFonts w:ascii="Times New Roman" w:hAnsi="Times New Roman" w:cs="Times New Roman" w:eastAsia="Times New Roman" w:hint="default"/>
                <w:sz w:val="18"/>
                <w:szCs w:val="18"/>
              </w:rPr>
            </w:pPr>
            <w:r>
              <w:rPr>
                <w:rFonts w:ascii="Times New Roman"/>
                <w:sz w:val="18"/>
              </w:rPr>
              <w:t>1,366,99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4" w:right="0"/>
              <w:jc w:val="left"/>
              <w:rPr>
                <w:rFonts w:ascii="Times New Roman" w:hAnsi="Times New Roman" w:cs="Times New Roman" w:eastAsia="Times New Roman" w:hint="default"/>
                <w:sz w:val="18"/>
                <w:szCs w:val="18"/>
              </w:rPr>
            </w:pPr>
            <w:r>
              <w:rPr>
                <w:rFonts w:ascii="Times New Roman"/>
                <w:sz w:val="18"/>
              </w:rPr>
              <w:t>1,161,79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80" w:right="0"/>
              <w:jc w:val="left"/>
              <w:rPr>
                <w:rFonts w:ascii="Times New Roman" w:hAnsi="Times New Roman" w:cs="Times New Roman" w:eastAsia="Times New Roman" w:hint="default"/>
                <w:sz w:val="18"/>
                <w:szCs w:val="18"/>
              </w:rPr>
            </w:pPr>
            <w:r>
              <w:rPr>
                <w:rFonts w:ascii="Times New Roman"/>
                <w:sz w:val="18"/>
              </w:rPr>
              <w:t>12,211,3</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3" w:right="0"/>
              <w:jc w:val="left"/>
              <w:rPr>
                <w:rFonts w:ascii="Times New Roman" w:hAnsi="Times New Roman" w:cs="Times New Roman" w:eastAsia="Times New Roman" w:hint="default"/>
                <w:sz w:val="18"/>
                <w:szCs w:val="18"/>
              </w:rPr>
            </w:pPr>
            <w:r>
              <w:rPr>
                <w:rFonts w:ascii="Times New Roman"/>
                <w:sz w:val="18"/>
              </w:rPr>
              <w:t>1,174,00</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01"/>
              <w:jc w:val="righ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6"/>
        <w:gridCol w:w="737"/>
        <w:gridCol w:w="736"/>
        <w:gridCol w:w="737"/>
        <w:gridCol w:w="736"/>
      </w:tblGrid>
      <w:tr>
        <w:trPr>
          <w:trHeight w:val="362"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3" w:right="0"/>
              <w:jc w:val="left"/>
              <w:rPr>
                <w:rFonts w:ascii="Times New Roman" w:hAnsi="Times New Roman" w:cs="Times New Roman" w:eastAsia="Times New Roman" w:hint="default"/>
                <w:sz w:val="18"/>
                <w:szCs w:val="18"/>
              </w:rPr>
            </w:pPr>
            <w:r>
              <w:rPr>
                <w:rFonts w:ascii="Times New Roman"/>
                <w:sz w:val="18"/>
              </w:rPr>
              <w:t>4,400.00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4" w:right="0"/>
              <w:jc w:val="left"/>
              <w:rPr>
                <w:rFonts w:ascii="Times New Roman" w:hAnsi="Times New Roman" w:cs="Times New Roman" w:eastAsia="Times New Roman" w:hint="default"/>
                <w:sz w:val="18"/>
                <w:szCs w:val="18"/>
              </w:rPr>
            </w:pPr>
            <w:r>
              <w:rPr>
                <w:rFonts w:ascii="Times New Roman"/>
                <w:sz w:val="18"/>
              </w:rPr>
              <w:t>8,540.00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98" w:right="0"/>
              <w:jc w:val="left"/>
              <w:rPr>
                <w:rFonts w:ascii="Times New Roman" w:hAnsi="Times New Roman" w:cs="Times New Roman" w:eastAsia="Times New Roman" w:hint="default"/>
                <w:sz w:val="18"/>
                <w:szCs w:val="18"/>
              </w:rPr>
            </w:pPr>
            <w:r>
              <w:rPr>
                <w:rFonts w:ascii="Times New Roman"/>
                <w:sz w:val="18"/>
              </w:rPr>
              <w:t>36.86</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3" w:right="0"/>
              <w:jc w:val="left"/>
              <w:rPr>
                <w:rFonts w:ascii="Times New Roman" w:hAnsi="Times New Roman" w:cs="Times New Roman" w:eastAsia="Times New Roman" w:hint="default"/>
                <w:sz w:val="18"/>
                <w:szCs w:val="18"/>
              </w:rPr>
            </w:pPr>
            <w:r>
              <w:rPr>
                <w:rFonts w:ascii="Times New Roman"/>
                <w:sz w:val="18"/>
              </w:rPr>
              <w:t>9,876.86</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2"/>
        <w:rPr>
          <w:rFonts w:ascii="宋体" w:hAnsi="宋体" w:cs="宋体" w:eastAsia="宋体" w:hint="default"/>
          <w:sz w:val="19"/>
          <w:szCs w:val="19"/>
        </w:rPr>
      </w:pPr>
    </w:p>
    <w:p>
      <w:pPr>
        <w:pStyle w:val="Heading3"/>
        <w:spacing w:line="240" w:lineRule="auto" w:before="35"/>
        <w:ind w:right="1022"/>
        <w:jc w:val="left"/>
        <w:rPr>
          <w:b w:val="0"/>
          <w:bCs w:val="0"/>
        </w:rPr>
      </w:pPr>
      <w:bookmarkStart w:name="11、无形资产" w:id="244"/>
      <w:bookmarkEnd w:id="244"/>
      <w:r>
        <w:rPr>
          <w:b w:val="0"/>
          <w:bCs w:val="0"/>
        </w:rPr>
      </w:r>
      <w:r>
        <w:rPr>
          <w:rFonts w:ascii="Times New Roman" w:hAnsi="Times New Roman" w:cs="Times New Roman" w:eastAsia="Times New Roman" w:hint="default"/>
        </w:rPr>
        <w:t>11</w:t>
      </w:r>
      <w:r>
        <w:rPr/>
        <w:t>、无形资产</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022"/>
        <w:jc w:val="left"/>
        <w:rPr>
          <w:b w:val="0"/>
          <w:bCs w:val="0"/>
        </w:rPr>
      </w:pPr>
      <w:bookmarkStart w:name="（1）无形资产情况" w:id="245"/>
      <w:bookmarkEnd w:id="245"/>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128"/>
        <w:gridCol w:w="1061"/>
        <w:gridCol w:w="1594"/>
        <w:gridCol w:w="1594"/>
        <w:gridCol w:w="1595"/>
        <w:gridCol w:w="1594"/>
      </w:tblGrid>
      <w:tr>
        <w:trPr>
          <w:trHeight w:val="402" w:hRule="exact"/>
        </w:trPr>
        <w:tc>
          <w:tcPr>
            <w:tcW w:w="2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21"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2"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595" w:type="dxa"/>
            <w:tcBorders>
              <w:top w:val="single" w:sz="4" w:space="0" w:color="000000"/>
              <w:left w:val="single" w:sz="13" w:space="0" w:color="D2D2D2"/>
              <w:bottom w:val="single" w:sz="4" w:space="0" w:color="000000"/>
              <w:right w:val="single" w:sz="9" w:space="0" w:color="D2D2D2"/>
            </w:tcBorders>
            <w:shd w:val="clear" w:color="auto" w:fill="E0FFFF"/>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软件</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061" w:type="dxa"/>
            <w:tcBorders>
              <w:top w:val="single" w:sz="4" w:space="0" w:color="000000"/>
              <w:left w:val="single" w:sz="13"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061" w:type="dxa"/>
            <w:tcBorders>
              <w:top w:val="single" w:sz="4" w:space="0" w:color="000000"/>
              <w:left w:val="single" w:sz="13"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29,188,271.83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3,460,000.00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74,061,899.17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106,710,171.00</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061" w:type="dxa"/>
            <w:tcBorders>
              <w:top w:val="single" w:sz="4" w:space="0" w:color="000000"/>
              <w:left w:val="single" w:sz="13"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22,942,470.11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18,880,887.01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16,037,901.82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57,861,258.94</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061" w:type="dxa"/>
            <w:tcBorders>
              <w:top w:val="single" w:sz="4" w:space="0" w:color="000000"/>
              <w:left w:val="single" w:sz="13"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13,470.09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16,037,901.82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16,051,371.91</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）内部研发</w:t>
            </w:r>
          </w:p>
        </w:tc>
        <w:tc>
          <w:tcPr>
            <w:tcW w:w="1061" w:type="dxa"/>
            <w:tcBorders>
              <w:top w:val="single" w:sz="4" w:space="0" w:color="000000"/>
              <w:left w:val="single" w:sz="13"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19,026,001.78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16,760,947.37</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35,786,949.15</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061" w:type="dxa"/>
            <w:tcBorders>
              <w:top w:val="single" w:sz="4" w:space="0" w:color="000000"/>
              <w:left w:val="single" w:sz="13"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其他原因增加</w:t>
            </w:r>
          </w:p>
        </w:tc>
        <w:tc>
          <w:tcPr>
            <w:tcW w:w="1061"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3,916,468.33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2,106,469.55</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6,022,937.88</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061"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5,212,938.14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5,212,938.14</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061"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其他原因减少</w:t>
            </w:r>
          </w:p>
        </w:tc>
        <w:tc>
          <w:tcPr>
            <w:tcW w:w="1061"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5,212,938.14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5,212,938.14</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061"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52,130,741.94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22,340,887.01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84,886,862.85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159,658,491.80</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061"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061"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8,987,925.34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2,576,760.04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24,641,545.52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36,206,230.90</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061"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4,514,116.89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6,067,098.46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15,061,853.02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25,643,068.37</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061"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3,774,662.01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4,997,804.76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15,061,853.02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23,834,319.79</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其他原因增加</w:t>
            </w:r>
          </w:p>
        </w:tc>
        <w:tc>
          <w:tcPr>
            <w:tcW w:w="1061"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739,454.88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1,069,293.70</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1,808,748.58</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061"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998,748.84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998,748.84</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061"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其他原因减少</w:t>
            </w:r>
          </w:p>
        </w:tc>
        <w:tc>
          <w:tcPr>
            <w:tcW w:w="1061"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998,748.84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998,748.84</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061"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13,502,042.23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8,643,858.50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38,704,649.70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60,850,550.43</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061"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061"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061"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061"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061"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061"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2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127"/>
        <w:gridCol w:w="1061"/>
        <w:gridCol w:w="1594"/>
        <w:gridCol w:w="1594"/>
        <w:gridCol w:w="1595"/>
        <w:gridCol w:w="1594"/>
      </w:tblGrid>
      <w:tr>
        <w:trPr>
          <w:trHeight w:val="402"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061"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061"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8"/>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期末账面价值</w:t>
            </w:r>
          </w:p>
        </w:tc>
        <w:tc>
          <w:tcPr>
            <w:tcW w:w="1061"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38,628,699.71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13,697,028.51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46,182,213.15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98,507,941.37</w:t>
            </w:r>
          </w:p>
        </w:tc>
      </w:tr>
      <w:tr>
        <w:trPr>
          <w:trHeight w:val="402"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8"/>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期初账面价值</w:t>
            </w:r>
          </w:p>
        </w:tc>
        <w:tc>
          <w:tcPr>
            <w:tcW w:w="1061"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20,200,346.49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883,239.96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49,420,353.65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70,503,940.10</w:t>
            </w:r>
          </w:p>
        </w:tc>
      </w:tr>
    </w:tbl>
    <w:p>
      <w:pPr>
        <w:pStyle w:val="BodyText"/>
        <w:spacing w:line="240" w:lineRule="auto" w:before="51"/>
        <w:ind w:right="1022"/>
        <w:jc w:val="left"/>
      </w:pPr>
      <w:r>
        <w:rPr/>
        <w:t>本期末通过公司内部研发形成的无形资产占无形资产余额的比例</w:t>
      </w:r>
      <w:r>
        <w:rPr>
          <w:spacing w:val="-45"/>
        </w:rPr>
        <w:t> </w:t>
      </w:r>
      <w:r>
        <w:rPr>
          <w:rFonts w:ascii="Times New Roman" w:hAnsi="Times New Roman" w:cs="Times New Roman" w:eastAsia="Times New Roman" w:hint="default"/>
        </w:rPr>
        <w:t>43.22%</w:t>
      </w:r>
      <w:r>
        <w:rPr/>
        <w:t>。</w:t>
      </w:r>
    </w:p>
    <w:p>
      <w:pPr>
        <w:spacing w:line="240" w:lineRule="auto" w:before="10"/>
        <w:rPr>
          <w:rFonts w:ascii="宋体" w:hAnsi="宋体" w:cs="宋体" w:eastAsia="宋体" w:hint="default"/>
          <w:sz w:val="25"/>
          <w:szCs w:val="25"/>
        </w:rPr>
      </w:pPr>
    </w:p>
    <w:p>
      <w:pPr>
        <w:pStyle w:val="Heading3"/>
        <w:spacing w:line="240" w:lineRule="auto"/>
        <w:ind w:right="1022"/>
        <w:jc w:val="left"/>
        <w:rPr>
          <w:b w:val="0"/>
          <w:bCs w:val="0"/>
        </w:rPr>
      </w:pPr>
      <w:bookmarkStart w:name="12、开发支出" w:id="246"/>
      <w:bookmarkEnd w:id="246"/>
      <w:r>
        <w:rPr>
          <w:b w:val="0"/>
          <w:bCs w:val="0"/>
        </w:rPr>
      </w:r>
      <w:r>
        <w:rPr>
          <w:rFonts w:ascii="Times New Roman" w:hAnsi="Times New Roman" w:cs="Times New Roman" w:eastAsia="Times New Roman" w:hint="default"/>
        </w:rPr>
        <w:t>12</w:t>
      </w:r>
      <w:r>
        <w:rPr/>
        <w:t>、开发支出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21" w:type="dxa"/>
        <w:tblLayout w:type="fixed"/>
        <w:tblCellMar>
          <w:top w:w="0" w:type="dxa"/>
          <w:left w:w="0" w:type="dxa"/>
          <w:bottom w:w="0" w:type="dxa"/>
          <w:right w:w="0" w:type="dxa"/>
        </w:tblCellMar>
        <w:tblLook w:val="01E0"/>
      </w:tblPr>
      <w:tblGrid>
        <w:gridCol w:w="3288"/>
        <w:gridCol w:w="1277"/>
        <w:gridCol w:w="1417"/>
        <w:gridCol w:w="1278"/>
        <w:gridCol w:w="1134"/>
        <w:gridCol w:w="1301"/>
      </w:tblGrid>
      <w:tr>
        <w:trPr>
          <w:trHeight w:val="402" w:hRule="exact"/>
        </w:trPr>
        <w:tc>
          <w:tcPr>
            <w:tcW w:w="32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41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60"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328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193"/>
              <w:jc w:val="left"/>
              <w:rPr>
                <w:rFonts w:ascii="宋体" w:hAnsi="宋体" w:cs="宋体" w:eastAsia="宋体" w:hint="default"/>
                <w:sz w:val="18"/>
                <w:szCs w:val="18"/>
              </w:rPr>
            </w:pPr>
            <w:r>
              <w:rPr>
                <w:rFonts w:ascii="宋体" w:hAnsi="宋体" w:cs="宋体" w:eastAsia="宋体" w:hint="default"/>
                <w:sz w:val="18"/>
                <w:szCs w:val="18"/>
              </w:rPr>
              <w:t>安全智能移动终端及应用服务产业化项 目</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6,639,626.33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5,826,623.08</w:t>
            </w:r>
          </w:p>
        </w:tc>
        <w:tc>
          <w:tcPr>
            <w:tcW w:w="127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4" w:right="0"/>
              <w:jc w:val="left"/>
              <w:rPr>
                <w:rFonts w:ascii="Times New Roman" w:hAnsi="Times New Roman" w:cs="Times New Roman" w:eastAsia="Times New Roman" w:hint="default"/>
                <w:sz w:val="18"/>
                <w:szCs w:val="18"/>
              </w:rPr>
            </w:pPr>
            <w:r>
              <w:rPr>
                <w:rFonts w:ascii="Times New Roman"/>
                <w:sz w:val="18"/>
              </w:rPr>
              <w:t>12,466,249.41</w:t>
            </w:r>
          </w:p>
        </w:tc>
      </w:tr>
      <w:tr>
        <w:trPr>
          <w:trHeight w:val="402" w:hRule="exact"/>
        </w:trPr>
        <w:tc>
          <w:tcPr>
            <w:tcW w:w="328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综合监管系统</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5,220,204.39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3,906,438.76</w:t>
            </w:r>
          </w:p>
        </w:tc>
        <w:tc>
          <w:tcPr>
            <w:tcW w:w="127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24" w:right="0"/>
              <w:jc w:val="left"/>
              <w:rPr>
                <w:rFonts w:ascii="Times New Roman" w:hAnsi="Times New Roman" w:cs="Times New Roman" w:eastAsia="Times New Roman" w:hint="default"/>
                <w:sz w:val="18"/>
                <w:szCs w:val="18"/>
              </w:rPr>
            </w:pPr>
            <w:r>
              <w:rPr>
                <w:rFonts w:ascii="Times New Roman"/>
                <w:sz w:val="18"/>
              </w:rPr>
              <w:t>9,126,643.15</w:t>
            </w:r>
          </w:p>
        </w:tc>
      </w:tr>
      <w:tr>
        <w:trPr>
          <w:trHeight w:val="714" w:hRule="exact"/>
        </w:trPr>
        <w:tc>
          <w:tcPr>
            <w:tcW w:w="328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193"/>
              <w:jc w:val="left"/>
              <w:rPr>
                <w:rFonts w:ascii="宋体" w:hAnsi="宋体" w:cs="宋体" w:eastAsia="宋体" w:hint="default"/>
                <w:sz w:val="18"/>
                <w:szCs w:val="18"/>
              </w:rPr>
            </w:pPr>
            <w:r>
              <w:rPr>
                <w:rFonts w:ascii="宋体" w:hAnsi="宋体" w:cs="宋体" w:eastAsia="宋体" w:hint="default"/>
                <w:sz w:val="18"/>
                <w:szCs w:val="18"/>
              </w:rPr>
              <w:t>移动智能终端公共安全技术基础服务平 台</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4,183,760.68</w:t>
            </w:r>
          </w:p>
        </w:tc>
        <w:tc>
          <w:tcPr>
            <w:tcW w:w="1417"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4" w:right="0"/>
              <w:jc w:val="left"/>
              <w:rPr>
                <w:rFonts w:ascii="Times New Roman" w:hAnsi="Times New Roman" w:cs="Times New Roman" w:eastAsia="Times New Roman" w:hint="default"/>
                <w:sz w:val="18"/>
                <w:szCs w:val="18"/>
              </w:rPr>
            </w:pPr>
            <w:r>
              <w:rPr>
                <w:rFonts w:ascii="Times New Roman"/>
                <w:sz w:val="18"/>
              </w:rPr>
              <w:t>4,183,760.68</w:t>
            </w:r>
          </w:p>
        </w:tc>
      </w:tr>
      <w:tr>
        <w:trPr>
          <w:trHeight w:val="402" w:hRule="exact"/>
        </w:trPr>
        <w:tc>
          <w:tcPr>
            <w:tcW w:w="328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协同工作平台</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5,837,442.93</w:t>
            </w:r>
          </w:p>
        </w:tc>
        <w:tc>
          <w:tcPr>
            <w:tcW w:w="127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24" w:right="0"/>
              <w:jc w:val="left"/>
              <w:rPr>
                <w:rFonts w:ascii="Times New Roman" w:hAnsi="Times New Roman" w:cs="Times New Roman" w:eastAsia="Times New Roman" w:hint="default"/>
                <w:sz w:val="18"/>
                <w:szCs w:val="18"/>
              </w:rPr>
            </w:pPr>
            <w:r>
              <w:rPr>
                <w:rFonts w:ascii="Times New Roman"/>
                <w:sz w:val="18"/>
              </w:rPr>
              <w:t>5,837,442.93</w:t>
            </w:r>
          </w:p>
        </w:tc>
      </w:tr>
      <w:tr>
        <w:trPr>
          <w:trHeight w:val="402" w:hRule="exact"/>
        </w:trPr>
        <w:tc>
          <w:tcPr>
            <w:tcW w:w="328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云服务器密码机</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2,323,352.82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1,581,057.09</w:t>
            </w:r>
          </w:p>
        </w:tc>
        <w:tc>
          <w:tcPr>
            <w:tcW w:w="127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24" w:right="0"/>
              <w:jc w:val="left"/>
              <w:rPr>
                <w:rFonts w:ascii="Times New Roman" w:hAnsi="Times New Roman" w:cs="Times New Roman" w:eastAsia="Times New Roman" w:hint="default"/>
                <w:sz w:val="18"/>
                <w:szCs w:val="18"/>
              </w:rPr>
            </w:pPr>
            <w:r>
              <w:rPr>
                <w:rFonts w:ascii="Times New Roman"/>
                <w:sz w:val="18"/>
              </w:rPr>
              <w:t>3,904,409.91</w:t>
            </w:r>
          </w:p>
        </w:tc>
      </w:tr>
      <w:tr>
        <w:trPr>
          <w:trHeight w:val="402" w:hRule="exact"/>
        </w:trPr>
        <w:tc>
          <w:tcPr>
            <w:tcW w:w="328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电子文档标志管理系统</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2,412,214.55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1,006,976.45</w:t>
            </w:r>
          </w:p>
        </w:tc>
        <w:tc>
          <w:tcPr>
            <w:tcW w:w="127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24" w:right="0"/>
              <w:jc w:val="left"/>
              <w:rPr>
                <w:rFonts w:ascii="Times New Roman" w:hAnsi="Times New Roman" w:cs="Times New Roman" w:eastAsia="Times New Roman" w:hint="default"/>
                <w:sz w:val="18"/>
                <w:szCs w:val="18"/>
              </w:rPr>
            </w:pPr>
            <w:r>
              <w:rPr>
                <w:rFonts w:ascii="Times New Roman"/>
                <w:sz w:val="18"/>
              </w:rPr>
              <w:t>3,419,191.00</w:t>
            </w:r>
          </w:p>
        </w:tc>
      </w:tr>
      <w:tr>
        <w:trPr>
          <w:trHeight w:val="402" w:hRule="exact"/>
        </w:trPr>
        <w:tc>
          <w:tcPr>
            <w:tcW w:w="328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新型金融数据密码机</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1,360,991.73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996,099.23</w:t>
            </w:r>
          </w:p>
        </w:tc>
        <w:tc>
          <w:tcPr>
            <w:tcW w:w="127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24" w:right="0"/>
              <w:jc w:val="left"/>
              <w:rPr>
                <w:rFonts w:ascii="Times New Roman" w:hAnsi="Times New Roman" w:cs="Times New Roman" w:eastAsia="Times New Roman" w:hint="default"/>
                <w:sz w:val="18"/>
                <w:szCs w:val="18"/>
              </w:rPr>
            </w:pPr>
            <w:r>
              <w:rPr>
                <w:rFonts w:ascii="Times New Roman"/>
                <w:sz w:val="18"/>
              </w:rPr>
              <w:t>2,357,090.96</w:t>
            </w:r>
          </w:p>
        </w:tc>
      </w:tr>
      <w:tr>
        <w:trPr>
          <w:trHeight w:val="402" w:hRule="exact"/>
        </w:trPr>
        <w:tc>
          <w:tcPr>
            <w:tcW w:w="328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身份认证服务系统</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1,260,210.68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1,067,208.58</w:t>
            </w:r>
          </w:p>
        </w:tc>
        <w:tc>
          <w:tcPr>
            <w:tcW w:w="127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24" w:right="0"/>
              <w:jc w:val="left"/>
              <w:rPr>
                <w:rFonts w:ascii="Times New Roman" w:hAnsi="Times New Roman" w:cs="Times New Roman" w:eastAsia="Times New Roman" w:hint="default"/>
                <w:sz w:val="18"/>
                <w:szCs w:val="18"/>
              </w:rPr>
            </w:pPr>
            <w:r>
              <w:rPr>
                <w:rFonts w:ascii="Times New Roman"/>
                <w:sz w:val="18"/>
              </w:rPr>
              <w:t>2,327,419.26</w:t>
            </w:r>
          </w:p>
        </w:tc>
      </w:tr>
      <w:tr>
        <w:trPr>
          <w:trHeight w:val="402" w:hRule="exact"/>
        </w:trPr>
        <w:tc>
          <w:tcPr>
            <w:tcW w:w="328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资源服务管理系统（产品开发）</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1,443,412.10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809,995.06</w:t>
            </w:r>
          </w:p>
        </w:tc>
        <w:tc>
          <w:tcPr>
            <w:tcW w:w="127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24" w:right="0"/>
              <w:jc w:val="left"/>
              <w:rPr>
                <w:rFonts w:ascii="Times New Roman" w:hAnsi="Times New Roman" w:cs="Times New Roman" w:eastAsia="Times New Roman" w:hint="default"/>
                <w:sz w:val="18"/>
                <w:szCs w:val="18"/>
              </w:rPr>
            </w:pPr>
            <w:r>
              <w:rPr>
                <w:rFonts w:ascii="Times New Roman"/>
                <w:sz w:val="18"/>
              </w:rPr>
              <w:t>2,253,407.16</w:t>
            </w:r>
          </w:p>
        </w:tc>
      </w:tr>
      <w:tr>
        <w:trPr>
          <w:trHeight w:val="402" w:hRule="exact"/>
        </w:trPr>
        <w:tc>
          <w:tcPr>
            <w:tcW w:w="328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卫士安全管理平台</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2,131,593.30</w:t>
            </w:r>
          </w:p>
        </w:tc>
        <w:tc>
          <w:tcPr>
            <w:tcW w:w="1417"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24" w:right="0"/>
              <w:jc w:val="left"/>
              <w:rPr>
                <w:rFonts w:ascii="Times New Roman" w:hAnsi="Times New Roman" w:cs="Times New Roman" w:eastAsia="Times New Roman" w:hint="default"/>
                <w:sz w:val="18"/>
                <w:szCs w:val="18"/>
              </w:rPr>
            </w:pPr>
            <w:r>
              <w:rPr>
                <w:rFonts w:ascii="Times New Roman"/>
                <w:sz w:val="18"/>
              </w:rPr>
              <w:t>2,131,593.30</w:t>
            </w:r>
          </w:p>
        </w:tc>
      </w:tr>
      <w:tr>
        <w:trPr>
          <w:trHeight w:val="402" w:hRule="exact"/>
        </w:trPr>
        <w:tc>
          <w:tcPr>
            <w:tcW w:w="328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保密防护监管系统</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192,775.00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1,770,641.96</w:t>
            </w:r>
          </w:p>
        </w:tc>
        <w:tc>
          <w:tcPr>
            <w:tcW w:w="127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24" w:right="0"/>
              <w:jc w:val="left"/>
              <w:rPr>
                <w:rFonts w:ascii="Times New Roman" w:hAnsi="Times New Roman" w:cs="Times New Roman" w:eastAsia="Times New Roman" w:hint="default"/>
                <w:sz w:val="18"/>
                <w:szCs w:val="18"/>
              </w:rPr>
            </w:pPr>
            <w:r>
              <w:rPr>
                <w:rFonts w:ascii="Times New Roman"/>
                <w:sz w:val="18"/>
              </w:rPr>
              <w:t>1,963,416.96</w:t>
            </w:r>
          </w:p>
        </w:tc>
      </w:tr>
      <w:tr>
        <w:trPr>
          <w:trHeight w:val="402" w:hRule="exact"/>
        </w:trPr>
        <w:tc>
          <w:tcPr>
            <w:tcW w:w="328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高端主机密码机</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1,740,934.80</w:t>
            </w:r>
          </w:p>
        </w:tc>
        <w:tc>
          <w:tcPr>
            <w:tcW w:w="127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24" w:right="0"/>
              <w:jc w:val="left"/>
              <w:rPr>
                <w:rFonts w:ascii="Times New Roman" w:hAnsi="Times New Roman" w:cs="Times New Roman" w:eastAsia="Times New Roman" w:hint="default"/>
                <w:sz w:val="18"/>
                <w:szCs w:val="18"/>
              </w:rPr>
            </w:pPr>
            <w:r>
              <w:rPr>
                <w:rFonts w:ascii="Times New Roman"/>
                <w:sz w:val="18"/>
              </w:rPr>
              <w:t>1,740,934.80</w:t>
            </w:r>
          </w:p>
        </w:tc>
      </w:tr>
      <w:tr>
        <w:trPr>
          <w:trHeight w:val="402" w:hRule="exact"/>
        </w:trPr>
        <w:tc>
          <w:tcPr>
            <w:tcW w:w="328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专用光驱及移动存储介质管控系统</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933,926.53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800,207.70</w:t>
            </w:r>
          </w:p>
        </w:tc>
        <w:tc>
          <w:tcPr>
            <w:tcW w:w="127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24" w:right="0"/>
              <w:jc w:val="left"/>
              <w:rPr>
                <w:rFonts w:ascii="Times New Roman" w:hAnsi="Times New Roman" w:cs="Times New Roman" w:eastAsia="Times New Roman" w:hint="default"/>
                <w:sz w:val="18"/>
                <w:szCs w:val="18"/>
              </w:rPr>
            </w:pPr>
            <w:r>
              <w:rPr>
                <w:rFonts w:ascii="Times New Roman"/>
                <w:sz w:val="18"/>
              </w:rPr>
              <w:t>1,734,134.23</w:t>
            </w:r>
          </w:p>
        </w:tc>
      </w:tr>
      <w:tr>
        <w:trPr>
          <w:trHeight w:val="402" w:hRule="exact"/>
        </w:trPr>
        <w:tc>
          <w:tcPr>
            <w:tcW w:w="328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云计算应用密钥管理系统</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511,068.12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1,135,215.24</w:t>
            </w:r>
          </w:p>
        </w:tc>
        <w:tc>
          <w:tcPr>
            <w:tcW w:w="127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24" w:right="0"/>
              <w:jc w:val="left"/>
              <w:rPr>
                <w:rFonts w:ascii="Times New Roman" w:hAnsi="Times New Roman" w:cs="Times New Roman" w:eastAsia="Times New Roman" w:hint="default"/>
                <w:sz w:val="18"/>
                <w:szCs w:val="18"/>
              </w:rPr>
            </w:pPr>
            <w:r>
              <w:rPr>
                <w:rFonts w:ascii="Times New Roman"/>
                <w:sz w:val="18"/>
              </w:rPr>
              <w:t>1,646,283.36</w:t>
            </w:r>
          </w:p>
        </w:tc>
      </w:tr>
      <w:tr>
        <w:trPr>
          <w:trHeight w:val="402" w:hRule="exact"/>
        </w:trPr>
        <w:tc>
          <w:tcPr>
            <w:tcW w:w="328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安全应用中间件</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642,999.29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782,958.44</w:t>
            </w:r>
          </w:p>
        </w:tc>
        <w:tc>
          <w:tcPr>
            <w:tcW w:w="127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24" w:right="0"/>
              <w:jc w:val="left"/>
              <w:rPr>
                <w:rFonts w:ascii="Times New Roman" w:hAnsi="Times New Roman" w:cs="Times New Roman" w:eastAsia="Times New Roman" w:hint="default"/>
                <w:sz w:val="18"/>
                <w:szCs w:val="18"/>
              </w:rPr>
            </w:pPr>
            <w:r>
              <w:rPr>
                <w:rFonts w:ascii="Times New Roman"/>
                <w:sz w:val="18"/>
              </w:rPr>
              <w:t>1,425,957.73</w:t>
            </w:r>
          </w:p>
        </w:tc>
      </w:tr>
      <w:tr>
        <w:trPr>
          <w:trHeight w:val="402" w:hRule="exact"/>
        </w:trPr>
        <w:tc>
          <w:tcPr>
            <w:tcW w:w="328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统一认证平台</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1,401,756.93</w:t>
            </w:r>
          </w:p>
        </w:tc>
        <w:tc>
          <w:tcPr>
            <w:tcW w:w="127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24" w:right="0"/>
              <w:jc w:val="left"/>
              <w:rPr>
                <w:rFonts w:ascii="Times New Roman" w:hAnsi="Times New Roman" w:cs="Times New Roman" w:eastAsia="Times New Roman" w:hint="default"/>
                <w:sz w:val="18"/>
                <w:szCs w:val="18"/>
              </w:rPr>
            </w:pPr>
            <w:r>
              <w:rPr>
                <w:rFonts w:ascii="Times New Roman"/>
                <w:sz w:val="18"/>
              </w:rPr>
              <w:t>1,401,756.93</w:t>
            </w:r>
          </w:p>
        </w:tc>
      </w:tr>
      <w:tr>
        <w:trPr>
          <w:trHeight w:val="402" w:hRule="exact"/>
        </w:trPr>
        <w:tc>
          <w:tcPr>
            <w:tcW w:w="328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可信时间服务系统</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682,490.08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556,436.89</w:t>
            </w:r>
          </w:p>
        </w:tc>
        <w:tc>
          <w:tcPr>
            <w:tcW w:w="127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24" w:right="0"/>
              <w:jc w:val="left"/>
              <w:rPr>
                <w:rFonts w:ascii="Times New Roman" w:hAnsi="Times New Roman" w:cs="Times New Roman" w:eastAsia="Times New Roman" w:hint="default"/>
                <w:sz w:val="18"/>
                <w:szCs w:val="18"/>
              </w:rPr>
            </w:pPr>
            <w:r>
              <w:rPr>
                <w:rFonts w:ascii="Times New Roman"/>
                <w:sz w:val="18"/>
              </w:rPr>
              <w:t>1,238,926.97</w:t>
            </w:r>
          </w:p>
        </w:tc>
      </w:tr>
      <w:tr>
        <w:trPr>
          <w:trHeight w:val="402" w:hRule="exact"/>
        </w:trPr>
        <w:tc>
          <w:tcPr>
            <w:tcW w:w="328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新一代</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VPN</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1,213,672.96</w:t>
            </w:r>
          </w:p>
        </w:tc>
        <w:tc>
          <w:tcPr>
            <w:tcW w:w="127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24" w:right="0"/>
              <w:jc w:val="left"/>
              <w:rPr>
                <w:rFonts w:ascii="Times New Roman" w:hAnsi="Times New Roman" w:cs="Times New Roman" w:eastAsia="Times New Roman" w:hint="default"/>
                <w:sz w:val="18"/>
                <w:szCs w:val="18"/>
              </w:rPr>
            </w:pPr>
            <w:r>
              <w:rPr>
                <w:rFonts w:ascii="Times New Roman"/>
                <w:sz w:val="18"/>
              </w:rPr>
              <w:t>1,213,672.96</w:t>
            </w:r>
          </w:p>
        </w:tc>
      </w:tr>
      <w:tr>
        <w:trPr>
          <w:trHeight w:val="402" w:hRule="exact"/>
        </w:trPr>
        <w:tc>
          <w:tcPr>
            <w:tcW w:w="328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卫士通安全网关</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1,194,794.54</w:t>
            </w:r>
          </w:p>
        </w:tc>
        <w:tc>
          <w:tcPr>
            <w:tcW w:w="127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24" w:right="0"/>
              <w:jc w:val="left"/>
              <w:rPr>
                <w:rFonts w:ascii="Times New Roman" w:hAnsi="Times New Roman" w:cs="Times New Roman" w:eastAsia="Times New Roman" w:hint="default"/>
                <w:sz w:val="18"/>
                <w:szCs w:val="18"/>
              </w:rPr>
            </w:pPr>
            <w:r>
              <w:rPr>
                <w:rFonts w:ascii="Times New Roman"/>
                <w:sz w:val="18"/>
              </w:rPr>
              <w:t>1,194,794.54</w:t>
            </w:r>
          </w:p>
        </w:tc>
      </w:tr>
      <w:tr>
        <w:trPr>
          <w:trHeight w:val="402" w:hRule="exact"/>
        </w:trPr>
        <w:tc>
          <w:tcPr>
            <w:tcW w:w="328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终端安全管理系统非密版升级项目</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1,176,591.56</w:t>
            </w:r>
          </w:p>
        </w:tc>
        <w:tc>
          <w:tcPr>
            <w:tcW w:w="127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24" w:right="0"/>
              <w:jc w:val="left"/>
              <w:rPr>
                <w:rFonts w:ascii="Times New Roman" w:hAnsi="Times New Roman" w:cs="Times New Roman" w:eastAsia="Times New Roman" w:hint="default"/>
                <w:sz w:val="18"/>
                <w:szCs w:val="18"/>
              </w:rPr>
            </w:pPr>
            <w:r>
              <w:rPr>
                <w:rFonts w:ascii="Times New Roman"/>
                <w:sz w:val="18"/>
              </w:rPr>
              <w:t>1,176,591.56</w:t>
            </w:r>
          </w:p>
        </w:tc>
      </w:tr>
      <w:tr>
        <w:trPr>
          <w:trHeight w:val="402" w:hRule="exact"/>
        </w:trPr>
        <w:tc>
          <w:tcPr>
            <w:tcW w:w="328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云密码资源池管理平台</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624,432.95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463,973.09</w:t>
            </w:r>
          </w:p>
        </w:tc>
        <w:tc>
          <w:tcPr>
            <w:tcW w:w="127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24" w:right="0"/>
              <w:jc w:val="left"/>
              <w:rPr>
                <w:rFonts w:ascii="Times New Roman" w:hAnsi="Times New Roman" w:cs="Times New Roman" w:eastAsia="Times New Roman" w:hint="default"/>
                <w:sz w:val="18"/>
                <w:szCs w:val="18"/>
              </w:rPr>
            </w:pPr>
            <w:r>
              <w:rPr>
                <w:rFonts w:ascii="Times New Roman"/>
                <w:sz w:val="18"/>
              </w:rPr>
              <w:t>1,088,406.04</w:t>
            </w:r>
          </w:p>
        </w:tc>
      </w:tr>
      <w:tr>
        <w:trPr>
          <w:trHeight w:val="402" w:hRule="exact"/>
        </w:trPr>
        <w:tc>
          <w:tcPr>
            <w:tcW w:w="328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授权管理服务系统</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509,416.64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502,570.64</w:t>
            </w:r>
          </w:p>
        </w:tc>
        <w:tc>
          <w:tcPr>
            <w:tcW w:w="127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0" w:right="0"/>
              <w:jc w:val="left"/>
              <w:rPr>
                <w:rFonts w:ascii="Times New Roman" w:hAnsi="Times New Roman" w:cs="Times New Roman" w:eastAsia="Times New Roman" w:hint="default"/>
                <w:sz w:val="18"/>
                <w:szCs w:val="18"/>
              </w:rPr>
            </w:pPr>
            <w:r>
              <w:rPr>
                <w:rFonts w:ascii="Times New Roman"/>
                <w:sz w:val="18"/>
              </w:rPr>
              <w:t>1,011,987.28</w:t>
            </w:r>
          </w:p>
        </w:tc>
      </w:tr>
      <w:tr>
        <w:trPr>
          <w:trHeight w:val="402" w:hRule="exact"/>
        </w:trPr>
        <w:tc>
          <w:tcPr>
            <w:tcW w:w="328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数字加密通信系统</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3,449,636.15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1,390,017.79</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4,839,653.94</w:t>
            </w:r>
          </w:p>
        </w:tc>
        <w:tc>
          <w:tcPr>
            <w:tcW w:w="1134"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8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腕带式有源标识牌</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2,775,355.80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1,394,641.56</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4,169,997.36</w:t>
            </w:r>
          </w:p>
        </w:tc>
        <w:tc>
          <w:tcPr>
            <w:tcW w:w="1134"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21" w:type="dxa"/>
        <w:tblLayout w:type="fixed"/>
        <w:tblCellMar>
          <w:top w:w="0" w:type="dxa"/>
          <w:left w:w="0" w:type="dxa"/>
          <w:bottom w:w="0" w:type="dxa"/>
          <w:right w:w="0" w:type="dxa"/>
        </w:tblCellMar>
        <w:tblLook w:val="01E0"/>
      </w:tblPr>
      <w:tblGrid>
        <w:gridCol w:w="3288"/>
        <w:gridCol w:w="1277"/>
        <w:gridCol w:w="1417"/>
        <w:gridCol w:w="1278"/>
        <w:gridCol w:w="1134"/>
        <w:gridCol w:w="1301"/>
      </w:tblGrid>
      <w:tr>
        <w:trPr>
          <w:trHeight w:val="402" w:hRule="exact"/>
        </w:trPr>
        <w:tc>
          <w:tcPr>
            <w:tcW w:w="328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移动安全接入网关</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3,176,347.92</w:t>
            </w:r>
          </w:p>
        </w:tc>
        <w:tc>
          <w:tcPr>
            <w:tcW w:w="1417"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3,176,347.92</w:t>
            </w:r>
          </w:p>
        </w:tc>
        <w:tc>
          <w:tcPr>
            <w:tcW w:w="1134"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8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电子文档综合安全管理系统</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3,118,676.52</w:t>
            </w:r>
          </w:p>
        </w:tc>
        <w:tc>
          <w:tcPr>
            <w:tcW w:w="1417"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3,118,676.52</w:t>
            </w:r>
          </w:p>
        </w:tc>
        <w:tc>
          <w:tcPr>
            <w:tcW w:w="1134"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8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终端安全管理系统</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2,384,645.26</w:t>
            </w:r>
          </w:p>
        </w:tc>
        <w:tc>
          <w:tcPr>
            <w:tcW w:w="1417"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2,384,645.26</w:t>
            </w:r>
          </w:p>
        </w:tc>
        <w:tc>
          <w:tcPr>
            <w:tcW w:w="1134"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8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电子公文处理系统项目</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2,328,732.59</w:t>
            </w:r>
          </w:p>
        </w:tc>
        <w:tc>
          <w:tcPr>
            <w:tcW w:w="1417"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2,328,732.59</w:t>
            </w:r>
          </w:p>
        </w:tc>
        <w:tc>
          <w:tcPr>
            <w:tcW w:w="1134"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8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KDC </w:t>
            </w:r>
            <w:r>
              <w:rPr>
                <w:rFonts w:ascii="宋体" w:hAnsi="宋体" w:cs="宋体" w:eastAsia="宋体" w:hint="default"/>
                <w:sz w:val="18"/>
                <w:szCs w:val="18"/>
              </w:rPr>
              <w:t>整机平台</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2,287,105.98</w:t>
            </w:r>
          </w:p>
        </w:tc>
        <w:tc>
          <w:tcPr>
            <w:tcW w:w="1417"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2,287,105.98</w:t>
            </w:r>
          </w:p>
        </w:tc>
        <w:tc>
          <w:tcPr>
            <w:tcW w:w="1134"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8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基于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M150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的专用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PCIE</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平台</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1,963,128.59</w:t>
            </w:r>
          </w:p>
        </w:tc>
        <w:tc>
          <w:tcPr>
            <w:tcW w:w="1417"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1,963,128.59</w:t>
            </w:r>
          </w:p>
        </w:tc>
        <w:tc>
          <w:tcPr>
            <w:tcW w:w="1134"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8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新型电力安全防护终端加密装置</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489,419.26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565,589.09</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1,055,008.35</w:t>
            </w:r>
          </w:p>
        </w:tc>
        <w:tc>
          <w:tcPr>
            <w:tcW w:w="1134"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8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涉案财物信息管理平台</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1,927,236.84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1,824,920.20</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3,752,157.04</w:t>
            </w:r>
          </w:p>
        </w:tc>
        <w:tc>
          <w:tcPr>
            <w:tcW w:w="1134"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8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掌上检察</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2,168,378.05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189,935.11</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2,358,313.16</w:t>
            </w:r>
          </w:p>
        </w:tc>
        <w:tc>
          <w:tcPr>
            <w:tcW w:w="1134"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8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检察机关大数据分析系统</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285,674.58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3,620,205.70</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3,905,880.28</w:t>
            </w:r>
          </w:p>
        </w:tc>
        <w:tc>
          <w:tcPr>
            <w:tcW w:w="1134"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8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893,871.89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7,972,712.42</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447,302.16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2,731,036.68</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5,688,245.47</w:t>
            </w:r>
          </w:p>
        </w:tc>
      </w:tr>
      <w:tr>
        <w:trPr>
          <w:trHeight w:val="402" w:hRule="exact"/>
        </w:trPr>
        <w:tc>
          <w:tcPr>
            <w:tcW w:w="32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58,320,684.62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50,729,617.80</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35,786,949.15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2,731,036.68</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70,532,316.59</w:t>
            </w:r>
          </w:p>
        </w:tc>
      </w:tr>
    </w:tbl>
    <w:p>
      <w:pPr>
        <w:pStyle w:val="BodyText"/>
        <w:spacing w:line="240" w:lineRule="auto" w:before="51"/>
        <w:ind w:right="1022"/>
        <w:jc w:val="left"/>
      </w:pPr>
      <w:r>
        <w:rPr/>
        <w:t>其他说明</w:t>
      </w:r>
    </w:p>
    <w:p>
      <w:pPr>
        <w:spacing w:line="240" w:lineRule="auto" w:before="1"/>
        <w:rPr>
          <w:rFonts w:ascii="宋体" w:hAnsi="宋体" w:cs="宋体" w:eastAsia="宋体" w:hint="default"/>
          <w:sz w:val="13"/>
          <w:szCs w:val="13"/>
        </w:rPr>
      </w:pPr>
    </w:p>
    <w:p>
      <w:pPr>
        <w:pStyle w:val="Heading4"/>
        <w:spacing w:line="273" w:lineRule="auto" w:before="0"/>
        <w:ind w:left="574" w:right="1022"/>
        <w:jc w:val="left"/>
      </w:pPr>
      <w:r>
        <w:rPr/>
        <w:t>开发项目的说明： </w:t>
      </w:r>
      <w:r>
        <w:rPr>
          <w:spacing w:val="-1"/>
        </w:rPr>
        <w:t>内部研究开发支出的资本化时点：研发项目经过前期市场调研和项目可行性论证，报经公司批准立项</w:t>
      </w:r>
    </w:p>
    <w:p>
      <w:pPr>
        <w:pStyle w:val="Heading4"/>
        <w:spacing w:line="240" w:lineRule="auto"/>
        <w:ind w:right="1022"/>
        <w:jc w:val="left"/>
      </w:pPr>
      <w:r>
        <w:rPr/>
        <w:t>后发生的开发费用计入开发支出，予以转资本化。</w:t>
      </w:r>
    </w:p>
    <w:p>
      <w:pPr>
        <w:spacing w:line="240" w:lineRule="auto" w:before="11"/>
        <w:rPr>
          <w:rFonts w:ascii="宋体" w:hAnsi="宋体" w:cs="宋体" w:eastAsia="宋体" w:hint="default"/>
          <w:sz w:val="25"/>
          <w:szCs w:val="25"/>
        </w:rPr>
      </w:pPr>
    </w:p>
    <w:p>
      <w:pPr>
        <w:pStyle w:val="Heading3"/>
        <w:spacing w:line="240" w:lineRule="auto"/>
        <w:ind w:right="1022"/>
        <w:jc w:val="left"/>
        <w:rPr>
          <w:b w:val="0"/>
          <w:bCs w:val="0"/>
        </w:rPr>
      </w:pPr>
      <w:bookmarkStart w:name="13、商誉" w:id="247"/>
      <w:bookmarkEnd w:id="247"/>
      <w:r>
        <w:rPr>
          <w:b w:val="0"/>
          <w:bCs w:val="0"/>
        </w:rPr>
      </w:r>
      <w:r>
        <w:rPr>
          <w:rFonts w:ascii="Times New Roman" w:hAnsi="Times New Roman" w:cs="Times New Roman" w:eastAsia="Times New Roman" w:hint="default"/>
        </w:rPr>
        <w:t>13</w:t>
      </w:r>
      <w:r>
        <w:rPr/>
        <w:t>、商誉</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022"/>
        <w:jc w:val="left"/>
        <w:rPr>
          <w:b w:val="0"/>
          <w:bCs w:val="0"/>
        </w:rPr>
      </w:pPr>
      <w:bookmarkStart w:name="（1）商誉账面原值" w:id="248"/>
      <w:bookmarkEnd w:id="248"/>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8"/>
        <w:gridCol w:w="1367"/>
        <w:gridCol w:w="1367"/>
        <w:gridCol w:w="1367"/>
        <w:gridCol w:w="1367"/>
      </w:tblGrid>
      <w:tr>
        <w:trPr>
          <w:trHeight w:val="1026"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8" w:right="47"/>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四川卫士通信息 安全平台技术有 限公司</w:t>
            </w:r>
          </w:p>
        </w:tc>
        <w:tc>
          <w:tcPr>
            <w:tcW w:w="1367"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7,991.91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7,991.91</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7,991.91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7,991.91</w:t>
            </w:r>
          </w:p>
        </w:tc>
      </w:tr>
    </w:tbl>
    <w:p>
      <w:pPr>
        <w:spacing w:line="240" w:lineRule="auto" w:before="2"/>
        <w:rPr>
          <w:rFonts w:ascii="宋体" w:hAnsi="宋体" w:cs="宋体" w:eastAsia="宋体" w:hint="default"/>
          <w:sz w:val="19"/>
          <w:szCs w:val="19"/>
        </w:rPr>
      </w:pPr>
    </w:p>
    <w:p>
      <w:pPr>
        <w:pStyle w:val="Heading3"/>
        <w:spacing w:line="240" w:lineRule="auto" w:before="35"/>
        <w:ind w:right="1022"/>
        <w:jc w:val="left"/>
        <w:rPr>
          <w:b w:val="0"/>
          <w:bCs w:val="0"/>
        </w:rPr>
      </w:pPr>
      <w:bookmarkStart w:name="14、长期待摊费用" w:id="249"/>
      <w:bookmarkEnd w:id="249"/>
      <w:r>
        <w:rPr>
          <w:b w:val="0"/>
          <w:bCs w:val="0"/>
        </w:rPr>
      </w:r>
      <w:r>
        <w:rPr>
          <w:rFonts w:ascii="Times New Roman" w:hAnsi="Times New Roman" w:cs="Times New Roman" w:eastAsia="Times New Roman" w:hint="default"/>
        </w:rPr>
        <w:t>14</w:t>
      </w:r>
      <w:r>
        <w:rPr/>
        <w:t>、长期待摊费用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办公楼装修</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686,830.67</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539,422.50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2" w:right="0"/>
              <w:jc w:val="left"/>
              <w:rPr>
                <w:rFonts w:ascii="Times New Roman" w:hAnsi="Times New Roman" w:cs="Times New Roman" w:eastAsia="Times New Roman" w:hint="default"/>
                <w:sz w:val="18"/>
                <w:szCs w:val="18"/>
              </w:rPr>
            </w:pPr>
            <w:r>
              <w:rPr>
                <w:rFonts w:ascii="Times New Roman"/>
                <w:sz w:val="18"/>
              </w:rPr>
              <w:t>147,408.17</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房屋改造布线工程</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135,722.42</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135,722.42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经营租入固定资产 改良</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287,023.90</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287,023.90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83"/>
        <w:gridCol w:w="1607"/>
        <w:gridCol w:w="1595"/>
        <w:gridCol w:w="1594"/>
        <w:gridCol w:w="1594"/>
        <w:gridCol w:w="1595"/>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624" w:right="0"/>
              <w:jc w:val="left"/>
              <w:rPr>
                <w:rFonts w:ascii="Times New Roman" w:hAnsi="Times New Roman" w:cs="Times New Roman" w:eastAsia="Times New Roman" w:hint="default"/>
                <w:sz w:val="18"/>
                <w:szCs w:val="18"/>
              </w:rPr>
            </w:pPr>
            <w:r>
              <w:rPr>
                <w:rFonts w:ascii="Times New Roman"/>
                <w:sz w:val="18"/>
              </w:rPr>
              <w:t>1,109,576.99</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1" w:right="0"/>
              <w:jc w:val="left"/>
              <w:rPr>
                <w:rFonts w:ascii="Times New Roman" w:hAnsi="Times New Roman" w:cs="Times New Roman" w:eastAsia="Times New Roman" w:hint="default"/>
                <w:sz w:val="18"/>
                <w:szCs w:val="18"/>
              </w:rPr>
            </w:pPr>
            <w:r>
              <w:rPr>
                <w:rFonts w:ascii="Times New Roman"/>
                <w:sz w:val="18"/>
              </w:rPr>
              <w:t>962,168.82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2" w:right="0"/>
              <w:jc w:val="left"/>
              <w:rPr>
                <w:rFonts w:ascii="Times New Roman" w:hAnsi="Times New Roman" w:cs="Times New Roman" w:eastAsia="Times New Roman" w:hint="default"/>
                <w:sz w:val="18"/>
                <w:szCs w:val="18"/>
              </w:rPr>
            </w:pPr>
            <w:r>
              <w:rPr>
                <w:rFonts w:ascii="Times New Roman"/>
                <w:sz w:val="18"/>
              </w:rPr>
              <w:t>147,408.17</w:t>
            </w:r>
          </w:p>
        </w:tc>
      </w:tr>
    </w:tbl>
    <w:p>
      <w:pPr>
        <w:spacing w:line="240" w:lineRule="auto" w:before="2"/>
        <w:rPr>
          <w:rFonts w:ascii="宋体" w:hAnsi="宋体" w:cs="宋体" w:eastAsia="宋体" w:hint="default"/>
          <w:sz w:val="19"/>
          <w:szCs w:val="19"/>
        </w:rPr>
      </w:pPr>
    </w:p>
    <w:p>
      <w:pPr>
        <w:pStyle w:val="Heading3"/>
        <w:spacing w:line="240" w:lineRule="auto" w:before="35"/>
        <w:ind w:right="1022"/>
        <w:jc w:val="left"/>
        <w:rPr>
          <w:b w:val="0"/>
          <w:bCs w:val="0"/>
        </w:rPr>
      </w:pPr>
      <w:bookmarkStart w:name="15、递延所得税资产/递延所得税负债" w:id="250"/>
      <w:bookmarkEnd w:id="250"/>
      <w:r>
        <w:rPr>
          <w:b w:val="0"/>
          <w:bCs w:val="0"/>
        </w:rPr>
      </w:r>
      <w:r>
        <w:rPr>
          <w:rFonts w:ascii="Times New Roman" w:hAnsi="Times New Roman" w:cs="Times New Roman" w:eastAsia="Times New Roman" w:hint="default"/>
        </w:rPr>
        <w:t>15</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022"/>
        <w:jc w:val="left"/>
        <w:rPr>
          <w:b w:val="0"/>
          <w:bCs w:val="0"/>
        </w:rPr>
      </w:pPr>
      <w:bookmarkStart w:name="（1）未经抵销的递延所得税资产" w:id="251"/>
      <w:bookmarkEnd w:id="251"/>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206"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9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12"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3"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6"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318,165,065.67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47,724,759.85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228,833,318.75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34,324,997.81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149,559,070.98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22,433,860.67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53,482,343.92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8,022,351.59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预提费用</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3,571,797.61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535,769.64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3,571,797.61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535,769.64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14,729,442.57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2,209,416.54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18,029,927.86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2,704,489.19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486,025,376.83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72,903,806.70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303,917,388.14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45,587,608.23</w:t>
            </w:r>
          </w:p>
        </w:tc>
      </w:tr>
    </w:tbl>
    <w:p>
      <w:pPr>
        <w:spacing w:line="240" w:lineRule="auto" w:before="2"/>
        <w:rPr>
          <w:rFonts w:ascii="宋体" w:hAnsi="宋体" w:cs="宋体" w:eastAsia="宋体" w:hint="default"/>
          <w:sz w:val="19"/>
          <w:szCs w:val="19"/>
        </w:rPr>
      </w:pPr>
    </w:p>
    <w:p>
      <w:pPr>
        <w:pStyle w:val="Heading3"/>
        <w:spacing w:line="240" w:lineRule="auto" w:before="35"/>
        <w:ind w:right="1022"/>
        <w:jc w:val="left"/>
        <w:rPr>
          <w:b w:val="0"/>
          <w:bCs w:val="0"/>
        </w:rPr>
      </w:pPr>
      <w:bookmarkStart w:name="（2）以抵销后净额列示的递延所得税资产或负债" w:id="252"/>
      <w:bookmarkEnd w:id="252"/>
      <w:r>
        <w:rPr>
          <w:b w:val="0"/>
          <w:bCs w:val="0"/>
        </w:rPr>
      </w:r>
      <w:r>
        <w:rPr/>
        <w:t>（</w:t>
      </w:r>
      <w:r>
        <w:rPr>
          <w:rFonts w:ascii="Times New Roman" w:hAnsi="Times New Roman" w:cs="Times New Roman" w:eastAsia="Times New Roman" w:hint="default"/>
        </w:rPr>
        <w:t>2</w:t>
      </w:r>
      <w:r>
        <w:rPr/>
        <w:t>）以抵销后净额列示的递延所得税资产或负债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24"/>
        <w:gridCol w:w="1905"/>
        <w:gridCol w:w="1914"/>
        <w:gridCol w:w="1914"/>
        <w:gridCol w:w="1903"/>
      </w:tblGrid>
      <w:tr>
        <w:trPr>
          <w:trHeight w:val="161" w:hRule="exact"/>
        </w:trPr>
        <w:tc>
          <w:tcPr>
            <w:tcW w:w="1924" w:type="dxa"/>
            <w:tcBorders>
              <w:top w:val="single" w:sz="4" w:space="0" w:color="000000"/>
              <w:left w:val="single" w:sz="4" w:space="0" w:color="000000"/>
              <w:bottom w:val="nil" w:sz="6" w:space="0" w:color="auto"/>
              <w:right w:val="single" w:sz="4" w:space="0" w:color="000000"/>
            </w:tcBorders>
            <w:shd w:val="clear" w:color="auto" w:fill="D2D2D2"/>
          </w:tcPr>
          <w:p>
            <w:pPr/>
          </w:p>
        </w:tc>
        <w:tc>
          <w:tcPr>
            <w:tcW w:w="190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401"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411"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0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21" w:right="39"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2" w:hRule="exact"/>
        </w:trPr>
        <w:tc>
          <w:tcPr>
            <w:tcW w:w="192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1905"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03" w:type="dxa"/>
            <w:vMerge/>
            <w:tcBorders>
              <w:left w:val="single" w:sz="4" w:space="0" w:color="000000"/>
              <w:right w:val="single" w:sz="4" w:space="0" w:color="000000"/>
            </w:tcBorders>
            <w:shd w:val="clear" w:color="auto" w:fill="D2D2D2"/>
          </w:tcPr>
          <w:p>
            <w:pPr/>
          </w:p>
        </w:tc>
      </w:tr>
      <w:tr>
        <w:trPr>
          <w:trHeight w:val="161" w:hRule="exact"/>
        </w:trPr>
        <w:tc>
          <w:tcPr>
            <w:tcW w:w="1924" w:type="dxa"/>
            <w:tcBorders>
              <w:top w:val="nil" w:sz="6" w:space="0" w:color="auto"/>
              <w:left w:val="single" w:sz="4" w:space="0" w:color="000000"/>
              <w:bottom w:val="single" w:sz="4" w:space="0" w:color="000000"/>
              <w:right w:val="single" w:sz="4" w:space="0" w:color="000000"/>
            </w:tcBorders>
            <w:shd w:val="clear" w:color="auto" w:fill="D2D2D2"/>
          </w:tcPr>
          <w:p>
            <w:pPr/>
          </w:p>
        </w:tc>
        <w:tc>
          <w:tcPr>
            <w:tcW w:w="1905"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0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05"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6" w:right="0"/>
              <w:jc w:val="left"/>
              <w:rPr>
                <w:rFonts w:ascii="Times New Roman" w:hAnsi="Times New Roman" w:cs="Times New Roman" w:eastAsia="Times New Roman" w:hint="default"/>
                <w:sz w:val="18"/>
                <w:szCs w:val="18"/>
              </w:rPr>
            </w:pPr>
            <w:r>
              <w:rPr>
                <w:rFonts w:ascii="Times New Roman"/>
                <w:sz w:val="18"/>
              </w:rPr>
              <w:t>72,903,806.70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5" w:right="0"/>
              <w:jc w:val="left"/>
              <w:rPr>
                <w:rFonts w:ascii="Times New Roman" w:hAnsi="Times New Roman" w:cs="Times New Roman" w:eastAsia="Times New Roman" w:hint="default"/>
                <w:sz w:val="18"/>
                <w:szCs w:val="18"/>
              </w:rPr>
            </w:pPr>
            <w:r>
              <w:rPr>
                <w:rFonts w:ascii="Times New Roman"/>
                <w:sz w:val="18"/>
              </w:rPr>
              <w:t>45,587,608.23</w:t>
            </w:r>
          </w:p>
        </w:tc>
      </w:tr>
    </w:tbl>
    <w:p>
      <w:pPr>
        <w:spacing w:line="240" w:lineRule="auto" w:before="2"/>
        <w:rPr>
          <w:rFonts w:ascii="宋体" w:hAnsi="宋体" w:cs="宋体" w:eastAsia="宋体" w:hint="default"/>
          <w:sz w:val="19"/>
          <w:szCs w:val="19"/>
        </w:rPr>
      </w:pPr>
    </w:p>
    <w:p>
      <w:pPr>
        <w:pStyle w:val="Heading3"/>
        <w:spacing w:line="240" w:lineRule="auto" w:before="35"/>
        <w:ind w:right="1022"/>
        <w:jc w:val="left"/>
        <w:rPr>
          <w:b w:val="0"/>
          <w:bCs w:val="0"/>
        </w:rPr>
      </w:pPr>
      <w:bookmarkStart w:name="（3）未确认递延所得税资产明细" w:id="253"/>
      <w:bookmarkEnd w:id="253"/>
      <w:r>
        <w:rPr>
          <w:b w:val="0"/>
          <w:bCs w:val="0"/>
        </w:rPr>
      </w:r>
      <w:r>
        <w:rPr/>
        <w:t>（</w:t>
      </w:r>
      <w:r>
        <w:rPr>
          <w:rFonts w:ascii="Times New Roman" w:hAnsi="Times New Roman" w:cs="Times New Roman" w:eastAsia="Times New Roman" w:hint="default"/>
        </w:rPr>
        <w:t>3</w:t>
      </w:r>
      <w:r>
        <w:rPr/>
        <w:t>）未确认递延所得税资产明细</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4,102,538.01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15,948,484.33</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24,772,789.55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20,382,257.44</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28,875,327.56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36,330,741.77</w:t>
            </w:r>
          </w:p>
        </w:tc>
      </w:tr>
    </w:tbl>
    <w:p>
      <w:pPr>
        <w:spacing w:line="240" w:lineRule="auto" w:before="2"/>
        <w:rPr>
          <w:rFonts w:ascii="宋体" w:hAnsi="宋体" w:cs="宋体" w:eastAsia="宋体" w:hint="default"/>
          <w:sz w:val="19"/>
          <w:szCs w:val="19"/>
        </w:rPr>
      </w:pPr>
    </w:p>
    <w:p>
      <w:pPr>
        <w:pStyle w:val="Heading3"/>
        <w:spacing w:line="240" w:lineRule="auto" w:before="35"/>
        <w:ind w:right="1022"/>
        <w:jc w:val="left"/>
        <w:rPr>
          <w:b w:val="0"/>
          <w:bCs w:val="0"/>
        </w:rPr>
      </w:pPr>
      <w:bookmarkStart w:name="（4）未确认递延所得税资产的可抵扣亏损将于以下年度到期" w:id="254"/>
      <w:bookmarkEnd w:id="254"/>
      <w:r>
        <w:rPr>
          <w:b w:val="0"/>
          <w:bCs w:val="0"/>
        </w:rPr>
      </w:r>
      <w:r>
        <w:rPr/>
        <w:t>（</w:t>
      </w:r>
      <w:r>
        <w:rPr>
          <w:rFonts w:ascii="Times New Roman" w:hAnsi="Times New Roman" w:cs="Times New Roman" w:eastAsia="Times New Roman" w:hint="default"/>
        </w:rPr>
        <w:t>4</w:t>
      </w:r>
      <w:r>
        <w:rPr/>
        <w:t>）未确认递延所得税资产的可抵扣亏损将于以下年度到期</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3,107,052.73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4,756,149.29</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1,090,081.70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1,090,081.70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4,001,397.24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14,536,026.45</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16,574,257.88</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24,772,789.55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24" w:right="0"/>
              <w:jc w:val="left"/>
              <w:rPr>
                <w:rFonts w:ascii="Times New Roman" w:hAnsi="Times New Roman" w:cs="Times New Roman" w:eastAsia="Times New Roman" w:hint="default"/>
                <w:sz w:val="18"/>
                <w:szCs w:val="18"/>
              </w:rPr>
            </w:pPr>
            <w:r>
              <w:rPr>
                <w:rFonts w:ascii="Times New Roman"/>
                <w:sz w:val="18"/>
              </w:rPr>
              <w:t>20,382,257.44</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1022"/>
        <w:jc w:val="left"/>
        <w:rPr>
          <w:b w:val="0"/>
          <w:bCs w:val="0"/>
        </w:rPr>
      </w:pPr>
      <w:bookmarkStart w:name="16、其他非流动资产" w:id="255"/>
      <w:bookmarkEnd w:id="255"/>
      <w:r>
        <w:rPr>
          <w:b w:val="0"/>
          <w:bCs w:val="0"/>
        </w:rPr>
      </w:r>
      <w:r>
        <w:rPr>
          <w:rFonts w:ascii="Times New Roman" w:hAnsi="Times New Roman" w:cs="Times New Roman" w:eastAsia="Times New Roman" w:hint="default"/>
        </w:rPr>
        <w:t>16</w:t>
      </w:r>
      <w:r>
        <w:rPr/>
        <w:t>、其他非流动资产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云平台传输系统</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26,326,174.13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8,547,008.51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科研及验证演示平台</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13,211,966.30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3"/>
                <w:sz w:val="18"/>
              </w:rPr>
              <w:t>10,111,111.50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电子政务网络体验演示环境</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12,916,837.60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12,916,837.60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移动安全终端售后检测与维护系统</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11,453,846.16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11,453,846.16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高速</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USB-KEY</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主控芯片项目</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6,090,469.20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3,958,393.79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云平台大数据应用环境建设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1,733,550.77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97,500.85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电子政务网络安全仿直联试演示环境</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7,461,538.70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7,461,538.70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安全政务云科研及体验演示平台</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18,525,940.82</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高性能嵌入式</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SE</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707,547.20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98,427,870.88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54,546,237.11</w:t>
            </w:r>
          </w:p>
        </w:tc>
      </w:tr>
    </w:tbl>
    <w:p>
      <w:pPr>
        <w:spacing w:line="240" w:lineRule="auto" w:before="3"/>
        <w:rPr>
          <w:rFonts w:ascii="宋体" w:hAnsi="宋体" w:cs="宋体" w:eastAsia="宋体" w:hint="default"/>
          <w:sz w:val="19"/>
          <w:szCs w:val="19"/>
        </w:rPr>
      </w:pPr>
    </w:p>
    <w:p>
      <w:pPr>
        <w:pStyle w:val="Heading3"/>
        <w:spacing w:line="240" w:lineRule="auto" w:before="35"/>
        <w:ind w:right="1022"/>
        <w:jc w:val="left"/>
        <w:rPr>
          <w:b w:val="0"/>
          <w:bCs w:val="0"/>
        </w:rPr>
      </w:pPr>
      <w:bookmarkStart w:name="17、短期借款" w:id="256"/>
      <w:bookmarkEnd w:id="256"/>
      <w:r>
        <w:rPr>
          <w:b w:val="0"/>
          <w:bCs w:val="0"/>
        </w:rPr>
      </w:r>
      <w:r>
        <w:rPr>
          <w:rFonts w:ascii="Times New Roman" w:hAnsi="Times New Roman" w:cs="Times New Roman" w:eastAsia="Times New Roman" w:hint="default"/>
        </w:rPr>
        <w:t>17</w:t>
      </w:r>
      <w:r>
        <w:rPr/>
        <w:t>、短期借款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22"/>
        <w:jc w:val="left"/>
        <w:rPr>
          <w:b w:val="0"/>
          <w:bCs w:val="0"/>
        </w:rPr>
      </w:pPr>
      <w:bookmarkStart w:name="（1）短期借款分类" w:id="257"/>
      <w:bookmarkEnd w:id="257"/>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250,000,000.00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250,000,000.00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1022"/>
        <w:jc w:val="left"/>
        <w:rPr>
          <w:b w:val="0"/>
          <w:bCs w:val="0"/>
        </w:rPr>
      </w:pPr>
      <w:bookmarkStart w:name="18、应付票据及应付账款" w:id="258"/>
      <w:bookmarkEnd w:id="258"/>
      <w:r>
        <w:rPr>
          <w:b w:val="0"/>
          <w:bCs w:val="0"/>
        </w:rPr>
      </w:r>
      <w:r>
        <w:rPr>
          <w:rFonts w:ascii="Times New Roman" w:hAnsi="Times New Roman" w:cs="Times New Roman" w:eastAsia="Times New Roman" w:hint="default"/>
        </w:rPr>
        <w:t>18</w:t>
      </w:r>
      <w:r>
        <w:rPr/>
        <w:t>、应付票据及应付账款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133,333,862.32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96,665,594.11</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1,042,370,788.71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980,334,806.73</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1,175,704,651.03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1,077,000,400.84</w:t>
            </w:r>
          </w:p>
        </w:tc>
      </w:tr>
    </w:tbl>
    <w:p>
      <w:pPr>
        <w:spacing w:line="240" w:lineRule="auto" w:before="3"/>
        <w:rPr>
          <w:rFonts w:ascii="宋体" w:hAnsi="宋体" w:cs="宋体" w:eastAsia="宋体" w:hint="default"/>
          <w:sz w:val="19"/>
          <w:szCs w:val="19"/>
        </w:rPr>
      </w:pPr>
    </w:p>
    <w:p>
      <w:pPr>
        <w:pStyle w:val="Heading3"/>
        <w:spacing w:line="240" w:lineRule="auto" w:before="35"/>
        <w:ind w:right="1022"/>
        <w:jc w:val="left"/>
        <w:rPr>
          <w:b w:val="0"/>
          <w:bCs w:val="0"/>
        </w:rPr>
      </w:pPr>
      <w:bookmarkStart w:name="（1）应付票据分类列示" w:id="259"/>
      <w:bookmarkEnd w:id="259"/>
      <w:r>
        <w:rPr>
          <w:b w:val="0"/>
          <w:bCs w:val="0"/>
        </w:rPr>
      </w:r>
      <w:r>
        <w:rPr/>
        <w:t>（</w:t>
      </w:r>
      <w:r>
        <w:rPr>
          <w:rFonts w:ascii="Times New Roman" w:hAnsi="Times New Roman" w:cs="Times New Roman" w:eastAsia="Times New Roman" w:hint="default"/>
        </w:rPr>
        <w:t>1</w:t>
      </w:r>
      <w:r>
        <w:rPr/>
        <w:t>）应付票据分类列示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129,525,673.32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89,108,846.26</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3,808,189.00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7,556,747.85</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133,333,862.32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96,665,594.11</w:t>
            </w:r>
          </w:p>
        </w:tc>
      </w:tr>
    </w:tbl>
    <w:p>
      <w:pPr>
        <w:pStyle w:val="BodyText"/>
        <w:spacing w:line="240" w:lineRule="auto" w:before="51"/>
        <w:ind w:right="1022"/>
        <w:jc w:val="left"/>
      </w:pPr>
      <w:r>
        <w:rPr/>
        <w:t>本期末已到期未支付的应付票据总额为</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10"/>
        <w:rPr>
          <w:rFonts w:ascii="宋体" w:hAnsi="宋体" w:cs="宋体" w:eastAsia="宋体" w:hint="default"/>
          <w:sz w:val="25"/>
          <w:szCs w:val="25"/>
        </w:rPr>
      </w:pPr>
    </w:p>
    <w:p>
      <w:pPr>
        <w:pStyle w:val="Heading3"/>
        <w:spacing w:line="240" w:lineRule="auto"/>
        <w:ind w:right="1022"/>
        <w:jc w:val="left"/>
        <w:rPr>
          <w:b w:val="0"/>
          <w:bCs w:val="0"/>
        </w:rPr>
      </w:pPr>
      <w:bookmarkStart w:name="（2）应付账款列示" w:id="260"/>
      <w:bookmarkEnd w:id="260"/>
      <w:r>
        <w:rPr>
          <w:b w:val="0"/>
          <w:bCs w:val="0"/>
        </w:rPr>
      </w:r>
      <w:r>
        <w:rPr/>
        <w:t>（</w:t>
      </w:r>
      <w:r>
        <w:rPr>
          <w:rFonts w:ascii="Times New Roman" w:hAnsi="Times New Roman" w:cs="Times New Roman" w:eastAsia="Times New Roman" w:hint="default"/>
        </w:rPr>
        <w:t>2</w:t>
      </w:r>
      <w:r>
        <w:rPr/>
        <w:t>）应付账款列示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683,347,095.29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707,564,775.31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231,235,780.87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199,705,943.66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82,957,980.37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38,905,405.73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44,829,932.18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34,158,682.03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1,042,370,788.71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980,334,806.73</w:t>
            </w:r>
          </w:p>
        </w:tc>
      </w:tr>
    </w:tbl>
    <w:p>
      <w:pPr>
        <w:spacing w:line="240" w:lineRule="auto" w:before="2"/>
        <w:rPr>
          <w:rFonts w:ascii="宋体" w:hAnsi="宋体" w:cs="宋体" w:eastAsia="宋体" w:hint="default"/>
          <w:sz w:val="19"/>
          <w:szCs w:val="19"/>
        </w:rPr>
      </w:pPr>
    </w:p>
    <w:p>
      <w:pPr>
        <w:pStyle w:val="Heading3"/>
        <w:spacing w:line="240" w:lineRule="auto" w:before="35"/>
        <w:ind w:right="1022"/>
        <w:jc w:val="left"/>
        <w:rPr>
          <w:b w:val="0"/>
          <w:bCs w:val="0"/>
        </w:rPr>
      </w:pPr>
      <w:bookmarkStart w:name="（3）账龄超过1年的重要应付账款" w:id="261"/>
      <w:bookmarkEnd w:id="261"/>
      <w:r>
        <w:rPr>
          <w:b w:val="0"/>
          <w:bCs w:val="0"/>
        </w:rPr>
      </w:r>
      <w:r>
        <w:rPr/>
        <w:t>（</w:t>
      </w:r>
      <w:r>
        <w:rPr>
          <w:rFonts w:ascii="Times New Roman" w:hAnsi="Times New Roman" w:cs="Times New Roman" w:eastAsia="Times New Roman" w:hint="default"/>
        </w:rPr>
        <w:t>3</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年的重要应付账款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15,001,401.15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未达到结算条件</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13,122,393.16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未达到结算条件</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12,904,154.05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未达到结算条件</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11,808,345.45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未达到结算条件</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9,894,700.00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未达到结算条件</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62,730,993.81</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1022"/>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022"/>
        <w:jc w:val="left"/>
        <w:rPr>
          <w:b w:val="0"/>
          <w:bCs w:val="0"/>
        </w:rPr>
      </w:pPr>
      <w:bookmarkStart w:name="19、预收款项" w:id="262"/>
      <w:bookmarkEnd w:id="262"/>
      <w:r>
        <w:rPr>
          <w:b w:val="0"/>
          <w:bCs w:val="0"/>
        </w:rPr>
      </w:r>
      <w:r>
        <w:rPr>
          <w:rFonts w:ascii="Times New Roman" w:hAnsi="Times New Roman" w:cs="Times New Roman" w:eastAsia="Times New Roman" w:hint="default"/>
        </w:rPr>
        <w:t>19</w:t>
      </w:r>
      <w:r>
        <w:rPr/>
        <w:t>、预收款项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022"/>
        <w:jc w:val="left"/>
        <w:rPr>
          <w:b w:val="0"/>
          <w:bCs w:val="0"/>
        </w:rPr>
      </w:pPr>
      <w:bookmarkStart w:name="（1）预收款项列示" w:id="263"/>
      <w:bookmarkEnd w:id="263"/>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54,787,558.64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44,085,253.15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32,949,650.30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15,451,091.38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87,737,208.94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59,536,344.53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1022"/>
        <w:jc w:val="left"/>
        <w:rPr>
          <w:b w:val="0"/>
          <w:bCs w:val="0"/>
        </w:rPr>
      </w:pPr>
      <w:bookmarkStart w:name="（2）账龄超过1年的重要预收款项" w:id="264"/>
      <w:bookmarkEnd w:id="264"/>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年的重要预收款项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1,575,000.00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未达到结算条件</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999,970.74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未达到结算条件</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956,923.02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未达到结算条件</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724,745.62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未达到结算条件</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722,500.00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未达到结算条件</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4,979,139.38</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1022"/>
        <w:jc w:val="left"/>
        <w:rPr>
          <w:b w:val="0"/>
          <w:bCs w:val="0"/>
        </w:rPr>
      </w:pPr>
      <w:bookmarkStart w:name="20、应付职工薪酬" w:id="265"/>
      <w:bookmarkEnd w:id="265"/>
      <w:r>
        <w:rPr>
          <w:b w:val="0"/>
          <w:bCs w:val="0"/>
        </w:rPr>
      </w:r>
      <w:r>
        <w:rPr>
          <w:rFonts w:ascii="Times New Roman" w:hAnsi="Times New Roman" w:cs="Times New Roman" w:eastAsia="Times New Roman" w:hint="default"/>
        </w:rPr>
        <w:t>20</w:t>
      </w:r>
      <w:r>
        <w:rPr/>
        <w:t>、应付职工薪酬</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22"/>
        <w:jc w:val="left"/>
        <w:rPr>
          <w:b w:val="0"/>
          <w:bCs w:val="0"/>
        </w:rPr>
      </w:pPr>
      <w:bookmarkStart w:name="（1）应付职工薪酬列示" w:id="266"/>
      <w:bookmarkEnd w:id="266"/>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87"/>
        <w:gridCol w:w="1430"/>
        <w:gridCol w:w="1914"/>
        <w:gridCol w:w="1914"/>
        <w:gridCol w:w="1914"/>
      </w:tblGrid>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5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43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9,734,082.48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411,738,351.40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396,501,781.96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24,970,651.92</w:t>
            </w:r>
          </w:p>
        </w:tc>
      </w:tr>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pacing w:val="-4"/>
                <w:sz w:val="18"/>
                <w:szCs w:val="18"/>
              </w:rPr>
              <w:t>二、离职后福利</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设定提存计划</w:t>
            </w:r>
          </w:p>
        </w:tc>
        <w:tc>
          <w:tcPr>
            <w:tcW w:w="143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1,776,347.36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27,295,033.60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27,264,472.65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1,806,908.31</w:t>
            </w:r>
          </w:p>
        </w:tc>
      </w:tr>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430"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1,542,315.76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1,542,315.76</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3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11,510,429.84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440,575,700.76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425,308,570.37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26,777,560.23</w:t>
            </w:r>
          </w:p>
        </w:tc>
      </w:tr>
    </w:tbl>
    <w:p>
      <w:pPr>
        <w:spacing w:line="240" w:lineRule="auto" w:before="2"/>
        <w:rPr>
          <w:rFonts w:ascii="宋体" w:hAnsi="宋体" w:cs="宋体" w:eastAsia="宋体" w:hint="default"/>
          <w:sz w:val="19"/>
          <w:szCs w:val="19"/>
        </w:rPr>
      </w:pPr>
    </w:p>
    <w:p>
      <w:pPr>
        <w:pStyle w:val="Heading3"/>
        <w:spacing w:line="240" w:lineRule="auto" w:before="35"/>
        <w:ind w:right="1022"/>
        <w:jc w:val="left"/>
        <w:rPr>
          <w:b w:val="0"/>
          <w:bCs w:val="0"/>
        </w:rPr>
      </w:pPr>
      <w:bookmarkStart w:name="（2）短期薪酬列示" w:id="267"/>
      <w:bookmarkEnd w:id="267"/>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87"/>
        <w:gridCol w:w="1430"/>
        <w:gridCol w:w="1914"/>
        <w:gridCol w:w="1914"/>
        <w:gridCol w:w="1914"/>
      </w:tblGrid>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5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、工资、奖金、津贴和补贴</w:t>
            </w:r>
          </w:p>
        </w:tc>
        <w:tc>
          <w:tcPr>
            <w:tcW w:w="1430"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344,794,665.38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329,002,297.76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15,792,367.62</w:t>
            </w:r>
          </w:p>
        </w:tc>
      </w:tr>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43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323,478.00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10,412,351.12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10,735,829.12</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43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47,686.70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14,398,424.41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13,766,524.59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679,586.52</w:t>
            </w:r>
          </w:p>
        </w:tc>
      </w:tr>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其中：医疗保险费</w:t>
            </w:r>
          </w:p>
        </w:tc>
        <w:tc>
          <w:tcPr>
            <w:tcW w:w="143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42,359.40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13,226,422.05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12,606,577.78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662,203.67</w:t>
            </w:r>
          </w:p>
        </w:tc>
      </w:tr>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工伤保险费</w:t>
            </w:r>
          </w:p>
        </w:tc>
        <w:tc>
          <w:tcPr>
            <w:tcW w:w="143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898.72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431,928.34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419,114.49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13,712.57</w:t>
            </w:r>
          </w:p>
        </w:tc>
      </w:tr>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生育保险费</w:t>
            </w:r>
          </w:p>
        </w:tc>
        <w:tc>
          <w:tcPr>
            <w:tcW w:w="143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4,428.58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740,074.02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740,832.32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3,670.28</w:t>
            </w:r>
          </w:p>
        </w:tc>
      </w:tr>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43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196,611.84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35,531,725.08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35,551,145.20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177,191.72</w:t>
            </w:r>
          </w:p>
        </w:tc>
      </w:tr>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、工会经费和职工教育经费</w:t>
            </w:r>
          </w:p>
        </w:tc>
        <w:tc>
          <w:tcPr>
            <w:tcW w:w="143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9,166,305.94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3,235,160.97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4,079,960.85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8,321,506.06</w:t>
            </w:r>
          </w:p>
        </w:tc>
      </w:tr>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、短期带薪缺勤</w:t>
            </w:r>
          </w:p>
        </w:tc>
        <w:tc>
          <w:tcPr>
            <w:tcW w:w="1430"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1,586,459.00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1,586,459.00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其他短期薪酬</w:t>
            </w:r>
          </w:p>
        </w:tc>
        <w:tc>
          <w:tcPr>
            <w:tcW w:w="1430"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1,779,565.44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1,779,565.44</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9,734,082.48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411,738,351.40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396,501,781.96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24,970,651.92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1022"/>
        <w:jc w:val="left"/>
        <w:rPr>
          <w:b w:val="0"/>
          <w:bCs w:val="0"/>
        </w:rPr>
      </w:pPr>
      <w:bookmarkStart w:name="（3）设定提存计划列示" w:id="268"/>
      <w:bookmarkEnd w:id="268"/>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88,701.28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26,335,440.05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26,343,686.98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80,454.35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2,247.16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959,593.55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920,785.67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41,055.04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、养老基金</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1,685,398.92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1,685,398.92</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1,776,347.36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27,295,033.60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27,264,472.65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1,806,908.31</w:t>
            </w:r>
          </w:p>
        </w:tc>
      </w:tr>
    </w:tbl>
    <w:p>
      <w:pPr>
        <w:spacing w:line="240" w:lineRule="auto" w:before="2"/>
        <w:rPr>
          <w:rFonts w:ascii="宋体" w:hAnsi="宋体" w:cs="宋体" w:eastAsia="宋体" w:hint="default"/>
          <w:sz w:val="19"/>
          <w:szCs w:val="19"/>
        </w:rPr>
      </w:pPr>
    </w:p>
    <w:p>
      <w:pPr>
        <w:pStyle w:val="Heading3"/>
        <w:spacing w:line="240" w:lineRule="auto" w:before="35"/>
        <w:ind w:right="1022"/>
        <w:jc w:val="left"/>
        <w:rPr>
          <w:b w:val="0"/>
          <w:bCs w:val="0"/>
        </w:rPr>
      </w:pPr>
      <w:bookmarkStart w:name="21、应交税费" w:id="269"/>
      <w:bookmarkEnd w:id="269"/>
      <w:r>
        <w:rPr>
          <w:b w:val="0"/>
          <w:bCs w:val="0"/>
        </w:rPr>
      </w:r>
      <w:r>
        <w:rPr>
          <w:rFonts w:ascii="Times New Roman" w:hAnsi="Times New Roman" w:cs="Times New Roman" w:eastAsia="Times New Roman" w:hint="default"/>
        </w:rPr>
        <w:t>21</w:t>
      </w:r>
      <w:r>
        <w:rPr/>
        <w:t>、应交税费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58,695,719.75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67,145,780.22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36,230,665.69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31,230,629.94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876,946.28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1,757,526.95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2,465,650.49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5,400,155.05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164,208.27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164,208.27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1,761,178.96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3,856,591.42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其他税费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553,640.88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2,990,516.98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100,748,010.32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112,545,408.83</w:t>
            </w:r>
          </w:p>
        </w:tc>
      </w:tr>
    </w:tbl>
    <w:p>
      <w:pPr>
        <w:spacing w:line="240" w:lineRule="auto" w:before="2"/>
        <w:rPr>
          <w:rFonts w:ascii="宋体" w:hAnsi="宋体" w:cs="宋体" w:eastAsia="宋体" w:hint="default"/>
          <w:sz w:val="19"/>
          <w:szCs w:val="19"/>
        </w:rPr>
      </w:pPr>
    </w:p>
    <w:p>
      <w:pPr>
        <w:pStyle w:val="Heading3"/>
        <w:spacing w:line="240" w:lineRule="auto" w:before="35"/>
        <w:ind w:right="1022"/>
        <w:jc w:val="left"/>
        <w:rPr>
          <w:b w:val="0"/>
          <w:bCs w:val="0"/>
        </w:rPr>
      </w:pPr>
      <w:bookmarkStart w:name="22、其他应付款" w:id="270"/>
      <w:bookmarkEnd w:id="270"/>
      <w:r>
        <w:rPr>
          <w:b w:val="0"/>
          <w:bCs w:val="0"/>
        </w:rPr>
      </w:r>
      <w:r>
        <w:rPr>
          <w:rFonts w:ascii="Times New Roman" w:hAnsi="Times New Roman" w:cs="Times New Roman" w:eastAsia="Times New Roman" w:hint="default"/>
        </w:rPr>
        <w:t>22</w:t>
      </w:r>
      <w:r>
        <w:rPr/>
        <w:t>、其他应付款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48,233,428.23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47,171,085.26</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48,233,428.23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47,171,085.26</w:t>
            </w:r>
          </w:p>
        </w:tc>
      </w:tr>
    </w:tbl>
    <w:p>
      <w:pPr>
        <w:spacing w:line="240" w:lineRule="auto" w:before="2"/>
        <w:rPr>
          <w:rFonts w:ascii="宋体" w:hAnsi="宋体" w:cs="宋体" w:eastAsia="宋体" w:hint="default"/>
          <w:sz w:val="19"/>
          <w:szCs w:val="19"/>
        </w:rPr>
      </w:pPr>
    </w:p>
    <w:p>
      <w:pPr>
        <w:pStyle w:val="Heading3"/>
        <w:spacing w:line="240" w:lineRule="auto" w:before="35"/>
        <w:ind w:right="1022"/>
        <w:jc w:val="left"/>
        <w:rPr>
          <w:b w:val="0"/>
          <w:bCs w:val="0"/>
        </w:rPr>
      </w:pPr>
      <w:bookmarkStart w:name="（1）其他应付款" w:id="271"/>
      <w:bookmarkEnd w:id="271"/>
      <w:r>
        <w:rPr>
          <w:b w:val="0"/>
          <w:bCs w:val="0"/>
        </w:rPr>
      </w:r>
      <w:r>
        <w:rPr/>
        <w:t>（</w:t>
      </w:r>
      <w:r>
        <w:rPr>
          <w:rFonts w:ascii="Times New Roman" w:hAnsi="Times New Roman" w:cs="Times New Roman" w:eastAsia="Times New Roman" w:hint="default"/>
        </w:rPr>
        <w:t>1</w:t>
      </w:r>
      <w:r>
        <w:rPr/>
        <w:t>）其他应付款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022"/>
        <w:jc w:val="left"/>
      </w:pPr>
      <w:r>
        <w:rPr>
          <w:rFonts w:ascii="Times New Roman" w:hAnsi="Times New Roman" w:cs="Times New Roman" w:eastAsia="Times New Roman" w:hint="default"/>
        </w:rPr>
        <w:t>1)</w:t>
      </w:r>
      <w:r>
        <w:rPr/>
        <w:t>按款项性质列示其他应付款</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应付单位款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31,494,798.06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35,793,858.57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暂收待付</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6,899,474.32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2,360,299.55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8,908,502.10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7,945,136.63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个人业务借款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930,653.75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1,071,790.51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48,233,428.23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47,171,085.26</w:t>
            </w:r>
          </w:p>
        </w:tc>
      </w:tr>
    </w:tbl>
    <w:p>
      <w:pPr>
        <w:pStyle w:val="BodyText"/>
        <w:spacing w:line="240" w:lineRule="auto" w:before="51"/>
        <w:ind w:right="1022"/>
        <w:jc w:val="left"/>
      </w:pPr>
      <w:r>
        <w:rPr>
          <w:rFonts w:ascii="Times New Roman" w:hAnsi="Times New Roman" w:cs="Times New Roman" w:eastAsia="Times New Roman" w:hint="default"/>
        </w:rPr>
        <w:t>2)</w:t>
      </w:r>
      <w:r>
        <w:rPr/>
        <w:t>账龄超过</w:t>
      </w:r>
      <w:r>
        <w:rPr>
          <w:spacing w:val="-46"/>
        </w:rPr>
        <w:t> </w:t>
      </w:r>
      <w:r>
        <w:rPr>
          <w:rFonts w:ascii="Times New Roman" w:hAnsi="Times New Roman" w:cs="Times New Roman" w:eastAsia="Times New Roman" w:hint="default"/>
        </w:rPr>
        <w:t>1 </w:t>
      </w:r>
      <w:r>
        <w:rPr/>
        <w:t>年的重要其他应付款</w:t>
      </w:r>
    </w:p>
    <w:p>
      <w:pPr>
        <w:pStyle w:val="BodyText"/>
        <w:spacing w:line="240" w:lineRule="auto" w:before="10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5,200,000.00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2,721,073.22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2,404,392.30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703,410.50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未结算</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12,028,876.02</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1022"/>
        <w:jc w:val="left"/>
        <w:rPr>
          <w:b w:val="0"/>
          <w:bCs w:val="0"/>
        </w:rPr>
      </w:pPr>
      <w:bookmarkStart w:name="23、其他流动负债" w:id="272"/>
      <w:bookmarkEnd w:id="272"/>
      <w:r>
        <w:rPr>
          <w:b w:val="0"/>
          <w:bCs w:val="0"/>
        </w:rPr>
      </w:r>
      <w:r>
        <w:rPr>
          <w:rFonts w:ascii="Times New Roman" w:hAnsi="Times New Roman" w:cs="Times New Roman" w:eastAsia="Times New Roman" w:hint="default"/>
        </w:rPr>
        <w:t>23</w:t>
      </w:r>
      <w:r>
        <w:rPr/>
        <w:t>、其他流动负债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待转销项税</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1,426,536.20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1,426,536.20</w:t>
            </w:r>
          </w:p>
        </w:tc>
      </w:tr>
    </w:tbl>
    <w:p>
      <w:pPr>
        <w:spacing w:line="240" w:lineRule="auto" w:before="3"/>
        <w:rPr>
          <w:rFonts w:ascii="宋体" w:hAnsi="宋体" w:cs="宋体" w:eastAsia="宋体" w:hint="default"/>
          <w:sz w:val="19"/>
          <w:szCs w:val="19"/>
        </w:rPr>
      </w:pPr>
    </w:p>
    <w:p>
      <w:pPr>
        <w:pStyle w:val="Heading3"/>
        <w:spacing w:line="240" w:lineRule="auto" w:before="35"/>
        <w:ind w:right="1022"/>
        <w:jc w:val="left"/>
        <w:rPr>
          <w:b w:val="0"/>
          <w:bCs w:val="0"/>
        </w:rPr>
      </w:pPr>
      <w:bookmarkStart w:name="24、递延收益" w:id="273"/>
      <w:bookmarkEnd w:id="273"/>
      <w:r>
        <w:rPr>
          <w:b w:val="0"/>
          <w:bCs w:val="0"/>
        </w:rPr>
      </w:r>
      <w:r>
        <w:rPr>
          <w:rFonts w:ascii="Times New Roman" w:hAnsi="Times New Roman" w:cs="Times New Roman" w:eastAsia="Times New Roman" w:hint="default"/>
        </w:rPr>
        <w:t>24</w:t>
      </w:r>
      <w:r>
        <w:rPr/>
        <w:t>、递延收益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83"/>
        <w:gridCol w:w="1607"/>
        <w:gridCol w:w="1595"/>
        <w:gridCol w:w="1594"/>
        <w:gridCol w:w="1594"/>
        <w:gridCol w:w="1595"/>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4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56,590,477.63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70,273,700.00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50,465,817.41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76,398,360.22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详见明细</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56,590,477.63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70,273,700.00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50,465,817.41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76,398,360.22</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1022"/>
        <w:jc w:val="left"/>
      </w:pPr>
      <w:r>
        <w:rPr/>
        <w:t>涉及政府补助的项目：</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553"/>
        <w:gridCol w:w="850"/>
        <w:gridCol w:w="851"/>
        <w:gridCol w:w="851"/>
        <w:gridCol w:w="851"/>
        <w:gridCol w:w="850"/>
        <w:gridCol w:w="851"/>
        <w:gridCol w:w="851"/>
        <w:gridCol w:w="1063"/>
      </w:tblGrid>
      <w:tr>
        <w:trPr>
          <w:trHeight w:val="1026" w:hRule="exact"/>
        </w:trPr>
        <w:tc>
          <w:tcPr>
            <w:tcW w:w="2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负债项目</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5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0" w:right="59"/>
              <w:jc w:val="left"/>
              <w:rPr>
                <w:rFonts w:ascii="宋体" w:hAnsi="宋体" w:cs="宋体" w:eastAsia="宋体" w:hint="default"/>
                <w:sz w:val="18"/>
                <w:szCs w:val="18"/>
              </w:rPr>
            </w:pPr>
            <w:r>
              <w:rPr>
                <w:rFonts w:ascii="宋体" w:hAnsi="宋体" w:cs="宋体" w:eastAsia="宋体" w:hint="default"/>
                <w:sz w:val="18"/>
                <w:szCs w:val="18"/>
              </w:rPr>
              <w:t>本期新增 补助金额</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9" w:right="59"/>
              <w:jc w:val="both"/>
              <w:rPr>
                <w:rFonts w:ascii="宋体" w:hAnsi="宋体" w:cs="宋体" w:eastAsia="宋体" w:hint="default"/>
                <w:sz w:val="18"/>
                <w:szCs w:val="18"/>
              </w:rPr>
            </w:pPr>
            <w:r>
              <w:rPr>
                <w:rFonts w:ascii="宋体" w:hAnsi="宋体" w:cs="宋体" w:eastAsia="宋体" w:hint="default"/>
                <w:sz w:val="18"/>
                <w:szCs w:val="18"/>
              </w:rPr>
              <w:t>本期计入 营业外收 入金额</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9" w:right="59"/>
              <w:jc w:val="center"/>
              <w:rPr>
                <w:rFonts w:ascii="宋体" w:hAnsi="宋体" w:cs="宋体" w:eastAsia="宋体" w:hint="default"/>
                <w:sz w:val="18"/>
                <w:szCs w:val="18"/>
              </w:rPr>
            </w:pPr>
            <w:r>
              <w:rPr>
                <w:rFonts w:ascii="宋体" w:hAnsi="宋体" w:cs="宋体" w:eastAsia="宋体" w:hint="default"/>
                <w:sz w:val="18"/>
                <w:szCs w:val="18"/>
              </w:rPr>
              <w:t>本期计入 其他收益 金额</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0" w:right="59"/>
              <w:jc w:val="center"/>
              <w:rPr>
                <w:rFonts w:ascii="宋体" w:hAnsi="宋体" w:cs="宋体" w:eastAsia="宋体" w:hint="default"/>
                <w:sz w:val="18"/>
                <w:szCs w:val="18"/>
              </w:rPr>
            </w:pPr>
            <w:r>
              <w:rPr>
                <w:rFonts w:ascii="宋体" w:hAnsi="宋体" w:cs="宋体" w:eastAsia="宋体" w:hint="default"/>
                <w:sz w:val="18"/>
                <w:szCs w:val="18"/>
              </w:rPr>
              <w:t>本期冲减 成本费用 金额</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59"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5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02" w:lineRule="auto"/>
              <w:ind w:left="76" w:right="51"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1026"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3"/>
              <w:jc w:val="both"/>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年省科技重大专项：第五代</w:t>
            </w:r>
            <w:r>
              <w:rPr>
                <w:rFonts w:ascii="宋体" w:hAnsi="宋体" w:cs="宋体" w:eastAsia="宋体" w:hint="default"/>
                <w:sz w:val="18"/>
                <w:szCs w:val="18"/>
              </w:rPr>
              <w:t> 移动通信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5G</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安全产品研发及产 业化</w:t>
            </w: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17,310,00</w:t>
            </w:r>
          </w:p>
          <w:p>
            <w:pPr>
              <w:pStyle w:val="TableParagraph"/>
              <w:spacing w:line="240" w:lineRule="auto" w:before="106"/>
              <w:ind w:left="504" w:right="0"/>
              <w:jc w:val="left"/>
              <w:rPr>
                <w:rFonts w:ascii="Times New Roman" w:hAnsi="Times New Roman" w:cs="Times New Roman" w:eastAsia="Times New Roman" w:hint="default"/>
                <w:sz w:val="18"/>
                <w:szCs w:val="18"/>
              </w:rPr>
            </w:pPr>
            <w:r>
              <w:rPr>
                <w:rFonts w:ascii="Times New Roman"/>
                <w:sz w:val="18"/>
              </w:rPr>
              <w:t>0.00</w:t>
            </w: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3,659,441.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19</w:t>
            </w: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13,650,55</w:t>
            </w:r>
          </w:p>
          <w:p>
            <w:pPr>
              <w:pStyle w:val="TableParagraph"/>
              <w:spacing w:line="240" w:lineRule="auto" w:before="106"/>
              <w:ind w:left="503" w:right="0"/>
              <w:jc w:val="left"/>
              <w:rPr>
                <w:rFonts w:ascii="Times New Roman" w:hAnsi="Times New Roman" w:cs="Times New Roman" w:eastAsia="Times New Roman" w:hint="default"/>
                <w:sz w:val="18"/>
                <w:szCs w:val="18"/>
              </w:rPr>
            </w:pPr>
            <w:r>
              <w:rPr>
                <w:rFonts w:ascii="Times New Roman"/>
                <w:sz w:val="18"/>
              </w:rPr>
              <w:t>8.81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8"/>
              <w:jc w:val="left"/>
              <w:rPr>
                <w:rFonts w:ascii="宋体" w:hAnsi="宋体" w:cs="宋体" w:eastAsia="宋体" w:hint="default"/>
                <w:sz w:val="18"/>
                <w:szCs w:val="18"/>
              </w:rPr>
            </w:pPr>
            <w:r>
              <w:rPr>
                <w:rFonts w:ascii="Times New Roman" w:hAnsi="Times New Roman" w:cs="Times New Roman" w:eastAsia="Times New Roman" w:hint="default"/>
                <w:sz w:val="18"/>
                <w:szCs w:val="18"/>
              </w:rPr>
              <w:t>2.4GHz</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射频安全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SOC</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芯片研发 及产业化</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38"/>
              <w:jc w:val="left"/>
              <w:rPr>
                <w:rFonts w:ascii="宋体" w:hAnsi="宋体" w:cs="宋体" w:eastAsia="宋体" w:hint="default"/>
                <w:sz w:val="18"/>
                <w:szCs w:val="18"/>
              </w:rPr>
            </w:pPr>
            <w:r>
              <w:rPr>
                <w:rFonts w:ascii="宋体" w:hAnsi="宋体" w:cs="宋体" w:eastAsia="宋体" w:hint="default"/>
                <w:sz w:val="18"/>
                <w:szCs w:val="18"/>
              </w:rPr>
              <w:t>应用于移动终端的安全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SoC </w:t>
            </w:r>
            <w:r>
              <w:rPr>
                <w:rFonts w:ascii="宋体" w:hAnsi="宋体" w:cs="宋体" w:eastAsia="宋体" w:hint="default"/>
                <w:sz w:val="18"/>
                <w:szCs w:val="18"/>
              </w:rPr>
              <w:t>芯 片研发及产业化</w:t>
            </w: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553"/>
        <w:gridCol w:w="850"/>
        <w:gridCol w:w="851"/>
        <w:gridCol w:w="851"/>
        <w:gridCol w:w="851"/>
        <w:gridCol w:w="850"/>
        <w:gridCol w:w="851"/>
        <w:gridCol w:w="851"/>
        <w:gridCol w:w="1063"/>
      </w:tblGrid>
      <w:tr>
        <w:trPr>
          <w:trHeight w:val="714"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基于物联网应用的网络安全</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SoC</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芯片研发及产业化</w:t>
            </w: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88"/>
              <w:jc w:val="left"/>
              <w:rPr>
                <w:rFonts w:ascii="宋体" w:hAnsi="宋体" w:cs="宋体" w:eastAsia="宋体" w:hint="default"/>
                <w:sz w:val="18"/>
                <w:szCs w:val="18"/>
              </w:rPr>
            </w:pPr>
            <w:r>
              <w:rPr>
                <w:rFonts w:ascii="宋体" w:hAnsi="宋体" w:cs="宋体" w:eastAsia="宋体" w:hint="default"/>
                <w:sz w:val="18"/>
                <w:szCs w:val="18"/>
              </w:rPr>
              <w:t>可升级高安全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USBKEY</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核心芯 片研发及产业化</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四川省科学技术厅</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-Embedded-SE</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安全核心研发</w:t>
            </w: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8"/>
              <w:jc w:val="left"/>
              <w:rPr>
                <w:rFonts w:ascii="宋体" w:hAnsi="宋体" w:cs="宋体" w:eastAsia="宋体" w:hint="default"/>
                <w:sz w:val="18"/>
                <w:szCs w:val="18"/>
              </w:rPr>
            </w:pPr>
            <w:r>
              <w:rPr>
                <w:rFonts w:ascii="宋体" w:hAnsi="宋体" w:cs="宋体" w:eastAsia="宋体" w:hint="default"/>
                <w:sz w:val="18"/>
                <w:szCs w:val="18"/>
              </w:rPr>
              <w:t>安全可控工控关键软硬件研发 及产业化</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1,269,900.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7,183,500.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5,580,561.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61</w:t>
            </w: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2,872,838.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中国科学院信息工程研究所</w:t>
            </w:r>
            <w:r>
              <w:rPr>
                <w:rFonts w:ascii="Times New Roman" w:hAnsi="Times New Roman" w:cs="Times New Roman" w:eastAsia="Times New Roman" w:hint="default"/>
                <w:sz w:val="18"/>
                <w:szCs w:val="18"/>
              </w:rPr>
              <w:t>-</w:t>
            </w:r>
            <w:r>
              <w:rPr>
                <w:rFonts w:ascii="宋体" w:hAnsi="宋体" w:cs="宋体" w:eastAsia="宋体" w:hint="default"/>
                <w:sz w:val="18"/>
                <w:szCs w:val="18"/>
              </w:rPr>
              <w:t>高 安全等级移动终端关键技术研 究</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3,628,300.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860,000.0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2,768,300.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年科技三项费补助</w:t>
            </w: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23" w:right="0"/>
              <w:jc w:val="left"/>
              <w:rPr>
                <w:rFonts w:ascii="Times New Roman" w:hAnsi="Times New Roman" w:cs="Times New Roman" w:eastAsia="Times New Roman" w:hint="default"/>
                <w:sz w:val="18"/>
                <w:szCs w:val="18"/>
              </w:rPr>
            </w:pPr>
            <w:r>
              <w:rPr>
                <w:rFonts w:ascii="Times New Roman"/>
                <w:sz w:val="18"/>
              </w:rPr>
              <w:t>162.90</w:t>
            </w: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2,599,837.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9"/>
              <w:jc w:val="left"/>
              <w:rPr>
                <w:rFonts w:ascii="宋体" w:hAnsi="宋体" w:cs="宋体" w:eastAsia="宋体" w:hint="default"/>
                <w:sz w:val="18"/>
                <w:szCs w:val="18"/>
              </w:rPr>
            </w:pPr>
            <w:r>
              <w:rPr>
                <w:rFonts w:ascii="宋体" w:hAnsi="宋体" w:cs="宋体" w:eastAsia="宋体" w:hint="default"/>
                <w:sz w:val="18"/>
                <w:szCs w:val="18"/>
              </w:rPr>
              <w:t>安全支付管理与监管关键技术 研究与系统实现</w:t>
            </w: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3,589,300.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1,563,023.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30</w:t>
            </w: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2,026,276.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8"/>
              <w:jc w:val="left"/>
              <w:rPr>
                <w:rFonts w:ascii="宋体" w:hAnsi="宋体" w:cs="宋体" w:eastAsia="宋体" w:hint="default"/>
                <w:sz w:val="18"/>
                <w:szCs w:val="18"/>
              </w:rPr>
            </w:pPr>
            <w:r>
              <w:rPr>
                <w:rFonts w:ascii="宋体" w:hAnsi="宋体" w:cs="宋体" w:eastAsia="宋体" w:hint="default"/>
                <w:sz w:val="18"/>
                <w:szCs w:val="18"/>
              </w:rPr>
              <w:t>云密码设备技术研究与产品开 发</w:t>
            </w: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安全芯片创新研制应用平台</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37"/>
              <w:jc w:val="left"/>
              <w:rPr>
                <w:rFonts w:ascii="宋体" w:hAnsi="宋体" w:cs="宋体" w:eastAsia="宋体" w:hint="default"/>
                <w:sz w:val="18"/>
                <w:szCs w:val="18"/>
              </w:rPr>
            </w:pPr>
            <w:r>
              <w:rPr>
                <w:rFonts w:ascii="宋体" w:hAnsi="宋体" w:cs="宋体" w:eastAsia="宋体" w:hint="default"/>
                <w:sz w:val="18"/>
                <w:szCs w:val="18"/>
              </w:rPr>
              <w:t>可重构安全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SoC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系列芯片的研 发及产业化</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8"/>
              <w:jc w:val="left"/>
              <w:rPr>
                <w:rFonts w:ascii="宋体" w:hAnsi="宋体" w:cs="宋体" w:eastAsia="宋体" w:hint="default"/>
                <w:sz w:val="18"/>
                <w:szCs w:val="18"/>
              </w:rPr>
            </w:pPr>
            <w:r>
              <w:rPr>
                <w:rFonts w:ascii="宋体" w:hAnsi="宋体" w:cs="宋体" w:eastAsia="宋体" w:hint="default"/>
                <w:sz w:val="18"/>
                <w:szCs w:val="18"/>
              </w:rPr>
              <w:t>四川省安全密码芯片工程实验 室</w:t>
            </w: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8"/>
              <w:jc w:val="left"/>
              <w:rPr>
                <w:rFonts w:ascii="宋体" w:hAnsi="宋体" w:cs="宋体" w:eastAsia="宋体" w:hint="default"/>
                <w:sz w:val="18"/>
                <w:szCs w:val="18"/>
              </w:rPr>
            </w:pPr>
            <w:r>
              <w:rPr>
                <w:rFonts w:ascii="宋体" w:hAnsi="宋体" w:cs="宋体" w:eastAsia="宋体" w:hint="default"/>
                <w:sz w:val="18"/>
                <w:szCs w:val="18"/>
              </w:rPr>
              <w:t>基于移动终端应用的低功耗安 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SoC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芯片</w:t>
            </w: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08"/>
              <w:jc w:val="left"/>
              <w:rPr>
                <w:rFonts w:ascii="宋体" w:hAnsi="宋体" w:cs="宋体" w:eastAsia="宋体" w:hint="default"/>
                <w:sz w:val="18"/>
                <w:szCs w:val="18"/>
              </w:rPr>
            </w:pPr>
            <w:r>
              <w:rPr>
                <w:rFonts w:ascii="宋体" w:hAnsi="宋体" w:cs="宋体" w:eastAsia="宋体" w:hint="default"/>
                <w:sz w:val="18"/>
                <w:szCs w:val="18"/>
              </w:rPr>
              <w:t>基于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OFDM</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的电力载波通信芯 片研发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8"/>
              <w:jc w:val="left"/>
              <w:rPr>
                <w:rFonts w:ascii="宋体" w:hAnsi="宋体" w:cs="宋体" w:eastAsia="宋体" w:hint="default"/>
                <w:sz w:val="18"/>
                <w:szCs w:val="18"/>
              </w:rPr>
            </w:pPr>
            <w:r>
              <w:rPr>
                <w:rFonts w:ascii="宋体" w:hAnsi="宋体" w:cs="宋体" w:eastAsia="宋体" w:hint="default"/>
                <w:sz w:val="18"/>
                <w:szCs w:val="18"/>
              </w:rPr>
              <w:t>新一代智能安全芯片的研发及 产业化</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1,436,400.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1,436,400.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应用于保密手机的低功耗</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MicroSD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安全芯片研究</w:t>
            </w: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37"/>
              <w:jc w:val="left"/>
              <w:rPr>
                <w:rFonts w:ascii="宋体" w:hAnsi="宋体" w:cs="宋体" w:eastAsia="宋体" w:hint="default"/>
                <w:sz w:val="18"/>
                <w:szCs w:val="18"/>
              </w:rPr>
            </w:pPr>
            <w:r>
              <w:rPr>
                <w:rFonts w:ascii="宋体" w:hAnsi="宋体" w:cs="宋体" w:eastAsia="宋体" w:hint="default"/>
                <w:sz w:val="18"/>
                <w:szCs w:val="18"/>
              </w:rPr>
              <w:t>可编程安全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SoC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芯片的研发及 产业化</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8"/>
              <w:jc w:val="both"/>
              <w:rPr>
                <w:rFonts w:ascii="宋体" w:hAnsi="宋体" w:cs="宋体" w:eastAsia="宋体" w:hint="default"/>
                <w:sz w:val="18"/>
                <w:szCs w:val="18"/>
              </w:rPr>
            </w:pPr>
            <w:r>
              <w:rPr>
                <w:rFonts w:ascii="宋体" w:hAnsi="宋体" w:cs="宋体" w:eastAsia="宋体" w:hint="default"/>
                <w:sz w:val="18"/>
                <w:szCs w:val="18"/>
              </w:rPr>
              <w:t>基于国产密码的安全电子支付 应用与支撑技术研究及系统实 现</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2,501,939.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79</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1,099,600.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2,501,925.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29</w:t>
            </w: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1,099,614.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8"/>
              <w:jc w:val="left"/>
              <w:rPr>
                <w:rFonts w:ascii="宋体" w:hAnsi="宋体" w:cs="宋体" w:eastAsia="宋体" w:hint="default"/>
                <w:sz w:val="18"/>
                <w:szCs w:val="18"/>
              </w:rPr>
            </w:pPr>
            <w:r>
              <w:rPr>
                <w:rFonts w:ascii="宋体" w:hAnsi="宋体" w:cs="宋体" w:eastAsia="宋体" w:hint="default"/>
                <w:sz w:val="18"/>
                <w:szCs w:val="18"/>
              </w:rPr>
              <w:t>基于密码的第五代移动通信终 端及管控系统研发及产业化</w:t>
            </w: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应用于移动智能终端的安全</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SoC</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97" w:right="0"/>
              <w:jc w:val="left"/>
              <w:rPr>
                <w:rFonts w:ascii="Times New Roman" w:hAnsi="Times New Roman" w:cs="Times New Roman" w:eastAsia="Times New Roman" w:hint="default"/>
                <w:sz w:val="18"/>
                <w:szCs w:val="18"/>
              </w:rPr>
            </w:pPr>
            <w:r>
              <w:rPr>
                <w:rFonts w:ascii="Times New Roman"/>
                <w:sz w:val="18"/>
              </w:rPr>
              <w:t>500,000.0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98" w:right="0"/>
              <w:jc w:val="left"/>
              <w:rPr>
                <w:rFonts w:ascii="Times New Roman" w:hAnsi="Times New Roman" w:cs="Times New Roman" w:eastAsia="Times New Roman" w:hint="default"/>
                <w:sz w:val="18"/>
                <w:szCs w:val="18"/>
              </w:rPr>
            </w:pPr>
            <w:r>
              <w:rPr>
                <w:rFonts w:ascii="Times New Roman"/>
                <w:sz w:val="18"/>
              </w:rPr>
              <w:t>500,000.0</w:t>
            </w: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53" w:right="0"/>
              <w:jc w:val="left"/>
              <w:rPr>
                <w:rFonts w:ascii="Times New Roman" w:hAnsi="Times New Roman" w:cs="Times New Roman" w:eastAsia="Times New Roman" w:hint="default"/>
                <w:sz w:val="18"/>
                <w:szCs w:val="18"/>
              </w:rPr>
            </w:pPr>
            <w:r>
              <w:rPr>
                <w:rFonts w:ascii="Times New Roman"/>
                <w:sz w:val="18"/>
              </w:rPr>
              <w:t>1,000,000.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553"/>
        <w:gridCol w:w="850"/>
        <w:gridCol w:w="851"/>
        <w:gridCol w:w="851"/>
        <w:gridCol w:w="851"/>
        <w:gridCol w:w="850"/>
        <w:gridCol w:w="851"/>
        <w:gridCol w:w="851"/>
        <w:gridCol w:w="1063"/>
      </w:tblGrid>
      <w:tr>
        <w:trPr>
          <w:trHeight w:val="36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芯片</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00</w:t>
            </w: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安全无线路由逆向光通信</w:t>
            </w: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5G</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安全总体架构研究与标准化</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4,393,300.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2,944,500.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41</w:t>
            </w: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526,300.0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922,499.5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8"/>
              <w:jc w:val="left"/>
              <w:rPr>
                <w:rFonts w:ascii="宋体" w:hAnsi="宋体" w:cs="宋体" w:eastAsia="宋体" w:hint="default"/>
                <w:sz w:val="18"/>
                <w:szCs w:val="18"/>
              </w:rPr>
            </w:pPr>
            <w:r>
              <w:rPr>
                <w:rFonts w:ascii="宋体" w:hAnsi="宋体" w:cs="宋体" w:eastAsia="宋体" w:hint="default"/>
                <w:sz w:val="18"/>
                <w:szCs w:val="18"/>
              </w:rPr>
              <w:t>网络空间多源异构环境下信任 服务基础平台研发及产业化</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2,063,581.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39</w:t>
            </w: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2,055,592.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61</w:t>
            </w: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7,988.78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8"/>
              <w:jc w:val="left"/>
              <w:rPr>
                <w:rFonts w:ascii="宋体" w:hAnsi="宋体" w:cs="宋体" w:eastAsia="宋体" w:hint="default"/>
                <w:sz w:val="18"/>
                <w:szCs w:val="18"/>
              </w:rPr>
            </w:pPr>
            <w:r>
              <w:rPr>
                <w:rFonts w:ascii="宋体" w:hAnsi="宋体" w:cs="宋体" w:eastAsia="宋体" w:hint="default"/>
                <w:sz w:val="18"/>
                <w:szCs w:val="18"/>
              </w:rPr>
              <w:t>四川省移动终端安全保密技术 工程实验室项目</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成都高新区经贸发展局拨款 </w:t>
            </w:r>
            <w:r>
              <w:rPr>
                <w:rFonts w:ascii="Times New Roman" w:hAnsi="Times New Roman" w:cs="Times New Roman" w:eastAsia="Times New Roman" w:hint="default"/>
                <w:sz w:val="18"/>
                <w:szCs w:val="18"/>
              </w:rPr>
              <w:t>-</w:t>
            </w:r>
            <w:r>
              <w:rPr>
                <w:rFonts w:ascii="宋体" w:hAnsi="宋体" w:cs="宋体" w:eastAsia="宋体" w:hint="default"/>
                <w:sz w:val="18"/>
                <w:szCs w:val="18"/>
              </w:rPr>
              <w:t>推 进</w:t>
            </w:r>
            <w:r>
              <w:rPr>
                <w:rFonts w:ascii="Times New Roman" w:hAnsi="Times New Roman" w:cs="Times New Roman" w:eastAsia="Times New Roman" w:hint="default"/>
                <w:sz w:val="18"/>
                <w:szCs w:val="18"/>
              </w:rPr>
              <w:t>“</w:t>
            </w:r>
            <w:r>
              <w:rPr>
                <w:rFonts w:ascii="宋体" w:hAnsi="宋体" w:cs="宋体" w:eastAsia="宋体" w:hint="default"/>
                <w:sz w:val="18"/>
                <w:szCs w:val="18"/>
              </w:rPr>
              <w:t>三次创业</w:t>
            </w:r>
            <w:r>
              <w:rPr>
                <w:rFonts w:ascii="Times New Roman" w:hAnsi="Times New Roman" w:cs="Times New Roman" w:eastAsia="Times New Roman" w:hint="default"/>
                <w:sz w:val="18"/>
                <w:szCs w:val="18"/>
              </w:rPr>
              <w:t>”</w:t>
            </w:r>
            <w:r>
              <w:rPr>
                <w:rFonts w:ascii="宋体" w:hAnsi="宋体" w:cs="宋体" w:eastAsia="宋体" w:hint="default"/>
                <w:sz w:val="18"/>
                <w:szCs w:val="18"/>
              </w:rPr>
              <w:t>支持战略新兴产 业企业加快发展专项</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年产业政策项目（国家认定</w:t>
            </w:r>
            <w:r>
              <w:rPr>
                <w:rFonts w:ascii="宋体" w:hAnsi="宋体" w:cs="宋体" w:eastAsia="宋体" w:hint="default"/>
                <w:sz w:val="18"/>
                <w:szCs w:val="18"/>
              </w:rPr>
              <w:t> 中心）</w:t>
            </w: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四川省升级财政支付中心</w:t>
            </w:r>
            <w:r>
              <w:rPr>
                <w:rFonts w:ascii="Times New Roman" w:hAnsi="Times New Roman" w:cs="Times New Roman" w:eastAsia="Times New Roman" w:hint="default"/>
                <w:sz w:val="18"/>
                <w:szCs w:val="18"/>
              </w:rPr>
              <w:t>-</w:t>
            </w:r>
            <w:r>
              <w:rPr>
                <w:rFonts w:ascii="宋体" w:hAnsi="宋体" w:cs="宋体" w:eastAsia="宋体" w:hint="default"/>
                <w:sz w:val="18"/>
                <w:szCs w:val="18"/>
              </w:rPr>
              <w:t>结合 资金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8"/>
              <w:jc w:val="both"/>
              <w:rPr>
                <w:rFonts w:ascii="宋体" w:hAnsi="宋体" w:cs="宋体" w:eastAsia="宋体" w:hint="default"/>
                <w:sz w:val="18"/>
                <w:szCs w:val="18"/>
              </w:rPr>
            </w:pPr>
            <w:r>
              <w:rPr>
                <w:rFonts w:ascii="宋体" w:hAnsi="宋体" w:cs="宋体" w:eastAsia="宋体" w:hint="default"/>
                <w:sz w:val="18"/>
                <w:szCs w:val="18"/>
              </w:rPr>
              <w:t>基于国产密码算法的移动互联 网密码服务支撑基础设施关键 技术</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3,375,000.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1,444,650.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1,569,050.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361,300.0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8"/>
              <w:jc w:val="left"/>
              <w:rPr>
                <w:rFonts w:ascii="宋体" w:hAnsi="宋体" w:cs="宋体" w:eastAsia="宋体" w:hint="default"/>
                <w:sz w:val="18"/>
                <w:szCs w:val="18"/>
              </w:rPr>
            </w:pPr>
            <w:r>
              <w:rPr>
                <w:rFonts w:ascii="宋体" w:hAnsi="宋体" w:cs="宋体" w:eastAsia="宋体" w:hint="default"/>
                <w:sz w:val="18"/>
                <w:szCs w:val="18"/>
              </w:rPr>
              <w:t>安全智能可穿戴设备系统及产 品研发</w:t>
            </w: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8"/>
              <w:jc w:val="left"/>
              <w:rPr>
                <w:rFonts w:ascii="宋体" w:hAnsi="宋体" w:cs="宋体" w:eastAsia="宋体" w:hint="default"/>
                <w:sz w:val="18"/>
                <w:szCs w:val="18"/>
              </w:rPr>
            </w:pPr>
            <w:r>
              <w:rPr>
                <w:rFonts w:ascii="宋体" w:hAnsi="宋体" w:cs="宋体" w:eastAsia="宋体" w:hint="default"/>
                <w:sz w:val="18"/>
                <w:szCs w:val="18"/>
              </w:rPr>
              <w:t>无线宽带安全移动通信专用系 统产业化</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1,049,455.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85</w:t>
            </w: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544.15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8"/>
              <w:jc w:val="left"/>
              <w:rPr>
                <w:rFonts w:ascii="宋体" w:hAnsi="宋体" w:cs="宋体" w:eastAsia="宋体" w:hint="default"/>
                <w:sz w:val="18"/>
                <w:szCs w:val="18"/>
              </w:rPr>
            </w:pPr>
            <w:r>
              <w:rPr>
                <w:rFonts w:ascii="宋体" w:hAnsi="宋体" w:cs="宋体" w:eastAsia="宋体" w:hint="default"/>
                <w:sz w:val="18"/>
                <w:szCs w:val="18"/>
              </w:rPr>
              <w:t>成都高新区电子信息产业发展 局</w:t>
            </w:r>
            <w:r>
              <w:rPr>
                <w:rFonts w:ascii="Times New Roman" w:hAnsi="Times New Roman" w:cs="Times New Roman" w:eastAsia="Times New Roman" w:hint="default"/>
                <w:sz w:val="18"/>
                <w:szCs w:val="18"/>
              </w:rPr>
              <w:t>-</w:t>
            </w:r>
            <w:r>
              <w:rPr>
                <w:rFonts w:ascii="宋体" w:hAnsi="宋体" w:cs="宋体" w:eastAsia="宋体" w:hint="default"/>
                <w:sz w:val="18"/>
                <w:szCs w:val="18"/>
              </w:rPr>
              <w:t>产业发展基金</w:t>
            </w: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1,024,000.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1,024,000.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88"/>
              <w:jc w:val="left"/>
              <w:rPr>
                <w:rFonts w:ascii="宋体" w:hAnsi="宋体" w:cs="宋体" w:eastAsia="宋体" w:hint="default"/>
                <w:sz w:val="18"/>
                <w:szCs w:val="18"/>
              </w:rPr>
            </w:pPr>
            <w:r>
              <w:rPr>
                <w:rFonts w:ascii="宋体" w:hAnsi="宋体" w:cs="宋体" w:eastAsia="宋体" w:hint="default"/>
                <w:sz w:val="18"/>
                <w:szCs w:val="18"/>
              </w:rPr>
              <w:t>新一代高安全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USBKEY</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核心芯 片研发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8"/>
              <w:jc w:val="left"/>
              <w:rPr>
                <w:rFonts w:ascii="宋体" w:hAnsi="宋体" w:cs="宋体" w:eastAsia="宋体" w:hint="default"/>
                <w:sz w:val="18"/>
                <w:szCs w:val="18"/>
              </w:rPr>
            </w:pPr>
            <w:r>
              <w:rPr>
                <w:rFonts w:ascii="宋体" w:hAnsi="宋体" w:cs="宋体" w:eastAsia="宋体" w:hint="default"/>
                <w:sz w:val="18"/>
                <w:szCs w:val="18"/>
              </w:rPr>
              <w:t>基于移动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VOIP</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和蓝牙技术的安 全通信系统</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7" w:right="0"/>
              <w:jc w:val="left"/>
              <w:rPr>
                <w:rFonts w:ascii="Times New Roman" w:hAnsi="Times New Roman" w:cs="Times New Roman" w:eastAsia="Times New Roman" w:hint="default"/>
                <w:sz w:val="18"/>
                <w:szCs w:val="18"/>
              </w:rPr>
            </w:pPr>
            <w:r>
              <w:rPr>
                <w:rFonts w:ascii="Times New Roman"/>
                <w:sz w:val="18"/>
              </w:rPr>
              <w:t>12,522,05</w:t>
            </w:r>
          </w:p>
          <w:p>
            <w:pPr>
              <w:pStyle w:val="TableParagraph"/>
              <w:spacing w:line="240" w:lineRule="auto" w:before="105"/>
              <w:ind w:left="502" w:right="0"/>
              <w:jc w:val="left"/>
              <w:rPr>
                <w:rFonts w:ascii="Times New Roman" w:hAnsi="Times New Roman" w:cs="Times New Roman" w:eastAsia="Times New Roman" w:hint="default"/>
                <w:sz w:val="18"/>
                <w:szCs w:val="18"/>
              </w:rPr>
            </w:pPr>
            <w:r>
              <w:rPr>
                <w:rFonts w:ascii="Times New Roman"/>
                <w:sz w:val="18"/>
              </w:rPr>
              <w:t>6.45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9,577,300.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5,311,640.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94</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5,835,513.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31</w:t>
            </w: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10,152,20</w:t>
            </w:r>
          </w:p>
          <w:p>
            <w:pPr>
              <w:pStyle w:val="TableParagraph"/>
              <w:spacing w:line="240" w:lineRule="auto" w:before="105"/>
              <w:ind w:left="503" w:right="0"/>
              <w:jc w:val="left"/>
              <w:rPr>
                <w:rFonts w:ascii="Times New Roman" w:hAnsi="Times New Roman" w:cs="Times New Roman" w:eastAsia="Times New Roman" w:hint="default"/>
                <w:sz w:val="18"/>
                <w:szCs w:val="18"/>
              </w:rPr>
            </w:pPr>
            <w:r>
              <w:rPr>
                <w:rFonts w:ascii="Times New Roman"/>
                <w:sz w:val="18"/>
              </w:rPr>
              <w:t>2.20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7" w:right="0"/>
              <w:jc w:val="left"/>
              <w:rPr>
                <w:rFonts w:ascii="Times New Roman" w:hAnsi="Times New Roman" w:cs="Times New Roman" w:eastAsia="Times New Roman" w:hint="default"/>
                <w:sz w:val="18"/>
                <w:szCs w:val="18"/>
              </w:rPr>
            </w:pPr>
            <w:r>
              <w:rPr>
                <w:rFonts w:ascii="Times New Roman"/>
                <w:sz w:val="18"/>
              </w:rPr>
              <w:t>56,590,47</w:t>
            </w:r>
          </w:p>
          <w:p>
            <w:pPr>
              <w:pStyle w:val="TableParagraph"/>
              <w:spacing w:line="240" w:lineRule="auto" w:before="105"/>
              <w:ind w:left="502" w:right="0"/>
              <w:jc w:val="left"/>
              <w:rPr>
                <w:rFonts w:ascii="Times New Roman" w:hAnsi="Times New Roman" w:cs="Times New Roman" w:eastAsia="Times New Roman" w:hint="default"/>
                <w:sz w:val="18"/>
                <w:szCs w:val="18"/>
              </w:rPr>
            </w:pPr>
            <w:r>
              <w:rPr>
                <w:rFonts w:ascii="Times New Roman"/>
                <w:sz w:val="18"/>
              </w:rPr>
              <w:t>7.63</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70,273,70</w:t>
            </w:r>
          </w:p>
          <w:p>
            <w:pPr>
              <w:pStyle w:val="TableParagraph"/>
              <w:spacing w:line="240" w:lineRule="auto" w:before="105"/>
              <w:ind w:left="504" w:right="0"/>
              <w:jc w:val="left"/>
              <w:rPr>
                <w:rFonts w:ascii="Times New Roman" w:hAnsi="Times New Roman" w:cs="Times New Roman" w:eastAsia="Times New Roman" w:hint="default"/>
                <w:sz w:val="18"/>
                <w:szCs w:val="18"/>
              </w:rPr>
            </w:pPr>
            <w:r>
              <w:rPr>
                <w:rFonts w:ascii="Times New Roman"/>
                <w:sz w:val="18"/>
              </w:rPr>
              <w:t>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7,311,640.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94</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39,398,82</w:t>
            </w:r>
          </w:p>
          <w:p>
            <w:pPr>
              <w:pStyle w:val="TableParagraph"/>
              <w:spacing w:line="240" w:lineRule="auto" w:before="105"/>
              <w:ind w:left="503" w:right="0"/>
              <w:jc w:val="left"/>
              <w:rPr>
                <w:rFonts w:ascii="Times New Roman" w:hAnsi="Times New Roman" w:cs="Times New Roman" w:eastAsia="Times New Roman" w:hint="default"/>
                <w:sz w:val="18"/>
                <w:szCs w:val="18"/>
              </w:rPr>
            </w:pPr>
            <w:r>
              <w:rPr>
                <w:rFonts w:ascii="Times New Roman"/>
                <w:sz w:val="18"/>
              </w:rPr>
              <w:t>6.47</w:t>
            </w: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3,755,350.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76,398,36</w:t>
            </w:r>
          </w:p>
          <w:p>
            <w:pPr>
              <w:pStyle w:val="TableParagraph"/>
              <w:spacing w:line="240" w:lineRule="auto" w:before="105"/>
              <w:ind w:left="503" w:right="0"/>
              <w:jc w:val="left"/>
              <w:rPr>
                <w:rFonts w:ascii="Times New Roman" w:hAnsi="Times New Roman" w:cs="Times New Roman" w:eastAsia="Times New Roman" w:hint="default"/>
                <w:sz w:val="18"/>
                <w:szCs w:val="18"/>
              </w:rPr>
            </w:pPr>
            <w:r>
              <w:rPr>
                <w:rFonts w:ascii="Times New Roman"/>
                <w:sz w:val="18"/>
              </w:rPr>
              <w:t>0.22</w:t>
            </w:r>
          </w:p>
        </w:tc>
        <w:tc>
          <w:tcPr>
            <w:tcW w:w="106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1022"/>
        <w:jc w:val="left"/>
        <w:rPr>
          <w:b w:val="0"/>
          <w:bCs w:val="0"/>
        </w:rPr>
      </w:pPr>
      <w:bookmarkStart w:name="25、股本" w:id="274"/>
      <w:bookmarkEnd w:id="274"/>
      <w:r>
        <w:rPr>
          <w:b w:val="0"/>
          <w:bCs w:val="0"/>
        </w:rPr>
      </w:r>
      <w:r>
        <w:rPr>
          <w:rFonts w:ascii="Times New Roman" w:hAnsi="Times New Roman" w:cs="Times New Roman" w:eastAsia="Times New Roman" w:hint="default"/>
        </w:rPr>
        <w:t>25</w:t>
      </w:r>
      <w:r>
        <w:rPr/>
        <w:t>、股本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6"/>
        <w:gridCol w:w="1196"/>
        <w:gridCol w:w="1196"/>
        <w:gridCol w:w="1197"/>
        <w:gridCol w:w="1195"/>
        <w:gridCol w:w="1197"/>
        <w:gridCol w:w="1196"/>
        <w:gridCol w:w="1195"/>
      </w:tblGrid>
      <w:tr>
        <w:trPr>
          <w:trHeight w:val="402" w:hRule="exact"/>
        </w:trPr>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8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3"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1195"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184"/>
        <w:gridCol w:w="1208"/>
        <w:gridCol w:w="1196"/>
        <w:gridCol w:w="1197"/>
        <w:gridCol w:w="1195"/>
        <w:gridCol w:w="1197"/>
        <w:gridCol w:w="1196"/>
        <w:gridCol w:w="1195"/>
      </w:tblGrid>
      <w:tr>
        <w:trPr>
          <w:trHeight w:val="402"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838,336,028.00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838,336,028.00</w:t>
            </w:r>
          </w:p>
        </w:tc>
      </w:tr>
    </w:tbl>
    <w:p>
      <w:pPr>
        <w:spacing w:line="240" w:lineRule="auto" w:before="2"/>
        <w:rPr>
          <w:rFonts w:ascii="宋体" w:hAnsi="宋体" w:cs="宋体" w:eastAsia="宋体" w:hint="default"/>
          <w:sz w:val="19"/>
          <w:szCs w:val="19"/>
        </w:rPr>
      </w:pPr>
    </w:p>
    <w:p>
      <w:pPr>
        <w:pStyle w:val="Heading3"/>
        <w:spacing w:line="240" w:lineRule="auto" w:before="35"/>
        <w:ind w:right="1022"/>
        <w:jc w:val="left"/>
        <w:rPr>
          <w:b w:val="0"/>
          <w:bCs w:val="0"/>
        </w:rPr>
      </w:pPr>
      <w:bookmarkStart w:name="26、资本公积" w:id="275"/>
      <w:bookmarkEnd w:id="275"/>
      <w:r>
        <w:rPr>
          <w:b w:val="0"/>
          <w:bCs w:val="0"/>
        </w:rPr>
      </w:r>
      <w:r>
        <w:rPr>
          <w:rFonts w:ascii="Times New Roman" w:hAnsi="Times New Roman" w:cs="Times New Roman" w:eastAsia="Times New Roman" w:hint="default"/>
        </w:rPr>
        <w:t>26</w:t>
      </w:r>
      <w:r>
        <w:rPr/>
        <w:t>、资本公积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2,543,349,217.45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2,543,349,217.45</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14,999,091.50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32,811,879.52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47,810,971.02</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2,558,348,308.95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32,811,879.52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2,591,160,188.47</w:t>
            </w:r>
          </w:p>
        </w:tc>
      </w:tr>
    </w:tbl>
    <w:p>
      <w:pPr>
        <w:pStyle w:val="BodyText"/>
        <w:spacing w:line="240" w:lineRule="auto" w:before="51"/>
        <w:ind w:right="1022"/>
        <w:jc w:val="left"/>
      </w:pPr>
      <w:r>
        <w:rPr/>
        <w:t>其他说明，包括本期增减变动情况、变动原因说明：</w:t>
      </w:r>
    </w:p>
    <w:p>
      <w:pPr>
        <w:pStyle w:val="Heading4"/>
        <w:spacing w:line="256" w:lineRule="auto" w:before="90"/>
        <w:ind w:right="1130" w:firstLine="420"/>
        <w:jc w:val="both"/>
      </w:pPr>
      <w:r>
        <w:rPr/>
        <w:t>本公司于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w:t>
      </w:r>
      <w:r>
        <w:rPr/>
        <w:t>日向四川卫士通信息安全平台技术有限公司（以下简称</w:t>
      </w:r>
      <w:r>
        <w:rPr>
          <w:rFonts w:ascii="Times New Roman" w:hAnsi="Times New Roman" w:cs="Times New Roman" w:eastAsia="Times New Roman" w:hint="default"/>
        </w:rPr>
        <w:t>“</w:t>
      </w:r>
      <w:r>
        <w:rPr/>
        <w:t>四川卫士通</w:t>
      </w:r>
      <w:r>
        <w:rPr>
          <w:rFonts w:ascii="Times New Roman" w:hAnsi="Times New Roman" w:cs="Times New Roman" w:eastAsia="Times New Roman" w:hint="default"/>
        </w:rPr>
        <w:t>”</w:t>
      </w:r>
      <w:r>
        <w:rPr/>
        <w:t>）周崇智、 喻斌和任利民等少数股东以</w:t>
      </w:r>
      <w:r>
        <w:rPr>
          <w:rFonts w:ascii="Times New Roman" w:hAnsi="Times New Roman" w:cs="Times New Roman" w:eastAsia="Times New Roman" w:hint="default"/>
        </w:rPr>
        <w:t>7.35</w:t>
      </w:r>
      <w:r>
        <w:rPr/>
        <w:t>元</w:t>
      </w:r>
      <w:r>
        <w:rPr>
          <w:rFonts w:ascii="Times New Roman" w:hAnsi="Times New Roman" w:cs="Times New Roman" w:eastAsia="Times New Roman" w:hint="default"/>
        </w:rPr>
        <w:t>/</w:t>
      </w:r>
      <w:r>
        <w:rPr/>
        <w:t>股的价格购买子公司四川卫士通</w:t>
      </w:r>
      <w:r>
        <w:rPr>
          <w:rFonts w:ascii="Times New Roman" w:hAnsi="Times New Roman" w:cs="Times New Roman" w:eastAsia="Times New Roman" w:hint="default"/>
        </w:rPr>
        <w:t>21.34%</w:t>
      </w:r>
      <w:r>
        <w:rPr/>
        <w:t>的股权（</w:t>
      </w:r>
      <w:r>
        <w:rPr>
          <w:rFonts w:ascii="Times New Roman" w:hAnsi="Times New Roman" w:cs="Times New Roman" w:eastAsia="Times New Roman" w:hint="default"/>
        </w:rPr>
        <w:t>213.37</w:t>
      </w:r>
      <w:r>
        <w:rPr/>
        <w:t>万股）。本次交</w:t>
      </w:r>
      <w:r>
        <w:rPr>
          <w:spacing w:val="-102"/>
        </w:rPr>
        <w:t> </w:t>
      </w:r>
      <w:r>
        <w:rPr>
          <w:spacing w:val="-102"/>
        </w:rPr>
      </w:r>
      <w:r>
        <w:rPr/>
        <w:t>易完成后，本公司持有四川卫士通</w:t>
      </w:r>
      <w:r>
        <w:rPr>
          <w:rFonts w:ascii="Times New Roman" w:hAnsi="Times New Roman" w:cs="Times New Roman" w:eastAsia="Times New Roman" w:hint="default"/>
        </w:rPr>
        <w:t>100.00%</w:t>
      </w:r>
      <w:r>
        <w:rPr/>
        <w:t>的股权。购买成本与交易日取得的按新取得的股权比例计算确</w:t>
      </w:r>
      <w:r>
        <w:rPr>
          <w:spacing w:val="-50"/>
        </w:rPr>
        <w:t> </w:t>
      </w:r>
      <w:r>
        <w:rPr>
          <w:spacing w:val="-50"/>
        </w:rPr>
      </w:r>
      <w:r>
        <w:rPr/>
        <w:t>定应享有子公司自交易日开始持续计算的可辨认净资产份额的差额调增资本公积</w:t>
      </w:r>
      <w:r>
        <w:rPr>
          <w:rFonts w:ascii="Times New Roman" w:hAnsi="Times New Roman" w:cs="Times New Roman" w:eastAsia="Times New Roman" w:hint="default"/>
        </w:rPr>
        <w:t>32,811,879.52</w:t>
      </w:r>
      <w:r>
        <w:rPr/>
        <w:t>元。</w:t>
      </w:r>
    </w:p>
    <w:p>
      <w:pPr>
        <w:spacing w:line="240" w:lineRule="auto" w:before="5"/>
        <w:rPr>
          <w:rFonts w:ascii="宋体" w:hAnsi="宋体" w:cs="宋体" w:eastAsia="宋体" w:hint="default"/>
          <w:sz w:val="23"/>
          <w:szCs w:val="23"/>
        </w:rPr>
      </w:pPr>
    </w:p>
    <w:p>
      <w:pPr>
        <w:pStyle w:val="Heading3"/>
        <w:spacing w:line="240" w:lineRule="auto"/>
        <w:ind w:right="1022"/>
        <w:jc w:val="left"/>
        <w:rPr>
          <w:b w:val="0"/>
          <w:bCs w:val="0"/>
        </w:rPr>
      </w:pPr>
      <w:bookmarkStart w:name="27、盈余公积" w:id="276"/>
      <w:bookmarkEnd w:id="276"/>
      <w:r>
        <w:rPr>
          <w:b w:val="0"/>
          <w:bCs w:val="0"/>
        </w:rPr>
      </w:r>
      <w:r>
        <w:rPr>
          <w:rFonts w:ascii="Times New Roman" w:hAnsi="Times New Roman" w:cs="Times New Roman" w:eastAsia="Times New Roman" w:hint="default"/>
        </w:rPr>
        <w:t>27</w:t>
      </w:r>
      <w:r>
        <w:rPr/>
        <w:t>、盈余公积</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51,093,934.97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2,834,026.72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53,927,961.69</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51,093,934.97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2,834,026.72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53,927,961.69</w:t>
            </w:r>
          </w:p>
        </w:tc>
      </w:tr>
    </w:tbl>
    <w:p>
      <w:pPr>
        <w:pStyle w:val="BodyText"/>
        <w:spacing w:line="240" w:lineRule="auto" w:before="51"/>
        <w:ind w:right="1022"/>
        <w:jc w:val="left"/>
      </w:pPr>
      <w:r>
        <w:rPr/>
        <w:t>盈余公积说明，包括本期增减变动情况、变动原因说明：</w:t>
      </w:r>
    </w:p>
    <w:p>
      <w:pPr>
        <w:pStyle w:val="Heading4"/>
        <w:spacing w:line="240" w:lineRule="auto" w:before="90"/>
        <w:ind w:left="574" w:right="1022"/>
        <w:jc w:val="left"/>
      </w:pPr>
      <w:r>
        <w:rPr/>
        <w:t>本期增加为按照本年实现净利润的</w:t>
      </w:r>
      <w:r>
        <w:rPr>
          <w:rFonts w:ascii="Times New Roman" w:hAnsi="Times New Roman" w:cs="Times New Roman" w:eastAsia="Times New Roman" w:hint="default"/>
        </w:rPr>
        <w:t>10%</w:t>
      </w:r>
      <w:r>
        <w:rPr/>
        <w:t>提取法定盈余公积</w:t>
      </w:r>
      <w:r>
        <w:rPr>
          <w:rFonts w:ascii="Times New Roman" w:hAnsi="Times New Roman" w:cs="Times New Roman" w:eastAsia="Times New Roman" w:hint="default"/>
        </w:rPr>
        <w:t>2,834,026.72</w:t>
      </w:r>
      <w:r>
        <w:rPr/>
        <w:t>元。</w:t>
      </w:r>
    </w:p>
    <w:p>
      <w:pPr>
        <w:spacing w:line="240" w:lineRule="auto" w:before="8"/>
        <w:rPr>
          <w:rFonts w:ascii="宋体" w:hAnsi="宋体" w:cs="宋体" w:eastAsia="宋体" w:hint="default"/>
          <w:sz w:val="24"/>
          <w:szCs w:val="24"/>
        </w:rPr>
      </w:pPr>
    </w:p>
    <w:p>
      <w:pPr>
        <w:pStyle w:val="Heading3"/>
        <w:spacing w:line="240" w:lineRule="auto"/>
        <w:ind w:right="1022"/>
        <w:jc w:val="left"/>
        <w:rPr>
          <w:b w:val="0"/>
          <w:bCs w:val="0"/>
        </w:rPr>
      </w:pPr>
      <w:bookmarkStart w:name="28、未分配利润" w:id="277"/>
      <w:bookmarkEnd w:id="277"/>
      <w:r>
        <w:rPr>
          <w:b w:val="0"/>
          <w:bCs w:val="0"/>
        </w:rPr>
      </w:r>
      <w:r>
        <w:rPr>
          <w:rFonts w:ascii="Times New Roman" w:hAnsi="Times New Roman" w:cs="Times New Roman" w:eastAsia="Times New Roman" w:hint="default"/>
        </w:rPr>
        <w:t>28</w:t>
      </w:r>
      <w:r>
        <w:rPr/>
        <w:t>、未分配利润</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714"/>
        <w:gridCol w:w="2936"/>
        <w:gridCol w:w="2919"/>
      </w:tblGrid>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848,007,653.42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708,290,044.16</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848,007,653.42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708,290,044.16</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120,204,513.73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169,054,901.59</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2,834,026.72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3,139,291.43</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41,916,801.40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26,198,000.90</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923,461,339.03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848,007,653.42</w:t>
            </w:r>
          </w:p>
        </w:tc>
      </w:tr>
    </w:tbl>
    <w:p>
      <w:pPr>
        <w:pStyle w:val="BodyText"/>
        <w:spacing w:line="240" w:lineRule="auto" w:before="51"/>
        <w:ind w:right="1022"/>
        <w:jc w:val="left"/>
      </w:pPr>
      <w:r>
        <w:rPr/>
        <w:t>调整期初未分配利润明细：</w:t>
      </w:r>
    </w:p>
    <w:p>
      <w:pPr>
        <w:pStyle w:val="BodyText"/>
        <w:spacing w:line="240" w:lineRule="auto" w:before="117"/>
        <w:ind w:right="1022"/>
        <w:jc w:val="left"/>
      </w:pPr>
      <w:r>
        <w:rPr>
          <w:rFonts w:ascii="Times New Roman" w:hAnsi="Times New Roman" w:cs="Times New Roman" w:eastAsia="Times New Roman" w:hint="default"/>
        </w:rPr>
        <w:t>1)</w:t>
      </w:r>
      <w:r>
        <w:rPr/>
        <w:t>、由于《企业会计准则》及其相关新规定进行追溯调整，影响期初未分配利润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240" w:lineRule="auto" w:before="102"/>
        <w:ind w:right="1022"/>
        <w:jc w:val="left"/>
      </w:pPr>
      <w:r>
        <w:rPr>
          <w:rFonts w:ascii="Times New Roman" w:hAnsi="Times New Roman" w:cs="Times New Roman" w:eastAsia="Times New Roman" w:hint="default"/>
        </w:rPr>
        <w:t>2)</w:t>
      </w:r>
      <w:r>
        <w:rPr/>
        <w:t>、由于会计政策变更，影响期初未分配利润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2"/>
        <w:ind w:right="1022"/>
        <w:jc w:val="left"/>
      </w:pPr>
      <w:r>
        <w:rPr>
          <w:rFonts w:ascii="Times New Roman" w:hAnsi="Times New Roman" w:cs="Times New Roman" w:eastAsia="Times New Roman" w:hint="default"/>
        </w:rPr>
        <w:t>3)</w:t>
      </w:r>
      <w:r>
        <w:rPr/>
        <w:t>、由于重大会计差错更正，影响期初未分配利润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right="1022"/>
        <w:jc w:val="left"/>
      </w:pPr>
      <w:r>
        <w:rPr>
          <w:rFonts w:ascii="Times New Roman" w:hAnsi="Times New Roman" w:cs="Times New Roman" w:eastAsia="Times New Roman" w:hint="default"/>
        </w:rPr>
        <w:t>4)</w:t>
      </w:r>
      <w:r>
        <w:rPr/>
        <w:t>、由于同一控制导致的合并范围变更，影响期初未分配利润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1022"/>
        <w:jc w:val="left"/>
      </w:pPr>
      <w:r>
        <w:rPr>
          <w:rFonts w:ascii="Times New Roman" w:hAnsi="Times New Roman" w:cs="Times New Roman" w:eastAsia="Times New Roman" w:hint="default"/>
        </w:rPr>
        <w:t>5)</w:t>
      </w:r>
      <w:r>
        <w:rPr/>
        <w:t>、其他调整合计影响期初未分配利润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9"/>
        <w:rPr>
          <w:rFonts w:ascii="宋体" w:hAnsi="宋体" w:cs="宋体" w:eastAsia="宋体" w:hint="default"/>
          <w:sz w:val="25"/>
          <w:szCs w:val="25"/>
        </w:rPr>
      </w:pPr>
    </w:p>
    <w:p>
      <w:pPr>
        <w:pStyle w:val="Heading3"/>
        <w:spacing w:line="240" w:lineRule="auto"/>
        <w:ind w:right="1022"/>
        <w:jc w:val="left"/>
        <w:rPr>
          <w:b w:val="0"/>
          <w:bCs w:val="0"/>
        </w:rPr>
      </w:pPr>
      <w:bookmarkStart w:name="29、营业收入和营业成本" w:id="278"/>
      <w:bookmarkEnd w:id="278"/>
      <w:r>
        <w:rPr>
          <w:b w:val="0"/>
          <w:bCs w:val="0"/>
        </w:rPr>
      </w:r>
      <w:r>
        <w:rPr>
          <w:rFonts w:ascii="Times New Roman" w:hAnsi="Times New Roman" w:cs="Times New Roman" w:eastAsia="Times New Roman" w:hint="default"/>
        </w:rPr>
        <w:t>29</w:t>
      </w:r>
      <w:r>
        <w:rPr/>
        <w:t>、营业收入和营业成本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01"/>
        <w:gridCol w:w="1917"/>
        <w:gridCol w:w="1914"/>
        <w:gridCol w:w="1914"/>
        <w:gridCol w:w="1914"/>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6"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5"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1,929,880,173.48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1,254,943,283.94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2,132,027,837.29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1,382,002,241.70</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1,118,207.25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4,905,529.39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677,983.56</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1,930,998,380.73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1,254,943,283.94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2,136,933,366.68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1,382,680,225.26</w:t>
            </w:r>
          </w:p>
        </w:tc>
      </w:tr>
    </w:tbl>
    <w:p>
      <w:pPr>
        <w:spacing w:line="240" w:lineRule="auto" w:before="2"/>
        <w:rPr>
          <w:rFonts w:ascii="宋体" w:hAnsi="宋体" w:cs="宋体" w:eastAsia="宋体" w:hint="default"/>
          <w:sz w:val="19"/>
          <w:szCs w:val="19"/>
        </w:rPr>
      </w:pPr>
    </w:p>
    <w:p>
      <w:pPr>
        <w:pStyle w:val="Heading3"/>
        <w:spacing w:line="240" w:lineRule="auto" w:before="35"/>
        <w:ind w:right="1022"/>
        <w:jc w:val="left"/>
        <w:rPr>
          <w:b w:val="0"/>
          <w:bCs w:val="0"/>
        </w:rPr>
      </w:pPr>
      <w:bookmarkStart w:name="30、税金及附加" w:id="279"/>
      <w:bookmarkEnd w:id="279"/>
      <w:r>
        <w:rPr>
          <w:b w:val="0"/>
          <w:bCs w:val="0"/>
        </w:rPr>
      </w:r>
      <w:r>
        <w:rPr>
          <w:rFonts w:ascii="Times New Roman" w:hAnsi="Times New Roman" w:cs="Times New Roman" w:eastAsia="Times New Roman" w:hint="default"/>
        </w:rPr>
        <w:t>30</w:t>
      </w:r>
      <w:r>
        <w:rPr/>
        <w:t>、税金及附加</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5,426,541.08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8,005,039.30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3,886,299.53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5,771,113.28</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2,257,179.02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2,257,279.02</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34,816.76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34,732.57</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车船使用税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17,890.00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15,700.00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2,580,569.89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4,197,310.59</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984.54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27,199.70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14,204,280.82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20,308,374.46</w:t>
            </w:r>
          </w:p>
        </w:tc>
      </w:tr>
    </w:tbl>
    <w:p>
      <w:pPr>
        <w:pStyle w:val="BodyText"/>
        <w:spacing w:line="357" w:lineRule="auto" w:before="51"/>
        <w:ind w:right="8592"/>
        <w:jc w:val="left"/>
      </w:pPr>
      <w:r>
        <w:rPr/>
        <w:t>其他说明： 其他系防洪工程维护费等。</w:t>
      </w:r>
    </w:p>
    <w:p>
      <w:pPr>
        <w:spacing w:line="240" w:lineRule="auto" w:before="2"/>
        <w:rPr>
          <w:rFonts w:ascii="宋体" w:hAnsi="宋体" w:cs="宋体" w:eastAsia="宋体" w:hint="default"/>
          <w:sz w:val="20"/>
          <w:szCs w:val="20"/>
        </w:rPr>
      </w:pPr>
    </w:p>
    <w:p>
      <w:pPr>
        <w:pStyle w:val="Heading3"/>
        <w:spacing w:line="240" w:lineRule="auto"/>
        <w:ind w:right="1022"/>
        <w:jc w:val="left"/>
        <w:rPr>
          <w:b w:val="0"/>
          <w:bCs w:val="0"/>
        </w:rPr>
      </w:pPr>
      <w:bookmarkStart w:name="31、销售费用" w:id="280"/>
      <w:bookmarkEnd w:id="280"/>
      <w:r>
        <w:rPr>
          <w:b w:val="0"/>
          <w:bCs w:val="0"/>
        </w:rPr>
      </w:r>
      <w:r>
        <w:rPr>
          <w:rFonts w:ascii="Times New Roman" w:hAnsi="Times New Roman" w:cs="Times New Roman" w:eastAsia="Times New Roman" w:hint="default"/>
        </w:rPr>
        <w:t>31</w:t>
      </w:r>
      <w:r>
        <w:rPr/>
        <w:t>、销售费用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161,857,325.98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139,386,357.91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20,024,541.50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21,418,148.25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租赁物管费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11,886,948.83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8,613,410.28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8,780,386.49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11,131,609.21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5,137,824.26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3,760,934.21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交通运输费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3,983,823.19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7,754,991.48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3,428,916.48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2,883,102.08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广告与业务宣传费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3,329,024.03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3,347,875.05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投标费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3,035,670.93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3,529,106.56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1,570,362.70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3,386,893.94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919,814.50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1,269,020.15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7,627,943.75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8,853,673.58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231,582,582.64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215,335,122.70</w:t>
            </w:r>
          </w:p>
        </w:tc>
      </w:tr>
    </w:tbl>
    <w:p>
      <w:pPr>
        <w:spacing w:line="240" w:lineRule="auto" w:before="2"/>
        <w:rPr>
          <w:rFonts w:ascii="宋体" w:hAnsi="宋体" w:cs="宋体" w:eastAsia="宋体" w:hint="default"/>
          <w:sz w:val="19"/>
          <w:szCs w:val="19"/>
        </w:rPr>
      </w:pPr>
    </w:p>
    <w:p>
      <w:pPr>
        <w:pStyle w:val="Heading3"/>
        <w:spacing w:line="240" w:lineRule="auto" w:before="35"/>
        <w:ind w:right="1022"/>
        <w:jc w:val="left"/>
        <w:rPr>
          <w:b w:val="0"/>
          <w:bCs w:val="0"/>
        </w:rPr>
      </w:pPr>
      <w:bookmarkStart w:name="32、管理费用" w:id="281"/>
      <w:bookmarkEnd w:id="281"/>
      <w:r>
        <w:rPr>
          <w:b w:val="0"/>
          <w:bCs w:val="0"/>
        </w:rPr>
      </w:r>
      <w:r>
        <w:rPr>
          <w:rFonts w:ascii="Times New Roman" w:hAnsi="Times New Roman" w:cs="Times New Roman" w:eastAsia="Times New Roman" w:hint="default"/>
        </w:rPr>
        <w:t>32</w:t>
      </w:r>
      <w:r>
        <w:rPr/>
        <w:t>、管理费用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80,109,897.39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82,315,523.63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18,953,047.86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5,108,533.11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9,810,571.21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16,325,074.69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8,274,614.66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10,312,804.68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租赁物管费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7,666,473.74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8,363,241.16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3,845,037.08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3,912,167.79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交通运输费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3,140,040.65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4,393,403.88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2,667,508.61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3,183,839.22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党建经费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1,725,444.28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2,684,841.59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税费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715,735.72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625,219.76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聘请中介机构费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686,062.00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936,108.74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672,822.88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774,013.54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维修费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468,416.70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282,747.92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4,476,773.18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10,165,066.63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143,212,445.96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149,382,586.34</w:t>
            </w:r>
          </w:p>
        </w:tc>
      </w:tr>
    </w:tbl>
    <w:p>
      <w:pPr>
        <w:spacing w:line="240" w:lineRule="auto" w:before="2"/>
        <w:rPr>
          <w:rFonts w:ascii="宋体" w:hAnsi="宋体" w:cs="宋体" w:eastAsia="宋体" w:hint="default"/>
          <w:sz w:val="19"/>
          <w:szCs w:val="19"/>
        </w:rPr>
      </w:pPr>
    </w:p>
    <w:p>
      <w:pPr>
        <w:pStyle w:val="Heading3"/>
        <w:spacing w:line="240" w:lineRule="auto" w:before="35"/>
        <w:ind w:right="1022"/>
        <w:jc w:val="left"/>
        <w:rPr>
          <w:b w:val="0"/>
          <w:bCs w:val="0"/>
        </w:rPr>
      </w:pPr>
      <w:bookmarkStart w:name="33、研发费用" w:id="282"/>
      <w:bookmarkEnd w:id="282"/>
      <w:r>
        <w:rPr>
          <w:b w:val="0"/>
          <w:bCs w:val="0"/>
        </w:rPr>
      </w:r>
      <w:r>
        <w:rPr>
          <w:rFonts w:ascii="Times New Roman" w:hAnsi="Times New Roman" w:cs="Times New Roman" w:eastAsia="Times New Roman" w:hint="default"/>
        </w:rPr>
        <w:t>33</w:t>
      </w:r>
      <w:r>
        <w:rPr/>
        <w:t>、研发费用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122,541,467.97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110,841,399.28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委托外协费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22,095,524.32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25,127,183.35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材料费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21,167,042.80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21,742,505.98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折旧摊销费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8,692,984.86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3,447,317.24</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5,508,029.66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4,206,636.27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测试费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3,199,248.49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2,107,545.44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租赁物管费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2,679,440.35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2,065,883.95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交通运输费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2,207,575.25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3,612,992.20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335,596.32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307,181.13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249,518.19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254,497.07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专利及软件费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205,939.97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11,815.34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3,782,982.63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7,119,190.83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192,665,350.81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180,844,148.08</w:t>
            </w:r>
          </w:p>
        </w:tc>
      </w:tr>
    </w:tbl>
    <w:p>
      <w:pPr>
        <w:spacing w:line="240" w:lineRule="auto" w:before="2"/>
        <w:rPr>
          <w:rFonts w:ascii="宋体" w:hAnsi="宋体" w:cs="宋体" w:eastAsia="宋体" w:hint="default"/>
          <w:sz w:val="19"/>
          <w:szCs w:val="19"/>
        </w:rPr>
      </w:pPr>
    </w:p>
    <w:p>
      <w:pPr>
        <w:pStyle w:val="Heading3"/>
        <w:spacing w:line="240" w:lineRule="auto" w:before="35"/>
        <w:ind w:right="1022"/>
        <w:jc w:val="left"/>
        <w:rPr>
          <w:b w:val="0"/>
          <w:bCs w:val="0"/>
        </w:rPr>
      </w:pPr>
      <w:bookmarkStart w:name="34、财务费用" w:id="283"/>
      <w:bookmarkEnd w:id="283"/>
      <w:r>
        <w:rPr>
          <w:b w:val="0"/>
          <w:bCs w:val="0"/>
        </w:rPr>
      </w:r>
      <w:r>
        <w:rPr>
          <w:rFonts w:ascii="Times New Roman" w:hAnsi="Times New Roman" w:cs="Times New Roman" w:eastAsia="Times New Roman" w:hint="default"/>
        </w:rPr>
        <w:t>34</w:t>
      </w:r>
      <w:r>
        <w:rPr/>
        <w:t>、财务费用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2,753,815.28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43,206,851.57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15,165,193.10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银行手续费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178,666.59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217,608.63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-43,028,184.98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-12,193,769.19</w:t>
            </w:r>
          </w:p>
        </w:tc>
      </w:tr>
    </w:tbl>
    <w:p>
      <w:pPr>
        <w:spacing w:line="240" w:lineRule="auto" w:before="3"/>
        <w:rPr>
          <w:rFonts w:ascii="宋体" w:hAnsi="宋体" w:cs="宋体" w:eastAsia="宋体" w:hint="default"/>
          <w:sz w:val="19"/>
          <w:szCs w:val="19"/>
        </w:rPr>
      </w:pPr>
    </w:p>
    <w:p>
      <w:pPr>
        <w:pStyle w:val="Heading3"/>
        <w:spacing w:line="240" w:lineRule="auto" w:before="35"/>
        <w:ind w:right="1022"/>
        <w:jc w:val="left"/>
        <w:rPr>
          <w:b w:val="0"/>
          <w:bCs w:val="0"/>
        </w:rPr>
      </w:pPr>
      <w:bookmarkStart w:name="35、资产减值损失" w:id="284"/>
      <w:bookmarkEnd w:id="284"/>
      <w:r>
        <w:rPr>
          <w:b w:val="0"/>
          <w:bCs w:val="0"/>
        </w:rPr>
      </w:r>
      <w:r>
        <w:rPr>
          <w:rFonts w:ascii="Times New Roman" w:hAnsi="Times New Roman" w:cs="Times New Roman" w:eastAsia="Times New Roman" w:hint="default"/>
        </w:rPr>
        <w:t>35</w:t>
      </w:r>
      <w:r>
        <w:rPr/>
        <w:t>、资产减值损失</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80,129,350.04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67,102,569.55</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10,767,615.82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7,500,026.94</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90,896,965.86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74,602,596.49</w:t>
            </w:r>
          </w:p>
        </w:tc>
      </w:tr>
    </w:tbl>
    <w:p>
      <w:pPr>
        <w:spacing w:line="240" w:lineRule="auto" w:before="2"/>
        <w:rPr>
          <w:rFonts w:ascii="宋体" w:hAnsi="宋体" w:cs="宋体" w:eastAsia="宋体" w:hint="default"/>
          <w:sz w:val="19"/>
          <w:szCs w:val="19"/>
        </w:rPr>
      </w:pPr>
    </w:p>
    <w:p>
      <w:pPr>
        <w:pStyle w:val="Heading3"/>
        <w:spacing w:line="240" w:lineRule="auto" w:before="35"/>
        <w:ind w:right="1022"/>
        <w:jc w:val="left"/>
        <w:rPr>
          <w:b w:val="0"/>
          <w:bCs w:val="0"/>
        </w:rPr>
      </w:pPr>
      <w:bookmarkStart w:name="36、其他收益" w:id="285"/>
      <w:bookmarkEnd w:id="285"/>
      <w:r>
        <w:rPr>
          <w:b w:val="0"/>
          <w:bCs w:val="0"/>
        </w:rPr>
      </w:r>
      <w:r>
        <w:rPr>
          <w:rFonts w:ascii="Times New Roman" w:hAnsi="Times New Roman" w:cs="Times New Roman" w:eastAsia="Times New Roman" w:hint="default"/>
        </w:rPr>
        <w:t>36</w:t>
      </w:r>
      <w:r>
        <w:rPr/>
        <w:t>、其他收益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税费返还</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18,691,971.35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24,146,483.82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与日常经营活动相关的政府补助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44,136,604.03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43,801,206.32</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62,828,575.38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67,947,690.14</w:t>
            </w:r>
          </w:p>
        </w:tc>
      </w:tr>
    </w:tbl>
    <w:p>
      <w:pPr>
        <w:spacing w:line="240" w:lineRule="auto" w:before="3"/>
        <w:rPr>
          <w:rFonts w:ascii="宋体" w:hAnsi="宋体" w:cs="宋体" w:eastAsia="宋体" w:hint="default"/>
          <w:sz w:val="19"/>
          <w:szCs w:val="19"/>
        </w:rPr>
      </w:pPr>
    </w:p>
    <w:p>
      <w:pPr>
        <w:pStyle w:val="Heading3"/>
        <w:spacing w:line="240" w:lineRule="auto" w:before="35"/>
        <w:ind w:right="1022"/>
        <w:jc w:val="left"/>
        <w:rPr>
          <w:b w:val="0"/>
          <w:bCs w:val="0"/>
        </w:rPr>
      </w:pPr>
      <w:bookmarkStart w:name="37、投资收益" w:id="286"/>
      <w:bookmarkEnd w:id="286"/>
      <w:r>
        <w:rPr>
          <w:b w:val="0"/>
          <w:bCs w:val="0"/>
        </w:rPr>
      </w:r>
      <w:r>
        <w:rPr>
          <w:rFonts w:ascii="Times New Roman" w:hAnsi="Times New Roman" w:cs="Times New Roman" w:eastAsia="Times New Roman" w:hint="default"/>
        </w:rPr>
        <w:t>37</w:t>
      </w:r>
      <w:r>
        <w:rPr/>
        <w:t>、投资收益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460"/>
        <w:gridCol w:w="3191"/>
        <w:gridCol w:w="2918"/>
      </w:tblGrid>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460"/>
        <w:gridCol w:w="3191"/>
        <w:gridCol w:w="2918"/>
      </w:tblGrid>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-4,188,314.96</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1,603,366.18</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200,000.00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200,000.00</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-3,988,314.96</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1,803,366.18</w:t>
            </w:r>
          </w:p>
        </w:tc>
      </w:tr>
    </w:tbl>
    <w:p>
      <w:pPr>
        <w:spacing w:line="240" w:lineRule="auto" w:before="3"/>
        <w:rPr>
          <w:rFonts w:ascii="宋体" w:hAnsi="宋体" w:cs="宋体" w:eastAsia="宋体" w:hint="default"/>
          <w:sz w:val="19"/>
          <w:szCs w:val="19"/>
        </w:rPr>
      </w:pPr>
    </w:p>
    <w:p>
      <w:pPr>
        <w:pStyle w:val="Heading3"/>
        <w:spacing w:line="240" w:lineRule="auto" w:before="35"/>
        <w:ind w:right="1022"/>
        <w:jc w:val="left"/>
        <w:rPr>
          <w:b w:val="0"/>
          <w:bCs w:val="0"/>
        </w:rPr>
      </w:pPr>
      <w:bookmarkStart w:name="38、资产处置收益" w:id="287"/>
      <w:bookmarkEnd w:id="287"/>
      <w:r>
        <w:rPr>
          <w:b w:val="0"/>
          <w:bCs w:val="0"/>
        </w:rPr>
      </w:r>
      <w:r>
        <w:rPr>
          <w:rFonts w:ascii="Times New Roman" w:hAnsi="Times New Roman" w:cs="Times New Roman" w:eastAsia="Times New Roman" w:hint="default"/>
        </w:rPr>
        <w:t>38</w:t>
      </w:r>
      <w:r>
        <w:rPr/>
        <w:t>、资产处置收益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非流动资产处置利得或损失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-20,699.46</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1,023,847.61</w:t>
            </w:r>
          </w:p>
        </w:tc>
      </w:tr>
    </w:tbl>
    <w:p>
      <w:pPr>
        <w:spacing w:line="240" w:lineRule="auto" w:before="2"/>
        <w:rPr>
          <w:rFonts w:ascii="宋体" w:hAnsi="宋体" w:cs="宋体" w:eastAsia="宋体" w:hint="default"/>
          <w:sz w:val="19"/>
          <w:szCs w:val="19"/>
        </w:rPr>
      </w:pPr>
    </w:p>
    <w:p>
      <w:pPr>
        <w:pStyle w:val="Heading3"/>
        <w:spacing w:line="240" w:lineRule="auto" w:before="35"/>
        <w:ind w:right="1022"/>
        <w:jc w:val="left"/>
        <w:rPr>
          <w:b w:val="0"/>
          <w:bCs w:val="0"/>
        </w:rPr>
      </w:pPr>
      <w:bookmarkStart w:name="39、营业外收入" w:id="288"/>
      <w:bookmarkEnd w:id="288"/>
      <w:r>
        <w:rPr>
          <w:b w:val="0"/>
          <w:bCs w:val="0"/>
        </w:rPr>
      </w:r>
      <w:r>
        <w:rPr>
          <w:rFonts w:ascii="Times New Roman" w:hAnsi="Times New Roman" w:cs="Times New Roman" w:eastAsia="Times New Roman" w:hint="default"/>
        </w:rPr>
        <w:t>39</w:t>
      </w:r>
      <w:r>
        <w:rPr/>
        <w:t>、营业外收入</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1"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23,349,900.42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6,840,633.08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23,349,900.42</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非流动资产毁损报废利得</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590.00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590.00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304,778.31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291,212.73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304,778.31</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23,655,268.73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7,131,845.81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23,655,268.73</w:t>
            </w:r>
          </w:p>
        </w:tc>
      </w:tr>
    </w:tbl>
    <w:p>
      <w:pPr>
        <w:pStyle w:val="BodyText"/>
        <w:spacing w:line="240" w:lineRule="auto" w:before="51"/>
        <w:ind w:right="1022"/>
        <w:jc w:val="left"/>
      </w:pPr>
      <w:r>
        <w:rPr/>
        <w:t>计入当期损益的政府补助：</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702"/>
        <w:gridCol w:w="1417"/>
        <w:gridCol w:w="568"/>
        <w:gridCol w:w="1418"/>
        <w:gridCol w:w="992"/>
        <w:gridCol w:w="708"/>
        <w:gridCol w:w="851"/>
        <w:gridCol w:w="851"/>
        <w:gridCol w:w="1063"/>
      </w:tblGrid>
      <w:tr>
        <w:trPr>
          <w:trHeight w:val="714"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85"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8" w:right="97"/>
              <w:jc w:val="left"/>
              <w:rPr>
                <w:rFonts w:ascii="宋体" w:hAnsi="宋体" w:cs="宋体" w:eastAsia="宋体" w:hint="default"/>
                <w:sz w:val="18"/>
                <w:szCs w:val="18"/>
              </w:rPr>
            </w:pPr>
            <w:r>
              <w:rPr>
                <w:rFonts w:ascii="宋体" w:hAnsi="宋体" w:cs="宋体" w:eastAsia="宋体" w:hint="default"/>
                <w:sz w:val="18"/>
                <w:szCs w:val="18"/>
              </w:rPr>
              <w:t>发放 原因</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0" w:right="41"/>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7" w:right="78"/>
              <w:jc w:val="left"/>
              <w:rPr>
                <w:rFonts w:ascii="宋体" w:hAnsi="宋体" w:cs="宋体" w:eastAsia="宋体" w:hint="default"/>
                <w:sz w:val="18"/>
                <w:szCs w:val="18"/>
              </w:rPr>
            </w:pPr>
            <w:r>
              <w:rPr>
                <w:rFonts w:ascii="宋体" w:hAnsi="宋体" w:cs="宋体" w:eastAsia="宋体" w:hint="default"/>
                <w:sz w:val="18"/>
                <w:szCs w:val="18"/>
              </w:rPr>
              <w:t>是否特 殊补贴</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0" w:right="59" w:hanging="181"/>
              <w:jc w:val="left"/>
              <w:rPr>
                <w:rFonts w:ascii="宋体" w:hAnsi="宋体" w:cs="宋体" w:eastAsia="宋体" w:hint="default"/>
                <w:sz w:val="18"/>
                <w:szCs w:val="18"/>
              </w:rPr>
            </w:pPr>
            <w:r>
              <w:rPr>
                <w:rFonts w:ascii="宋体" w:hAnsi="宋体" w:cs="宋体" w:eastAsia="宋体" w:hint="default"/>
                <w:sz w:val="18"/>
                <w:szCs w:val="18"/>
              </w:rPr>
              <w:t>本期发生 金额</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39" w:right="59" w:hanging="180"/>
              <w:jc w:val="left"/>
              <w:rPr>
                <w:rFonts w:ascii="宋体" w:hAnsi="宋体" w:cs="宋体" w:eastAsia="宋体" w:hint="default"/>
                <w:sz w:val="18"/>
                <w:szCs w:val="18"/>
              </w:rPr>
            </w:pPr>
            <w:r>
              <w:rPr>
                <w:rFonts w:ascii="宋体" w:hAnsi="宋体" w:cs="宋体" w:eastAsia="宋体" w:hint="default"/>
                <w:sz w:val="18"/>
                <w:szCs w:val="18"/>
              </w:rPr>
              <w:t>上期发生 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76" w:right="51"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1026"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财政拨款</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国家财政部</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10"/>
                <w:sz w:val="18"/>
                <w:szCs w:val="18"/>
              </w:rPr>
              <w:t>因研究开发、技术</w:t>
            </w:r>
            <w:r>
              <w:rPr>
                <w:rFonts w:ascii="宋体" w:hAnsi="宋体" w:cs="宋体" w:eastAsia="宋体" w:hint="default"/>
                <w:sz w:val="18"/>
                <w:szCs w:val="18"/>
              </w:rPr>
              <w:t> 更新及改造等获 得的补助</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15,496,40</w:t>
            </w:r>
          </w:p>
          <w:p>
            <w:pPr>
              <w:pStyle w:val="TableParagraph"/>
              <w:spacing w:line="240" w:lineRule="auto" w:before="105"/>
              <w:ind w:left="504" w:right="0"/>
              <w:jc w:val="left"/>
              <w:rPr>
                <w:rFonts w:ascii="Times New Roman" w:hAnsi="Times New Roman" w:cs="Times New Roman" w:eastAsia="Times New Roman" w:hint="default"/>
                <w:sz w:val="18"/>
                <w:szCs w:val="18"/>
              </w:rPr>
            </w:pPr>
            <w:r>
              <w:rPr>
                <w:rFonts w:ascii="Times New Roman"/>
                <w:sz w:val="18"/>
              </w:rPr>
              <w:t>0.00</w:t>
            </w:r>
          </w:p>
        </w:tc>
        <w:tc>
          <w:tcPr>
            <w:tcW w:w="85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47"/>
              <w:jc w:val="left"/>
              <w:rPr>
                <w:rFonts w:ascii="宋体" w:hAnsi="宋体" w:cs="宋体" w:eastAsia="宋体" w:hint="default"/>
                <w:sz w:val="18"/>
                <w:szCs w:val="18"/>
              </w:rPr>
            </w:pPr>
            <w:r>
              <w:rPr>
                <w:rFonts w:ascii="宋体" w:hAnsi="宋体" w:cs="宋体" w:eastAsia="宋体" w:hint="default"/>
                <w:sz w:val="18"/>
                <w:szCs w:val="18"/>
              </w:rPr>
              <w:t>成都市高新区经信局 补助</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22"/>
              <w:jc w:val="left"/>
              <w:rPr>
                <w:rFonts w:ascii="宋体" w:hAnsi="宋体" w:cs="宋体" w:eastAsia="宋体" w:hint="default"/>
                <w:sz w:val="18"/>
                <w:szCs w:val="18"/>
              </w:rPr>
            </w:pPr>
            <w:r>
              <w:rPr>
                <w:rFonts w:ascii="宋体" w:hAnsi="宋体" w:cs="宋体" w:eastAsia="宋体" w:hint="default"/>
                <w:sz w:val="18"/>
                <w:szCs w:val="18"/>
              </w:rPr>
              <w:t>成都市高新区经 信局</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10"/>
                <w:sz w:val="18"/>
                <w:szCs w:val="18"/>
              </w:rPr>
              <w:t>因研究开发、技术</w:t>
            </w:r>
            <w:r>
              <w:rPr>
                <w:rFonts w:ascii="宋体" w:hAnsi="宋体" w:cs="宋体" w:eastAsia="宋体" w:hint="default"/>
                <w:sz w:val="18"/>
                <w:szCs w:val="18"/>
              </w:rPr>
              <w:t> 更新及改造等获 得的补助</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3,397,932.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03</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265,000.0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47"/>
              <w:jc w:val="both"/>
              <w:rPr>
                <w:rFonts w:ascii="宋体" w:hAnsi="宋体" w:cs="宋体" w:eastAsia="宋体" w:hint="default"/>
                <w:sz w:val="18"/>
                <w:szCs w:val="18"/>
              </w:rPr>
            </w:pPr>
            <w:r>
              <w:rPr>
                <w:rFonts w:ascii="宋体" w:hAnsi="宋体" w:cs="宋体" w:eastAsia="宋体" w:hint="default"/>
                <w:sz w:val="18"/>
                <w:szCs w:val="18"/>
              </w:rPr>
              <w:t>推进</w:t>
            </w:r>
            <w:r>
              <w:rPr>
                <w:rFonts w:ascii="Times New Roman" w:hAnsi="Times New Roman" w:cs="Times New Roman" w:eastAsia="Times New Roman" w:hint="default"/>
                <w:sz w:val="18"/>
                <w:szCs w:val="18"/>
              </w:rPr>
              <w:t>“</w:t>
            </w:r>
            <w:r>
              <w:rPr>
                <w:rFonts w:ascii="宋体" w:hAnsi="宋体" w:cs="宋体" w:eastAsia="宋体" w:hint="default"/>
                <w:sz w:val="18"/>
                <w:szCs w:val="18"/>
              </w:rPr>
              <w:t>三次创业</w:t>
            </w:r>
            <w:r>
              <w:rPr>
                <w:rFonts w:ascii="Times New Roman" w:hAnsi="Times New Roman" w:cs="Times New Roman" w:eastAsia="Times New Roman" w:hint="default"/>
                <w:sz w:val="18"/>
                <w:szCs w:val="18"/>
              </w:rPr>
              <w:t>”</w:t>
            </w:r>
            <w:r>
              <w:rPr>
                <w:rFonts w:ascii="宋体" w:hAnsi="宋体" w:cs="宋体" w:eastAsia="宋体" w:hint="default"/>
                <w:sz w:val="18"/>
                <w:szCs w:val="18"/>
              </w:rPr>
              <w:t>支持 战略新兴产业企业加 快发展专项补助</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22"/>
              <w:jc w:val="left"/>
              <w:rPr>
                <w:rFonts w:ascii="宋体" w:hAnsi="宋体" w:cs="宋体" w:eastAsia="宋体" w:hint="default"/>
                <w:sz w:val="18"/>
                <w:szCs w:val="18"/>
              </w:rPr>
            </w:pPr>
            <w:r>
              <w:rPr>
                <w:rFonts w:ascii="宋体" w:hAnsi="宋体" w:cs="宋体" w:eastAsia="宋体" w:hint="default"/>
                <w:sz w:val="18"/>
                <w:szCs w:val="18"/>
              </w:rPr>
              <w:t>成都高新区财政 局</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10"/>
                <w:sz w:val="18"/>
                <w:szCs w:val="18"/>
              </w:rPr>
              <w:t>因研究开发、技术</w:t>
            </w:r>
            <w:r>
              <w:rPr>
                <w:rFonts w:ascii="宋体" w:hAnsi="宋体" w:cs="宋体" w:eastAsia="宋体" w:hint="default"/>
                <w:sz w:val="18"/>
                <w:szCs w:val="18"/>
              </w:rPr>
              <w:t> 更新及改造等获 得的补助</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2,150,000.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5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7"/>
              <w:jc w:val="both"/>
              <w:rPr>
                <w:rFonts w:ascii="宋体" w:hAnsi="宋体" w:cs="宋体" w:eastAsia="宋体" w:hint="default"/>
                <w:sz w:val="18"/>
                <w:szCs w:val="18"/>
              </w:rPr>
            </w:pPr>
            <w:r>
              <w:rPr>
                <w:rFonts w:ascii="宋体" w:hAnsi="宋体" w:cs="宋体" w:eastAsia="宋体" w:hint="default"/>
                <w:sz w:val="18"/>
                <w:szCs w:val="18"/>
              </w:rPr>
              <w:t>成都高新区电子信息 产业发展局产业发展 基金</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22"/>
              <w:jc w:val="left"/>
              <w:rPr>
                <w:rFonts w:ascii="宋体" w:hAnsi="宋体" w:cs="宋体" w:eastAsia="宋体" w:hint="default"/>
                <w:sz w:val="18"/>
                <w:szCs w:val="18"/>
              </w:rPr>
            </w:pPr>
            <w:r>
              <w:rPr>
                <w:rFonts w:ascii="宋体" w:hAnsi="宋体" w:cs="宋体" w:eastAsia="宋体" w:hint="default"/>
                <w:sz w:val="18"/>
                <w:szCs w:val="18"/>
              </w:rPr>
              <w:t>成都高新区财政 局</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pacing w:val="-10"/>
                <w:sz w:val="18"/>
                <w:szCs w:val="18"/>
              </w:rPr>
              <w:t>因研究开发、技术</w:t>
            </w:r>
            <w:r>
              <w:rPr>
                <w:rFonts w:ascii="宋体" w:hAnsi="宋体" w:cs="宋体" w:eastAsia="宋体" w:hint="default"/>
                <w:sz w:val="18"/>
                <w:szCs w:val="18"/>
              </w:rPr>
              <w:t> 更新及改造等获 得的补助</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1,024,000.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5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47"/>
              <w:jc w:val="left"/>
              <w:rPr>
                <w:rFonts w:ascii="宋体" w:hAnsi="宋体" w:cs="宋体" w:eastAsia="宋体" w:hint="default"/>
                <w:sz w:val="18"/>
                <w:szCs w:val="18"/>
              </w:rPr>
            </w:pPr>
            <w:r>
              <w:rPr>
                <w:rFonts w:ascii="宋体" w:hAnsi="宋体" w:cs="宋体" w:eastAsia="宋体" w:hint="default"/>
                <w:sz w:val="18"/>
                <w:szCs w:val="18"/>
              </w:rPr>
              <w:t>电子商务销售项目补 助</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成都市经信厅</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10"/>
                <w:sz w:val="18"/>
                <w:szCs w:val="18"/>
              </w:rPr>
              <w:t>因研究开发、技术</w:t>
            </w:r>
            <w:r>
              <w:rPr>
                <w:rFonts w:ascii="宋体" w:hAnsi="宋体" w:cs="宋体" w:eastAsia="宋体" w:hint="default"/>
                <w:sz w:val="18"/>
                <w:szCs w:val="18"/>
              </w:rPr>
              <w:t> 更新及改造等获 得的补助</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536,700.0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成都市高新基层</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因符合地方政府</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98" w:right="0"/>
              <w:jc w:val="left"/>
              <w:rPr>
                <w:rFonts w:ascii="Times New Roman" w:hAnsi="Times New Roman" w:cs="Times New Roman" w:eastAsia="Times New Roman" w:hint="default"/>
                <w:sz w:val="18"/>
                <w:szCs w:val="18"/>
              </w:rPr>
            </w:pPr>
            <w:r>
              <w:rPr>
                <w:rFonts w:ascii="Times New Roman"/>
                <w:sz w:val="18"/>
              </w:rPr>
              <w:t>218,289.6</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98" w:right="0"/>
              <w:jc w:val="left"/>
              <w:rPr>
                <w:rFonts w:ascii="Times New Roman" w:hAnsi="Times New Roman" w:cs="Times New Roman" w:eastAsia="Times New Roman" w:hint="default"/>
                <w:sz w:val="18"/>
                <w:szCs w:val="18"/>
              </w:rPr>
            </w:pPr>
            <w:r>
              <w:rPr>
                <w:rFonts w:ascii="Times New Roman"/>
                <w:sz w:val="18"/>
              </w:rPr>
              <w:t>136,917.5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702"/>
        <w:gridCol w:w="1417"/>
        <w:gridCol w:w="568"/>
        <w:gridCol w:w="1418"/>
        <w:gridCol w:w="992"/>
        <w:gridCol w:w="708"/>
        <w:gridCol w:w="851"/>
        <w:gridCol w:w="851"/>
        <w:gridCol w:w="1063"/>
      </w:tblGrid>
      <w:tr>
        <w:trPr>
          <w:trHeight w:val="986" w:hRule="exact"/>
        </w:trPr>
        <w:tc>
          <w:tcPr>
            <w:tcW w:w="1702"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22"/>
              <w:jc w:val="left"/>
              <w:rPr>
                <w:rFonts w:ascii="宋体" w:hAnsi="宋体" w:cs="宋体" w:eastAsia="宋体" w:hint="default"/>
                <w:sz w:val="18"/>
                <w:szCs w:val="18"/>
              </w:rPr>
            </w:pPr>
            <w:r>
              <w:rPr>
                <w:rFonts w:ascii="宋体" w:hAnsi="宋体" w:cs="宋体" w:eastAsia="宋体" w:hint="default"/>
                <w:sz w:val="18"/>
                <w:szCs w:val="18"/>
              </w:rPr>
              <w:t>治理和社会事业 局</w:t>
            </w:r>
          </w:p>
        </w:tc>
        <w:tc>
          <w:tcPr>
            <w:tcW w:w="56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23"/>
              <w:jc w:val="both"/>
              <w:rPr>
                <w:rFonts w:ascii="宋体" w:hAnsi="宋体" w:cs="宋体" w:eastAsia="宋体" w:hint="default"/>
                <w:sz w:val="18"/>
                <w:szCs w:val="18"/>
              </w:rPr>
            </w:pPr>
            <w:r>
              <w:rPr>
                <w:rFonts w:ascii="宋体" w:hAnsi="宋体" w:cs="宋体" w:eastAsia="宋体" w:hint="default"/>
                <w:sz w:val="18"/>
                <w:szCs w:val="18"/>
              </w:rPr>
              <w:t>招商引资等地方 性扶持政策而获 得的补助</w:t>
            </w:r>
          </w:p>
        </w:tc>
        <w:tc>
          <w:tcPr>
            <w:tcW w:w="99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7</w:t>
            </w: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产业资金补助</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22"/>
              <w:jc w:val="left"/>
              <w:rPr>
                <w:rFonts w:ascii="宋体" w:hAnsi="宋体" w:cs="宋体" w:eastAsia="宋体" w:hint="default"/>
                <w:sz w:val="18"/>
                <w:szCs w:val="18"/>
              </w:rPr>
            </w:pPr>
            <w:r>
              <w:rPr>
                <w:rFonts w:ascii="宋体" w:hAnsi="宋体" w:cs="宋体" w:eastAsia="宋体" w:hint="default"/>
                <w:sz w:val="18"/>
                <w:szCs w:val="18"/>
              </w:rPr>
              <w:t>中国电子科技集 团公司</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10"/>
                <w:sz w:val="18"/>
                <w:szCs w:val="18"/>
              </w:rPr>
              <w:t>因研究开发、技术</w:t>
            </w:r>
            <w:r>
              <w:rPr>
                <w:rFonts w:ascii="宋体" w:hAnsi="宋体" w:cs="宋体" w:eastAsia="宋体" w:hint="default"/>
                <w:sz w:val="18"/>
                <w:szCs w:val="18"/>
              </w:rPr>
              <w:t> 更新及改造等获 得的补助</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203,008.9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4,978,643.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创业扶持资金</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22"/>
              <w:jc w:val="left"/>
              <w:rPr>
                <w:rFonts w:ascii="宋体" w:hAnsi="宋体" w:cs="宋体" w:eastAsia="宋体" w:hint="default"/>
                <w:sz w:val="18"/>
                <w:szCs w:val="18"/>
              </w:rPr>
            </w:pPr>
            <w:r>
              <w:rPr>
                <w:rFonts w:ascii="宋体" w:hAnsi="宋体" w:cs="宋体" w:eastAsia="宋体" w:hint="default"/>
                <w:sz w:val="18"/>
                <w:szCs w:val="18"/>
              </w:rPr>
              <w:t>成都高新区科技 局</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3"/>
              <w:jc w:val="both"/>
              <w:rPr>
                <w:rFonts w:ascii="宋体" w:hAnsi="宋体" w:cs="宋体" w:eastAsia="宋体" w:hint="default"/>
                <w:sz w:val="18"/>
                <w:szCs w:val="18"/>
              </w:rPr>
            </w:pPr>
            <w:r>
              <w:rPr>
                <w:rFonts w:ascii="宋体" w:hAnsi="宋体" w:cs="宋体" w:eastAsia="宋体" w:hint="default"/>
                <w:sz w:val="18"/>
                <w:szCs w:val="18"/>
              </w:rPr>
              <w:t>因符合地方政府 招商引资等地方 性扶持政策而获 得的补助</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55,167.00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其他项目补助</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成都高新区财政 局、四川省科技 </w:t>
            </w:r>
            <w:r>
              <w:rPr>
                <w:rFonts w:ascii="宋体" w:hAnsi="宋体" w:cs="宋体" w:eastAsia="宋体" w:hint="default"/>
                <w:spacing w:val="-10"/>
                <w:sz w:val="18"/>
                <w:szCs w:val="18"/>
              </w:rPr>
              <w:t>厅、四川省国防科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工办、国家发改 </w:t>
            </w:r>
            <w:r>
              <w:rPr>
                <w:rFonts w:ascii="宋体" w:hAnsi="宋体" w:cs="宋体" w:eastAsia="宋体" w:hint="default"/>
                <w:spacing w:val="-10"/>
                <w:sz w:val="18"/>
                <w:szCs w:val="18"/>
              </w:rPr>
              <w:t>委、成都市科技局</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22"/>
              <w:jc w:val="left"/>
              <w:rPr>
                <w:rFonts w:ascii="宋体" w:hAnsi="宋体" w:cs="宋体" w:eastAsia="宋体" w:hint="default"/>
                <w:sz w:val="18"/>
                <w:szCs w:val="18"/>
              </w:rPr>
            </w:pPr>
            <w:r>
              <w:rPr>
                <w:rFonts w:ascii="宋体" w:hAnsi="宋体" w:cs="宋体" w:eastAsia="宋体" w:hint="default"/>
                <w:spacing w:val="-10"/>
                <w:sz w:val="18"/>
                <w:szCs w:val="18"/>
              </w:rPr>
              <w:t>因研究开发、技术</w:t>
            </w:r>
            <w:r>
              <w:rPr>
                <w:rFonts w:ascii="宋体" w:hAnsi="宋体" w:cs="宋体" w:eastAsia="宋体" w:hint="default"/>
                <w:sz w:val="18"/>
                <w:szCs w:val="18"/>
              </w:rPr>
              <w:t> 更新及改造等获 得的补助</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268,402.8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960,072.0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line="240" w:lineRule="auto" w:before="2"/>
        <w:rPr>
          <w:rFonts w:ascii="宋体" w:hAnsi="宋体" w:cs="宋体" w:eastAsia="宋体" w:hint="default"/>
          <w:sz w:val="19"/>
          <w:szCs w:val="19"/>
        </w:rPr>
      </w:pPr>
    </w:p>
    <w:p>
      <w:pPr>
        <w:pStyle w:val="Heading3"/>
        <w:spacing w:line="240" w:lineRule="auto" w:before="35"/>
        <w:ind w:right="1022"/>
        <w:jc w:val="left"/>
        <w:rPr>
          <w:b w:val="0"/>
          <w:bCs w:val="0"/>
        </w:rPr>
      </w:pPr>
      <w:bookmarkStart w:name="40、营业外支出" w:id="289"/>
      <w:bookmarkEnd w:id="289"/>
      <w:r>
        <w:rPr>
          <w:b w:val="0"/>
          <w:bCs w:val="0"/>
        </w:rPr>
      </w:r>
      <w:r>
        <w:rPr>
          <w:rFonts w:ascii="Times New Roman" w:hAnsi="Times New Roman" w:cs="Times New Roman" w:eastAsia="Times New Roman" w:hint="default"/>
        </w:rPr>
        <w:t>40</w:t>
      </w:r>
      <w:r>
        <w:rPr/>
        <w:t>、营业外支出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714"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非流动资产毁损报废利得</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11,877.08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20,240.91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11,877.08</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558,469.29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724,481.96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558,469.29</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570,346.37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744,722.87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570,346.37</w:t>
            </w:r>
          </w:p>
        </w:tc>
      </w:tr>
    </w:tbl>
    <w:p>
      <w:pPr>
        <w:spacing w:line="240" w:lineRule="auto" w:before="2"/>
        <w:rPr>
          <w:rFonts w:ascii="宋体" w:hAnsi="宋体" w:cs="宋体" w:eastAsia="宋体" w:hint="default"/>
          <w:sz w:val="19"/>
          <w:szCs w:val="19"/>
        </w:rPr>
      </w:pPr>
    </w:p>
    <w:p>
      <w:pPr>
        <w:pStyle w:val="Heading3"/>
        <w:spacing w:line="240" w:lineRule="auto" w:before="35"/>
        <w:ind w:right="1022"/>
        <w:jc w:val="left"/>
        <w:rPr>
          <w:b w:val="0"/>
          <w:bCs w:val="0"/>
        </w:rPr>
      </w:pPr>
      <w:bookmarkStart w:name="41、所得税费用" w:id="290"/>
      <w:bookmarkEnd w:id="290"/>
      <w:r>
        <w:rPr>
          <w:b w:val="0"/>
          <w:bCs w:val="0"/>
        </w:rPr>
      </w:r>
      <w:r>
        <w:rPr>
          <w:rFonts w:ascii="Times New Roman" w:hAnsi="Times New Roman" w:cs="Times New Roman" w:eastAsia="Times New Roman" w:hint="default"/>
        </w:rPr>
        <w:t>41</w:t>
      </w:r>
      <w:r>
        <w:rPr/>
        <w:t>、所得税费用</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22"/>
        <w:jc w:val="left"/>
        <w:rPr>
          <w:b w:val="0"/>
          <w:bCs w:val="0"/>
        </w:rPr>
      </w:pPr>
      <w:bookmarkStart w:name="（1）所得税费用表" w:id="291"/>
      <w:bookmarkEnd w:id="291"/>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31,260,072.13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31,166,204.90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-27,316,198.47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-7,405,112.47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2,122,541.90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3,943,873.66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25,883,634.33</w:t>
            </w:r>
          </w:p>
        </w:tc>
      </w:tr>
    </w:tbl>
    <w:p>
      <w:pPr>
        <w:spacing w:line="240" w:lineRule="auto" w:before="3"/>
        <w:rPr>
          <w:rFonts w:ascii="宋体" w:hAnsi="宋体" w:cs="宋体" w:eastAsia="宋体" w:hint="default"/>
          <w:sz w:val="19"/>
          <w:szCs w:val="19"/>
        </w:rPr>
      </w:pPr>
    </w:p>
    <w:p>
      <w:pPr>
        <w:pStyle w:val="Heading3"/>
        <w:spacing w:line="240" w:lineRule="auto" w:before="35"/>
        <w:ind w:right="1022"/>
        <w:jc w:val="left"/>
        <w:rPr>
          <w:b w:val="0"/>
          <w:bCs w:val="0"/>
        </w:rPr>
      </w:pPr>
      <w:bookmarkStart w:name="（2）会计利润与所得税费用调整过程" w:id="292"/>
      <w:bookmarkEnd w:id="292"/>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5671"/>
        <w:gridCol w:w="3898"/>
      </w:tblGrid>
      <w:tr>
        <w:trPr>
          <w:trHeight w:val="402" w:hRule="exact"/>
        </w:trPr>
        <w:tc>
          <w:tcPr>
            <w:tcW w:w="56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5659"/>
        <w:gridCol w:w="3909"/>
      </w:tblGrid>
      <w:tr>
        <w:trPr>
          <w:trHeight w:val="402" w:hRule="exact"/>
        </w:trPr>
        <w:tc>
          <w:tcPr>
            <w:tcW w:w="56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390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128,426,139.00</w:t>
            </w:r>
          </w:p>
        </w:tc>
      </w:tr>
      <w:tr>
        <w:trPr>
          <w:trHeight w:val="402" w:hRule="exact"/>
        </w:trPr>
        <w:tc>
          <w:tcPr>
            <w:tcW w:w="56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390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19,263,920.87</w:t>
            </w:r>
          </w:p>
        </w:tc>
      </w:tr>
      <w:tr>
        <w:trPr>
          <w:trHeight w:val="402" w:hRule="exact"/>
        </w:trPr>
        <w:tc>
          <w:tcPr>
            <w:tcW w:w="56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390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5,157,077.41</w:t>
            </w:r>
          </w:p>
        </w:tc>
      </w:tr>
      <w:tr>
        <w:trPr>
          <w:trHeight w:val="402" w:hRule="exact"/>
        </w:trPr>
        <w:tc>
          <w:tcPr>
            <w:tcW w:w="56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390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1,252,806.41</w:t>
            </w:r>
          </w:p>
        </w:tc>
      </w:tr>
      <w:tr>
        <w:trPr>
          <w:trHeight w:val="402" w:hRule="exact"/>
        </w:trPr>
        <w:tc>
          <w:tcPr>
            <w:tcW w:w="56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390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-231,436.00</w:t>
            </w:r>
            <w:r>
              <w:rPr>
                <w:rFonts w:ascii="Times New Roman"/>
                <w:sz w:val="18"/>
              </w:rPr>
            </w:r>
          </w:p>
        </w:tc>
      </w:tr>
      <w:tr>
        <w:trPr>
          <w:trHeight w:val="402" w:hRule="exact"/>
        </w:trPr>
        <w:tc>
          <w:tcPr>
            <w:tcW w:w="56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390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863,073.48</w:t>
            </w:r>
          </w:p>
        </w:tc>
      </w:tr>
      <w:tr>
        <w:trPr>
          <w:trHeight w:val="402" w:hRule="exact"/>
        </w:trPr>
        <w:tc>
          <w:tcPr>
            <w:tcW w:w="56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390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-3,798,505.45</w:t>
            </w:r>
          </w:p>
        </w:tc>
      </w:tr>
      <w:tr>
        <w:trPr>
          <w:trHeight w:val="402" w:hRule="exact"/>
        </w:trPr>
        <w:tc>
          <w:tcPr>
            <w:tcW w:w="56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本期未确认递延所得税资产的可抵扣暂时性差异或可抵扣亏损的影响</w:t>
            </w:r>
          </w:p>
        </w:tc>
        <w:tc>
          <w:tcPr>
            <w:tcW w:w="390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-816,397.72</w:t>
            </w:r>
            <w:r>
              <w:rPr>
                <w:rFonts w:ascii="Times New Roman"/>
                <w:sz w:val="18"/>
              </w:rPr>
            </w:r>
          </w:p>
        </w:tc>
      </w:tr>
      <w:tr>
        <w:trPr>
          <w:trHeight w:val="402" w:hRule="exact"/>
        </w:trPr>
        <w:tc>
          <w:tcPr>
            <w:tcW w:w="5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Times New Roman" w:hAnsi="Times New Roman" w:cs="Times New Roman" w:eastAsia="Times New Roman" w:hint="default"/>
                <w:sz w:val="18"/>
                <w:szCs w:val="18"/>
              </w:rPr>
              <w:t>-</w:t>
            </w:r>
            <w:r>
              <w:rPr>
                <w:rFonts w:ascii="宋体" w:hAnsi="宋体" w:cs="宋体" w:eastAsia="宋体" w:hint="default"/>
                <w:sz w:val="18"/>
                <w:szCs w:val="18"/>
              </w:rPr>
              <w:t>研发费用加计扣除</w:t>
            </w:r>
          </w:p>
        </w:tc>
        <w:tc>
          <w:tcPr>
            <w:tcW w:w="3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-17,746,665.34</w:t>
            </w:r>
          </w:p>
        </w:tc>
      </w:tr>
      <w:tr>
        <w:trPr>
          <w:trHeight w:val="402" w:hRule="exact"/>
        </w:trPr>
        <w:tc>
          <w:tcPr>
            <w:tcW w:w="56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390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3,943,873.66</w:t>
            </w:r>
          </w:p>
        </w:tc>
      </w:tr>
    </w:tbl>
    <w:p>
      <w:pPr>
        <w:spacing w:line="240" w:lineRule="auto" w:before="2"/>
        <w:rPr>
          <w:rFonts w:ascii="宋体" w:hAnsi="宋体" w:cs="宋体" w:eastAsia="宋体" w:hint="default"/>
          <w:sz w:val="19"/>
          <w:szCs w:val="19"/>
        </w:rPr>
      </w:pPr>
    </w:p>
    <w:p>
      <w:pPr>
        <w:pStyle w:val="Heading3"/>
        <w:spacing w:line="240" w:lineRule="auto" w:before="35"/>
        <w:ind w:right="1022"/>
        <w:jc w:val="left"/>
        <w:rPr>
          <w:b w:val="0"/>
          <w:bCs w:val="0"/>
        </w:rPr>
      </w:pPr>
      <w:bookmarkStart w:name="42、现金流量表项目" w:id="293"/>
      <w:bookmarkEnd w:id="293"/>
      <w:r>
        <w:rPr>
          <w:b w:val="0"/>
          <w:bCs w:val="0"/>
        </w:rPr>
      </w:r>
      <w:r>
        <w:rPr>
          <w:rFonts w:ascii="Times New Roman" w:hAnsi="Times New Roman" w:cs="Times New Roman" w:eastAsia="Times New Roman" w:hint="default"/>
        </w:rPr>
        <w:t>42</w:t>
      </w:r>
      <w:r>
        <w:rPr/>
        <w:t>、现金流量表项目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22"/>
        <w:jc w:val="left"/>
        <w:rPr>
          <w:b w:val="0"/>
          <w:bCs w:val="0"/>
        </w:rPr>
      </w:pPr>
      <w:bookmarkStart w:name="（1）收到的其他与经营活动有关的现金" w:id="294"/>
      <w:bookmarkEnd w:id="294"/>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91,049,737.04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56,764,651.62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43,206,851.57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16,177,541.73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银行票据保证金解冻</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6,086,175.31</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收到其他往来款项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1,389,718.04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1,239,518.23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收回保证金</w:t>
            </w:r>
            <w:r>
              <w:rPr>
                <w:rFonts w:ascii="Times New Roman" w:hAnsi="Times New Roman" w:cs="Times New Roman" w:eastAsia="Times New Roman" w:hint="default"/>
                <w:sz w:val="18"/>
                <w:szCs w:val="18"/>
              </w:rPr>
              <w:t>/</w:t>
            </w:r>
            <w:r>
              <w:rPr>
                <w:rFonts w:ascii="宋体" w:hAnsi="宋体" w:cs="宋体" w:eastAsia="宋体" w:hint="default"/>
                <w:sz w:val="18"/>
                <w:szCs w:val="18"/>
              </w:rPr>
              <w:t>押金等</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21,050,243.31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16,816,628.68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162,782,725.27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90,998,340.26</w:t>
            </w:r>
          </w:p>
        </w:tc>
      </w:tr>
    </w:tbl>
    <w:p>
      <w:pPr>
        <w:spacing w:line="240" w:lineRule="auto" w:before="2"/>
        <w:rPr>
          <w:rFonts w:ascii="宋体" w:hAnsi="宋体" w:cs="宋体" w:eastAsia="宋体" w:hint="default"/>
          <w:sz w:val="19"/>
          <w:szCs w:val="19"/>
        </w:rPr>
      </w:pPr>
    </w:p>
    <w:p>
      <w:pPr>
        <w:pStyle w:val="Heading3"/>
        <w:spacing w:line="240" w:lineRule="auto" w:before="35"/>
        <w:ind w:right="1022"/>
        <w:jc w:val="left"/>
        <w:rPr>
          <w:b w:val="0"/>
          <w:bCs w:val="0"/>
        </w:rPr>
      </w:pPr>
      <w:bookmarkStart w:name="（2）支付的其他与经营活动有关的现金" w:id="295"/>
      <w:bookmarkEnd w:id="295"/>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支付各项费用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125,992,731.16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98,865,950.38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支付保证金</w:t>
            </w:r>
            <w:r>
              <w:rPr>
                <w:rFonts w:ascii="Times New Roman" w:hAnsi="Times New Roman" w:cs="Times New Roman" w:eastAsia="Times New Roman" w:hint="default"/>
                <w:sz w:val="18"/>
                <w:szCs w:val="18"/>
              </w:rPr>
              <w:t>/</w:t>
            </w:r>
            <w:r>
              <w:rPr>
                <w:rFonts w:ascii="宋体" w:hAnsi="宋体" w:cs="宋体" w:eastAsia="宋体" w:hint="default"/>
                <w:sz w:val="18"/>
                <w:szCs w:val="18"/>
              </w:rPr>
              <w:t>押金等</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33,245,929.02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64,836,480.00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银行票据保证金与贴现息</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7,718,754.89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10,232,700.33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员工业务借款等</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1,914,057.20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1,588,667.48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财务费用</w:t>
            </w:r>
            <w:r>
              <w:rPr>
                <w:rFonts w:ascii="Times New Roman" w:hAnsi="Times New Roman" w:cs="Times New Roman" w:eastAsia="Times New Roman" w:hint="default"/>
                <w:sz w:val="18"/>
                <w:szCs w:val="18"/>
              </w:rPr>
              <w:t>-</w:t>
            </w:r>
            <w:r>
              <w:rPr>
                <w:rFonts w:ascii="宋体" w:hAnsi="宋体" w:cs="宋体" w:eastAsia="宋体" w:hint="default"/>
                <w:sz w:val="18"/>
                <w:szCs w:val="18"/>
              </w:rPr>
              <w:t>手续费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178,666.59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217,608.63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169,050,138.86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175,741,406.82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r>
        <w:rPr/>
        <w:pict>
          <v:group style="position:absolute;margin-left:326.320007pt;margin-top:475.98999pt;width:104.7pt;height:20.7pt;mso-position-horizontal-relative:page;mso-position-vertical-relative:page;z-index:-1003144" coordorigin="6526,9520" coordsize="2094,414">
            <v:group style="position:absolute;left:6538;top:9531;width:2;height:392" coordorigin="6538,9531" coordsize="2,392">
              <v:shape style="position:absolute;left:6538;top:9531;width:2;height:392" coordorigin="6538,9531" coordsize="0,392" path="m6538,9531l6538,9922e" filled="false" stroked="true" strokeweight="1.140pt" strokecolor="#ffffff">
                <v:path arrowok="t"/>
              </v:shape>
            </v:group>
            <v:group style="position:absolute;left:6549;top:9531;width:2071;height:392" coordorigin="6549,9531" coordsize="2071,392">
              <v:shape style="position:absolute;left:6549;top:9531;width:2071;height:392" coordorigin="6549,9531" coordsize="2071,392" path="m6549,9922l8620,9922,8620,9531,6549,9531,6549,9922xe" filled="true" fillcolor="#ffffff" stroked="false">
                <v:path arrowok="t"/>
                <v:fill type="solid"/>
              </v:shape>
            </v:group>
            <w10:wrap type="none"/>
          </v:group>
        </w:pict>
      </w:r>
    </w:p>
    <w:p>
      <w:pPr>
        <w:pStyle w:val="Heading3"/>
        <w:spacing w:line="240" w:lineRule="auto" w:before="35"/>
        <w:ind w:right="1022"/>
        <w:jc w:val="left"/>
        <w:rPr>
          <w:b w:val="0"/>
          <w:bCs w:val="0"/>
        </w:rPr>
      </w:pPr>
      <w:bookmarkStart w:name="（3）支付的其他与筹资活动有关的现金" w:id="296"/>
      <w:bookmarkEnd w:id="296"/>
      <w:r>
        <w:rPr>
          <w:b w:val="0"/>
          <w:bCs w:val="0"/>
        </w:rPr>
      </w:r>
      <w:r>
        <w:rPr/>
        <w:t>（</w:t>
      </w:r>
      <w:r>
        <w:rPr>
          <w:rFonts w:ascii="Times New Roman" w:hAnsi="Times New Roman" w:cs="Times New Roman" w:eastAsia="Times New Roman" w:hint="default"/>
        </w:rPr>
        <w:t>3</w:t>
      </w:r>
      <w:r>
        <w:rPr/>
        <w:t>）支付的其他与筹资活动有关的现金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与证券公司结算年度分红手续费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25,263.03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1,357,911.28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定增发行费</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3,047,030.06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项目退回国有资本金</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200,000,000.00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收购子公司少数股东股权</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15,682,992.68</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15,708,255.71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204,404,941.34</w:t>
            </w:r>
          </w:p>
        </w:tc>
      </w:tr>
    </w:tbl>
    <w:p>
      <w:pPr>
        <w:spacing w:line="240" w:lineRule="auto" w:before="2"/>
        <w:rPr>
          <w:rFonts w:ascii="宋体" w:hAnsi="宋体" w:cs="宋体" w:eastAsia="宋体" w:hint="default"/>
          <w:sz w:val="19"/>
          <w:szCs w:val="19"/>
        </w:rPr>
      </w:pPr>
    </w:p>
    <w:p>
      <w:pPr>
        <w:pStyle w:val="Heading3"/>
        <w:spacing w:line="240" w:lineRule="auto" w:before="35"/>
        <w:ind w:right="1022"/>
        <w:jc w:val="left"/>
        <w:rPr>
          <w:b w:val="0"/>
          <w:bCs w:val="0"/>
        </w:rPr>
      </w:pPr>
      <w:bookmarkStart w:name="43、现金流量表补充资料" w:id="297"/>
      <w:bookmarkEnd w:id="297"/>
      <w:r>
        <w:rPr>
          <w:b w:val="0"/>
          <w:bCs w:val="0"/>
        </w:rPr>
      </w:r>
      <w:r>
        <w:rPr>
          <w:rFonts w:ascii="Times New Roman" w:hAnsi="Times New Roman" w:cs="Times New Roman" w:eastAsia="Times New Roman" w:hint="default"/>
        </w:rPr>
        <w:t>43</w:t>
      </w:r>
      <w:r>
        <w:rPr/>
        <w:t>、现金流量表补充资料</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22"/>
        <w:jc w:val="left"/>
        <w:rPr>
          <w:b w:val="0"/>
          <w:bCs w:val="0"/>
        </w:rPr>
      </w:pPr>
      <w:bookmarkStart w:name="（1）现金流量表补充资料" w:id="298"/>
      <w:bookmarkEnd w:id="298"/>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5365"/>
        <w:gridCol w:w="731"/>
        <w:gridCol w:w="1407"/>
        <w:gridCol w:w="2054"/>
      </w:tblGrid>
      <w:tr>
        <w:trPr>
          <w:trHeight w:val="403"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13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08"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2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62"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213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c>
          <w:tcPr>
            <w:tcW w:w="2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138"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968" w:right="0"/>
              <w:jc w:val="left"/>
              <w:rPr>
                <w:rFonts w:ascii="Times New Roman" w:hAnsi="Times New Roman" w:cs="Times New Roman" w:eastAsia="Times New Roman" w:hint="default"/>
                <w:sz w:val="18"/>
                <w:szCs w:val="18"/>
              </w:rPr>
            </w:pPr>
            <w:r>
              <w:rPr>
                <w:rFonts w:ascii="Times New Roman"/>
                <w:sz w:val="18"/>
              </w:rPr>
              <w:t>124,482,265.34</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177,252,475.08</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138"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58" w:right="0"/>
              <w:jc w:val="left"/>
              <w:rPr>
                <w:rFonts w:ascii="Times New Roman" w:hAnsi="Times New Roman" w:cs="Times New Roman" w:eastAsia="Times New Roman" w:hint="default"/>
                <w:sz w:val="18"/>
                <w:szCs w:val="18"/>
              </w:rPr>
            </w:pPr>
            <w:r>
              <w:rPr>
                <w:rFonts w:ascii="Times New Roman"/>
                <w:sz w:val="18"/>
              </w:rPr>
              <w:t>90,896,965.86</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74,602,596.49</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138"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058" w:right="0"/>
              <w:jc w:val="left"/>
              <w:rPr>
                <w:rFonts w:ascii="Times New Roman" w:hAnsi="Times New Roman" w:cs="Times New Roman" w:eastAsia="Times New Roman" w:hint="default"/>
                <w:sz w:val="18"/>
                <w:szCs w:val="18"/>
              </w:rPr>
            </w:pPr>
            <w:r>
              <w:rPr>
                <w:rFonts w:ascii="Times New Roman"/>
                <w:sz w:val="18"/>
              </w:rPr>
              <w:t>22,049,650.75</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26,800,137.64</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138"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58" w:right="0"/>
              <w:jc w:val="left"/>
              <w:rPr>
                <w:rFonts w:ascii="Times New Roman" w:hAnsi="Times New Roman" w:cs="Times New Roman" w:eastAsia="Times New Roman" w:hint="default"/>
                <w:sz w:val="18"/>
                <w:szCs w:val="18"/>
              </w:rPr>
            </w:pPr>
            <w:r>
              <w:rPr>
                <w:rFonts w:ascii="Times New Roman"/>
                <w:sz w:val="18"/>
              </w:rPr>
              <w:t>23,834,319.79</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7,916,085.43</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138"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282" w:right="0"/>
              <w:jc w:val="left"/>
              <w:rPr>
                <w:rFonts w:ascii="Times New Roman" w:hAnsi="Times New Roman" w:cs="Times New Roman" w:eastAsia="Times New Roman" w:hint="default"/>
                <w:sz w:val="18"/>
                <w:szCs w:val="18"/>
              </w:rPr>
            </w:pPr>
            <w:r>
              <w:rPr>
                <w:rFonts w:ascii="Times New Roman"/>
                <w:sz w:val="18"/>
              </w:rPr>
              <w:t>962,168.82</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2,165,224.17</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pacing w:val="-5"/>
                <w:sz w:val="18"/>
                <w:szCs w:val="18"/>
              </w:rPr>
              <w:t>处置固定资产、无形资产和其他长期资产的损失（收益以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号填列</w:t>
            </w:r>
          </w:p>
        </w:tc>
        <w:tc>
          <w:tcPr>
            <w:tcW w:w="731"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2"/>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14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657" w:right="0"/>
              <w:jc w:val="left"/>
              <w:rPr>
                <w:rFonts w:ascii="Times New Roman" w:hAnsi="Times New Roman" w:cs="Times New Roman" w:eastAsia="Times New Roman" w:hint="default"/>
                <w:sz w:val="18"/>
                <w:szCs w:val="18"/>
              </w:rPr>
            </w:pPr>
            <w:r>
              <w:rPr>
                <w:rFonts w:ascii="Times New Roman"/>
                <w:sz w:val="18"/>
              </w:rPr>
              <w:t>20,699.46</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-1,023,847.61</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138"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379" w:right="0"/>
              <w:jc w:val="left"/>
              <w:rPr>
                <w:rFonts w:ascii="Times New Roman" w:hAnsi="Times New Roman" w:cs="Times New Roman" w:eastAsia="Times New Roman" w:hint="default"/>
                <w:sz w:val="18"/>
                <w:szCs w:val="18"/>
              </w:rPr>
            </w:pPr>
            <w:r>
              <w:rPr>
                <w:rFonts w:ascii="Times New Roman"/>
                <w:sz w:val="18"/>
              </w:rPr>
              <w:t>11,287.08</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20,240.91</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138" w:type="dxa"/>
            <w:gridSpan w:val="2"/>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2,753,815.28</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138"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148" w:right="0"/>
              <w:jc w:val="left"/>
              <w:rPr>
                <w:rFonts w:ascii="Times New Roman" w:hAnsi="Times New Roman" w:cs="Times New Roman" w:eastAsia="Times New Roman" w:hint="default"/>
                <w:sz w:val="18"/>
                <w:szCs w:val="18"/>
              </w:rPr>
            </w:pPr>
            <w:r>
              <w:rPr>
                <w:rFonts w:ascii="Times New Roman"/>
                <w:sz w:val="18"/>
              </w:rPr>
              <w:t>3,988,314.96</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-1,803,366.18</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138"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998" w:right="0"/>
              <w:jc w:val="left"/>
              <w:rPr>
                <w:rFonts w:ascii="Times New Roman" w:hAnsi="Times New Roman" w:cs="Times New Roman" w:eastAsia="Times New Roman" w:hint="default"/>
                <w:sz w:val="18"/>
                <w:szCs w:val="18"/>
              </w:rPr>
            </w:pPr>
            <w:r>
              <w:rPr>
                <w:rFonts w:ascii="Times New Roman"/>
                <w:sz w:val="18"/>
              </w:rPr>
              <w:t>-27,316,198.47</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-7,405,112.47</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138"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998" w:right="0"/>
              <w:jc w:val="left"/>
              <w:rPr>
                <w:rFonts w:ascii="Times New Roman" w:hAnsi="Times New Roman" w:cs="Times New Roman" w:eastAsia="Times New Roman" w:hint="default"/>
                <w:sz w:val="18"/>
                <w:szCs w:val="18"/>
              </w:rPr>
            </w:pPr>
            <w:r>
              <w:rPr>
                <w:rFonts w:ascii="Times New Roman"/>
                <w:sz w:val="18"/>
              </w:rPr>
              <w:t>-98,845,506.79</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-6,152,825.84</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138"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908" w:right="0"/>
              <w:jc w:val="left"/>
              <w:rPr>
                <w:rFonts w:ascii="Times New Roman" w:hAnsi="Times New Roman" w:cs="Times New Roman" w:eastAsia="Times New Roman" w:hint="default"/>
                <w:sz w:val="18"/>
                <w:szCs w:val="18"/>
              </w:rPr>
            </w:pPr>
            <w:r>
              <w:rPr>
                <w:rFonts w:ascii="Times New Roman"/>
                <w:sz w:val="18"/>
              </w:rPr>
              <w:t>-225,758,791.62</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-618,647,310.67</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138"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974" w:right="0"/>
              <w:jc w:val="left"/>
              <w:rPr>
                <w:rFonts w:ascii="Times New Roman" w:hAnsi="Times New Roman" w:cs="Times New Roman" w:eastAsia="Times New Roman" w:hint="default"/>
                <w:sz w:val="18"/>
                <w:szCs w:val="18"/>
              </w:rPr>
            </w:pPr>
            <w:r>
              <w:rPr>
                <w:rFonts w:ascii="Times New Roman"/>
                <w:sz w:val="18"/>
              </w:rPr>
              <w:t>118,543,782.31</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292,457,861.19</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138"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58" w:right="0"/>
              <w:jc w:val="left"/>
              <w:rPr>
                <w:rFonts w:ascii="Times New Roman" w:hAnsi="Times New Roman" w:cs="Times New Roman" w:eastAsia="Times New Roman" w:hint="default"/>
                <w:sz w:val="18"/>
                <w:szCs w:val="18"/>
              </w:rPr>
            </w:pPr>
            <w:r>
              <w:rPr>
                <w:rFonts w:ascii="Times New Roman"/>
                <w:sz w:val="18"/>
              </w:rPr>
              <w:t>32,868,957.49</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-51,064,026.58</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213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c>
          <w:tcPr>
            <w:tcW w:w="2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213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c>
          <w:tcPr>
            <w:tcW w:w="2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138"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832" w:right="0"/>
              <w:jc w:val="left"/>
              <w:rPr>
                <w:rFonts w:ascii="Times New Roman" w:hAnsi="Times New Roman" w:cs="Times New Roman" w:eastAsia="Times New Roman" w:hint="default"/>
                <w:sz w:val="18"/>
                <w:szCs w:val="18"/>
              </w:rPr>
            </w:pPr>
            <w:r>
              <w:rPr>
                <w:rFonts w:ascii="Times New Roman"/>
                <w:sz w:val="18"/>
              </w:rPr>
              <w:t>1,931,298,590.37</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1,868,057,166.79</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138"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832" w:right="0"/>
              <w:jc w:val="left"/>
              <w:rPr>
                <w:rFonts w:ascii="Times New Roman" w:hAnsi="Times New Roman" w:cs="Times New Roman" w:eastAsia="Times New Roman" w:hint="default"/>
                <w:sz w:val="18"/>
                <w:szCs w:val="18"/>
              </w:rPr>
            </w:pPr>
            <w:r>
              <w:rPr>
                <w:rFonts w:ascii="Times New Roman"/>
                <w:sz w:val="18"/>
              </w:rPr>
              <w:t>1,868,057,166.79</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521,157,592.23</w:t>
            </w:r>
          </w:p>
        </w:tc>
      </w:tr>
      <w:tr>
        <w:trPr>
          <w:trHeight w:val="403"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138"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58" w:right="0"/>
              <w:jc w:val="left"/>
              <w:rPr>
                <w:rFonts w:ascii="Times New Roman" w:hAnsi="Times New Roman" w:cs="Times New Roman" w:eastAsia="Times New Roman" w:hint="default"/>
                <w:sz w:val="18"/>
                <w:szCs w:val="18"/>
              </w:rPr>
            </w:pPr>
            <w:r>
              <w:rPr>
                <w:rFonts w:ascii="Times New Roman"/>
                <w:sz w:val="18"/>
              </w:rPr>
              <w:t>63,241,423.58</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1,346,899,574.56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1022"/>
        <w:jc w:val="left"/>
        <w:rPr>
          <w:b w:val="0"/>
          <w:bCs w:val="0"/>
        </w:rPr>
      </w:pPr>
      <w:bookmarkStart w:name="（2）现金和现金等价物的构成" w:id="299"/>
      <w:bookmarkEnd w:id="299"/>
      <w:r>
        <w:rPr>
          <w:b w:val="0"/>
          <w:bCs w:val="0"/>
        </w:rPr>
      </w:r>
      <w:r>
        <w:rPr/>
        <w:t>（</w:t>
      </w:r>
      <w:r>
        <w:rPr>
          <w:rFonts w:ascii="Times New Roman" w:hAnsi="Times New Roman" w:cs="Times New Roman" w:eastAsia="Times New Roman" w:hint="default"/>
        </w:rPr>
        <w:t>2</w:t>
      </w:r>
      <w:r>
        <w:rPr/>
        <w:t>）现金和现金等价物的构成</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1,931,298,590.37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1,868,057,166.79</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344,119.78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280,832.95</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1,930,954,470.59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1,867,776,333.84</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1,931,298,590.37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1,868,057,166.79</w:t>
            </w:r>
          </w:p>
        </w:tc>
      </w:tr>
    </w:tbl>
    <w:p>
      <w:pPr>
        <w:spacing w:line="240" w:lineRule="auto" w:before="2"/>
        <w:rPr>
          <w:rFonts w:ascii="宋体" w:hAnsi="宋体" w:cs="宋体" w:eastAsia="宋体" w:hint="default"/>
          <w:sz w:val="19"/>
          <w:szCs w:val="19"/>
        </w:rPr>
      </w:pPr>
    </w:p>
    <w:p>
      <w:pPr>
        <w:pStyle w:val="Heading3"/>
        <w:spacing w:line="240" w:lineRule="auto" w:before="35"/>
        <w:ind w:right="1022"/>
        <w:jc w:val="left"/>
        <w:rPr>
          <w:b w:val="0"/>
          <w:bCs w:val="0"/>
        </w:rPr>
      </w:pPr>
      <w:bookmarkStart w:name="44、所有权或使用权受到限制的资产" w:id="300"/>
      <w:bookmarkEnd w:id="300"/>
      <w:r>
        <w:rPr>
          <w:b w:val="0"/>
          <w:bCs w:val="0"/>
        </w:rPr>
      </w:r>
      <w:r>
        <w:rPr>
          <w:rFonts w:ascii="Times New Roman" w:hAnsi="Times New Roman" w:cs="Times New Roman" w:eastAsia="Times New Roman" w:hint="default"/>
        </w:rPr>
        <w:t>44</w:t>
      </w:r>
      <w:r>
        <w:rPr/>
        <w:t>、所有权或使用权受到限制的资产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28"/>
        <w:gridCol w:w="3057"/>
        <w:gridCol w:w="3184"/>
      </w:tblGrid>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8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14,257,418.30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银行保函、汇票存出保证金</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1,163,097,398.37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因涉诉被法院查封，详见公司公告</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1,177,354,816.67</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1022"/>
        <w:jc w:val="left"/>
        <w:rPr>
          <w:b w:val="0"/>
          <w:bCs w:val="0"/>
        </w:rPr>
      </w:pPr>
      <w:bookmarkStart w:name="45、政府补助" w:id="301"/>
      <w:bookmarkEnd w:id="301"/>
      <w:r>
        <w:rPr>
          <w:b w:val="0"/>
          <w:bCs w:val="0"/>
        </w:rPr>
      </w:r>
      <w:r>
        <w:rPr>
          <w:rFonts w:ascii="Times New Roman" w:hAnsi="Times New Roman" w:cs="Times New Roman" w:eastAsia="Times New Roman" w:hint="default"/>
        </w:rPr>
        <w:t>45</w:t>
      </w:r>
      <w:r>
        <w:rPr/>
        <w:t>、政府补助</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022"/>
        <w:jc w:val="left"/>
        <w:rPr>
          <w:b w:val="0"/>
          <w:bCs w:val="0"/>
        </w:rPr>
      </w:pPr>
      <w:bookmarkStart w:name="（1）政府补助基本情况" w:id="302"/>
      <w:bookmarkEnd w:id="302"/>
      <w:r>
        <w:rPr>
          <w:b w:val="0"/>
          <w:bCs w:val="0"/>
        </w:rPr>
      </w:r>
      <w:r>
        <w:rPr/>
        <w:t>（</w:t>
      </w:r>
      <w:r>
        <w:rPr>
          <w:rFonts w:ascii="Times New Roman" w:hAnsi="Times New Roman" w:cs="Times New Roman" w:eastAsia="Times New Roman" w:hint="default"/>
        </w:rPr>
        <w:t>1</w:t>
      </w:r>
      <w:r>
        <w:rPr/>
        <w:t>）政府补助基本情况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列报项目</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0" w:right="0"/>
              <w:jc w:val="left"/>
              <w:rPr>
                <w:rFonts w:ascii="宋体" w:hAnsi="宋体" w:cs="宋体" w:eastAsia="宋体" w:hint="default"/>
                <w:sz w:val="18"/>
                <w:szCs w:val="18"/>
              </w:rPr>
            </w:pPr>
            <w:r>
              <w:rPr>
                <w:rFonts w:ascii="宋体" w:hAnsi="宋体" w:cs="宋体" w:eastAsia="宋体" w:hint="default"/>
                <w:sz w:val="18"/>
                <w:szCs w:val="18"/>
              </w:rPr>
              <w:t>计入当期损益的金额</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计入递延收益的政府补助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70,273,700.00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46,710,467.41</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计入其他收益的政府补助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4,737,777.56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4,737,777.56</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计入营业外收入的政府补助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16,038,259.48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16,038,259.48</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91,049,737.04</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67,486,504.45</w:t>
            </w:r>
          </w:p>
        </w:tc>
      </w:tr>
    </w:tbl>
    <w:p>
      <w:pPr>
        <w:spacing w:line="240" w:lineRule="auto" w:before="2"/>
        <w:rPr>
          <w:rFonts w:ascii="宋体" w:hAnsi="宋体" w:cs="宋体" w:eastAsia="宋体" w:hint="default"/>
          <w:sz w:val="19"/>
          <w:szCs w:val="19"/>
        </w:rPr>
      </w:pPr>
    </w:p>
    <w:p>
      <w:pPr>
        <w:pStyle w:val="Heading3"/>
        <w:spacing w:line="240" w:lineRule="auto" w:before="35"/>
        <w:ind w:right="1022"/>
        <w:jc w:val="left"/>
        <w:rPr>
          <w:b w:val="0"/>
          <w:bCs w:val="0"/>
        </w:rPr>
      </w:pPr>
      <w:bookmarkStart w:name="（2）政府补助退回情况" w:id="303"/>
      <w:bookmarkEnd w:id="303"/>
      <w:r>
        <w:rPr>
          <w:b w:val="0"/>
          <w:bCs w:val="0"/>
        </w:rPr>
      </w:r>
      <w:r>
        <w:rPr/>
        <w:t>（</w:t>
      </w:r>
      <w:r>
        <w:rPr>
          <w:rFonts w:ascii="Times New Roman" w:hAnsi="Times New Roman" w:cs="Times New Roman" w:eastAsia="Times New Roman" w:hint="default"/>
        </w:rPr>
        <w:t>2</w:t>
      </w:r>
      <w:r>
        <w:rPr/>
        <w:t>）政府补助退回情况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022"/>
        <w:jc w:val="left"/>
        <w:rPr>
          <w:b w:val="0"/>
          <w:bCs w:val="0"/>
        </w:rPr>
      </w:pPr>
      <w:bookmarkStart w:name="八、合并范围的变更" w:id="304"/>
      <w:bookmarkEnd w:id="304"/>
      <w:r>
        <w:rPr>
          <w:b w:val="0"/>
          <w:bCs w:val="0"/>
        </w:rPr>
      </w:r>
      <w:r>
        <w:rPr/>
        <w:t>八、合并范围的变更</w:t>
      </w:r>
      <w:r>
        <w:rPr>
          <w:b w:val="0"/>
          <w:bCs w:val="0"/>
        </w:rPr>
      </w:r>
    </w:p>
    <w:p>
      <w:pPr>
        <w:spacing w:line="240" w:lineRule="auto" w:before="8"/>
        <w:rPr>
          <w:rFonts w:ascii="宋体" w:hAnsi="宋体" w:cs="宋体" w:eastAsia="宋体" w:hint="default"/>
          <w:b/>
          <w:bCs/>
          <w:sz w:val="24"/>
          <w:szCs w:val="24"/>
        </w:rPr>
      </w:pPr>
    </w:p>
    <w:p>
      <w:pPr>
        <w:pStyle w:val="Heading4"/>
        <w:spacing w:line="240" w:lineRule="auto" w:before="0"/>
        <w:ind w:right="1022"/>
        <w:jc w:val="left"/>
      </w:pPr>
      <w:r>
        <w:rPr/>
        <w:t>本期纳入合并财务报表范围的主体与上期相比未发生变化。</w:t>
      </w:r>
    </w:p>
    <w:p>
      <w:pPr>
        <w:spacing w:after="0" w:line="240" w:lineRule="auto"/>
        <w:jc w:val="left"/>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022"/>
        <w:jc w:val="left"/>
        <w:rPr>
          <w:b w:val="0"/>
          <w:bCs w:val="0"/>
        </w:rPr>
      </w:pPr>
      <w:bookmarkStart w:name="九、在其他主体中的权益" w:id="305"/>
      <w:bookmarkEnd w:id="305"/>
      <w:r>
        <w:rPr>
          <w:b w:val="0"/>
          <w:bCs w:val="0"/>
        </w:rPr>
      </w:r>
      <w:r>
        <w:rPr/>
        <w:t>九、在其他主体中的权益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022"/>
        <w:jc w:val="left"/>
        <w:rPr>
          <w:b w:val="0"/>
          <w:bCs w:val="0"/>
        </w:rPr>
      </w:pPr>
      <w:bookmarkStart w:name="1、在子公司中的权益" w:id="306"/>
      <w:bookmarkEnd w:id="306"/>
      <w:r>
        <w:rPr>
          <w:b w:val="0"/>
          <w:bCs w:val="0"/>
        </w:rPr>
      </w:r>
      <w:r>
        <w:rPr>
          <w:rFonts w:ascii="Times New Roman" w:hAnsi="Times New Roman" w:cs="Times New Roman" w:eastAsia="Times New Roman" w:hint="default"/>
        </w:rPr>
        <w:t>1</w:t>
      </w:r>
      <w:r>
        <w:rPr/>
        <w:t>、在子公司中的权益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022"/>
        <w:jc w:val="left"/>
        <w:rPr>
          <w:b w:val="0"/>
          <w:bCs w:val="0"/>
        </w:rPr>
      </w:pPr>
      <w:bookmarkStart w:name="（1）企业集团的构成" w:id="307"/>
      <w:bookmarkEnd w:id="307"/>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687"/>
        <w:gridCol w:w="1134"/>
        <w:gridCol w:w="850"/>
        <w:gridCol w:w="994"/>
        <w:gridCol w:w="850"/>
        <w:gridCol w:w="692"/>
        <w:gridCol w:w="1366"/>
      </w:tblGrid>
      <w:tr>
        <w:trPr>
          <w:trHeight w:val="402" w:hRule="exact"/>
        </w:trPr>
        <w:tc>
          <w:tcPr>
            <w:tcW w:w="368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11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111"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8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149"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9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130"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4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05"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1" w:hRule="exact"/>
        </w:trPr>
        <w:tc>
          <w:tcPr>
            <w:tcW w:w="3687" w:type="dxa"/>
            <w:vMerge/>
            <w:tcBorders>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994" w:type="dxa"/>
            <w:vMerge/>
            <w:tcBorders>
              <w:left w:val="single" w:sz="4" w:space="0" w:color="000000"/>
              <w:bottom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9" w:right="0"/>
              <w:jc w:val="left"/>
              <w:rPr>
                <w:rFonts w:ascii="宋体" w:hAnsi="宋体" w:cs="宋体" w:eastAsia="宋体" w:hint="default"/>
                <w:sz w:val="18"/>
                <w:szCs w:val="18"/>
              </w:rPr>
            </w:pPr>
            <w:r>
              <w:rPr>
                <w:rFonts w:ascii="宋体" w:hAnsi="宋体" w:cs="宋体" w:eastAsia="宋体" w:hint="default"/>
                <w:sz w:val="18"/>
                <w:szCs w:val="18"/>
              </w:rPr>
              <w:t>直接</w:t>
            </w:r>
          </w:p>
        </w:tc>
        <w:tc>
          <w:tcPr>
            <w:tcW w:w="6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0" w:right="0"/>
              <w:jc w:val="left"/>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中电科（北京）网络信息安全有限公司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信息安全</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100.00%</w:t>
            </w:r>
          </w:p>
        </w:tc>
        <w:tc>
          <w:tcPr>
            <w:tcW w:w="692"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成都卫士通信息安全技术有限公司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四川成都</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四川成都</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信息安全</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100.00%</w:t>
            </w:r>
          </w:p>
        </w:tc>
        <w:tc>
          <w:tcPr>
            <w:tcW w:w="692"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四川卫士通信息安全平台技术有限公司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四川成都</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四川成都</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信息安全</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100.00%</w:t>
            </w:r>
          </w:p>
        </w:tc>
        <w:tc>
          <w:tcPr>
            <w:tcW w:w="692"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成都三零豪赛网络安全技术有限公司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四川成都</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四川成都</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信息安全</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100.00%</w:t>
            </w:r>
          </w:p>
        </w:tc>
        <w:tc>
          <w:tcPr>
            <w:tcW w:w="692"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成都三零盛安信息系统有限公司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四川成都</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四川成都</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信息安全</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96.20%</w:t>
            </w:r>
          </w:p>
        </w:tc>
        <w:tc>
          <w:tcPr>
            <w:tcW w:w="692"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同一控制下合并</w:t>
            </w: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成都三零瑞通移动通信有限公司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四川成都</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四川成都</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信息安全</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95.50%</w:t>
            </w:r>
          </w:p>
        </w:tc>
        <w:tc>
          <w:tcPr>
            <w:tcW w:w="692"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同一控制下合并</w:t>
            </w: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成都三零嘉微电子有限公司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四川成都</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四川成都</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信息安全</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88.15%</w:t>
            </w:r>
          </w:p>
        </w:tc>
        <w:tc>
          <w:tcPr>
            <w:tcW w:w="692"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同一控制下合并</w:t>
            </w: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上海卫士通网络安全有限公司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信息安全</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75.00%</w:t>
            </w:r>
          </w:p>
        </w:tc>
        <w:tc>
          <w:tcPr>
            <w:tcW w:w="692"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3"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中电科（天津）网络信息安全有限公司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信息安全</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65.00%</w:t>
            </w:r>
          </w:p>
        </w:tc>
        <w:tc>
          <w:tcPr>
            <w:tcW w:w="692"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bl>
    <w:p>
      <w:pPr>
        <w:spacing w:line="240" w:lineRule="auto" w:before="2"/>
        <w:rPr>
          <w:rFonts w:ascii="宋体" w:hAnsi="宋体" w:cs="宋体" w:eastAsia="宋体" w:hint="default"/>
          <w:b/>
          <w:bCs/>
          <w:sz w:val="19"/>
          <w:szCs w:val="19"/>
        </w:rPr>
      </w:pPr>
    </w:p>
    <w:p>
      <w:pPr>
        <w:pStyle w:val="Heading3"/>
        <w:spacing w:line="240" w:lineRule="auto" w:before="35"/>
        <w:ind w:right="1022"/>
        <w:jc w:val="left"/>
        <w:rPr>
          <w:b w:val="0"/>
          <w:bCs w:val="0"/>
        </w:rPr>
      </w:pPr>
      <w:bookmarkStart w:name="（2）重要的非全资子公司" w:id="308"/>
      <w:bookmarkEnd w:id="308"/>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694"/>
        <w:gridCol w:w="1137"/>
        <w:gridCol w:w="1914"/>
        <w:gridCol w:w="1913"/>
        <w:gridCol w:w="1913"/>
      </w:tblGrid>
      <w:tr>
        <w:trPr>
          <w:trHeight w:val="764"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892"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1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6"/>
              <w:ind w:left="382" w:right="22" w:hanging="360"/>
              <w:jc w:val="left"/>
              <w:rPr>
                <w:rFonts w:ascii="宋体" w:hAnsi="宋体" w:cs="宋体" w:eastAsia="宋体" w:hint="default"/>
                <w:sz w:val="18"/>
                <w:szCs w:val="18"/>
              </w:rPr>
            </w:pPr>
            <w:r>
              <w:rPr>
                <w:rFonts w:ascii="宋体" w:hAnsi="宋体" w:cs="宋体" w:eastAsia="宋体" w:hint="default"/>
                <w:sz w:val="18"/>
                <w:szCs w:val="18"/>
              </w:rPr>
              <w:t>少数股东持股 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6"/>
              <w:ind w:left="771" w:right="50"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6"/>
              <w:ind w:left="591" w:right="51"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49"/>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成都三零盛安信息系统有限公司</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31,373.65</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10,821,786.32</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成都三零瑞通移动通信有限公司</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1,739,561.53</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13,691,302.09</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成都三零嘉微电子有限公司</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4,281,515.85</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28,395,212.59</w:t>
            </w:r>
          </w:p>
        </w:tc>
      </w:tr>
    </w:tbl>
    <w:p>
      <w:pPr>
        <w:spacing w:line="240" w:lineRule="auto" w:before="2"/>
        <w:rPr>
          <w:rFonts w:ascii="宋体" w:hAnsi="宋体" w:cs="宋体" w:eastAsia="宋体" w:hint="default"/>
          <w:sz w:val="19"/>
          <w:szCs w:val="19"/>
        </w:rPr>
      </w:pPr>
    </w:p>
    <w:p>
      <w:pPr>
        <w:pStyle w:val="Heading3"/>
        <w:spacing w:line="240" w:lineRule="auto" w:before="35"/>
        <w:ind w:right="1022"/>
        <w:jc w:val="left"/>
        <w:rPr>
          <w:b w:val="0"/>
          <w:bCs w:val="0"/>
        </w:rPr>
      </w:pPr>
      <w:bookmarkStart w:name="（3）重要非全资子公司的主要财务信息" w:id="309"/>
      <w:bookmarkEnd w:id="309"/>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7"/>
        <w:gridCol w:w="735"/>
        <w:gridCol w:w="736"/>
        <w:gridCol w:w="734"/>
        <w:gridCol w:w="736"/>
        <w:gridCol w:w="735"/>
        <w:gridCol w:w="737"/>
        <w:gridCol w:w="737"/>
        <w:gridCol w:w="736"/>
      </w:tblGrid>
      <w:tr>
        <w:trPr>
          <w:trHeight w:val="401" w:hRule="exact"/>
        </w:trPr>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9" w:lineRule="auto"/>
              <w:ind w:left="182" w:right="93"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736" w:type="dxa"/>
            <w:vMerge/>
            <w:tcBorders>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90"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0"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0"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3" w:right="91"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1650"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161"/>
              <w:jc w:val="both"/>
              <w:rPr>
                <w:rFonts w:ascii="宋体" w:hAnsi="宋体" w:cs="宋体" w:eastAsia="宋体" w:hint="default"/>
                <w:sz w:val="18"/>
                <w:szCs w:val="18"/>
              </w:rPr>
            </w:pPr>
            <w:r>
              <w:rPr>
                <w:rFonts w:ascii="宋体" w:hAnsi="宋体" w:cs="宋体" w:eastAsia="宋体" w:hint="default"/>
                <w:sz w:val="18"/>
                <w:szCs w:val="18"/>
              </w:rPr>
              <w:t>成都三 零盛安 信息系 统有限 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570,711,</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298.33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48,120,8</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55.20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618,832,</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153.53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333,017,</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279.62</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1,324,01</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7.08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334,341,</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296.70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638,805,</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254.16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41,677,9</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04.96</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680,483,</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159.12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395,225,</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184.42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1,591,89</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0.92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396,817,</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075.34</w:t>
            </w:r>
          </w:p>
        </w:tc>
      </w:tr>
      <w:tr>
        <w:trPr>
          <w:trHeight w:val="362"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成都三</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697,532,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71,447,0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768,979,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454,206,</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2" w:right="0"/>
              <w:jc w:val="left"/>
              <w:rPr>
                <w:rFonts w:ascii="Times New Roman" w:hAnsi="Times New Roman" w:cs="Times New Roman" w:eastAsia="Times New Roman" w:hint="default"/>
                <w:sz w:val="18"/>
                <w:szCs w:val="18"/>
              </w:rPr>
            </w:pPr>
            <w:r>
              <w:rPr>
                <w:rFonts w:ascii="Times New Roman"/>
                <w:sz w:val="18"/>
              </w:rPr>
              <w:t>10,290,3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1" w:right="0"/>
              <w:jc w:val="left"/>
              <w:rPr>
                <w:rFonts w:ascii="Times New Roman" w:hAnsi="Times New Roman" w:cs="Times New Roman" w:eastAsia="Times New Roman" w:hint="default"/>
                <w:sz w:val="18"/>
                <w:szCs w:val="18"/>
              </w:rPr>
            </w:pPr>
            <w:r>
              <w:rPr>
                <w:rFonts w:ascii="Times New Roman"/>
                <w:sz w:val="18"/>
              </w:rPr>
              <w:t>464,496,</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1" w:right="0"/>
              <w:jc w:val="left"/>
              <w:rPr>
                <w:rFonts w:ascii="Times New Roman" w:hAnsi="Times New Roman" w:cs="Times New Roman" w:eastAsia="Times New Roman" w:hint="default"/>
                <w:sz w:val="18"/>
                <w:szCs w:val="18"/>
              </w:rPr>
            </w:pPr>
            <w:r>
              <w:rPr>
                <w:rFonts w:ascii="Times New Roman"/>
                <w:sz w:val="18"/>
              </w:rPr>
              <w:t>428,943,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1" w:right="0"/>
              <w:jc w:val="left"/>
              <w:rPr>
                <w:rFonts w:ascii="Times New Roman" w:hAnsi="Times New Roman" w:cs="Times New Roman" w:eastAsia="Times New Roman" w:hint="default"/>
                <w:sz w:val="18"/>
                <w:szCs w:val="18"/>
              </w:rPr>
            </w:pPr>
            <w:r>
              <w:rPr>
                <w:rFonts w:ascii="Times New Roman"/>
                <w:sz w:val="18"/>
              </w:rPr>
              <w:t>73,987,2</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1" w:right="0"/>
              <w:jc w:val="left"/>
              <w:rPr>
                <w:rFonts w:ascii="Times New Roman" w:hAnsi="Times New Roman" w:cs="Times New Roman" w:eastAsia="Times New Roman" w:hint="default"/>
                <w:sz w:val="18"/>
                <w:szCs w:val="18"/>
              </w:rPr>
            </w:pPr>
            <w:r>
              <w:rPr>
                <w:rFonts w:ascii="Times New Roman"/>
                <w:sz w:val="18"/>
              </w:rPr>
              <w:t>502,930,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221,143,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15,990,5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237,134,</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7"/>
        <w:gridCol w:w="735"/>
        <w:gridCol w:w="736"/>
        <w:gridCol w:w="734"/>
        <w:gridCol w:w="736"/>
        <w:gridCol w:w="735"/>
        <w:gridCol w:w="737"/>
        <w:gridCol w:w="737"/>
        <w:gridCol w:w="736"/>
      </w:tblGrid>
      <w:tr>
        <w:trPr>
          <w:trHeight w:val="1298"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61"/>
              <w:jc w:val="both"/>
              <w:rPr>
                <w:rFonts w:ascii="宋体" w:hAnsi="宋体" w:cs="宋体" w:eastAsia="宋体" w:hint="default"/>
                <w:sz w:val="18"/>
                <w:szCs w:val="18"/>
              </w:rPr>
            </w:pPr>
            <w:r>
              <w:rPr>
                <w:rFonts w:ascii="宋体" w:hAnsi="宋体" w:cs="宋体" w:eastAsia="宋体" w:hint="default"/>
                <w:sz w:val="18"/>
                <w:szCs w:val="18"/>
              </w:rPr>
              <w:t>零瑞通 移动通 信有限 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9" w:right="0"/>
              <w:jc w:val="left"/>
              <w:rPr>
                <w:rFonts w:ascii="Times New Roman" w:hAnsi="Times New Roman" w:cs="Times New Roman" w:eastAsia="Times New Roman" w:hint="default"/>
                <w:sz w:val="18"/>
                <w:szCs w:val="18"/>
              </w:rPr>
            </w:pPr>
            <w:r>
              <w:rPr>
                <w:rFonts w:ascii="Times New Roman"/>
                <w:sz w:val="18"/>
              </w:rPr>
              <w:t>269.02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98" w:right="0"/>
              <w:jc w:val="left"/>
              <w:rPr>
                <w:rFonts w:ascii="Times New Roman" w:hAnsi="Times New Roman" w:cs="Times New Roman" w:eastAsia="Times New Roman" w:hint="default"/>
                <w:sz w:val="18"/>
                <w:szCs w:val="18"/>
              </w:rPr>
            </w:pPr>
            <w:r>
              <w:rPr>
                <w:rFonts w:ascii="Times New Roman"/>
                <w:sz w:val="18"/>
              </w:rPr>
              <w:t>08.77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8" w:right="0"/>
              <w:jc w:val="left"/>
              <w:rPr>
                <w:rFonts w:ascii="Times New Roman" w:hAnsi="Times New Roman" w:cs="Times New Roman" w:eastAsia="Times New Roman" w:hint="default"/>
                <w:sz w:val="18"/>
                <w:szCs w:val="18"/>
              </w:rPr>
            </w:pPr>
            <w:r>
              <w:rPr>
                <w:rFonts w:ascii="Times New Roman"/>
                <w:sz w:val="18"/>
              </w:rPr>
              <w:t>277.79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9" w:right="0"/>
              <w:jc w:val="left"/>
              <w:rPr>
                <w:rFonts w:ascii="Times New Roman" w:hAnsi="Times New Roman" w:cs="Times New Roman" w:eastAsia="Times New Roman" w:hint="default"/>
                <w:sz w:val="18"/>
                <w:szCs w:val="18"/>
              </w:rPr>
            </w:pPr>
            <w:r>
              <w:rPr>
                <w:rFonts w:ascii="Times New Roman"/>
                <w:sz w:val="18"/>
              </w:rPr>
              <w:t>098.31</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97" w:right="0"/>
              <w:jc w:val="left"/>
              <w:rPr>
                <w:rFonts w:ascii="Times New Roman" w:hAnsi="Times New Roman" w:cs="Times New Roman" w:eastAsia="Times New Roman" w:hint="default"/>
                <w:sz w:val="18"/>
                <w:szCs w:val="18"/>
              </w:rPr>
            </w:pPr>
            <w:r>
              <w:rPr>
                <w:rFonts w:ascii="Times New Roman"/>
                <w:sz w:val="18"/>
              </w:rPr>
              <w:t>00.00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7" w:right="0"/>
              <w:jc w:val="left"/>
              <w:rPr>
                <w:rFonts w:ascii="Times New Roman" w:hAnsi="Times New Roman" w:cs="Times New Roman" w:eastAsia="Times New Roman" w:hint="default"/>
                <w:sz w:val="18"/>
                <w:szCs w:val="18"/>
              </w:rPr>
            </w:pPr>
            <w:r>
              <w:rPr>
                <w:rFonts w:ascii="Times New Roman"/>
                <w:sz w:val="18"/>
              </w:rPr>
              <w:t>398.31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7" w:right="0"/>
              <w:jc w:val="left"/>
              <w:rPr>
                <w:rFonts w:ascii="Times New Roman" w:hAnsi="Times New Roman" w:cs="Times New Roman" w:eastAsia="Times New Roman" w:hint="default"/>
                <w:sz w:val="18"/>
                <w:szCs w:val="18"/>
              </w:rPr>
            </w:pPr>
            <w:r>
              <w:rPr>
                <w:rFonts w:ascii="Times New Roman"/>
                <w:sz w:val="18"/>
              </w:rPr>
              <w:t>562.13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97" w:right="0"/>
              <w:jc w:val="left"/>
              <w:rPr>
                <w:rFonts w:ascii="Times New Roman" w:hAnsi="Times New Roman" w:cs="Times New Roman" w:eastAsia="Times New Roman" w:hint="default"/>
                <w:sz w:val="18"/>
                <w:szCs w:val="18"/>
              </w:rPr>
            </w:pPr>
            <w:r>
              <w:rPr>
                <w:rFonts w:ascii="Times New Roman"/>
                <w:sz w:val="18"/>
              </w:rPr>
              <w:t>49.46</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3" w:right="0"/>
              <w:jc w:val="left"/>
              <w:rPr>
                <w:rFonts w:ascii="Times New Roman" w:hAnsi="Times New Roman" w:cs="Times New Roman" w:eastAsia="Times New Roman" w:hint="default"/>
                <w:sz w:val="18"/>
                <w:szCs w:val="18"/>
              </w:rPr>
            </w:pPr>
            <w:r>
              <w:rPr>
                <w:rFonts w:ascii="Times New Roman"/>
                <w:sz w:val="18"/>
              </w:rPr>
              <w:t>811.59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9" w:right="0"/>
              <w:jc w:val="left"/>
              <w:rPr>
                <w:rFonts w:ascii="Times New Roman" w:hAnsi="Times New Roman" w:cs="Times New Roman" w:eastAsia="Times New Roman" w:hint="default"/>
                <w:sz w:val="18"/>
                <w:szCs w:val="18"/>
              </w:rPr>
            </w:pPr>
            <w:r>
              <w:rPr>
                <w:rFonts w:ascii="Times New Roman"/>
                <w:sz w:val="18"/>
              </w:rPr>
              <w:t>796.58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99" w:right="0"/>
              <w:jc w:val="left"/>
              <w:rPr>
                <w:rFonts w:ascii="Times New Roman" w:hAnsi="Times New Roman" w:cs="Times New Roman" w:eastAsia="Times New Roman" w:hint="default"/>
                <w:sz w:val="18"/>
                <w:szCs w:val="18"/>
              </w:rPr>
            </w:pPr>
            <w:r>
              <w:rPr>
                <w:rFonts w:ascii="Times New Roman"/>
                <w:sz w:val="18"/>
              </w:rPr>
              <w:t>00.00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8" w:right="0"/>
              <w:jc w:val="left"/>
              <w:rPr>
                <w:rFonts w:ascii="Times New Roman" w:hAnsi="Times New Roman" w:cs="Times New Roman" w:eastAsia="Times New Roman" w:hint="default"/>
                <w:sz w:val="18"/>
                <w:szCs w:val="18"/>
              </w:rPr>
            </w:pPr>
            <w:r>
              <w:rPr>
                <w:rFonts w:ascii="Times New Roman"/>
                <w:sz w:val="18"/>
              </w:rPr>
              <w:t>296.58</w:t>
            </w:r>
          </w:p>
        </w:tc>
      </w:tr>
      <w:tr>
        <w:trPr>
          <w:trHeight w:val="1338"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成都三 零嘉微 电子有 限公司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312,349,</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864.13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16,125,0</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46.85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328,474,</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910.98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53,214,8</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35.29</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35,716,4</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88,931,2</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35.29</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256,792,</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282.61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16,425,1</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01.06</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273,217,</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383.67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48,326,4</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26.33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21,466,4</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00.00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69,792,8</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26.33</w:t>
            </w:r>
          </w:p>
        </w:tc>
      </w:tr>
    </w:tbl>
    <w:p>
      <w:pPr>
        <w:pStyle w:val="BodyText"/>
        <w:spacing w:line="240" w:lineRule="auto" w:before="51"/>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2"/>
        <w:gridCol w:w="1066"/>
        <w:gridCol w:w="1064"/>
        <w:gridCol w:w="1063"/>
        <w:gridCol w:w="1064"/>
        <w:gridCol w:w="1063"/>
        <w:gridCol w:w="1066"/>
      </w:tblGrid>
      <w:tr>
        <w:trPr>
          <w:trHeight w:val="402"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7" w:right="76"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56"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57"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成都三零盛 安信息系统 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275,903,787.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78</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19" w:right="0"/>
              <w:jc w:val="left"/>
              <w:rPr>
                <w:rFonts w:ascii="Times New Roman" w:hAnsi="Times New Roman" w:cs="Times New Roman" w:eastAsia="Times New Roman" w:hint="default"/>
                <w:sz w:val="18"/>
                <w:szCs w:val="18"/>
              </w:rPr>
            </w:pPr>
            <w:r>
              <w:rPr>
                <w:rFonts w:ascii="Times New Roman"/>
                <w:sz w:val="18"/>
              </w:rPr>
              <w:t>824,773.05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3" w:right="0"/>
              <w:jc w:val="left"/>
              <w:rPr>
                <w:rFonts w:ascii="Times New Roman" w:hAnsi="Times New Roman" w:cs="Times New Roman" w:eastAsia="Times New Roman" w:hint="default"/>
                <w:sz w:val="18"/>
                <w:szCs w:val="18"/>
              </w:rPr>
            </w:pPr>
            <w:r>
              <w:rPr>
                <w:rFonts w:ascii="Times New Roman"/>
                <w:sz w:val="18"/>
              </w:rPr>
              <w:t>824,773.05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-45,929,769.6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408,738,618.</w:t>
            </w:r>
          </w:p>
          <w:p>
            <w:pPr>
              <w:pStyle w:val="TableParagraph"/>
              <w:spacing w:line="240" w:lineRule="auto" w:before="105"/>
              <w:ind w:right="29"/>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20,592,240.2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20,592,240.2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31,792,602.6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成都三零瑞 通移动通信 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452,902,054.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01</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38,686,364.4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38,686,364.4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-14,517,559.2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259,866,884.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21,820,964.8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21,820,964.8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57,835,268.9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成都三零嘉 微电子有限 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183,457,048.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26</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36,119,118.3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36,119,118.3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103,318,208.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121,479,672.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42,715,749.9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42,715,749.9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11,569,289.1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r>
    </w:tbl>
    <w:p>
      <w:pPr>
        <w:spacing w:line="240" w:lineRule="auto" w:before="2"/>
        <w:rPr>
          <w:rFonts w:ascii="宋体" w:hAnsi="宋体" w:cs="宋体" w:eastAsia="宋体" w:hint="default"/>
          <w:sz w:val="19"/>
          <w:szCs w:val="19"/>
        </w:rPr>
      </w:pPr>
    </w:p>
    <w:p>
      <w:pPr>
        <w:pStyle w:val="Heading3"/>
        <w:spacing w:line="240" w:lineRule="auto" w:before="35"/>
        <w:ind w:right="1022"/>
        <w:jc w:val="left"/>
        <w:rPr>
          <w:b w:val="0"/>
          <w:bCs w:val="0"/>
        </w:rPr>
      </w:pPr>
      <w:bookmarkStart w:name="2、在子公司的所有者权益份额发生变化且仍控制子公司的交易" w:id="310"/>
      <w:bookmarkEnd w:id="310"/>
      <w:r>
        <w:rPr>
          <w:b w:val="0"/>
          <w:bCs w:val="0"/>
        </w:rPr>
      </w: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610" w:lineRule="atLeast" w:before="3"/>
        <w:ind w:left="574" w:right="1022" w:hanging="420"/>
        <w:jc w:val="left"/>
        <w:rPr>
          <w:rFonts w:ascii="宋体" w:hAnsi="宋体" w:cs="宋体" w:eastAsia="宋体" w:hint="default"/>
          <w:sz w:val="21"/>
          <w:szCs w:val="21"/>
        </w:rPr>
      </w:pPr>
      <w:bookmarkStart w:name="（1）在子公司所有者权益份额发生变化的情况说明" w:id="311"/>
      <w:bookmarkEnd w:id="31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）在子公司所有者权益份额发生变化的情况说明</w:t>
      </w:r>
      <w:r>
        <w:rPr>
          <w:rFonts w:ascii="宋体" w:hAnsi="宋体" w:cs="宋体" w:eastAsia="宋体" w:hint="default"/>
          <w:b/>
          <w:bCs/>
          <w:w w:val="99"/>
          <w:sz w:val="21"/>
          <w:szCs w:val="21"/>
        </w:rPr>
        <w:t> </w:t>
      </w:r>
      <w:r>
        <w:rPr>
          <w:rFonts w:ascii="宋体" w:hAnsi="宋体" w:cs="宋体" w:eastAsia="宋体" w:hint="default"/>
          <w:spacing w:val="-1"/>
          <w:sz w:val="21"/>
          <w:szCs w:val="21"/>
        </w:rPr>
        <w:t>本公司于</w:t>
      </w:r>
      <w:r>
        <w:rPr>
          <w:rFonts w:ascii="Times New Roman" w:hAnsi="Times New Roman" w:cs="Times New Roman" w:eastAsia="Times New Roman" w:hint="default"/>
          <w:spacing w:val="-1"/>
          <w:sz w:val="21"/>
          <w:szCs w:val="21"/>
        </w:rPr>
        <w:t>2018</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8</w:t>
      </w:r>
      <w:r>
        <w:rPr>
          <w:rFonts w:ascii="宋体" w:hAnsi="宋体" w:cs="宋体" w:eastAsia="宋体" w:hint="default"/>
          <w:spacing w:val="-1"/>
          <w:sz w:val="21"/>
          <w:szCs w:val="21"/>
        </w:rPr>
        <w:t>月</w:t>
      </w:r>
      <w:r>
        <w:rPr>
          <w:rFonts w:ascii="Times New Roman" w:hAnsi="Times New Roman" w:cs="Times New Roman" w:eastAsia="Times New Roman" w:hint="default"/>
          <w:spacing w:val="-1"/>
          <w:sz w:val="21"/>
          <w:szCs w:val="21"/>
        </w:rPr>
        <w:t>1</w:t>
      </w:r>
      <w:r>
        <w:rPr>
          <w:rFonts w:ascii="宋体" w:hAnsi="宋体" w:cs="宋体" w:eastAsia="宋体" w:hint="default"/>
          <w:spacing w:val="-1"/>
          <w:sz w:val="21"/>
          <w:szCs w:val="21"/>
        </w:rPr>
        <w:t>日向本公司控股子公司四川卫士通信息安全平台技术有限公司的周崇智、喻斌和</w:t>
      </w:r>
    </w:p>
    <w:p>
      <w:pPr>
        <w:pStyle w:val="Heading4"/>
        <w:spacing w:line="240" w:lineRule="auto" w:before="21"/>
        <w:ind w:right="1022"/>
        <w:jc w:val="left"/>
      </w:pPr>
      <w:r>
        <w:rPr/>
        <w:t>任利民等少数股东以</w:t>
      </w:r>
      <w:r>
        <w:rPr>
          <w:rFonts w:ascii="Times New Roman" w:hAnsi="Times New Roman" w:cs="Times New Roman" w:eastAsia="Times New Roman" w:hint="default"/>
        </w:rPr>
        <w:t>7.35</w:t>
      </w:r>
      <w:r>
        <w:rPr/>
        <w:t>元</w:t>
      </w:r>
      <w:r>
        <w:rPr>
          <w:rFonts w:ascii="Times New Roman" w:hAnsi="Times New Roman" w:cs="Times New Roman" w:eastAsia="Times New Roman" w:hint="default"/>
        </w:rPr>
        <w:t>/</w:t>
      </w:r>
      <w:r>
        <w:rPr/>
        <w:t>股的价格买子公司四川卫士通信息安全平台技术有限公司</w:t>
      </w:r>
      <w:r>
        <w:rPr>
          <w:rFonts w:ascii="Times New Roman" w:hAnsi="Times New Roman" w:cs="Times New Roman" w:eastAsia="Times New Roman" w:hint="default"/>
        </w:rPr>
        <w:t>21.34%</w:t>
      </w:r>
      <w:r>
        <w:rPr/>
        <w:t>的股权</w:t>
      </w:r>
    </w:p>
    <w:p>
      <w:pPr>
        <w:pStyle w:val="Heading4"/>
        <w:spacing w:line="240" w:lineRule="auto" w:before="21"/>
        <w:ind w:right="1022"/>
        <w:jc w:val="left"/>
      </w:pPr>
      <w:r>
        <w:rPr/>
        <w:t>（</w:t>
      </w:r>
      <w:r>
        <w:rPr>
          <w:rFonts w:ascii="Times New Roman" w:hAnsi="Times New Roman" w:cs="Times New Roman" w:eastAsia="Times New Roman" w:hint="default"/>
        </w:rPr>
        <w:t>213.37</w:t>
      </w:r>
      <w:r>
        <w:rPr/>
        <w:t>万股）。本次交易完成后，本公司持有四川卫士通信息安全平台技术有限公司</w:t>
      </w:r>
      <w:r>
        <w:rPr>
          <w:rFonts w:ascii="Times New Roman" w:hAnsi="Times New Roman" w:cs="Times New Roman" w:eastAsia="Times New Roman" w:hint="default"/>
        </w:rPr>
        <w:t>100.00%</w:t>
      </w:r>
      <w:r>
        <w:rPr/>
        <w:t>的股权。</w:t>
      </w:r>
    </w:p>
    <w:p>
      <w:pPr>
        <w:spacing w:line="240" w:lineRule="auto" w:before="8"/>
        <w:rPr>
          <w:rFonts w:ascii="宋体" w:hAnsi="宋体" w:cs="宋体" w:eastAsia="宋体" w:hint="default"/>
          <w:sz w:val="24"/>
          <w:szCs w:val="24"/>
        </w:rPr>
      </w:pPr>
    </w:p>
    <w:p>
      <w:pPr>
        <w:pStyle w:val="Heading3"/>
        <w:spacing w:line="240" w:lineRule="auto"/>
        <w:ind w:right="1022"/>
        <w:jc w:val="left"/>
        <w:rPr>
          <w:b w:val="0"/>
          <w:bCs w:val="0"/>
        </w:rPr>
      </w:pPr>
      <w:bookmarkStart w:name="（2）交易对于少数股东权益及归属于母公司所有者权益的影响" w:id="312"/>
      <w:bookmarkEnd w:id="312"/>
      <w:r>
        <w:rPr>
          <w:b w:val="0"/>
          <w:bCs w:val="0"/>
        </w:rPr>
      </w: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784" w:type="dxa"/>
            <w:tcBorders>
              <w:top w:val="single" w:sz="4" w:space="0" w:color="000000"/>
              <w:left w:val="single" w:sz="4" w:space="0" w:color="000000"/>
              <w:bottom w:val="single" w:sz="4" w:space="0" w:color="000000"/>
              <w:right w:val="single" w:sz="4" w:space="0" w:color="000000"/>
            </w:tcBorders>
            <w:shd w:val="clear" w:color="auto" w:fill="E0FFFF"/>
          </w:tcPr>
          <w:p>
            <w:pP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购买成本</w:t>
            </w:r>
            <w:r>
              <w:rPr>
                <w:rFonts w:ascii="Times New Roman" w:hAnsi="Times New Roman" w:cs="Times New Roman" w:eastAsia="Times New Roman" w:hint="default"/>
                <w:sz w:val="18"/>
                <w:szCs w:val="18"/>
              </w:rPr>
              <w:t>/</w:t>
            </w:r>
            <w:r>
              <w:rPr>
                <w:rFonts w:ascii="宋体" w:hAnsi="宋体" w:cs="宋体" w:eastAsia="宋体" w:hint="default"/>
                <w:sz w:val="18"/>
                <w:szCs w:val="18"/>
              </w:rPr>
              <w:t>处置对价</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15,682,992.68</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15,682,992.68</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购买成本</w:t>
            </w:r>
            <w:r>
              <w:rPr>
                <w:rFonts w:ascii="Times New Roman" w:hAnsi="Times New Roman" w:cs="Times New Roman" w:eastAsia="Times New Roman" w:hint="default"/>
                <w:sz w:val="18"/>
                <w:szCs w:val="18"/>
              </w:rPr>
              <w:t>/</w:t>
            </w:r>
            <w:r>
              <w:rPr>
                <w:rFonts w:ascii="宋体" w:hAnsi="宋体" w:cs="宋体" w:eastAsia="宋体" w:hint="default"/>
                <w:sz w:val="18"/>
                <w:szCs w:val="18"/>
              </w:rPr>
              <w:t>处置对价合计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15,682,992.68</w:t>
            </w:r>
          </w:p>
        </w:tc>
      </w:tr>
      <w:tr>
        <w:trPr>
          <w:trHeight w:val="401"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减：按取得</w:t>
            </w:r>
            <w:r>
              <w:rPr>
                <w:rFonts w:ascii="Times New Roman" w:hAnsi="Times New Roman" w:cs="Times New Roman" w:eastAsia="Times New Roman" w:hint="default"/>
                <w:sz w:val="18"/>
                <w:szCs w:val="18"/>
              </w:rPr>
              <w:t>/</w:t>
            </w:r>
            <w:r>
              <w:rPr>
                <w:rFonts w:ascii="宋体" w:hAnsi="宋体" w:cs="宋体" w:eastAsia="宋体" w:hint="default"/>
                <w:sz w:val="18"/>
                <w:szCs w:val="18"/>
              </w:rPr>
              <w:t>处置的股权比例计算的子公司净资产份额</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48,494,872.20</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差额</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-32,811,879.52</w:t>
            </w:r>
          </w:p>
        </w:tc>
      </w:tr>
      <w:tr>
        <w:trPr>
          <w:trHeight w:val="403"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其中：调整资本公积</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32,811,879.52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1022"/>
        <w:jc w:val="left"/>
        <w:rPr>
          <w:b w:val="0"/>
          <w:bCs w:val="0"/>
        </w:rPr>
      </w:pPr>
      <w:bookmarkStart w:name="3、在合营安排或联营企业中的权益" w:id="313"/>
      <w:bookmarkEnd w:id="313"/>
      <w:r>
        <w:rPr>
          <w:b w:val="0"/>
          <w:bCs w:val="0"/>
        </w:rPr>
      </w:r>
      <w:r>
        <w:rPr>
          <w:rFonts w:ascii="Times New Roman" w:hAnsi="Times New Roman" w:cs="Times New Roman" w:eastAsia="Times New Roman" w:hint="default"/>
        </w:rPr>
        <w:t>3</w:t>
      </w:r>
      <w:r>
        <w:rPr/>
        <w:t>、在合营安排或联营企业中的权益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22"/>
        <w:jc w:val="left"/>
        <w:rPr>
          <w:b w:val="0"/>
          <w:bCs w:val="0"/>
        </w:rPr>
      </w:pPr>
      <w:bookmarkStart w:name="（1）不重要的合营企业和联营企业的汇总财务信息" w:id="314"/>
      <w:bookmarkEnd w:id="314"/>
      <w:r>
        <w:rPr>
          <w:b w:val="0"/>
          <w:bCs w:val="0"/>
        </w:rPr>
      </w:r>
      <w:r>
        <w:rPr/>
        <w:t>（</w:t>
      </w:r>
      <w:r>
        <w:rPr>
          <w:rFonts w:ascii="Times New Roman" w:hAnsi="Times New Roman" w:cs="Times New Roman" w:eastAsia="Times New Roman" w:hint="default"/>
        </w:rPr>
        <w:t>1</w:t>
      </w:r>
      <w:r>
        <w:rPr/>
        <w:t>）不重要的合营企业和联营企业的汇总财务信息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00"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2"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31,418,091.71</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26,606,406.67</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0"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-4,188,314.96</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1,603,366.18</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-4,188,314.96</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1,603,366.18</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0"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1022"/>
        <w:jc w:val="left"/>
      </w:pPr>
      <w:r>
        <w:rPr/>
        <w:t>其他说明</w:t>
      </w:r>
    </w:p>
    <w:p>
      <w:pPr>
        <w:spacing w:line="240" w:lineRule="auto" w:before="13"/>
        <w:rPr>
          <w:rFonts w:ascii="宋体" w:hAnsi="宋体" w:cs="宋体" w:eastAsia="宋体" w:hint="default"/>
          <w:sz w:val="12"/>
          <w:szCs w:val="12"/>
        </w:rPr>
      </w:pPr>
    </w:p>
    <w:p>
      <w:pPr>
        <w:pStyle w:val="Heading4"/>
        <w:spacing w:line="240" w:lineRule="auto" w:before="0"/>
        <w:ind w:right="0"/>
        <w:jc w:val="left"/>
      </w:pPr>
      <w:r>
        <w:rPr/>
        <w:t>本期新增投资联营企业成都市数字城市运营管理有限公司</w:t>
      </w:r>
      <w:r>
        <w:rPr>
          <w:spacing w:val="-99"/>
        </w:rPr>
        <w:t>，</w:t>
      </w:r>
      <w:r>
        <w:rPr/>
        <w:t>初始投资成本</w:t>
      </w:r>
      <w:r>
        <w:rPr>
          <w:rFonts w:ascii="Times New Roman" w:hAnsi="Times New Roman" w:cs="Times New Roman" w:eastAsia="Times New Roman" w:hint="default"/>
        </w:rPr>
        <w:t>9,000,</w:t>
      </w:r>
      <w:r>
        <w:rPr>
          <w:rFonts w:ascii="Times New Roman" w:hAnsi="Times New Roman" w:cs="Times New Roman" w:eastAsia="Times New Roman" w:hint="default"/>
          <w:spacing w:val="-1"/>
        </w:rPr>
        <w:t>0</w:t>
      </w:r>
      <w:r>
        <w:rPr>
          <w:rFonts w:ascii="Times New Roman" w:hAnsi="Times New Roman" w:cs="Times New Roman" w:eastAsia="Times New Roman" w:hint="default"/>
        </w:rPr>
        <w:t>0</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1"/>
        </w:rPr>
        <w:t>.</w:t>
      </w:r>
      <w:r>
        <w:rPr>
          <w:rFonts w:ascii="Times New Roman" w:hAnsi="Times New Roman" w:cs="Times New Roman" w:eastAsia="Times New Roman" w:hint="default"/>
        </w:rPr>
        <w:t>00</w:t>
      </w:r>
      <w:r>
        <w:rPr/>
        <w:t>元</w:t>
      </w:r>
      <w:r>
        <w:rPr>
          <w:spacing w:val="-99"/>
        </w:rPr>
        <w:t>，</w:t>
      </w:r>
      <w:r>
        <w:rPr/>
        <w:t>持股</w:t>
      </w:r>
      <w:r>
        <w:rPr>
          <w:spacing w:val="-2"/>
        </w:rPr>
        <w:t>比</w:t>
      </w:r>
      <w:r>
        <w:rPr/>
        <w:t>例</w:t>
      </w:r>
      <w:r>
        <w:rPr>
          <w:rFonts w:ascii="Times New Roman" w:hAnsi="Times New Roman" w:cs="Times New Roman" w:eastAsia="Times New Roman" w:hint="default"/>
        </w:rPr>
        <w:t>3</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1"/>
        </w:rPr>
        <w:t>.</w:t>
      </w:r>
      <w:r>
        <w:rPr>
          <w:rFonts w:ascii="Times New Roman" w:hAnsi="Times New Roman" w:cs="Times New Roman" w:eastAsia="Times New Roman" w:hint="default"/>
        </w:rPr>
        <w:t>00%</w:t>
      </w:r>
      <w:r>
        <w:rPr/>
        <w:t>。</w:t>
      </w:r>
    </w:p>
    <w:p>
      <w:pPr>
        <w:spacing w:line="240" w:lineRule="auto" w:before="8"/>
        <w:rPr>
          <w:rFonts w:ascii="宋体" w:hAnsi="宋体" w:cs="宋体" w:eastAsia="宋体" w:hint="default"/>
          <w:sz w:val="24"/>
          <w:szCs w:val="24"/>
        </w:rPr>
      </w:pPr>
    </w:p>
    <w:p>
      <w:pPr>
        <w:spacing w:line="511" w:lineRule="auto" w:before="0"/>
        <w:ind w:left="154" w:right="3822" w:firstLine="0"/>
        <w:jc w:val="left"/>
        <w:rPr>
          <w:rFonts w:ascii="宋体" w:hAnsi="宋体" w:cs="宋体" w:eastAsia="宋体" w:hint="default"/>
          <w:sz w:val="24"/>
          <w:szCs w:val="24"/>
        </w:rPr>
      </w:pPr>
      <w:bookmarkStart w:name="（5）合营企业或联营企业向本公司转移资金的能力存在重大限制的说明" w:id="315"/>
      <w:bookmarkEnd w:id="31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）合营企业或联营企业向本公司转移资金的能力存在重大限制的说明</w:t>
      </w:r>
      <w:r>
        <w:rPr>
          <w:rFonts w:ascii="宋体" w:hAnsi="宋体" w:cs="宋体" w:eastAsia="宋体" w:hint="default"/>
          <w:b/>
          <w:bCs/>
          <w:w w:val="99"/>
          <w:sz w:val="21"/>
          <w:szCs w:val="21"/>
        </w:rPr>
        <w:t> </w:t>
      </w:r>
      <w:r>
        <w:rPr>
          <w:rFonts w:ascii="宋体" w:hAnsi="宋体" w:cs="宋体" w:eastAsia="宋体" w:hint="default"/>
          <w:sz w:val="21"/>
          <w:szCs w:val="21"/>
        </w:rPr>
        <w:t>本公司无合营企业或联营企业向本公司转移资金的能力存在重大限制情况。 </w:t>
      </w:r>
      <w:bookmarkStart w:name="十、与金融工具相关的风险" w:id="316"/>
      <w:bookmarkEnd w:id="316"/>
      <w:r>
        <w:rPr>
          <w:rFonts w:ascii="宋体" w:hAnsi="宋体" w:cs="宋体" w:eastAsia="宋体" w:hint="default"/>
          <w:sz w:val="21"/>
          <w:szCs w:val="21"/>
        </w:rPr>
      </w:r>
      <w:r>
        <w:rPr>
          <w:rFonts w:ascii="宋体" w:hAnsi="宋体" w:cs="宋体" w:eastAsia="宋体" w:hint="default"/>
          <w:b/>
          <w:bCs/>
          <w:sz w:val="24"/>
          <w:szCs w:val="24"/>
        </w:rPr>
        <w:t>十、与金融工具相关的风险</w:t>
      </w:r>
      <w:r>
        <w:rPr>
          <w:rFonts w:ascii="宋体" w:hAnsi="宋体" w:cs="宋体" w:eastAsia="宋体" w:hint="default"/>
          <w:sz w:val="24"/>
          <w:szCs w:val="24"/>
        </w:rPr>
      </w:r>
    </w:p>
    <w:p>
      <w:pPr>
        <w:pStyle w:val="Heading4"/>
        <w:spacing w:line="273" w:lineRule="auto" w:before="49"/>
        <w:ind w:right="1131" w:firstLine="420"/>
        <w:jc w:val="both"/>
      </w:pPr>
      <w:r>
        <w:rPr>
          <w:spacing w:val="-1"/>
        </w:rPr>
        <w:t>本公司的经营活动会面临各种金融风险：信用风险、流动风险和市场风险（主要为汇率风险和利率风</w:t>
      </w:r>
      <w:r>
        <w:rPr/>
        <w:t> </w:t>
      </w:r>
      <w:r>
        <w:rPr>
          <w:spacing w:val="-1"/>
        </w:rPr>
        <w:t>险）。本公司整体的风险管理计划针对金融市场的不可预见性，力求减少对本公司财务业绩的潜在不利影</w:t>
      </w:r>
      <w:r>
        <w:rPr>
          <w:spacing w:val="-83"/>
        </w:rPr>
        <w:t> </w:t>
      </w:r>
      <w:r>
        <w:rPr>
          <w:spacing w:val="-83"/>
        </w:rPr>
      </w:r>
      <w:r>
        <w:rPr/>
        <w:t>响。</w:t>
      </w:r>
    </w:p>
    <w:p>
      <w:pPr>
        <w:pStyle w:val="Heading4"/>
        <w:spacing w:line="273" w:lineRule="auto" w:before="127"/>
        <w:ind w:left="574" w:right="1022" w:hanging="150"/>
        <w:jc w:val="left"/>
      </w:pPr>
      <w:r>
        <w:rPr>
          <w:rFonts w:ascii="宋体" w:hAnsi="宋体" w:cs="宋体" w:eastAsia="宋体" w:hint="default"/>
          <w:b/>
          <w:bCs/>
        </w:rPr>
        <w:t>（一）信用风险</w:t>
      </w:r>
      <w:r>
        <w:rPr>
          <w:rFonts w:ascii="宋体" w:hAnsi="宋体" w:cs="宋体" w:eastAsia="宋体" w:hint="default"/>
          <w:b/>
          <w:bCs/>
          <w:w w:val="99"/>
        </w:rPr>
        <w:t> </w:t>
      </w:r>
      <w:r>
        <w:rPr>
          <w:spacing w:val="-1"/>
        </w:rPr>
        <w:t>信用风险是指交易对手未能履行合同义务而导致本公司产生财务损失的风险。本公司的信用风险主要</w:t>
      </w:r>
    </w:p>
    <w:p>
      <w:pPr>
        <w:pStyle w:val="Heading4"/>
        <w:spacing w:line="273" w:lineRule="auto"/>
        <w:ind w:right="1023"/>
        <w:jc w:val="left"/>
      </w:pPr>
      <w:r>
        <w:rPr>
          <w:spacing w:val="-3"/>
        </w:rPr>
        <w:t>来自货币资金、应收票据、应收账款、其他应收款和可供出售金融资产等。管理层已制定适当的信用政策，</w:t>
      </w:r>
      <w:r>
        <w:rPr>
          <w:spacing w:val="-95"/>
        </w:rPr>
        <w:t> </w:t>
      </w:r>
      <w:r>
        <w:rPr>
          <w:spacing w:val="-95"/>
        </w:rPr>
      </w:r>
      <w:r>
        <w:rPr/>
        <w:t>并且不断监察这些信用风险的敞口。</w:t>
      </w:r>
    </w:p>
    <w:p>
      <w:pPr>
        <w:pStyle w:val="Heading4"/>
        <w:spacing w:line="273" w:lineRule="auto"/>
        <w:ind w:right="1131" w:firstLine="420"/>
        <w:jc w:val="both"/>
      </w:pPr>
      <w:r>
        <w:rPr>
          <w:spacing w:val="-1"/>
        </w:rPr>
        <w:t>本公司持有的货币资金，主要存放于国有控股银行和其他大中型商业银行等金融机构，管理层认为这</w:t>
      </w:r>
      <w:r>
        <w:rPr/>
        <w:t> </w:t>
      </w:r>
      <w:r>
        <w:rPr>
          <w:spacing w:val="-1"/>
        </w:rPr>
        <w:t>些商业银行具备较高信誉和资产状况，不存在重大的信用风险，不会产生因对方单位违约而导致的任何重</w:t>
      </w:r>
      <w:r>
        <w:rPr>
          <w:spacing w:val="-81"/>
        </w:rPr>
        <w:t> </w:t>
      </w:r>
      <w:r>
        <w:rPr>
          <w:spacing w:val="-81"/>
        </w:rPr>
      </w:r>
      <w:r>
        <w:rPr/>
        <w:t>大损失。</w:t>
      </w:r>
    </w:p>
    <w:p>
      <w:pPr>
        <w:pStyle w:val="Heading4"/>
        <w:spacing w:line="273" w:lineRule="auto"/>
        <w:ind w:right="1131" w:firstLine="420"/>
        <w:jc w:val="both"/>
      </w:pPr>
      <w:r>
        <w:rPr>
          <w:spacing w:val="-1"/>
        </w:rPr>
        <w:t>对于应收账款、其他应收款和应收票据，本公司设定相关政策以控制信用风险敞口。本公司基于对客</w:t>
      </w:r>
      <w:r>
        <w:rPr/>
        <w:t> </w:t>
      </w:r>
      <w:r>
        <w:rPr>
          <w:spacing w:val="-1"/>
        </w:rPr>
        <w:t>户的财务状况、从第三方获取担保的可能性、信用记录及其它因素诸如目前市场状况等评估客户的信用资</w:t>
      </w:r>
      <w:r>
        <w:rPr>
          <w:spacing w:val="-81"/>
        </w:rPr>
        <w:t> </w:t>
      </w:r>
      <w:r>
        <w:rPr>
          <w:spacing w:val="-81"/>
        </w:rPr>
      </w:r>
      <w:r>
        <w:rPr>
          <w:spacing w:val="-1"/>
        </w:rPr>
        <w:t>质并设置相应信用期。本公司会定期对客户信用记录进行监控，对于信用记录不良的客户，本公司会采用</w:t>
      </w:r>
      <w:r>
        <w:rPr>
          <w:spacing w:val="-83"/>
        </w:rPr>
        <w:t> </w:t>
      </w:r>
      <w:r>
        <w:rPr>
          <w:spacing w:val="-83"/>
        </w:rPr>
      </w:r>
      <w:r>
        <w:rPr/>
        <w:t>书面催款、缩短信用期或取消信用期等方式，以确保本公司的整体信用风险在可控的范围内。</w:t>
      </w:r>
    </w:p>
    <w:p>
      <w:pPr>
        <w:pStyle w:val="Heading4"/>
        <w:spacing w:line="256" w:lineRule="auto"/>
        <w:ind w:right="1586" w:firstLine="420"/>
        <w:jc w:val="left"/>
      </w:pPr>
      <w:r>
        <w:rPr/>
        <w:t>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日，本公司的前五大客户的应收账款占本公司应收账款总额</w:t>
      </w:r>
      <w:r>
        <w:rPr>
          <w:rFonts w:ascii="Times New Roman" w:hAnsi="Times New Roman" w:cs="Times New Roman" w:eastAsia="Times New Roman" w:hint="default"/>
        </w:rPr>
        <w:t>34.02%</w:t>
      </w:r>
      <w:r>
        <w:rPr>
          <w:rFonts w:ascii="Times New Roman" w:hAnsi="Times New Roman" w:cs="Times New Roman" w:eastAsia="Times New Roman" w:hint="default"/>
          <w:spacing w:val="-4"/>
        </w:rPr>
        <w:t> </w:t>
      </w:r>
      <w:r>
        <w:rPr>
          <w:rFonts w:ascii="Times New Roman" w:hAnsi="Times New Roman" w:cs="Times New Roman" w:eastAsia="Times New Roman" w:hint="default"/>
        </w:rPr>
        <w:t>(2017</w:t>
      </w:r>
      <w:r>
        <w:rPr/>
        <w:t>年： </w:t>
      </w:r>
      <w:r>
        <w:rPr>
          <w:rFonts w:ascii="Times New Roman" w:hAnsi="Times New Roman" w:cs="Times New Roman" w:eastAsia="Times New Roman" w:hint="default"/>
        </w:rPr>
        <w:t>19.84%)</w:t>
      </w:r>
      <w:r>
        <w:rPr>
          <w:rFonts w:ascii="Times New Roman" w:hAnsi="Times New Roman" w:cs="Times New Roman" w:eastAsia="Times New Roman" w:hint="default"/>
          <w:spacing w:val="32"/>
        </w:rPr>
        <w:t> </w:t>
      </w:r>
      <w:r>
        <w:rPr/>
        <w:t>。</w:t>
      </w:r>
    </w:p>
    <w:p>
      <w:pPr>
        <w:pStyle w:val="Heading4"/>
        <w:spacing w:line="273" w:lineRule="auto" w:before="5"/>
        <w:ind w:right="1131" w:firstLine="420"/>
        <w:jc w:val="both"/>
      </w:pPr>
      <w:r>
        <w:rPr>
          <w:spacing w:val="-1"/>
        </w:rPr>
        <w:t>本公司投资的银行理财产品，交易对方的信用评级须高于或与本公司相同。鉴于交易对方的信用评级</w:t>
      </w:r>
      <w:r>
        <w:rPr/>
        <w:t> 良好，本公司管理层并不预期交易对方会无法履行义务。</w:t>
      </w:r>
    </w:p>
    <w:p>
      <w:pPr>
        <w:pStyle w:val="Heading4"/>
        <w:spacing w:line="240" w:lineRule="auto"/>
        <w:ind w:left="574" w:right="1022"/>
        <w:jc w:val="left"/>
      </w:pPr>
      <w:r>
        <w:rPr/>
        <w:t>本公司所承受的最大信用风险敞口为资产负债表中每项金融资产的账面金额。截至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1022"/>
        <w:jc w:val="left"/>
      </w:pPr>
      <w:r>
        <w:rPr/>
        <w:t>本公司没有提供任何其他可能令本公司承受信用风险的担保。</w:t>
      </w:r>
    </w:p>
    <w:p>
      <w:pPr>
        <w:pStyle w:val="Heading4"/>
        <w:spacing w:line="273" w:lineRule="auto" w:before="157"/>
        <w:ind w:left="574" w:right="1249" w:hanging="240"/>
        <w:jc w:val="left"/>
      </w:pPr>
      <w:r>
        <w:rPr>
          <w:rFonts w:ascii="宋体" w:hAnsi="宋体" w:cs="宋体" w:eastAsia="宋体" w:hint="default"/>
          <w:b/>
          <w:bCs/>
        </w:rPr>
        <w:t>（二）流动性风险</w:t>
      </w:r>
      <w:r>
        <w:rPr>
          <w:rFonts w:ascii="宋体" w:hAnsi="宋体" w:cs="宋体" w:eastAsia="宋体" w:hint="default"/>
          <w:b/>
          <w:bCs/>
          <w:w w:val="99"/>
        </w:rPr>
        <w:t> </w:t>
      </w:r>
      <w:r>
        <w:rPr/>
        <w:t>流动性风险是指本公司无法及时获得充足资金</w:t>
      </w:r>
      <w:r>
        <w:rPr>
          <w:rFonts w:ascii="Times New Roman" w:hAnsi="Times New Roman" w:cs="Times New Roman" w:eastAsia="Times New Roman" w:hint="default"/>
        </w:rPr>
        <w:t>,</w:t>
      </w:r>
      <w:r>
        <w:rPr/>
        <w:t>满足业务发展需要或偿付到期债务以及其他支付义务</w:t>
      </w:r>
    </w:p>
    <w:p>
      <w:pPr>
        <w:pStyle w:val="Heading4"/>
        <w:spacing w:line="264" w:lineRule="exact" w:before="0"/>
        <w:ind w:right="1022"/>
        <w:jc w:val="left"/>
      </w:pPr>
      <w:r>
        <w:rPr/>
        <w:t>的风险。</w:t>
      </w:r>
    </w:p>
    <w:p>
      <w:pPr>
        <w:pStyle w:val="Heading4"/>
        <w:spacing w:line="273" w:lineRule="auto" w:before="37"/>
        <w:ind w:right="1109" w:firstLine="420"/>
        <w:jc w:val="right"/>
      </w:pPr>
      <w:r>
        <w:rPr>
          <w:spacing w:val="-1"/>
        </w:rPr>
        <w:t>本公司财务部门持续监控公司短期和长期的资金需求，以确保维持充裕的现金储备；同时持续监控是</w:t>
      </w:r>
      <w:r>
        <w:rPr/>
        <w:t> 否符合借款协议的规定，从主要金融机构获得提供足够备用资金的承诺，以满足短期和长期的资金需求。 </w:t>
      </w:r>
      <w:r>
        <w:rPr>
          <w:spacing w:val="-1"/>
        </w:rPr>
        <w:t>截至</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日，本公司各项金融资产及金融负债以未折现的合同现金流量按到期日列示如下：</w:t>
      </w:r>
    </w:p>
    <w:tbl>
      <w:tblPr>
        <w:tblW w:w="0" w:type="auto"/>
        <w:jc w:val="left"/>
        <w:tblInd w:w="139" w:type="dxa"/>
        <w:tblLayout w:type="fixed"/>
        <w:tblCellMar>
          <w:top w:w="0" w:type="dxa"/>
          <w:left w:w="0" w:type="dxa"/>
          <w:bottom w:w="0" w:type="dxa"/>
          <w:right w:w="0" w:type="dxa"/>
        </w:tblCellMar>
        <w:tblLook w:val="01E0"/>
      </w:tblPr>
      <w:tblGrid>
        <w:gridCol w:w="1606"/>
        <w:gridCol w:w="1343"/>
        <w:gridCol w:w="1343"/>
        <w:gridCol w:w="1342"/>
        <w:gridCol w:w="1342"/>
        <w:gridCol w:w="1343"/>
        <w:gridCol w:w="1340"/>
      </w:tblGrid>
      <w:tr>
        <w:trPr>
          <w:trHeight w:val="342" w:hRule="exact"/>
        </w:trPr>
        <w:tc>
          <w:tcPr>
            <w:tcW w:w="1606" w:type="dxa"/>
            <w:vMerge w:val="restart"/>
            <w:tcBorders>
              <w:top w:val="single" w:sz="4" w:space="0" w:color="000000"/>
              <w:left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05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42" w:hRule="exact"/>
        </w:trPr>
        <w:tc>
          <w:tcPr>
            <w:tcW w:w="1606" w:type="dxa"/>
            <w:vMerge/>
            <w:tcBorders>
              <w:left w:val="single" w:sz="4" w:space="0" w:color="000000"/>
              <w:bottom w:val="single" w:sz="4" w:space="0" w:color="000000"/>
              <w:right w:val="single" w:sz="4" w:space="0" w:color="000000"/>
            </w:tcBorders>
          </w:tcPr>
          <w:p>
            <w:pP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306" w:right="0"/>
              <w:jc w:val="left"/>
              <w:rPr>
                <w:rFonts w:ascii="宋体" w:hAnsi="宋体" w:cs="宋体" w:eastAsia="宋体" w:hint="default"/>
                <w:sz w:val="18"/>
                <w:szCs w:val="18"/>
              </w:rPr>
            </w:pPr>
            <w:r>
              <w:rPr>
                <w:rFonts w:ascii="宋体" w:hAnsi="宋体" w:cs="宋体" w:eastAsia="宋体" w:hint="default"/>
                <w:sz w:val="18"/>
                <w:szCs w:val="18"/>
              </w:rPr>
              <w:t>账面净值</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306"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35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宋体" w:hAnsi="宋体" w:cs="宋体" w:eastAsia="宋体" w:hint="default"/>
                <w:sz w:val="18"/>
                <w:szCs w:val="18"/>
              </w:rPr>
              <w:t>年</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35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年以上</w:t>
            </w:r>
          </w:p>
        </w:tc>
      </w:tr>
      <w:tr>
        <w:trPr>
          <w:trHeight w:val="342" w:hRule="exact"/>
        </w:trPr>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5"/>
              <w:jc w:val="right"/>
              <w:rPr>
                <w:rFonts w:ascii="Times New Roman" w:hAnsi="Times New Roman" w:cs="Times New Roman" w:eastAsia="Times New Roman" w:hint="default"/>
                <w:sz w:val="18"/>
                <w:szCs w:val="18"/>
              </w:rPr>
            </w:pPr>
            <w:r>
              <w:rPr>
                <w:rFonts w:ascii="Times New Roman"/>
                <w:spacing w:val="-1"/>
                <w:sz w:val="18"/>
              </w:rPr>
              <w:t>1,945,556,008.67</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5"/>
              <w:jc w:val="right"/>
              <w:rPr>
                <w:rFonts w:ascii="Times New Roman" w:hAnsi="Times New Roman" w:cs="Times New Roman" w:eastAsia="Times New Roman" w:hint="default"/>
                <w:sz w:val="18"/>
                <w:szCs w:val="18"/>
              </w:rPr>
            </w:pPr>
            <w:r>
              <w:rPr>
                <w:rFonts w:ascii="Times New Roman"/>
                <w:spacing w:val="-1"/>
                <w:sz w:val="18"/>
              </w:rPr>
              <w:t>1,945,556,008.67</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1,945,556,008.67</w:t>
            </w:r>
          </w:p>
        </w:tc>
        <w:tc>
          <w:tcPr>
            <w:tcW w:w="1342" w:type="dxa"/>
            <w:tcBorders>
              <w:top w:val="single" w:sz="4" w:space="0" w:color="000000"/>
              <w:left w:val="single" w:sz="4" w:space="0" w:color="000000"/>
              <w:bottom w:val="single" w:sz="4" w:space="0" w:color="000000"/>
              <w:right w:val="single" w:sz="4" w:space="0" w:color="000000"/>
            </w:tcBorders>
          </w:tcPr>
          <w:p>
            <w:pPr/>
          </w:p>
        </w:tc>
        <w:tc>
          <w:tcPr>
            <w:tcW w:w="1343"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229,064,408.57</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5"/>
              <w:jc w:val="right"/>
              <w:rPr>
                <w:rFonts w:ascii="Times New Roman" w:hAnsi="Times New Roman" w:cs="Times New Roman" w:eastAsia="Times New Roman" w:hint="default"/>
                <w:sz w:val="18"/>
                <w:szCs w:val="18"/>
              </w:rPr>
            </w:pPr>
            <w:r>
              <w:rPr>
                <w:rFonts w:ascii="Times New Roman"/>
                <w:spacing w:val="-1"/>
                <w:sz w:val="18"/>
              </w:rPr>
              <w:t>229,064,408.57</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229,064,408.57</w:t>
            </w:r>
          </w:p>
        </w:tc>
        <w:tc>
          <w:tcPr>
            <w:tcW w:w="1342" w:type="dxa"/>
            <w:tcBorders>
              <w:top w:val="single" w:sz="4" w:space="0" w:color="000000"/>
              <w:left w:val="single" w:sz="4" w:space="0" w:color="000000"/>
              <w:bottom w:val="single" w:sz="4" w:space="0" w:color="000000"/>
              <w:right w:val="single" w:sz="4" w:space="0" w:color="000000"/>
            </w:tcBorders>
          </w:tcPr>
          <w:p>
            <w:pPr/>
          </w:p>
        </w:tc>
        <w:tc>
          <w:tcPr>
            <w:tcW w:w="1343"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5"/>
              <w:jc w:val="right"/>
              <w:rPr>
                <w:rFonts w:ascii="Times New Roman" w:hAnsi="Times New Roman" w:cs="Times New Roman" w:eastAsia="Times New Roman" w:hint="default"/>
                <w:sz w:val="18"/>
                <w:szCs w:val="18"/>
              </w:rPr>
            </w:pPr>
            <w:r>
              <w:rPr>
                <w:rFonts w:ascii="Times New Roman"/>
                <w:spacing w:val="-1"/>
                <w:sz w:val="18"/>
              </w:rPr>
              <w:t>1,722,557,405.12</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5"/>
              <w:jc w:val="right"/>
              <w:rPr>
                <w:rFonts w:ascii="Times New Roman" w:hAnsi="Times New Roman" w:cs="Times New Roman" w:eastAsia="Times New Roman" w:hint="default"/>
                <w:sz w:val="18"/>
                <w:szCs w:val="18"/>
              </w:rPr>
            </w:pPr>
            <w:r>
              <w:rPr>
                <w:rFonts w:ascii="Times New Roman"/>
                <w:spacing w:val="-1"/>
                <w:sz w:val="18"/>
              </w:rPr>
              <w:t>2,007,532,038.43</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2,007,532,038.43</w:t>
            </w:r>
          </w:p>
        </w:tc>
        <w:tc>
          <w:tcPr>
            <w:tcW w:w="1342" w:type="dxa"/>
            <w:tcBorders>
              <w:top w:val="single" w:sz="4" w:space="0" w:color="000000"/>
              <w:left w:val="single" w:sz="4" w:space="0" w:color="000000"/>
              <w:bottom w:val="single" w:sz="4" w:space="0" w:color="000000"/>
              <w:right w:val="single" w:sz="4" w:space="0" w:color="000000"/>
            </w:tcBorders>
          </w:tcPr>
          <w:p>
            <w:pPr/>
          </w:p>
        </w:tc>
        <w:tc>
          <w:tcPr>
            <w:tcW w:w="1343"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67,416,500.37</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5"/>
              <w:jc w:val="right"/>
              <w:rPr>
                <w:rFonts w:ascii="Times New Roman" w:hAnsi="Times New Roman" w:cs="Times New Roman" w:eastAsia="Times New Roman" w:hint="default"/>
                <w:sz w:val="18"/>
                <w:szCs w:val="18"/>
              </w:rPr>
            </w:pPr>
            <w:r>
              <w:rPr>
                <w:rFonts w:ascii="Times New Roman"/>
                <w:spacing w:val="-1"/>
                <w:sz w:val="18"/>
              </w:rPr>
              <w:t>80,956,384.62</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80,956,384.62</w:t>
            </w:r>
          </w:p>
        </w:tc>
        <w:tc>
          <w:tcPr>
            <w:tcW w:w="1342" w:type="dxa"/>
            <w:tcBorders>
              <w:top w:val="single" w:sz="4" w:space="0" w:color="000000"/>
              <w:left w:val="single" w:sz="4" w:space="0" w:color="000000"/>
              <w:bottom w:val="single" w:sz="4" w:space="0" w:color="000000"/>
              <w:right w:val="single" w:sz="4" w:space="0" w:color="000000"/>
            </w:tcBorders>
          </w:tcPr>
          <w:p>
            <w:pPr/>
          </w:p>
        </w:tc>
        <w:tc>
          <w:tcPr>
            <w:tcW w:w="1343"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56"/>
              <w:jc w:val="right"/>
              <w:rPr>
                <w:rFonts w:ascii="宋体" w:hAnsi="宋体" w:cs="宋体" w:eastAsia="宋体" w:hint="default"/>
                <w:sz w:val="18"/>
                <w:szCs w:val="18"/>
              </w:rPr>
            </w:pPr>
            <w:r>
              <w:rPr>
                <w:rFonts w:ascii="宋体" w:hAnsi="宋体" w:cs="宋体" w:eastAsia="宋体" w:hint="default"/>
                <w:sz w:val="18"/>
                <w:szCs w:val="18"/>
              </w:rPr>
              <w:t>金融资产小计</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5"/>
              <w:jc w:val="right"/>
              <w:rPr>
                <w:rFonts w:ascii="Times New Roman" w:hAnsi="Times New Roman" w:cs="Times New Roman" w:eastAsia="Times New Roman" w:hint="default"/>
                <w:sz w:val="18"/>
                <w:szCs w:val="18"/>
              </w:rPr>
            </w:pPr>
            <w:r>
              <w:rPr>
                <w:rFonts w:ascii="Times New Roman"/>
                <w:spacing w:val="-1"/>
                <w:sz w:val="18"/>
              </w:rPr>
              <w:t>3,964,594,322.73</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5"/>
              <w:jc w:val="right"/>
              <w:rPr>
                <w:rFonts w:ascii="Times New Roman" w:hAnsi="Times New Roman" w:cs="Times New Roman" w:eastAsia="Times New Roman" w:hint="default"/>
                <w:sz w:val="18"/>
                <w:szCs w:val="18"/>
              </w:rPr>
            </w:pPr>
            <w:r>
              <w:rPr>
                <w:rFonts w:ascii="Times New Roman"/>
                <w:spacing w:val="-1"/>
                <w:sz w:val="18"/>
              </w:rPr>
              <w:t>4,263,108,840.29</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4,263,108,840.29</w:t>
            </w:r>
          </w:p>
        </w:tc>
        <w:tc>
          <w:tcPr>
            <w:tcW w:w="1342" w:type="dxa"/>
            <w:tcBorders>
              <w:top w:val="single" w:sz="4" w:space="0" w:color="000000"/>
              <w:left w:val="single" w:sz="4" w:space="0" w:color="000000"/>
              <w:bottom w:val="single" w:sz="4" w:space="0" w:color="000000"/>
              <w:right w:val="single" w:sz="4" w:space="0" w:color="000000"/>
            </w:tcBorders>
          </w:tcPr>
          <w:p>
            <w:pPr/>
          </w:p>
        </w:tc>
        <w:tc>
          <w:tcPr>
            <w:tcW w:w="1343"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250,000,000.00</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5"/>
              <w:jc w:val="right"/>
              <w:rPr>
                <w:rFonts w:ascii="Times New Roman" w:hAnsi="Times New Roman" w:cs="Times New Roman" w:eastAsia="Times New Roman" w:hint="default"/>
                <w:sz w:val="18"/>
                <w:szCs w:val="18"/>
              </w:rPr>
            </w:pPr>
            <w:r>
              <w:rPr>
                <w:rFonts w:ascii="Times New Roman"/>
                <w:spacing w:val="-1"/>
                <w:sz w:val="18"/>
              </w:rPr>
              <w:t>250,000,000.00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250,000,000.00</w:t>
            </w:r>
          </w:p>
        </w:tc>
        <w:tc>
          <w:tcPr>
            <w:tcW w:w="1342" w:type="dxa"/>
            <w:tcBorders>
              <w:top w:val="single" w:sz="4" w:space="0" w:color="000000"/>
              <w:left w:val="single" w:sz="4" w:space="0" w:color="000000"/>
              <w:bottom w:val="single" w:sz="4" w:space="0" w:color="000000"/>
              <w:right w:val="single" w:sz="4" w:space="0" w:color="000000"/>
            </w:tcBorders>
          </w:tcPr>
          <w:p>
            <w:pPr/>
          </w:p>
        </w:tc>
        <w:tc>
          <w:tcPr>
            <w:tcW w:w="1343"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133,333,862.32</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5"/>
              <w:jc w:val="right"/>
              <w:rPr>
                <w:rFonts w:ascii="Times New Roman" w:hAnsi="Times New Roman" w:cs="Times New Roman" w:eastAsia="Times New Roman" w:hint="default"/>
                <w:sz w:val="18"/>
                <w:szCs w:val="18"/>
              </w:rPr>
            </w:pPr>
            <w:r>
              <w:rPr>
                <w:rFonts w:ascii="Times New Roman"/>
                <w:spacing w:val="-1"/>
                <w:sz w:val="18"/>
              </w:rPr>
              <w:t>133,333,862.32</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133,333,862.32</w:t>
            </w:r>
          </w:p>
        </w:tc>
        <w:tc>
          <w:tcPr>
            <w:tcW w:w="1342" w:type="dxa"/>
            <w:tcBorders>
              <w:top w:val="single" w:sz="4" w:space="0" w:color="000000"/>
              <w:left w:val="single" w:sz="4" w:space="0" w:color="000000"/>
              <w:bottom w:val="single" w:sz="4" w:space="0" w:color="000000"/>
              <w:right w:val="single" w:sz="4" w:space="0" w:color="000000"/>
            </w:tcBorders>
          </w:tcPr>
          <w:p>
            <w:pPr/>
          </w:p>
        </w:tc>
        <w:tc>
          <w:tcPr>
            <w:tcW w:w="1343"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5"/>
              <w:jc w:val="right"/>
              <w:rPr>
                <w:rFonts w:ascii="Times New Roman" w:hAnsi="Times New Roman" w:cs="Times New Roman" w:eastAsia="Times New Roman" w:hint="default"/>
                <w:sz w:val="18"/>
                <w:szCs w:val="18"/>
              </w:rPr>
            </w:pPr>
            <w:r>
              <w:rPr>
                <w:rFonts w:ascii="Times New Roman"/>
                <w:spacing w:val="-1"/>
                <w:sz w:val="18"/>
              </w:rPr>
              <w:t>1,042,370,788.71</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5"/>
              <w:jc w:val="right"/>
              <w:rPr>
                <w:rFonts w:ascii="Times New Roman" w:hAnsi="Times New Roman" w:cs="Times New Roman" w:eastAsia="Times New Roman" w:hint="default"/>
                <w:sz w:val="18"/>
                <w:szCs w:val="18"/>
              </w:rPr>
            </w:pPr>
            <w:r>
              <w:rPr>
                <w:rFonts w:ascii="Times New Roman"/>
                <w:spacing w:val="-1"/>
                <w:sz w:val="18"/>
              </w:rPr>
              <w:t>1,042,370,788.71</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1,042,370,788.71</w:t>
            </w:r>
          </w:p>
        </w:tc>
        <w:tc>
          <w:tcPr>
            <w:tcW w:w="1342" w:type="dxa"/>
            <w:tcBorders>
              <w:top w:val="single" w:sz="4" w:space="0" w:color="000000"/>
              <w:left w:val="single" w:sz="4" w:space="0" w:color="000000"/>
              <w:bottom w:val="single" w:sz="4" w:space="0" w:color="000000"/>
              <w:right w:val="single" w:sz="4" w:space="0" w:color="000000"/>
            </w:tcBorders>
          </w:tcPr>
          <w:p>
            <w:pPr/>
          </w:p>
        </w:tc>
        <w:tc>
          <w:tcPr>
            <w:tcW w:w="1343"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48,233,428.23</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5"/>
              <w:jc w:val="right"/>
              <w:rPr>
                <w:rFonts w:ascii="Times New Roman" w:hAnsi="Times New Roman" w:cs="Times New Roman" w:eastAsia="Times New Roman" w:hint="default"/>
                <w:sz w:val="18"/>
                <w:szCs w:val="18"/>
              </w:rPr>
            </w:pPr>
            <w:r>
              <w:rPr>
                <w:rFonts w:ascii="Times New Roman"/>
                <w:spacing w:val="-1"/>
                <w:sz w:val="18"/>
              </w:rPr>
              <w:t>48,233,428.23</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48,233,428.23</w:t>
            </w:r>
          </w:p>
        </w:tc>
        <w:tc>
          <w:tcPr>
            <w:tcW w:w="1342" w:type="dxa"/>
            <w:tcBorders>
              <w:top w:val="single" w:sz="4" w:space="0" w:color="000000"/>
              <w:left w:val="single" w:sz="4" w:space="0" w:color="000000"/>
              <w:bottom w:val="single" w:sz="4" w:space="0" w:color="000000"/>
              <w:right w:val="single" w:sz="4" w:space="0" w:color="000000"/>
            </w:tcBorders>
          </w:tcPr>
          <w:p>
            <w:pPr/>
          </w:p>
        </w:tc>
        <w:tc>
          <w:tcPr>
            <w:tcW w:w="1343"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56"/>
              <w:jc w:val="right"/>
              <w:rPr>
                <w:rFonts w:ascii="宋体" w:hAnsi="宋体" w:cs="宋体" w:eastAsia="宋体" w:hint="default"/>
                <w:sz w:val="18"/>
                <w:szCs w:val="18"/>
              </w:rPr>
            </w:pPr>
            <w:r>
              <w:rPr>
                <w:rFonts w:ascii="宋体" w:hAnsi="宋体" w:cs="宋体" w:eastAsia="宋体" w:hint="default"/>
                <w:sz w:val="18"/>
                <w:szCs w:val="18"/>
              </w:rPr>
              <w:t>金融负债小计</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5"/>
              <w:jc w:val="right"/>
              <w:rPr>
                <w:rFonts w:ascii="Times New Roman" w:hAnsi="Times New Roman" w:cs="Times New Roman" w:eastAsia="Times New Roman" w:hint="default"/>
                <w:sz w:val="18"/>
                <w:szCs w:val="18"/>
              </w:rPr>
            </w:pPr>
            <w:r>
              <w:rPr>
                <w:rFonts w:ascii="Times New Roman"/>
                <w:spacing w:val="-1"/>
                <w:sz w:val="18"/>
              </w:rPr>
              <w:t>1,473,938,079.26</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5"/>
              <w:jc w:val="right"/>
              <w:rPr>
                <w:rFonts w:ascii="Times New Roman" w:hAnsi="Times New Roman" w:cs="Times New Roman" w:eastAsia="Times New Roman" w:hint="default"/>
                <w:sz w:val="18"/>
                <w:szCs w:val="18"/>
              </w:rPr>
            </w:pPr>
            <w:r>
              <w:rPr>
                <w:rFonts w:ascii="Times New Roman"/>
                <w:spacing w:val="-1"/>
                <w:sz w:val="18"/>
              </w:rPr>
              <w:t>1,473,938,079.26</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1,473,938,079.26</w:t>
            </w:r>
          </w:p>
        </w:tc>
        <w:tc>
          <w:tcPr>
            <w:tcW w:w="1342" w:type="dxa"/>
            <w:tcBorders>
              <w:top w:val="single" w:sz="4" w:space="0" w:color="000000"/>
              <w:left w:val="single" w:sz="4" w:space="0" w:color="000000"/>
              <w:bottom w:val="single" w:sz="4" w:space="0" w:color="000000"/>
              <w:right w:val="single" w:sz="4" w:space="0" w:color="000000"/>
            </w:tcBorders>
          </w:tcPr>
          <w:p>
            <w:pPr/>
          </w:p>
        </w:tc>
        <w:tc>
          <w:tcPr>
            <w:tcW w:w="1343"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r>
    </w:tbl>
    <w:p>
      <w:pPr>
        <w:pStyle w:val="Heading4"/>
        <w:spacing w:line="264" w:lineRule="exact" w:before="0"/>
        <w:ind w:left="574" w:right="1022"/>
        <w:jc w:val="left"/>
      </w:pPr>
      <w:r>
        <w:rPr/>
        <w:t>续</w:t>
      </w:r>
    </w:p>
    <w:p>
      <w:pPr>
        <w:spacing w:line="240" w:lineRule="auto" w:before="13"/>
        <w:rPr>
          <w:rFonts w:ascii="宋体" w:hAnsi="宋体" w:cs="宋体" w:eastAsia="宋体" w:hint="default"/>
          <w:sz w:val="3"/>
          <w:szCs w:val="3"/>
        </w:rPr>
      </w:pPr>
    </w:p>
    <w:tbl>
      <w:tblPr>
        <w:tblW w:w="0" w:type="auto"/>
        <w:jc w:val="left"/>
        <w:tblInd w:w="139" w:type="dxa"/>
        <w:tblLayout w:type="fixed"/>
        <w:tblCellMar>
          <w:top w:w="0" w:type="dxa"/>
          <w:left w:w="0" w:type="dxa"/>
          <w:bottom w:w="0" w:type="dxa"/>
          <w:right w:w="0" w:type="dxa"/>
        </w:tblCellMar>
        <w:tblLook w:val="01E0"/>
      </w:tblPr>
      <w:tblGrid>
        <w:gridCol w:w="1606"/>
        <w:gridCol w:w="1343"/>
        <w:gridCol w:w="1343"/>
        <w:gridCol w:w="1342"/>
        <w:gridCol w:w="1342"/>
        <w:gridCol w:w="1343"/>
        <w:gridCol w:w="1340"/>
      </w:tblGrid>
      <w:tr>
        <w:trPr>
          <w:trHeight w:val="342" w:hRule="exact"/>
        </w:trPr>
        <w:tc>
          <w:tcPr>
            <w:tcW w:w="1606" w:type="dxa"/>
            <w:vMerge w:val="restart"/>
            <w:tcBorders>
              <w:top w:val="single" w:sz="4" w:space="0" w:color="000000"/>
              <w:left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05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42" w:hRule="exact"/>
        </w:trPr>
        <w:tc>
          <w:tcPr>
            <w:tcW w:w="1606" w:type="dxa"/>
            <w:vMerge/>
            <w:tcBorders>
              <w:left w:val="single" w:sz="4" w:space="0" w:color="000000"/>
              <w:bottom w:val="single" w:sz="4" w:space="0" w:color="000000"/>
              <w:right w:val="single" w:sz="4" w:space="0" w:color="000000"/>
            </w:tcBorders>
          </w:tcPr>
          <w:p>
            <w:pP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306" w:right="0"/>
              <w:jc w:val="left"/>
              <w:rPr>
                <w:rFonts w:ascii="宋体" w:hAnsi="宋体" w:cs="宋体" w:eastAsia="宋体" w:hint="default"/>
                <w:sz w:val="18"/>
                <w:szCs w:val="18"/>
              </w:rPr>
            </w:pPr>
            <w:r>
              <w:rPr>
                <w:rFonts w:ascii="宋体" w:hAnsi="宋体" w:cs="宋体" w:eastAsia="宋体" w:hint="default"/>
                <w:sz w:val="18"/>
                <w:szCs w:val="18"/>
              </w:rPr>
              <w:t>账面净值</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306"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35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宋体" w:hAnsi="宋体" w:cs="宋体" w:eastAsia="宋体" w:hint="default"/>
                <w:sz w:val="18"/>
                <w:szCs w:val="18"/>
              </w:rPr>
              <w:t>年</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35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年以上</w:t>
            </w:r>
          </w:p>
        </w:tc>
      </w:tr>
      <w:tr>
        <w:trPr>
          <w:trHeight w:val="342" w:hRule="exact"/>
        </w:trPr>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5"/>
              <w:jc w:val="right"/>
              <w:rPr>
                <w:rFonts w:ascii="Times New Roman" w:hAnsi="Times New Roman" w:cs="Times New Roman" w:eastAsia="Times New Roman" w:hint="default"/>
                <w:sz w:val="18"/>
                <w:szCs w:val="18"/>
              </w:rPr>
            </w:pPr>
            <w:r>
              <w:rPr>
                <w:rFonts w:ascii="Times New Roman"/>
                <w:spacing w:val="-1"/>
                <w:sz w:val="18"/>
              </w:rPr>
              <w:t>1,880,682,005.51</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5"/>
              <w:jc w:val="right"/>
              <w:rPr>
                <w:rFonts w:ascii="Times New Roman" w:hAnsi="Times New Roman" w:cs="Times New Roman" w:eastAsia="Times New Roman" w:hint="default"/>
                <w:sz w:val="18"/>
                <w:szCs w:val="18"/>
              </w:rPr>
            </w:pPr>
            <w:r>
              <w:rPr>
                <w:rFonts w:ascii="Times New Roman"/>
                <w:spacing w:val="-1"/>
                <w:sz w:val="18"/>
              </w:rPr>
              <w:t>1,880,682,005.51</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1,880,682,005.51</w:t>
            </w:r>
          </w:p>
        </w:tc>
        <w:tc>
          <w:tcPr>
            <w:tcW w:w="1342" w:type="dxa"/>
            <w:tcBorders>
              <w:top w:val="single" w:sz="4" w:space="0" w:color="000000"/>
              <w:left w:val="single" w:sz="4" w:space="0" w:color="000000"/>
              <w:bottom w:val="single" w:sz="4" w:space="0" w:color="000000"/>
              <w:right w:val="single" w:sz="4" w:space="0" w:color="000000"/>
            </w:tcBorders>
          </w:tcPr>
          <w:p>
            <w:pPr/>
          </w:p>
        </w:tc>
        <w:tc>
          <w:tcPr>
            <w:tcW w:w="1343"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199,067,637.97</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5"/>
              <w:jc w:val="right"/>
              <w:rPr>
                <w:rFonts w:ascii="Times New Roman" w:hAnsi="Times New Roman" w:cs="Times New Roman" w:eastAsia="Times New Roman" w:hint="default"/>
                <w:sz w:val="18"/>
                <w:szCs w:val="18"/>
              </w:rPr>
            </w:pPr>
            <w:r>
              <w:rPr>
                <w:rFonts w:ascii="Times New Roman"/>
                <w:spacing w:val="-1"/>
                <w:sz w:val="18"/>
              </w:rPr>
              <w:t>199,067,637.97</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199,067,637.97</w:t>
            </w:r>
          </w:p>
        </w:tc>
        <w:tc>
          <w:tcPr>
            <w:tcW w:w="1342" w:type="dxa"/>
            <w:tcBorders>
              <w:top w:val="single" w:sz="4" w:space="0" w:color="000000"/>
              <w:left w:val="single" w:sz="4" w:space="0" w:color="000000"/>
              <w:bottom w:val="single" w:sz="4" w:space="0" w:color="000000"/>
              <w:right w:val="single" w:sz="4" w:space="0" w:color="000000"/>
            </w:tcBorders>
          </w:tcPr>
          <w:p>
            <w:pPr/>
          </w:p>
        </w:tc>
        <w:tc>
          <w:tcPr>
            <w:tcW w:w="1343"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5"/>
              <w:jc w:val="right"/>
              <w:rPr>
                <w:rFonts w:ascii="Times New Roman" w:hAnsi="Times New Roman" w:cs="Times New Roman" w:eastAsia="Times New Roman" w:hint="default"/>
                <w:sz w:val="18"/>
                <w:szCs w:val="18"/>
              </w:rPr>
            </w:pPr>
            <w:r>
              <w:rPr>
                <w:rFonts w:ascii="Times New Roman"/>
                <w:spacing w:val="-1"/>
                <w:sz w:val="18"/>
              </w:rPr>
              <w:t>1,616,093,944.20</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5"/>
              <w:jc w:val="right"/>
              <w:rPr>
                <w:rFonts w:ascii="Times New Roman" w:hAnsi="Times New Roman" w:cs="Times New Roman" w:eastAsia="Times New Roman" w:hint="default"/>
                <w:sz w:val="18"/>
                <w:szCs w:val="18"/>
              </w:rPr>
            </w:pPr>
            <w:r>
              <w:rPr>
                <w:rFonts w:ascii="Times New Roman"/>
                <w:spacing w:val="-1"/>
                <w:sz w:val="18"/>
              </w:rPr>
              <w:t>1,822,213,161.03</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1,822,213,161.03</w:t>
            </w:r>
          </w:p>
        </w:tc>
        <w:tc>
          <w:tcPr>
            <w:tcW w:w="1342" w:type="dxa"/>
            <w:tcBorders>
              <w:top w:val="single" w:sz="4" w:space="0" w:color="000000"/>
              <w:left w:val="single" w:sz="4" w:space="0" w:color="000000"/>
              <w:bottom w:val="single" w:sz="4" w:space="0" w:color="000000"/>
              <w:right w:val="single" w:sz="4" w:space="0" w:color="000000"/>
            </w:tcBorders>
          </w:tcPr>
          <w:p>
            <w:pPr/>
          </w:p>
        </w:tc>
        <w:tc>
          <w:tcPr>
            <w:tcW w:w="1343"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66,799,698.41</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5"/>
              <w:jc w:val="right"/>
              <w:rPr>
                <w:rFonts w:ascii="Times New Roman" w:hAnsi="Times New Roman" w:cs="Times New Roman" w:eastAsia="Times New Roman" w:hint="default"/>
                <w:sz w:val="18"/>
                <w:szCs w:val="18"/>
              </w:rPr>
            </w:pPr>
            <w:r>
              <w:rPr>
                <w:rFonts w:ascii="Times New Roman"/>
                <w:spacing w:val="-1"/>
                <w:sz w:val="18"/>
              </w:rPr>
              <w:t>80,787,504.16</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80,787,504.16</w:t>
            </w:r>
          </w:p>
        </w:tc>
        <w:tc>
          <w:tcPr>
            <w:tcW w:w="1342" w:type="dxa"/>
            <w:tcBorders>
              <w:top w:val="single" w:sz="4" w:space="0" w:color="000000"/>
              <w:left w:val="single" w:sz="4" w:space="0" w:color="000000"/>
              <w:bottom w:val="single" w:sz="4" w:space="0" w:color="000000"/>
              <w:right w:val="single" w:sz="4" w:space="0" w:color="000000"/>
            </w:tcBorders>
          </w:tcPr>
          <w:p>
            <w:pPr/>
          </w:p>
        </w:tc>
        <w:tc>
          <w:tcPr>
            <w:tcW w:w="1343"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56"/>
              <w:jc w:val="right"/>
              <w:rPr>
                <w:rFonts w:ascii="宋体" w:hAnsi="宋体" w:cs="宋体" w:eastAsia="宋体" w:hint="default"/>
                <w:sz w:val="18"/>
                <w:szCs w:val="18"/>
              </w:rPr>
            </w:pPr>
            <w:r>
              <w:rPr>
                <w:rFonts w:ascii="宋体" w:hAnsi="宋体" w:cs="宋体" w:eastAsia="宋体" w:hint="default"/>
                <w:sz w:val="18"/>
                <w:szCs w:val="18"/>
              </w:rPr>
              <w:t>金融资产小计</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5"/>
              <w:jc w:val="right"/>
              <w:rPr>
                <w:rFonts w:ascii="Times New Roman" w:hAnsi="Times New Roman" w:cs="Times New Roman" w:eastAsia="Times New Roman" w:hint="default"/>
                <w:sz w:val="18"/>
                <w:szCs w:val="18"/>
              </w:rPr>
            </w:pPr>
            <w:r>
              <w:rPr>
                <w:rFonts w:ascii="Times New Roman"/>
                <w:spacing w:val="-1"/>
                <w:sz w:val="18"/>
              </w:rPr>
              <w:t>3,762,643,286.09</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5"/>
              <w:jc w:val="right"/>
              <w:rPr>
                <w:rFonts w:ascii="Times New Roman" w:hAnsi="Times New Roman" w:cs="Times New Roman" w:eastAsia="Times New Roman" w:hint="default"/>
                <w:sz w:val="18"/>
                <w:szCs w:val="18"/>
              </w:rPr>
            </w:pPr>
            <w:r>
              <w:rPr>
                <w:rFonts w:ascii="Times New Roman"/>
                <w:spacing w:val="-1"/>
                <w:sz w:val="18"/>
              </w:rPr>
              <w:t>3,982,750,308.67</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3,982,750,308.67</w:t>
            </w:r>
          </w:p>
        </w:tc>
        <w:tc>
          <w:tcPr>
            <w:tcW w:w="1342" w:type="dxa"/>
            <w:tcBorders>
              <w:top w:val="single" w:sz="4" w:space="0" w:color="000000"/>
              <w:left w:val="single" w:sz="4" w:space="0" w:color="000000"/>
              <w:bottom w:val="single" w:sz="4" w:space="0" w:color="000000"/>
              <w:right w:val="single" w:sz="4" w:space="0" w:color="000000"/>
            </w:tcBorders>
          </w:tcPr>
          <w:p>
            <w:pPr/>
          </w:p>
        </w:tc>
        <w:tc>
          <w:tcPr>
            <w:tcW w:w="1343"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343" w:type="dxa"/>
            <w:tcBorders>
              <w:top w:val="single" w:sz="4" w:space="0" w:color="000000"/>
              <w:left w:val="single" w:sz="4" w:space="0" w:color="000000"/>
              <w:bottom w:val="single" w:sz="4" w:space="0" w:color="000000"/>
              <w:right w:val="single" w:sz="4" w:space="0" w:color="000000"/>
            </w:tcBorders>
          </w:tcPr>
          <w:p>
            <w:pPr/>
          </w:p>
        </w:tc>
        <w:tc>
          <w:tcPr>
            <w:tcW w:w="1343"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343"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96,665,594.11</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5"/>
              <w:jc w:val="right"/>
              <w:rPr>
                <w:rFonts w:ascii="Times New Roman" w:hAnsi="Times New Roman" w:cs="Times New Roman" w:eastAsia="Times New Roman" w:hint="default"/>
                <w:sz w:val="18"/>
                <w:szCs w:val="18"/>
              </w:rPr>
            </w:pPr>
            <w:r>
              <w:rPr>
                <w:rFonts w:ascii="Times New Roman"/>
                <w:spacing w:val="-1"/>
                <w:sz w:val="18"/>
              </w:rPr>
              <w:t>96,665,594.11</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96,665,594.11</w:t>
            </w:r>
          </w:p>
        </w:tc>
        <w:tc>
          <w:tcPr>
            <w:tcW w:w="1342" w:type="dxa"/>
            <w:tcBorders>
              <w:top w:val="single" w:sz="4" w:space="0" w:color="000000"/>
              <w:left w:val="single" w:sz="4" w:space="0" w:color="000000"/>
              <w:bottom w:val="single" w:sz="4" w:space="0" w:color="000000"/>
              <w:right w:val="single" w:sz="4" w:space="0" w:color="000000"/>
            </w:tcBorders>
          </w:tcPr>
          <w:p>
            <w:pPr/>
          </w:p>
        </w:tc>
        <w:tc>
          <w:tcPr>
            <w:tcW w:w="1343"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980,334,806.73</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5"/>
              <w:jc w:val="right"/>
              <w:rPr>
                <w:rFonts w:ascii="Times New Roman" w:hAnsi="Times New Roman" w:cs="Times New Roman" w:eastAsia="Times New Roman" w:hint="default"/>
                <w:sz w:val="18"/>
                <w:szCs w:val="18"/>
              </w:rPr>
            </w:pPr>
            <w:r>
              <w:rPr>
                <w:rFonts w:ascii="Times New Roman"/>
                <w:spacing w:val="-1"/>
                <w:sz w:val="18"/>
              </w:rPr>
              <w:t>980,334,806.73</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980,334,806.73</w:t>
            </w:r>
          </w:p>
        </w:tc>
        <w:tc>
          <w:tcPr>
            <w:tcW w:w="1342" w:type="dxa"/>
            <w:tcBorders>
              <w:top w:val="single" w:sz="4" w:space="0" w:color="000000"/>
              <w:left w:val="single" w:sz="4" w:space="0" w:color="000000"/>
              <w:bottom w:val="single" w:sz="4" w:space="0" w:color="000000"/>
              <w:right w:val="single" w:sz="4" w:space="0" w:color="000000"/>
            </w:tcBorders>
          </w:tcPr>
          <w:p>
            <w:pPr/>
          </w:p>
        </w:tc>
        <w:tc>
          <w:tcPr>
            <w:tcW w:w="1343"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47,171,085.26</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5"/>
              <w:jc w:val="right"/>
              <w:rPr>
                <w:rFonts w:ascii="Times New Roman" w:hAnsi="Times New Roman" w:cs="Times New Roman" w:eastAsia="Times New Roman" w:hint="default"/>
                <w:sz w:val="18"/>
                <w:szCs w:val="18"/>
              </w:rPr>
            </w:pPr>
            <w:r>
              <w:rPr>
                <w:rFonts w:ascii="Times New Roman"/>
                <w:spacing w:val="-1"/>
                <w:sz w:val="18"/>
              </w:rPr>
              <w:t>47,171,085.26</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47,171,085.26</w:t>
            </w:r>
          </w:p>
        </w:tc>
        <w:tc>
          <w:tcPr>
            <w:tcW w:w="1342" w:type="dxa"/>
            <w:tcBorders>
              <w:top w:val="single" w:sz="4" w:space="0" w:color="000000"/>
              <w:left w:val="single" w:sz="4" w:space="0" w:color="000000"/>
              <w:bottom w:val="single" w:sz="4" w:space="0" w:color="000000"/>
              <w:right w:val="single" w:sz="4" w:space="0" w:color="000000"/>
            </w:tcBorders>
          </w:tcPr>
          <w:p>
            <w:pPr/>
          </w:p>
        </w:tc>
        <w:tc>
          <w:tcPr>
            <w:tcW w:w="1343"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56"/>
              <w:jc w:val="right"/>
              <w:rPr>
                <w:rFonts w:ascii="宋体" w:hAnsi="宋体" w:cs="宋体" w:eastAsia="宋体" w:hint="default"/>
                <w:sz w:val="18"/>
                <w:szCs w:val="18"/>
              </w:rPr>
            </w:pPr>
            <w:r>
              <w:rPr>
                <w:rFonts w:ascii="宋体" w:hAnsi="宋体" w:cs="宋体" w:eastAsia="宋体" w:hint="default"/>
                <w:sz w:val="18"/>
                <w:szCs w:val="18"/>
              </w:rPr>
              <w:t>金融负债小计</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5"/>
              <w:jc w:val="right"/>
              <w:rPr>
                <w:rFonts w:ascii="Times New Roman" w:hAnsi="Times New Roman" w:cs="Times New Roman" w:eastAsia="Times New Roman" w:hint="default"/>
                <w:sz w:val="18"/>
                <w:szCs w:val="18"/>
              </w:rPr>
            </w:pPr>
            <w:r>
              <w:rPr>
                <w:rFonts w:ascii="Times New Roman"/>
                <w:spacing w:val="-1"/>
                <w:sz w:val="18"/>
              </w:rPr>
              <w:t>1,124,171,486.10</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5"/>
              <w:jc w:val="right"/>
              <w:rPr>
                <w:rFonts w:ascii="Times New Roman" w:hAnsi="Times New Roman" w:cs="Times New Roman" w:eastAsia="Times New Roman" w:hint="default"/>
                <w:sz w:val="18"/>
                <w:szCs w:val="18"/>
              </w:rPr>
            </w:pPr>
            <w:r>
              <w:rPr>
                <w:rFonts w:ascii="Times New Roman"/>
                <w:spacing w:val="-1"/>
                <w:sz w:val="18"/>
              </w:rPr>
              <w:t>1,124,171,486.10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1,124,171,486.10</w:t>
            </w:r>
          </w:p>
        </w:tc>
        <w:tc>
          <w:tcPr>
            <w:tcW w:w="1342" w:type="dxa"/>
            <w:tcBorders>
              <w:top w:val="single" w:sz="4" w:space="0" w:color="000000"/>
              <w:left w:val="single" w:sz="4" w:space="0" w:color="000000"/>
              <w:bottom w:val="single" w:sz="4" w:space="0" w:color="000000"/>
              <w:right w:val="single" w:sz="4" w:space="0" w:color="000000"/>
            </w:tcBorders>
          </w:tcPr>
          <w:p>
            <w:pPr/>
          </w:p>
        </w:tc>
        <w:tc>
          <w:tcPr>
            <w:tcW w:w="1343"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5"/>
          <w:szCs w:val="5"/>
        </w:rPr>
      </w:pPr>
    </w:p>
    <w:p>
      <w:pPr>
        <w:pStyle w:val="Heading3"/>
        <w:spacing w:line="240" w:lineRule="auto" w:before="35"/>
        <w:ind w:left="512" w:right="1022"/>
        <w:jc w:val="left"/>
        <w:rPr>
          <w:b w:val="0"/>
          <w:bCs w:val="0"/>
        </w:rPr>
      </w:pPr>
      <w:r>
        <w:rPr/>
        <w:t>（二）市场风险</w:t>
      </w:r>
      <w:r>
        <w:rPr>
          <w:b w:val="0"/>
          <w:bCs w:val="0"/>
        </w:rPr>
      </w:r>
    </w:p>
    <w:p>
      <w:pPr>
        <w:pStyle w:val="Heading4"/>
        <w:spacing w:line="273" w:lineRule="auto" w:before="157"/>
        <w:ind w:left="574" w:right="1022"/>
        <w:jc w:val="left"/>
      </w:pPr>
      <w:r>
        <w:rPr>
          <w:rFonts w:ascii="宋体" w:hAnsi="宋体" w:cs="宋体" w:eastAsia="宋体" w:hint="default"/>
          <w:b/>
          <w:bCs/>
        </w:rPr>
        <w:t>利率风险</w:t>
      </w:r>
      <w:r>
        <w:rPr>
          <w:rFonts w:ascii="宋体" w:hAnsi="宋体" w:cs="宋体" w:eastAsia="宋体" w:hint="default"/>
          <w:b/>
          <w:bCs/>
          <w:spacing w:val="1"/>
          <w:w w:val="99"/>
        </w:rPr>
        <w:t> </w:t>
      </w:r>
      <w:r>
        <w:rPr>
          <w:spacing w:val="-1"/>
        </w:rPr>
        <w:t>本公司的利率风险主要产生于短期借款等。浮动利率的金融负债使本公司面临现金流量利率风险，固</w:t>
      </w:r>
    </w:p>
    <w:p>
      <w:pPr>
        <w:pStyle w:val="Heading4"/>
        <w:spacing w:line="273" w:lineRule="auto"/>
        <w:ind w:right="1022"/>
        <w:jc w:val="left"/>
      </w:pPr>
      <w:r>
        <w:rPr>
          <w:spacing w:val="-1"/>
        </w:rPr>
        <w:t>定利率的金融负债使本公司面临公允价值利率风险。本公司根据当时的市场环境来决定固定利率及浮动利</w:t>
      </w:r>
      <w:r>
        <w:rPr>
          <w:spacing w:val="-81"/>
        </w:rPr>
        <w:t> </w:t>
      </w:r>
      <w:r>
        <w:rPr>
          <w:spacing w:val="-81"/>
        </w:rPr>
      </w:r>
      <w:r>
        <w:rPr/>
        <w:t>率合同的相对比例。</w:t>
      </w:r>
    </w:p>
    <w:p>
      <w:pPr>
        <w:pStyle w:val="Heading4"/>
        <w:spacing w:line="273" w:lineRule="auto" w:before="8"/>
        <w:ind w:right="1130" w:firstLine="420"/>
        <w:jc w:val="both"/>
      </w:pPr>
      <w:r>
        <w:rPr>
          <w:spacing w:val="-1"/>
        </w:rPr>
        <w:t>本公司财务部门持续监控公司利率水平。利率上升会增加新增带息债务的成本以及本公司尚未付清的</w:t>
      </w:r>
      <w:r>
        <w:rPr/>
        <w:t> </w:t>
      </w:r>
      <w:r>
        <w:rPr>
          <w:spacing w:val="-1"/>
        </w:rPr>
        <w:t>以浮动利率计息的带息债务的利息支出，并对本公司的财务业绩产生重大的不利影响，管理层会依据最新</w:t>
      </w:r>
      <w:r>
        <w:rPr>
          <w:spacing w:val="-80"/>
        </w:rPr>
        <w:t> </w:t>
      </w:r>
      <w:r>
        <w:rPr>
          <w:spacing w:val="-80"/>
        </w:rPr>
      </w:r>
      <w:r>
        <w:rPr/>
        <w:t>的市场状况及时做出调整。</w:t>
      </w:r>
    </w:p>
    <w:p>
      <w:pPr>
        <w:pStyle w:val="Heading4"/>
        <w:spacing w:line="240" w:lineRule="auto"/>
        <w:ind w:left="574" w:right="1022"/>
        <w:jc w:val="left"/>
      </w:pPr>
      <w:r>
        <w:rPr/>
        <w:t>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日，本公司无长期带息债务。</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1022"/>
        <w:jc w:val="left"/>
        <w:rPr>
          <w:b w:val="0"/>
          <w:bCs w:val="0"/>
        </w:rPr>
      </w:pPr>
      <w:bookmarkStart w:name="十一、关联方及关联交易" w:id="317"/>
      <w:bookmarkEnd w:id="317"/>
      <w:r>
        <w:rPr>
          <w:b w:val="0"/>
          <w:bCs w:val="0"/>
        </w:rPr>
      </w:r>
      <w:r>
        <w:rPr/>
        <w:t>十一、关联方及关联交易</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22"/>
        <w:jc w:val="left"/>
        <w:rPr>
          <w:b w:val="0"/>
          <w:bCs w:val="0"/>
        </w:rPr>
      </w:pPr>
      <w:bookmarkStart w:name="1、本企业的母公司情况" w:id="318"/>
      <w:bookmarkEnd w:id="318"/>
      <w:r>
        <w:rPr>
          <w:b w:val="0"/>
          <w:bCs w:val="0"/>
        </w:rPr>
      </w:r>
      <w:r>
        <w:rPr>
          <w:rFonts w:ascii="Times New Roman" w:hAnsi="Times New Roman" w:cs="Times New Roman" w:eastAsia="Times New Roman" w:hint="default"/>
        </w:rPr>
        <w:t>1</w:t>
      </w:r>
      <w:r>
        <w:rPr/>
        <w:t>、本企业的母公司情况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44"/>
        <w:gridCol w:w="852"/>
        <w:gridCol w:w="991"/>
        <w:gridCol w:w="990"/>
        <w:gridCol w:w="1595"/>
        <w:gridCol w:w="1595"/>
      </w:tblGrid>
      <w:tr>
        <w:trPr>
          <w:trHeight w:val="714" w:hRule="exact"/>
        </w:trPr>
        <w:tc>
          <w:tcPr>
            <w:tcW w:w="3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母公司名称</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49"/>
              <w:jc w:val="right"/>
              <w:rPr>
                <w:rFonts w:ascii="宋体" w:hAnsi="宋体" w:cs="宋体" w:eastAsia="宋体" w:hint="default"/>
                <w:sz w:val="18"/>
                <w:szCs w:val="18"/>
              </w:rPr>
            </w:pPr>
            <w:r>
              <w:rPr>
                <w:rFonts w:ascii="宋体" w:hAnsi="宋体" w:cs="宋体" w:eastAsia="宋体" w:hint="default"/>
                <w:sz w:val="18"/>
                <w:szCs w:val="18"/>
              </w:rPr>
              <w:t>注册地</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30"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9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2"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41" w:right="71" w:hanging="270"/>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中国电子科技网络信息安全有限公司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6"/>
              <w:jc w:val="right"/>
              <w:rPr>
                <w:rFonts w:ascii="宋体" w:hAnsi="宋体" w:cs="宋体" w:eastAsia="宋体" w:hint="default"/>
                <w:sz w:val="18"/>
                <w:szCs w:val="18"/>
              </w:rPr>
            </w:pPr>
            <w:r>
              <w:rPr>
                <w:rFonts w:ascii="宋体" w:hAnsi="宋体" w:cs="宋体" w:eastAsia="宋体" w:hint="default"/>
                <w:sz w:val="18"/>
                <w:szCs w:val="18"/>
              </w:rPr>
              <w:t>四川成都</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信息安全</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  </w:t>
            </w:r>
            <w:r>
              <w:rPr>
                <w:rFonts w:ascii="宋体" w:hAnsi="宋体" w:cs="宋体" w:eastAsia="宋体" w:hint="default"/>
                <w:sz w:val="18"/>
                <w:szCs w:val="18"/>
              </w:rPr>
              <w:t>亿</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7" w:right="0"/>
              <w:jc w:val="left"/>
              <w:rPr>
                <w:rFonts w:ascii="Times New Roman" w:hAnsi="Times New Roman" w:cs="Times New Roman" w:eastAsia="Times New Roman" w:hint="default"/>
                <w:sz w:val="18"/>
                <w:szCs w:val="18"/>
              </w:rPr>
            </w:pPr>
            <w:r>
              <w:rPr>
                <w:rFonts w:ascii="Times New Roman"/>
                <w:sz w:val="18"/>
              </w:rPr>
              <w:t>37.79%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6" w:right="0"/>
              <w:jc w:val="left"/>
              <w:rPr>
                <w:rFonts w:ascii="Times New Roman" w:hAnsi="Times New Roman" w:cs="Times New Roman" w:eastAsia="Times New Roman" w:hint="default"/>
                <w:sz w:val="18"/>
                <w:szCs w:val="18"/>
              </w:rPr>
            </w:pPr>
            <w:r>
              <w:rPr>
                <w:rFonts w:ascii="Times New Roman"/>
                <w:sz w:val="18"/>
              </w:rPr>
              <w:t>37.79%</w:t>
            </w:r>
          </w:p>
        </w:tc>
      </w:tr>
    </w:tbl>
    <w:p>
      <w:pPr>
        <w:pStyle w:val="BodyText"/>
        <w:spacing w:line="360" w:lineRule="auto" w:before="51"/>
        <w:ind w:right="6792"/>
        <w:jc w:val="left"/>
      </w:pPr>
      <w:r>
        <w:rPr/>
        <w:t>本企业的母公司情况的说明 本企业最终控制方是中国电子科技集团有限公司。</w:t>
      </w:r>
    </w:p>
    <w:p>
      <w:pPr>
        <w:spacing w:line="240" w:lineRule="auto" w:before="11"/>
        <w:rPr>
          <w:rFonts w:ascii="宋体" w:hAnsi="宋体" w:cs="宋体" w:eastAsia="宋体" w:hint="default"/>
          <w:sz w:val="19"/>
          <w:szCs w:val="19"/>
        </w:rPr>
      </w:pPr>
    </w:p>
    <w:p>
      <w:pPr>
        <w:spacing w:line="547" w:lineRule="auto" w:before="0"/>
        <w:ind w:left="154" w:right="4272" w:firstLine="0"/>
        <w:jc w:val="left"/>
        <w:rPr>
          <w:rFonts w:ascii="宋体" w:hAnsi="宋体" w:cs="宋体" w:eastAsia="宋体" w:hint="default"/>
          <w:sz w:val="21"/>
          <w:szCs w:val="21"/>
        </w:rPr>
      </w:pPr>
      <w:bookmarkStart w:name="2、本企业的子公司情况" w:id="319"/>
      <w:bookmarkEnd w:id="319"/>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w w:val="99"/>
          <w:sz w:val="21"/>
          <w:szCs w:val="21"/>
        </w:rPr>
        <w:t> </w:t>
      </w:r>
      <w:r>
        <w:rPr>
          <w:rFonts w:ascii="宋体" w:hAnsi="宋体" w:cs="宋体" w:eastAsia="宋体" w:hint="default"/>
          <w:sz w:val="18"/>
          <w:szCs w:val="18"/>
        </w:rPr>
        <w:t>本企业子公司的情况详见附注九、在其他主体中的权益之 </w:t>
      </w:r>
      <w:r>
        <w:rPr>
          <w:rFonts w:ascii="Times New Roman" w:hAnsi="Times New Roman" w:cs="Times New Roman" w:eastAsia="Times New Roman" w:hint="default"/>
          <w:sz w:val="18"/>
          <w:szCs w:val="18"/>
        </w:rPr>
        <w:t>1</w:t>
      </w:r>
      <w:r>
        <w:rPr>
          <w:rFonts w:ascii="宋体" w:hAnsi="宋体" w:cs="宋体" w:eastAsia="宋体" w:hint="default"/>
          <w:sz w:val="18"/>
          <w:szCs w:val="18"/>
        </w:rPr>
        <w:t>、在子公司中的权益。 </w:t>
      </w:r>
      <w:bookmarkStart w:name="3、本企业合营和联营企业情况" w:id="320"/>
      <w:bookmarkEnd w:id="320"/>
      <w:r>
        <w:rPr>
          <w:rFonts w:ascii="宋体" w:hAnsi="宋体" w:cs="宋体" w:eastAsia="宋体" w:hint="default"/>
          <w:sz w:val="18"/>
          <w:szCs w:val="18"/>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、本企业合营和联营企业情况</w:t>
      </w:r>
      <w:r>
        <w:rPr>
          <w:rFonts w:ascii="宋体" w:hAnsi="宋体" w:cs="宋体" w:eastAsia="宋体" w:hint="default"/>
          <w:sz w:val="21"/>
          <w:szCs w:val="21"/>
        </w:rPr>
      </w:r>
    </w:p>
    <w:p>
      <w:pPr>
        <w:pStyle w:val="BodyText"/>
        <w:spacing w:line="340" w:lineRule="auto" w:before="50"/>
        <w:ind w:right="2292"/>
        <w:jc w:val="left"/>
      </w:pPr>
      <w:r>
        <w:rPr/>
        <w:t>本企业重要的合营或联营企业详见附注九、在其他主体中的权益之 </w:t>
      </w:r>
      <w:r>
        <w:rPr>
          <w:rFonts w:ascii="Times New Roman" w:hAnsi="Times New Roman" w:cs="Times New Roman" w:eastAsia="Times New Roman" w:hint="default"/>
        </w:rPr>
        <w:t>3</w:t>
      </w:r>
      <w:r>
        <w:rPr/>
        <w:t>、在合营安排或联营企业中的权益。 本期与本公司发生关联方交易，或前期与本公司发生关联方交易形成余额的其他合营或联营企业情况如下：</w:t>
      </w:r>
    </w:p>
    <w:p>
      <w:pPr>
        <w:spacing w:line="240" w:lineRule="auto" w:before="3"/>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6"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成都摩宝网络科技有限公司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r>
    </w:tbl>
    <w:p>
      <w:pPr>
        <w:spacing w:line="240" w:lineRule="auto" w:before="3"/>
        <w:rPr>
          <w:rFonts w:ascii="宋体" w:hAnsi="宋体" w:cs="宋体" w:eastAsia="宋体" w:hint="default"/>
          <w:sz w:val="19"/>
          <w:szCs w:val="19"/>
        </w:rPr>
      </w:pPr>
    </w:p>
    <w:p>
      <w:pPr>
        <w:pStyle w:val="Heading3"/>
        <w:spacing w:line="240" w:lineRule="auto" w:before="35"/>
        <w:ind w:right="1022"/>
        <w:jc w:val="left"/>
        <w:rPr>
          <w:b w:val="0"/>
          <w:bCs w:val="0"/>
        </w:rPr>
      </w:pPr>
      <w:bookmarkStart w:name="4、其他关联方情况" w:id="321"/>
      <w:bookmarkEnd w:id="321"/>
      <w:r>
        <w:rPr>
          <w:b w:val="0"/>
          <w:bCs w:val="0"/>
        </w:rPr>
      </w:r>
      <w:r>
        <w:rPr>
          <w:rFonts w:ascii="Times New Roman" w:hAnsi="Times New Roman" w:cs="Times New Roman" w:eastAsia="Times New Roman" w:hint="default"/>
        </w:rPr>
        <w:t>4</w:t>
      </w:r>
      <w:r>
        <w:rPr/>
        <w:t>、其他关联方情况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98"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成都三零凯天通信实业有限公司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受同一母公司控制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成都三零普瑞科技有限公司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受同一母公司控制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成都欣瑞资产管理有限公司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受同一母公司控制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上海三零卫士信息安全有限公司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受同一母公司控制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成都新欣神风电子科技有限公司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受同一母公司控制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中国电子科技集团公司第三十三研究所</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受同一母公司控制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中国电子科技集团公司第三十研究所</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受同一母公司控制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成都国信安信息产业基地有限公司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受同一母公司控制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四川信息安全与通信保密杂志社</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受同一母公司控制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厦门雅迅网络股份有限公司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受同一母公司控制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中电科华北网络信息安全有限公司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受同一母公司控制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成都深思科技有限公司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受同一母公司控制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广州杰赛科技股份有限公司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受同一最终控制方控制</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杭州海康威视数字技术股份有限公司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受同一最终控制方控制</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普华基础软件股份有限公司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受同一最终控制方控制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太极计算机股份有限公司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受同一最终控制方控制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国睿科技股份有限公司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受同一最终控制方控制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安徽四创电子股份有限公司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受同一最终控制方控制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中国电子科技集团有限公司及其他下属企业</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受同一最终控制方控制</w:t>
            </w:r>
          </w:p>
        </w:tc>
      </w:tr>
    </w:tbl>
    <w:p>
      <w:pPr>
        <w:spacing w:line="240" w:lineRule="auto" w:before="2"/>
        <w:rPr>
          <w:rFonts w:ascii="宋体" w:hAnsi="宋体" w:cs="宋体" w:eastAsia="宋体" w:hint="default"/>
          <w:b/>
          <w:bCs/>
          <w:sz w:val="19"/>
          <w:szCs w:val="19"/>
        </w:rPr>
      </w:pPr>
    </w:p>
    <w:p>
      <w:pPr>
        <w:pStyle w:val="Heading3"/>
        <w:spacing w:line="240" w:lineRule="auto" w:before="35"/>
        <w:ind w:right="1022"/>
        <w:jc w:val="left"/>
        <w:rPr>
          <w:b w:val="0"/>
          <w:bCs w:val="0"/>
        </w:rPr>
      </w:pPr>
      <w:bookmarkStart w:name="5、关联交易情况" w:id="322"/>
      <w:bookmarkEnd w:id="322"/>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22"/>
        <w:jc w:val="left"/>
        <w:rPr>
          <w:b w:val="0"/>
          <w:bCs w:val="0"/>
        </w:rPr>
      </w:pPr>
      <w:bookmarkStart w:name="（1）购销商品、提供和接受劳务的关联交易" w:id="323"/>
      <w:bookmarkEnd w:id="323"/>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022"/>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262"/>
        <w:gridCol w:w="1275"/>
        <w:gridCol w:w="1276"/>
        <w:gridCol w:w="1134"/>
        <w:gridCol w:w="917"/>
        <w:gridCol w:w="1706"/>
      </w:tblGrid>
      <w:tr>
        <w:trPr>
          <w:trHeight w:val="714" w:hRule="exact"/>
        </w:trPr>
        <w:tc>
          <w:tcPr>
            <w:tcW w:w="32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82" w:right="109" w:hanging="270"/>
              <w:jc w:val="left"/>
              <w:rPr>
                <w:rFonts w:ascii="宋体" w:hAnsi="宋体" w:cs="宋体" w:eastAsia="宋体" w:hint="default"/>
                <w:sz w:val="18"/>
                <w:szCs w:val="18"/>
              </w:rPr>
            </w:pPr>
            <w:r>
              <w:rPr>
                <w:rFonts w:ascii="宋体" w:hAnsi="宋体" w:cs="宋体" w:eastAsia="宋体" w:hint="default"/>
                <w:sz w:val="18"/>
                <w:szCs w:val="18"/>
              </w:rPr>
              <w:t>获批的交易 额度</w:t>
            </w:r>
          </w:p>
        </w:tc>
        <w:tc>
          <w:tcPr>
            <w:tcW w:w="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4" w:right="91"/>
              <w:jc w:val="left"/>
              <w:rPr>
                <w:rFonts w:ascii="宋体" w:hAnsi="宋体" w:cs="宋体" w:eastAsia="宋体" w:hint="default"/>
                <w:sz w:val="18"/>
                <w:szCs w:val="18"/>
              </w:rPr>
            </w:pPr>
            <w:r>
              <w:rPr>
                <w:rFonts w:ascii="宋体" w:hAnsi="宋体" w:cs="宋体" w:eastAsia="宋体" w:hint="default"/>
                <w:sz w:val="18"/>
                <w:szCs w:val="18"/>
              </w:rPr>
              <w:t>是否超过 交易额度</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中国电子科技网络信息安全有限公司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7,994,504.75</w:t>
            </w:r>
          </w:p>
        </w:tc>
        <w:tc>
          <w:tcPr>
            <w:tcW w:w="1134"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12,929,959.55</w:t>
            </w: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成都三零凯天通信实业有限公司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891,048.08</w:t>
            </w:r>
          </w:p>
        </w:tc>
        <w:tc>
          <w:tcPr>
            <w:tcW w:w="1134"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1,734,725.39</w:t>
            </w: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成都三零普瑞科技有限公司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4,810,471.70</w:t>
            </w:r>
          </w:p>
        </w:tc>
        <w:tc>
          <w:tcPr>
            <w:tcW w:w="1134"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成都欣瑞资产管理有限公司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126,126.13</w:t>
            </w:r>
          </w:p>
        </w:tc>
        <w:tc>
          <w:tcPr>
            <w:tcW w:w="1134"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成都国信安信息产业基地有限公司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393,138.83</w:t>
            </w: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上海三零卫士信息安全有限公司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3,440,372.39</w:t>
            </w:r>
          </w:p>
        </w:tc>
        <w:tc>
          <w:tcPr>
            <w:tcW w:w="1134"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7,454,561.64</w:t>
            </w: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成都新欣神风电子科技有限公司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402,179.49</w:t>
            </w: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中国电子科技集团公司第三十三研究所</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3,727,108.69</w:t>
            </w:r>
          </w:p>
        </w:tc>
        <w:tc>
          <w:tcPr>
            <w:tcW w:w="1134"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6,650,050.41</w:t>
            </w: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中国电子科技集团公司第三十研究所</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49,361,252.06</w:t>
            </w:r>
          </w:p>
        </w:tc>
        <w:tc>
          <w:tcPr>
            <w:tcW w:w="1134"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128,469,956.57</w:t>
            </w: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安徽四创电子股份有限公司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6,162,393.16</w:t>
            </w: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中电科华北网络信息安全有限公司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8,058,130.79</w:t>
            </w:r>
          </w:p>
        </w:tc>
        <w:tc>
          <w:tcPr>
            <w:tcW w:w="1134"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广州杰赛科技股份有限公司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861,231.72</w:t>
            </w:r>
          </w:p>
        </w:tc>
        <w:tc>
          <w:tcPr>
            <w:tcW w:w="1134"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88,846.58</w:t>
            </w: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杭州海康威视数字技术股份有限公司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4,663,851.64</w:t>
            </w:r>
          </w:p>
        </w:tc>
        <w:tc>
          <w:tcPr>
            <w:tcW w:w="1134"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9,661,500.42</w:t>
            </w: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普华基础软件股份有限公司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679,630.03</w:t>
            </w:r>
          </w:p>
        </w:tc>
        <w:tc>
          <w:tcPr>
            <w:tcW w:w="1134"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11,102.56</w:t>
            </w: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太极计算机股份有限公司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1,662,630.19</w:t>
            </w:r>
          </w:p>
        </w:tc>
        <w:tc>
          <w:tcPr>
            <w:tcW w:w="1134"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1,272,712.13</w:t>
            </w:r>
          </w:p>
        </w:tc>
      </w:tr>
      <w:tr>
        <w:trPr>
          <w:trHeight w:val="714"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7"/>
              <w:jc w:val="left"/>
              <w:rPr>
                <w:rFonts w:ascii="宋体" w:hAnsi="宋体" w:cs="宋体" w:eastAsia="宋体" w:hint="default"/>
                <w:sz w:val="18"/>
                <w:szCs w:val="18"/>
              </w:rPr>
            </w:pPr>
            <w:r>
              <w:rPr>
                <w:rFonts w:ascii="宋体" w:hAnsi="宋体" w:cs="宋体" w:eastAsia="宋体" w:hint="default"/>
                <w:sz w:val="18"/>
                <w:szCs w:val="18"/>
              </w:rPr>
              <w:t>中国电子科技集团有限公司及其他下属 企业</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9,059,350.91</w:t>
            </w:r>
          </w:p>
        </w:tc>
        <w:tc>
          <w:tcPr>
            <w:tcW w:w="1134"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4,534,744.08</w:t>
            </w: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中国电子科技网络信息安全有限公司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1,033,018.87</w:t>
            </w:r>
          </w:p>
        </w:tc>
        <w:tc>
          <w:tcPr>
            <w:tcW w:w="1134"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成都三零普瑞科技有限公司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2,974,190.62</w:t>
            </w: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成都国信安信息产业基地有限公司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3,955,477.40</w:t>
            </w:r>
          </w:p>
        </w:tc>
        <w:tc>
          <w:tcPr>
            <w:tcW w:w="1134"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11,516,788.02</w:t>
            </w: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成都三零凯天通信实业有限公司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1,293.10</w:t>
            </w:r>
          </w:p>
        </w:tc>
        <w:tc>
          <w:tcPr>
            <w:tcW w:w="1134"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193,396.22</w:t>
            </w: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成都欣瑞资产管理有限公司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8,757,250.78</w:t>
            </w:r>
          </w:p>
        </w:tc>
        <w:tc>
          <w:tcPr>
            <w:tcW w:w="1134"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262"/>
        <w:gridCol w:w="1275"/>
        <w:gridCol w:w="1276"/>
        <w:gridCol w:w="1134"/>
        <w:gridCol w:w="917"/>
        <w:gridCol w:w="1706"/>
      </w:tblGrid>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上海三零卫士信息安全有限公司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1,267,583.02</w:t>
            </w:r>
          </w:p>
        </w:tc>
        <w:tc>
          <w:tcPr>
            <w:tcW w:w="1134"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1,004,926.99</w:t>
            </w: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四川信息安全与通信保密杂志社</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378,001.74</w:t>
            </w:r>
          </w:p>
        </w:tc>
        <w:tc>
          <w:tcPr>
            <w:tcW w:w="1134"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5,107.55</w:t>
            </w: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中国电子科技集团公司第三十研究所</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23,422,057.74</w:t>
            </w: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中国电子科技集团公司第三十三研究所</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1,444,421.46</w:t>
            </w:r>
          </w:p>
        </w:tc>
        <w:tc>
          <w:tcPr>
            <w:tcW w:w="1134"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广州杰赛科技股份有限公司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12,681.12</w:t>
            </w:r>
          </w:p>
        </w:tc>
        <w:tc>
          <w:tcPr>
            <w:tcW w:w="1134"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杭州海康威视数字技术股份有限公司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967.24</w:t>
            </w:r>
          </w:p>
        </w:tc>
        <w:tc>
          <w:tcPr>
            <w:tcW w:w="1134"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2,195.90</w:t>
            </w:r>
          </w:p>
        </w:tc>
      </w:tr>
      <w:tr>
        <w:trPr>
          <w:trHeight w:val="714"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7"/>
              <w:jc w:val="left"/>
              <w:rPr>
                <w:rFonts w:ascii="宋体" w:hAnsi="宋体" w:cs="宋体" w:eastAsia="宋体" w:hint="default"/>
                <w:sz w:val="18"/>
                <w:szCs w:val="18"/>
              </w:rPr>
            </w:pPr>
            <w:r>
              <w:rPr>
                <w:rFonts w:ascii="宋体" w:hAnsi="宋体" w:cs="宋体" w:eastAsia="宋体" w:hint="default"/>
                <w:sz w:val="18"/>
                <w:szCs w:val="18"/>
              </w:rPr>
              <w:t>中国电子科技集团有限公司及其他下属 企业</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2,097,412.51</w:t>
            </w:r>
          </w:p>
        </w:tc>
        <w:tc>
          <w:tcPr>
            <w:tcW w:w="1134"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585,230.20</w:t>
            </w:r>
          </w:p>
        </w:tc>
      </w:tr>
    </w:tbl>
    <w:p>
      <w:pPr>
        <w:pStyle w:val="BodyText"/>
        <w:spacing w:line="240" w:lineRule="auto" w:before="51"/>
        <w:ind w:right="1022"/>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3"/>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821"/>
        <w:gridCol w:w="1559"/>
        <w:gridCol w:w="1559"/>
        <w:gridCol w:w="1630"/>
      </w:tblGrid>
      <w:tr>
        <w:trPr>
          <w:trHeight w:val="401" w:hRule="exact"/>
        </w:trPr>
        <w:tc>
          <w:tcPr>
            <w:tcW w:w="4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3"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2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6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59"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中国电子科技网络信息安全有限公司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1,129,087.58</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63,384.61</w:t>
            </w:r>
          </w:p>
        </w:tc>
      </w:tr>
      <w:tr>
        <w:trPr>
          <w:trHeight w:val="402" w:hRule="exact"/>
        </w:trPr>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成都国信安信息产业基地有限公司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600,179.33</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1,998,031.73</w:t>
            </w:r>
          </w:p>
        </w:tc>
      </w:tr>
      <w:tr>
        <w:trPr>
          <w:trHeight w:val="402" w:hRule="exact"/>
        </w:trPr>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成都三零凯天通信实业有限公司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96,594.83</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184,273.51</w:t>
            </w:r>
          </w:p>
        </w:tc>
      </w:tr>
      <w:tr>
        <w:trPr>
          <w:trHeight w:val="402" w:hRule="exact"/>
        </w:trPr>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成都三零普瑞科技有限公司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394,108.51</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97,948.72</w:t>
            </w:r>
          </w:p>
        </w:tc>
      </w:tr>
      <w:tr>
        <w:trPr>
          <w:trHeight w:val="402" w:hRule="exact"/>
        </w:trPr>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上海三零卫士信息安全有限公司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67,976.45</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526,358.98</w:t>
            </w:r>
          </w:p>
        </w:tc>
      </w:tr>
      <w:tr>
        <w:trPr>
          <w:trHeight w:val="402" w:hRule="exact"/>
        </w:trPr>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中国电子科技集团公司第三十研究所</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311,337,710.88</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102,112,246.77</w:t>
            </w:r>
          </w:p>
        </w:tc>
      </w:tr>
      <w:tr>
        <w:trPr>
          <w:trHeight w:val="402" w:hRule="exact"/>
        </w:trPr>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中国电子科技集团公司第三十三研究所</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1559"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5,053,076.07</w:t>
            </w:r>
          </w:p>
        </w:tc>
      </w:tr>
      <w:tr>
        <w:trPr>
          <w:trHeight w:val="402" w:hRule="exact"/>
        </w:trPr>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厦门雅迅网络股份有限公司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68,376.07</w:t>
            </w:r>
          </w:p>
        </w:tc>
        <w:tc>
          <w:tcPr>
            <w:tcW w:w="163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杭州海康威视数字技术股份有限公司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708,737.86</w:t>
            </w:r>
          </w:p>
        </w:tc>
        <w:tc>
          <w:tcPr>
            <w:tcW w:w="163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普华基础软件股份有限公司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1,034.48</w:t>
            </w:r>
          </w:p>
        </w:tc>
        <w:tc>
          <w:tcPr>
            <w:tcW w:w="163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太极计算机股份有限公司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133,349,630.83</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4,112,905.96</w:t>
            </w:r>
          </w:p>
        </w:tc>
      </w:tr>
      <w:tr>
        <w:trPr>
          <w:trHeight w:val="402" w:hRule="exact"/>
        </w:trPr>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中国电子科技集团有限公司及其他下属企业</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42,343,087.15</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54,998,456.07</w:t>
            </w:r>
          </w:p>
        </w:tc>
      </w:tr>
      <w:tr>
        <w:trPr>
          <w:trHeight w:val="402" w:hRule="exact"/>
        </w:trPr>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中国电子科技网络信息安全有限公司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3,394,526.90</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2,830,188.69</w:t>
            </w:r>
          </w:p>
        </w:tc>
      </w:tr>
      <w:tr>
        <w:trPr>
          <w:trHeight w:val="402" w:hRule="exact"/>
        </w:trPr>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成都新欣神风电子科技有限公司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33,018.87</w:t>
            </w:r>
          </w:p>
        </w:tc>
        <w:tc>
          <w:tcPr>
            <w:tcW w:w="163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成都国信安信息产业基地有限公司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1559"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45,283.02</w:t>
            </w:r>
          </w:p>
        </w:tc>
      </w:tr>
      <w:tr>
        <w:trPr>
          <w:trHeight w:val="402" w:hRule="exact"/>
        </w:trPr>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成都三零普瑞科技有限公司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1559"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163,858.98</w:t>
            </w:r>
          </w:p>
        </w:tc>
      </w:tr>
      <w:tr>
        <w:trPr>
          <w:trHeight w:val="402" w:hRule="exact"/>
        </w:trPr>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厦门雅迅网络股份有限公司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33,018.87</w:t>
            </w:r>
          </w:p>
        </w:tc>
        <w:tc>
          <w:tcPr>
            <w:tcW w:w="163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成都深思科技有限公司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33,018.87</w:t>
            </w:r>
          </w:p>
        </w:tc>
        <w:tc>
          <w:tcPr>
            <w:tcW w:w="163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中国电子科技集团公司第三十研究所</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24,637,667.73</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44,227,283.16</w:t>
            </w:r>
          </w:p>
        </w:tc>
      </w:tr>
      <w:tr>
        <w:trPr>
          <w:trHeight w:val="402" w:hRule="exact"/>
        </w:trPr>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中国电子科技集团公司第三十三研究所</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9,433.96</w:t>
            </w:r>
          </w:p>
        </w:tc>
        <w:tc>
          <w:tcPr>
            <w:tcW w:w="163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广州杰赛科技股份有限公司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18,867.92</w:t>
            </w:r>
          </w:p>
        </w:tc>
        <w:tc>
          <w:tcPr>
            <w:tcW w:w="163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国睿科技股份有限公司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18,867.92</w:t>
            </w:r>
          </w:p>
        </w:tc>
        <w:tc>
          <w:tcPr>
            <w:tcW w:w="163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普华基础软件股份有限公司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10,377.36</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9,433.96</w:t>
            </w:r>
          </w:p>
        </w:tc>
      </w:tr>
      <w:tr>
        <w:trPr>
          <w:trHeight w:val="403" w:hRule="exact"/>
        </w:trPr>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安徽四创电子股份有限公司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1559"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9,433.96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821"/>
        <w:gridCol w:w="1559"/>
        <w:gridCol w:w="1559"/>
        <w:gridCol w:w="1630"/>
      </w:tblGrid>
      <w:tr>
        <w:trPr>
          <w:trHeight w:val="402" w:hRule="exact"/>
        </w:trPr>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杭州海康威视数字技术股份有限公司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1559"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220,528.31</w:t>
            </w:r>
          </w:p>
        </w:tc>
      </w:tr>
      <w:tr>
        <w:trPr>
          <w:trHeight w:val="402" w:hRule="exact"/>
        </w:trPr>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太极计算机股份有限公司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1,306,603.78</w:t>
            </w:r>
          </w:p>
        </w:tc>
        <w:tc>
          <w:tcPr>
            <w:tcW w:w="163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中国电子科技集团有限公司及其他下属企业</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7,949,197.66</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8,654,654.36</w:t>
            </w:r>
          </w:p>
        </w:tc>
      </w:tr>
    </w:tbl>
    <w:p>
      <w:pPr>
        <w:spacing w:line="240" w:lineRule="auto" w:before="3"/>
        <w:rPr>
          <w:rFonts w:ascii="宋体" w:hAnsi="宋体" w:cs="宋体" w:eastAsia="宋体" w:hint="default"/>
          <w:sz w:val="19"/>
          <w:szCs w:val="19"/>
        </w:rPr>
      </w:pPr>
    </w:p>
    <w:p>
      <w:pPr>
        <w:pStyle w:val="Heading3"/>
        <w:spacing w:line="240" w:lineRule="auto" w:before="35"/>
        <w:ind w:right="1022"/>
        <w:jc w:val="left"/>
        <w:rPr>
          <w:b w:val="0"/>
          <w:bCs w:val="0"/>
        </w:rPr>
      </w:pPr>
      <w:bookmarkStart w:name="（2）关联租赁情况" w:id="324"/>
      <w:bookmarkEnd w:id="324"/>
      <w:r>
        <w:rPr>
          <w:b w:val="0"/>
          <w:bCs w:val="0"/>
        </w:rPr>
      </w:r>
      <w:r>
        <w:rPr/>
        <w:t>（</w:t>
      </w:r>
      <w:r>
        <w:rPr>
          <w:rFonts w:ascii="Times New Roman" w:hAnsi="Times New Roman" w:cs="Times New Roman" w:eastAsia="Times New Roman" w:hint="default"/>
        </w:rPr>
        <w:t>2</w:t>
      </w:r>
      <w:r>
        <w:rPr/>
        <w:t>）关联租赁情况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022"/>
        <w:jc w:val="left"/>
      </w:pPr>
      <w:r>
        <w:rPr/>
        <w:t>本公司作为出租方：</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836"/>
        <w:gridCol w:w="1947"/>
        <w:gridCol w:w="2393"/>
        <w:gridCol w:w="2393"/>
      </w:tblGrid>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承租方名称</w:t>
            </w:r>
          </w:p>
        </w:tc>
        <w:tc>
          <w:tcPr>
            <w:tcW w:w="1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28"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上海三零卫士信息安全有限公司</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房屋、设备</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50" w:right="0"/>
              <w:jc w:val="left"/>
              <w:rPr>
                <w:rFonts w:ascii="Times New Roman" w:hAnsi="Times New Roman" w:cs="Times New Roman" w:eastAsia="Times New Roman" w:hint="default"/>
                <w:sz w:val="18"/>
                <w:szCs w:val="18"/>
              </w:rPr>
            </w:pPr>
            <w:r>
              <w:rPr>
                <w:rFonts w:ascii="Times New Roman"/>
                <w:sz w:val="18"/>
              </w:rPr>
              <w:t>916,614.85</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成都摩宝网络科技有限公司</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设备</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9,206.46</w:t>
            </w:r>
          </w:p>
        </w:tc>
      </w:tr>
    </w:tbl>
    <w:p>
      <w:pPr>
        <w:pStyle w:val="BodyText"/>
        <w:spacing w:line="240" w:lineRule="auto" w:before="51"/>
        <w:ind w:right="1022"/>
        <w:jc w:val="left"/>
      </w:pPr>
      <w:r>
        <w:rPr/>
        <w:t>本公司作为承租方：</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78"/>
        <w:gridCol w:w="1808"/>
        <w:gridCol w:w="2392"/>
        <w:gridCol w:w="2392"/>
      </w:tblGrid>
      <w:tr>
        <w:trPr>
          <w:trHeight w:val="401" w:hRule="exact"/>
        </w:trPr>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出租方名称</w:t>
            </w:r>
          </w:p>
        </w:tc>
        <w:tc>
          <w:tcPr>
            <w:tcW w:w="18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57"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成都国信安信息产业基地有限公司</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房屋、设备</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2,430,708.46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2,789,248.30</w:t>
            </w:r>
          </w:p>
        </w:tc>
      </w:tr>
      <w:tr>
        <w:trPr>
          <w:trHeight w:val="403"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成都三零凯天通信实业有限公司</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房屋</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608,884.30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811,845.72</w:t>
            </w:r>
          </w:p>
        </w:tc>
      </w:tr>
    </w:tbl>
    <w:p>
      <w:pPr>
        <w:spacing w:line="240" w:lineRule="auto" w:before="2"/>
        <w:rPr>
          <w:rFonts w:ascii="宋体" w:hAnsi="宋体" w:cs="宋体" w:eastAsia="宋体" w:hint="default"/>
          <w:sz w:val="19"/>
          <w:szCs w:val="19"/>
        </w:rPr>
      </w:pPr>
    </w:p>
    <w:p>
      <w:pPr>
        <w:pStyle w:val="Heading3"/>
        <w:spacing w:line="240" w:lineRule="auto" w:before="35"/>
        <w:ind w:right="1022"/>
        <w:jc w:val="left"/>
        <w:rPr>
          <w:b w:val="0"/>
          <w:bCs w:val="0"/>
        </w:rPr>
      </w:pPr>
      <w:bookmarkStart w:name="（3）关联方资金拆借" w:id="325"/>
      <w:bookmarkEnd w:id="325"/>
      <w:r>
        <w:rPr>
          <w:b w:val="0"/>
          <w:bCs w:val="0"/>
        </w:rPr>
      </w:r>
      <w:r>
        <w:rPr/>
        <w:t>（</w:t>
      </w:r>
      <w:r>
        <w:rPr>
          <w:rFonts w:ascii="Times New Roman" w:hAnsi="Times New Roman" w:cs="Times New Roman" w:eastAsia="Times New Roman" w:hint="default"/>
        </w:rPr>
        <w:t>3</w:t>
      </w:r>
      <w:r>
        <w:rPr/>
        <w:t>）关联方资金拆借</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410"/>
        <w:gridCol w:w="1418"/>
        <w:gridCol w:w="1915"/>
        <w:gridCol w:w="1914"/>
        <w:gridCol w:w="1903"/>
      </w:tblGrid>
      <w:tr>
        <w:trPr>
          <w:trHeight w:val="402"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4"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956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中国电子科技财务有限公司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0" w:right="0"/>
              <w:jc w:val="left"/>
              <w:rPr>
                <w:rFonts w:ascii="Times New Roman" w:hAnsi="Times New Roman" w:cs="Times New Roman" w:eastAsia="Times New Roman" w:hint="default"/>
                <w:sz w:val="18"/>
                <w:szCs w:val="18"/>
              </w:rPr>
            </w:pPr>
            <w:r>
              <w:rPr>
                <w:rFonts w:ascii="Times New Roman"/>
                <w:sz w:val="18"/>
              </w:rPr>
              <w:t>250,000,000.00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信用借款</w:t>
            </w:r>
          </w:p>
        </w:tc>
      </w:tr>
    </w:tbl>
    <w:p>
      <w:pPr>
        <w:spacing w:line="240" w:lineRule="auto" w:before="2"/>
        <w:rPr>
          <w:rFonts w:ascii="宋体" w:hAnsi="宋体" w:cs="宋体" w:eastAsia="宋体" w:hint="default"/>
          <w:sz w:val="19"/>
          <w:szCs w:val="19"/>
        </w:rPr>
      </w:pPr>
    </w:p>
    <w:p>
      <w:pPr>
        <w:pStyle w:val="Heading3"/>
        <w:spacing w:line="240" w:lineRule="auto" w:before="35"/>
        <w:ind w:right="1022"/>
        <w:jc w:val="left"/>
        <w:rPr>
          <w:b w:val="0"/>
          <w:bCs w:val="0"/>
        </w:rPr>
      </w:pPr>
      <w:bookmarkStart w:name="（4）关键管理人员报酬" w:id="326"/>
      <w:bookmarkEnd w:id="326"/>
      <w:r>
        <w:rPr>
          <w:b w:val="0"/>
          <w:bCs w:val="0"/>
        </w:rPr>
      </w:r>
      <w:r>
        <w:rPr/>
        <w:t>（</w:t>
      </w:r>
      <w:r>
        <w:rPr>
          <w:rFonts w:ascii="Times New Roman" w:hAnsi="Times New Roman" w:cs="Times New Roman" w:eastAsia="Times New Roman" w:hint="default"/>
        </w:rPr>
        <w:t>4</w:t>
      </w:r>
      <w:r>
        <w:rPr/>
        <w:t>）关键管理人员报酬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关键管理人员薪酬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5,094,652.00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6,552,919.22</w:t>
            </w:r>
          </w:p>
        </w:tc>
      </w:tr>
    </w:tbl>
    <w:p>
      <w:pPr>
        <w:spacing w:line="240" w:lineRule="auto" w:before="2"/>
        <w:rPr>
          <w:rFonts w:ascii="宋体" w:hAnsi="宋体" w:cs="宋体" w:eastAsia="宋体" w:hint="default"/>
          <w:sz w:val="19"/>
          <w:szCs w:val="19"/>
        </w:rPr>
      </w:pPr>
    </w:p>
    <w:p>
      <w:pPr>
        <w:pStyle w:val="Heading3"/>
        <w:spacing w:line="240" w:lineRule="auto" w:before="35"/>
        <w:ind w:right="1022"/>
        <w:jc w:val="left"/>
        <w:rPr>
          <w:b w:val="0"/>
          <w:bCs w:val="0"/>
        </w:rPr>
      </w:pPr>
      <w:bookmarkStart w:name="6、关联方应收应付款项" w:id="327"/>
      <w:bookmarkEnd w:id="327"/>
      <w:r>
        <w:rPr>
          <w:b w:val="0"/>
          <w:bCs w:val="0"/>
        </w:rPr>
      </w:r>
      <w:r>
        <w:rPr>
          <w:rFonts w:ascii="Times New Roman" w:hAnsi="Times New Roman" w:cs="Times New Roman" w:eastAsia="Times New Roman" w:hint="default"/>
        </w:rPr>
        <w:t>6</w:t>
      </w:r>
      <w:r>
        <w:rPr/>
        <w:t>、关联方应收应付款项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22"/>
        <w:jc w:val="left"/>
        <w:rPr>
          <w:b w:val="0"/>
          <w:bCs w:val="0"/>
        </w:rPr>
      </w:pPr>
      <w:bookmarkStart w:name="（1）应收项目" w:id="328"/>
      <w:bookmarkEnd w:id="328"/>
      <w:r>
        <w:rPr>
          <w:b w:val="0"/>
          <w:bCs w:val="0"/>
        </w:rPr>
      </w:r>
      <w:r>
        <w:rPr/>
        <w:t>（</w:t>
      </w:r>
      <w:r>
        <w:rPr>
          <w:rFonts w:ascii="Times New Roman" w:hAnsi="Times New Roman" w:cs="Times New Roman" w:eastAsia="Times New Roman" w:hint="default"/>
        </w:rPr>
        <w:t>1</w:t>
      </w:r>
      <w:r>
        <w:rPr/>
        <w:t>）应收项目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994"/>
        <w:gridCol w:w="3543"/>
        <w:gridCol w:w="1276"/>
        <w:gridCol w:w="1277"/>
        <w:gridCol w:w="1276"/>
        <w:gridCol w:w="1202"/>
      </w:tblGrid>
      <w:tr>
        <w:trPr>
          <w:trHeight w:val="402" w:hRule="exact"/>
        </w:trPr>
        <w:tc>
          <w:tcPr>
            <w:tcW w:w="9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130"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354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55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47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994" w:type="dxa"/>
            <w:vMerge/>
            <w:tcBorders>
              <w:left w:val="single" w:sz="4" w:space="0" w:color="000000"/>
              <w:bottom w:val="single" w:sz="4" w:space="0" w:color="000000"/>
              <w:right w:val="single" w:sz="4" w:space="0" w:color="000000"/>
            </w:tcBorders>
            <w:shd w:val="clear" w:color="auto" w:fill="D2D2D2"/>
          </w:tcPr>
          <w:p>
            <w:pPr/>
          </w:p>
        </w:tc>
        <w:tc>
          <w:tcPr>
            <w:tcW w:w="3543" w:type="dxa"/>
            <w:vMerge/>
            <w:tcBorders>
              <w:left w:val="single" w:sz="4" w:space="0" w:color="000000"/>
              <w:bottom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5"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中国电子科技集团公司第三十研究所</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2" w:right="0"/>
              <w:jc w:val="center"/>
              <w:rPr>
                <w:rFonts w:ascii="Times New Roman" w:hAnsi="Times New Roman" w:cs="Times New Roman" w:eastAsia="Times New Roman" w:hint="default"/>
                <w:sz w:val="18"/>
                <w:szCs w:val="18"/>
              </w:rPr>
            </w:pPr>
            <w:r>
              <w:rPr>
                <w:rFonts w:ascii="Times New Roman"/>
                <w:sz w:val="18"/>
              </w:rPr>
              <w:t>116,245,480.00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4" w:right="0"/>
              <w:jc w:val="left"/>
              <w:rPr>
                <w:rFonts w:ascii="Times New Roman" w:hAnsi="Times New Roman" w:cs="Times New Roman" w:eastAsia="Times New Roman" w:hint="default"/>
                <w:sz w:val="18"/>
                <w:szCs w:val="18"/>
              </w:rPr>
            </w:pPr>
            <w:r>
              <w:rPr>
                <w:rFonts w:ascii="Times New Roman"/>
                <w:sz w:val="18"/>
              </w:rPr>
              <w:t>77,211,690.00</w:t>
            </w:r>
          </w:p>
        </w:tc>
        <w:tc>
          <w:tcPr>
            <w:tcW w:w="120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994"/>
        <w:gridCol w:w="3543"/>
        <w:gridCol w:w="1276"/>
        <w:gridCol w:w="1277"/>
        <w:gridCol w:w="1276"/>
        <w:gridCol w:w="1202"/>
      </w:tblGrid>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太极计算机股份有限公司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60,000,000.00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中国电子科技集团有限公司及其他下属企业</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567,800.00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1,193,883.00</w:t>
            </w: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中国电子科技网络信息安全有限公司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3,258,937.00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162,946.85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3,259,360.00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162,968.00</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成都三零凯天通信实业有限公司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104,891.38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5,244.57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228,800.00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21,140.00</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成都国信安信息产业基地有限公司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741,767.25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50,971.81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253,348.99</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12,971.45</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成都三零普瑞科技有限公司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2,597,201.53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1,835,375.72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2,597,201.53</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1,327,734.62</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成都新欣神风电子科技有限公司</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3,100.00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310.00</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中国电子科技集团公司第三十研究所</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260,625,280.38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14,960,991.17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143,925,245.33</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8,644,636.13</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中国电子科技集团公司第三十三研究所</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1,539,425.00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153,942.50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4,078,505.00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207,725.25</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广州杰赛科技股份有限公司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89,841.90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47,242.10</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杭州海康威视数字技术股份有限公司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5,259,339.19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1,656,577.98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6,917,149.43</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942,991.16</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普华基础软件股份有限公司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1,415.09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70.75</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上海三零卫士信息安全有限公司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2,261,554.00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113,077.70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1,721,383.40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1,054,901.60</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太极计算机股份有限公司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101,004,426.03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5,062,644.38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10,180,095.94</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2,952,496.97</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中国电子科技集团有限公司及其他下属企业</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54,698,268.18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5,376,830.00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45,502,056.66</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4,058,899.78</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成都欣瑞资产管理有限公司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16,070.00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成都三零普瑞科技有限公司</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1,988,733.00</w:t>
            </w: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普华基础软件股份有限公司</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40,400.00</w:t>
            </w: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杭州海康威视数字技术股份有限公司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7,740,000.00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中国电子科技集团有限公司及其他下属企业</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769,060.00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1,275,231.00</w:t>
            </w: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成都国信安信息产业基地有限公司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107,473.17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107,473.17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107,473.17</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107,473.17</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上海三零卫士信息安全有限公司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456,189.58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456,189.58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456,189.58</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456,189.58</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太极计算机股份有限公司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3,089,234.00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154,461.70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294,600.00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14,730.00</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杭州海康威视数字技术股份有限公司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916,561.51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555,771.76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1,543,161.51</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527,942.45</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中国电子科技集团有限公司及其他下属企业</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628,000.00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2,110,000.00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209,500.00</w:t>
            </w:r>
          </w:p>
        </w:tc>
      </w:tr>
    </w:tbl>
    <w:p>
      <w:pPr>
        <w:spacing w:line="240" w:lineRule="auto" w:before="2"/>
        <w:rPr>
          <w:rFonts w:ascii="宋体" w:hAnsi="宋体" w:cs="宋体" w:eastAsia="宋体" w:hint="default"/>
          <w:sz w:val="19"/>
          <w:szCs w:val="19"/>
        </w:rPr>
      </w:pPr>
    </w:p>
    <w:p>
      <w:pPr>
        <w:pStyle w:val="Heading3"/>
        <w:spacing w:line="240" w:lineRule="auto" w:before="35"/>
        <w:ind w:right="1022"/>
        <w:jc w:val="left"/>
        <w:rPr>
          <w:b w:val="0"/>
          <w:bCs w:val="0"/>
        </w:rPr>
      </w:pPr>
      <w:bookmarkStart w:name="（2）应付项目" w:id="329"/>
      <w:bookmarkEnd w:id="329"/>
      <w:r>
        <w:rPr>
          <w:b w:val="0"/>
          <w:bCs w:val="0"/>
        </w:rPr>
      </w:r>
      <w:r>
        <w:rPr/>
        <w:t>（</w:t>
      </w:r>
      <w:r>
        <w:rPr>
          <w:rFonts w:ascii="Times New Roman" w:hAnsi="Times New Roman" w:cs="Times New Roman" w:eastAsia="Times New Roman" w:hint="default"/>
        </w:rPr>
        <w:t>2</w:t>
      </w:r>
      <w:r>
        <w:rPr/>
        <w:t>）应付项目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276"/>
        <w:gridCol w:w="3509"/>
        <w:gridCol w:w="2392"/>
        <w:gridCol w:w="2392"/>
      </w:tblGrid>
      <w:tr>
        <w:trPr>
          <w:trHeight w:val="402"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35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中国电子科技网络信息安全有限公司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2,527,158.00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5,654,310.00</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成都国信安信息产业基地有限公司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3,020,833.17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680,138.46</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成都三零凯天通信实业有限公司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1,945,538.00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2,799,833.76</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成都欣瑞资产管理有限公司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684,774.43</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广州杰赛科技股份有限公司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706,962.35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405,193.02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276"/>
        <w:gridCol w:w="3509"/>
        <w:gridCol w:w="2392"/>
        <w:gridCol w:w="2392"/>
      </w:tblGrid>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杭州海康威视数字技术股份有限公司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481,400.00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1,785,264.40</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普华基础软件股份有限公司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37,320.00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上海三零卫士信息安全有限公司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8,221,332.20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13,925,732.33</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太极计算机股份有限公司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394,010.00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中国电子科技集团公司第三十三研究所</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1,754,790.13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2,422,510.73</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中国电子科技集团公司第三十研究所</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11,759,489.57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92,165,919.77</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中电科华北网络信息安全有限公司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3,030,855.13</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中国电子科技集团有限公司及其他下属企业</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1,071,241.77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276,583.77</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中国电子科技网络信息安全有限公司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4,704,621.50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6,571,368.50</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上海三零卫士信息安全有限公司</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660,000.00</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成都国信安信息产业基地有限公司</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1,905,620.00</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成都三零凯天通信实业有限公司</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989,500.00</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中国电子科技集团公司第三十三研究所</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5,379,414.82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556,157.00</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中国电子科技集团公司第三十研究所</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70,972,300.00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12,020,000.00</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杭州海康威视数字技术股份有限公司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1,157,116.00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太极计算机股份有限公司</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440,990.00</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安徽四创电子股份有限公司</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7,210,000.00</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中国电子科技网络信息安全有限公司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116,900.00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成都国信安信息产业基地有限公司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18,000.00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上海三零卫士信息安全有限公司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1,347,384.13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1,444,384.13</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中国电子科技集团公司第三十三研究所</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103,200.00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103,200.00</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中国电子科技集团公司第三十研究所</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2,721,073.22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447,223.13</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中国电子科技集团有限公司及其他下属企业</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49,359.32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639,359.32</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3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中国电子科技网络信息安全有限公司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510,000.00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3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成都国信安信息产业基地有限公司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454,903.45</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3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上海三零卫士信息安全有限公司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3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中国电子科技集团公司第三十三研究所</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25,000.00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3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中国电子科技集团公司第三十研究所</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1,694,406.00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580,000.00</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3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安徽四创电子股份有限公司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1,504.27</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3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中国电子科技集团有限公司及其他下属企业</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2,619,450.29</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8"/>
          <w:szCs w:val="18"/>
        </w:rPr>
      </w:pPr>
    </w:p>
    <w:p>
      <w:pPr>
        <w:spacing w:line="506" w:lineRule="auto" w:before="26"/>
        <w:ind w:left="154" w:right="8343" w:firstLine="0"/>
        <w:jc w:val="left"/>
        <w:rPr>
          <w:rFonts w:ascii="宋体" w:hAnsi="宋体" w:cs="宋体" w:eastAsia="宋体" w:hint="default"/>
          <w:sz w:val="18"/>
          <w:szCs w:val="18"/>
        </w:rPr>
      </w:pPr>
      <w:bookmarkStart w:name="十二、承诺及或有事项" w:id="330"/>
      <w:bookmarkEnd w:id="330"/>
      <w:r>
        <w:rPr/>
      </w:r>
      <w:r>
        <w:rPr>
          <w:rFonts w:ascii="宋体" w:hAnsi="宋体" w:cs="宋体" w:eastAsia="宋体" w:hint="default"/>
          <w:b/>
          <w:bCs/>
          <w:sz w:val="24"/>
          <w:szCs w:val="24"/>
        </w:rPr>
        <w:t>十二、承诺及或有事项</w:t>
      </w:r>
      <w:r>
        <w:rPr>
          <w:rFonts w:ascii="宋体" w:hAnsi="宋体" w:cs="宋体" w:eastAsia="宋体" w:hint="default"/>
          <w:b/>
          <w:bCs/>
          <w:w w:val="99"/>
          <w:sz w:val="24"/>
          <w:szCs w:val="24"/>
        </w:rPr>
        <w:t> </w:t>
      </w:r>
      <w:bookmarkStart w:name="1、重要承诺事项" w:id="331"/>
      <w:bookmarkEnd w:id="331"/>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b/>
          <w:bCs/>
          <w:w w:val="99"/>
          <w:sz w:val="21"/>
          <w:szCs w:val="21"/>
        </w:rPr>
        <w:t> </w:t>
      </w:r>
      <w:r>
        <w:rPr>
          <w:rFonts w:ascii="宋体" w:hAnsi="宋体" w:cs="宋体" w:eastAsia="宋体" w:hint="default"/>
          <w:sz w:val="18"/>
          <w:szCs w:val="18"/>
        </w:rPr>
        <w:t>资产负债表日存在的重要承诺</w:t>
      </w:r>
    </w:p>
    <w:p>
      <w:pPr>
        <w:spacing w:after="0" w:line="50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left="574" w:right="1022"/>
        <w:jc w:val="left"/>
      </w:pPr>
      <w:r>
        <w:rPr/>
        <w:t>本公司不存在需要披露的重要承诺事项。</w:t>
      </w:r>
    </w:p>
    <w:p>
      <w:pPr>
        <w:spacing w:line="240" w:lineRule="auto" w:before="11"/>
        <w:rPr>
          <w:rFonts w:ascii="宋体" w:hAnsi="宋体" w:cs="宋体" w:eastAsia="宋体" w:hint="default"/>
          <w:sz w:val="25"/>
          <w:szCs w:val="25"/>
        </w:rPr>
      </w:pPr>
    </w:p>
    <w:p>
      <w:pPr>
        <w:pStyle w:val="Heading3"/>
        <w:spacing w:line="240" w:lineRule="auto"/>
        <w:ind w:right="0"/>
        <w:jc w:val="both"/>
        <w:rPr>
          <w:b w:val="0"/>
          <w:bCs w:val="0"/>
        </w:rPr>
      </w:pPr>
      <w:bookmarkStart w:name="2、或有事项" w:id="332"/>
      <w:bookmarkEnd w:id="332"/>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both"/>
        <w:rPr>
          <w:b w:val="0"/>
          <w:bCs w:val="0"/>
        </w:rPr>
      </w:pPr>
      <w:bookmarkStart w:name="（1）资产负债表日存在的重要或有事项" w:id="333"/>
      <w:bookmarkEnd w:id="333"/>
      <w:r>
        <w:rPr>
          <w:b w:val="0"/>
          <w:bCs w:val="0"/>
        </w:rPr>
      </w: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1"/>
        <w:rPr>
          <w:rFonts w:ascii="宋体" w:hAnsi="宋体" w:cs="宋体" w:eastAsia="宋体" w:hint="default"/>
          <w:b/>
          <w:bCs/>
          <w:sz w:val="23"/>
          <w:szCs w:val="23"/>
        </w:rPr>
      </w:pPr>
    </w:p>
    <w:p>
      <w:pPr>
        <w:pStyle w:val="Heading3"/>
        <w:spacing w:line="240" w:lineRule="auto"/>
        <w:ind w:left="576" w:right="1022"/>
        <w:jc w:val="left"/>
        <w:rPr>
          <w:b w:val="0"/>
          <w:bCs w:val="0"/>
        </w:rPr>
      </w:pPr>
      <w:r>
        <w:rPr>
          <w:rFonts w:ascii="Times New Roman" w:hAnsi="Times New Roman" w:cs="Times New Roman" w:eastAsia="Times New Roman" w:hint="default"/>
        </w:rPr>
        <w:t>1</w:t>
      </w:r>
      <w:r>
        <w:rPr/>
        <w:t>、北京网安房产未决诉讼</w:t>
      </w:r>
      <w:r>
        <w:rPr>
          <w:b w:val="0"/>
          <w:bCs w:val="0"/>
        </w:rPr>
      </w:r>
    </w:p>
    <w:p>
      <w:pPr>
        <w:pStyle w:val="Heading4"/>
        <w:spacing w:line="338" w:lineRule="auto" w:before="158"/>
        <w:ind w:right="1131" w:firstLine="420"/>
        <w:jc w:val="both"/>
      </w:pPr>
      <w:r>
        <w:rPr/>
        <w:t>本公司于 </w:t>
      </w:r>
      <w:r>
        <w:rPr>
          <w:rFonts w:ascii="Times New Roman" w:hAnsi="Times New Roman" w:cs="Times New Roman" w:eastAsia="Times New Roman" w:hint="default"/>
        </w:rPr>
        <w:t>2015</w:t>
      </w:r>
      <w:r>
        <w:rPr>
          <w:rFonts w:ascii="Times New Roman" w:hAnsi="Times New Roman" w:cs="Times New Roman" w:eastAsia="Times New Roman" w:hint="default"/>
          <w:spacing w:val="28"/>
        </w:rPr>
        <w:t> </w:t>
      </w:r>
      <w:r>
        <w:rPr/>
        <w:t>年开始筹划非公开发行股票事宜，本公司全资子公司北京网安作为非公开发行股票募 集资金投资项目实施主体，使用募集资金购买北京金丰科华房地产开发有限公司（以下简称</w:t>
      </w:r>
      <w:r>
        <w:rPr>
          <w:rFonts w:ascii="Times New Roman" w:hAnsi="Times New Roman" w:cs="Times New Roman" w:eastAsia="Times New Roman" w:hint="default"/>
        </w:rPr>
        <w:t>“</w:t>
      </w:r>
      <w:r>
        <w:rPr/>
        <w:t>开发商</w:t>
      </w:r>
      <w:r>
        <w:rPr>
          <w:rFonts w:ascii="Times New Roman" w:hAnsi="Times New Roman" w:cs="Times New Roman" w:eastAsia="Times New Roman" w:hint="default"/>
        </w:rPr>
        <w:t>”</w:t>
      </w:r>
      <w:r>
        <w:rPr/>
        <w:t>）开 发的金丰能源中心项目</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9"/>
        </w:rPr>
        <w:t> </w:t>
      </w:r>
      <w:r>
        <w:rPr>
          <w:spacing w:val="-6"/>
          <w:w w:val="100"/>
        </w:rPr>
        <w:t>号楼（以下简称</w:t>
      </w:r>
      <w:r>
        <w:rPr>
          <w:rFonts w:ascii="Times New Roman" w:hAnsi="Times New Roman" w:cs="Times New Roman" w:eastAsia="Times New Roman" w:hint="default"/>
          <w:spacing w:val="-6"/>
          <w:w w:val="100"/>
        </w:rPr>
        <w:t>“</w:t>
      </w:r>
      <w:r>
        <w:rPr>
          <w:spacing w:val="-6"/>
          <w:w w:val="100"/>
        </w:rPr>
        <w:t>标的房产</w:t>
      </w:r>
      <w:r>
        <w:rPr>
          <w:rFonts w:ascii="Times New Roman" w:hAnsi="Times New Roman" w:cs="Times New Roman" w:eastAsia="Times New Roman" w:hint="default"/>
          <w:spacing w:val="-6"/>
          <w:w w:val="100"/>
        </w:rPr>
        <w:t>”</w:t>
      </w:r>
      <w:r>
        <w:rPr>
          <w:spacing w:val="-6"/>
          <w:w w:val="100"/>
        </w:rPr>
        <w:t>）。</w:t>
      </w:r>
      <w:r>
        <w:rPr>
          <w:rFonts w:ascii="Times New Roman" w:hAnsi="Times New Roman" w:cs="Times New Roman" w:eastAsia="Times New Roman" w:hint="default"/>
          <w:spacing w:val="-6"/>
          <w:w w:val="100"/>
        </w:rPr>
        <w:t>2015</w:t>
      </w:r>
      <w:r>
        <w:rPr>
          <w:rFonts w:ascii="Times New Roman" w:hAnsi="Times New Roman" w:cs="Times New Roman" w:eastAsia="Times New Roman" w:hint="default"/>
          <w:spacing w:val="7"/>
          <w:w w:val="100"/>
        </w:rPr>
        <w:t> </w:t>
      </w:r>
      <w:r>
        <w:rPr/>
        <w:t>年</w:t>
      </w:r>
      <w:r>
        <w:rPr>
          <w:spacing w:val="-44"/>
        </w:rPr>
        <w:t> </w:t>
      </w:r>
      <w:r>
        <w:rPr>
          <w:rFonts w:ascii="Times New Roman" w:hAnsi="Times New Roman" w:cs="Times New Roman" w:eastAsia="Times New Roman" w:hint="default"/>
        </w:rPr>
        <w:t>8</w:t>
      </w:r>
      <w:r>
        <w:rPr>
          <w:rFonts w:ascii="Times New Roman" w:hAnsi="Times New Roman" w:cs="Times New Roman" w:eastAsia="Times New Roman" w:hint="default"/>
          <w:spacing w:val="9"/>
        </w:rPr>
        <w:t> </w:t>
      </w:r>
      <w:r>
        <w:rPr/>
        <w:t>月</w:t>
      </w:r>
      <w:r>
        <w:rPr>
          <w:spacing w:val="-44"/>
        </w:rPr>
        <w:t> </w:t>
      </w:r>
      <w:r>
        <w:rPr>
          <w:rFonts w:ascii="Times New Roman" w:hAnsi="Times New Roman" w:cs="Times New Roman" w:eastAsia="Times New Roman" w:hint="default"/>
        </w:rPr>
        <w:t>7</w:t>
      </w:r>
      <w:r>
        <w:rPr>
          <w:rFonts w:ascii="Times New Roman" w:hAnsi="Times New Roman" w:cs="Times New Roman" w:eastAsia="Times New Roman" w:hint="default"/>
          <w:spacing w:val="9"/>
        </w:rPr>
        <w:t> </w:t>
      </w:r>
      <w:r>
        <w:rPr/>
        <w:t>日，北京网安与开发商签署《房屋</w:t>
      </w:r>
    </w:p>
    <w:p>
      <w:pPr>
        <w:pStyle w:val="Heading4"/>
        <w:spacing w:line="350" w:lineRule="auto" w:before="22"/>
        <w:ind w:right="1130"/>
        <w:jc w:val="both"/>
      </w:pPr>
      <w:r>
        <w:rPr>
          <w:spacing w:val="-5"/>
        </w:rPr>
        <w:t>买卖意向协议》，根据该协议向开发商支付购房意向金</w:t>
      </w:r>
      <w:r>
        <w:rPr>
          <w:spacing w:val="-51"/>
        </w:rPr>
        <w:t> </w:t>
      </w:r>
      <w:r>
        <w:rPr>
          <w:rFonts w:ascii="Times New Roman" w:hAnsi="Times New Roman" w:cs="Times New Roman" w:eastAsia="Times New Roman" w:hint="default"/>
        </w:rPr>
        <w:t>0.5</w:t>
      </w:r>
      <w:r>
        <w:rPr>
          <w:rFonts w:ascii="Times New Roman" w:hAnsi="Times New Roman" w:cs="Times New Roman" w:eastAsia="Times New Roman" w:hint="default"/>
          <w:spacing w:val="1"/>
        </w:rPr>
        <w:t> </w:t>
      </w:r>
      <w:r>
        <w:rPr>
          <w:spacing w:val="-2"/>
        </w:rPr>
        <w:t>亿元；</w:t>
      </w:r>
      <w:r>
        <w:rPr>
          <w:rFonts w:ascii="Times New Roman" w:hAnsi="Times New Roman" w:cs="Times New Roman" w:eastAsia="Times New Roman" w:hint="default"/>
          <w:spacing w:val="-2"/>
        </w:rPr>
        <w:t>2015</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12 </w:t>
      </w:r>
      <w:r>
        <w:rPr/>
        <w:t>月</w:t>
      </w:r>
      <w:r>
        <w:rPr>
          <w:spacing w:val="-51"/>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spacing w:val="-1"/>
        </w:rPr>
        <w:t>日，北京网安与开发商签</w:t>
      </w:r>
      <w:r>
        <w:rPr/>
        <w:t> </w:t>
      </w:r>
      <w:r>
        <w:rPr>
          <w:spacing w:val="-1"/>
        </w:rPr>
        <w:t>署《北京市商品房预售合同》，并在北京市住房和城乡建设委员会网站办理了商品房预售合同网上联机备</w:t>
      </w:r>
      <w:r>
        <w:rPr>
          <w:spacing w:val="-94"/>
        </w:rPr>
        <w:t> </w:t>
      </w:r>
      <w:r>
        <w:rPr>
          <w:spacing w:val="-94"/>
        </w:rPr>
      </w:r>
      <w:r>
        <w:rPr>
          <w:spacing w:val="-5"/>
        </w:rPr>
        <w:t>案；签订预售协议时，标的房产所属土地使用权及在建工程已设置抵押，开发商取得了抵押权人出具的《抵</w:t>
      </w:r>
      <w:r>
        <w:rPr>
          <w:spacing w:val="-102"/>
        </w:rPr>
        <w:t> </w:t>
      </w:r>
      <w:r>
        <w:rPr>
          <w:spacing w:val="-102"/>
        </w:rPr>
      </w:r>
      <w:r>
        <w:rPr>
          <w:spacing w:val="-5"/>
        </w:rPr>
        <w:t>押权人同意抵押房屋办理商品房预售许可证的证明》；截至</w:t>
      </w:r>
      <w:r>
        <w:rPr>
          <w:spacing w:val="-50"/>
        </w:rPr>
        <w:t> </w:t>
      </w:r>
      <w:r>
        <w:rPr>
          <w:rFonts w:ascii="Times New Roman" w:hAnsi="Times New Roman" w:cs="Times New Roman" w:eastAsia="Times New Roman" w:hint="default"/>
        </w:rPr>
        <w:t>2016</w:t>
      </w:r>
      <w:r>
        <w:rPr>
          <w:rFonts w:ascii="Times New Roman" w:hAnsi="Times New Roman" w:cs="Times New Roman" w:eastAsia="Times New Roman" w:hint="default"/>
          <w:spacing w:val="4"/>
        </w:rPr>
        <w:t> </w:t>
      </w:r>
      <w:r>
        <w:rPr/>
        <w:t>年</w:t>
      </w:r>
      <w:r>
        <w:rPr>
          <w:spacing w:val="-49"/>
        </w:rPr>
        <w:t> </w:t>
      </w:r>
      <w:r>
        <w:rPr>
          <w:rFonts w:ascii="Times New Roman" w:hAnsi="Times New Roman" w:cs="Times New Roman" w:eastAsia="Times New Roman" w:hint="default"/>
        </w:rPr>
        <w:t>6</w:t>
      </w:r>
      <w:r>
        <w:rPr>
          <w:rFonts w:ascii="Times New Roman" w:hAnsi="Times New Roman" w:cs="Times New Roman" w:eastAsia="Times New Roman" w:hint="default"/>
          <w:spacing w:val="4"/>
        </w:rPr>
        <w:t> </w:t>
      </w:r>
      <w:r>
        <w:rPr>
          <w:spacing w:val="-1"/>
        </w:rPr>
        <w:t>月，北京网安向开发商足额支付了预</w:t>
      </w:r>
    </w:p>
    <w:p>
      <w:pPr>
        <w:pStyle w:val="Heading4"/>
        <w:spacing w:line="336" w:lineRule="auto" w:before="11"/>
        <w:ind w:right="1131"/>
        <w:jc w:val="both"/>
      </w:pPr>
      <w:r>
        <w:rPr/>
        <w:t>售合同约定的全部购房款 </w:t>
      </w:r>
      <w:r>
        <w:rPr>
          <w:rFonts w:ascii="Times New Roman" w:hAnsi="Times New Roman" w:cs="Times New Roman" w:eastAsia="Times New Roman" w:hint="default"/>
        </w:rPr>
        <w:t>11.29</w:t>
      </w:r>
      <w:r>
        <w:rPr>
          <w:rFonts w:ascii="Times New Roman" w:hAnsi="Times New Roman" w:cs="Times New Roman" w:eastAsia="Times New Roman" w:hint="default"/>
          <w:spacing w:val="-23"/>
        </w:rPr>
        <w:t> </w:t>
      </w:r>
      <w:r>
        <w:rPr/>
        <w:t>亿元，购房资金均来源于卫士通非公开发行股票募集资金。此后北京中宏 </w:t>
      </w:r>
      <w:r>
        <w:rPr>
          <w:spacing w:val="-3"/>
          <w:w w:val="100"/>
        </w:rPr>
        <w:t>瑞德投资管理中心（有限合伙）（以下简称</w:t>
      </w:r>
      <w:r>
        <w:rPr>
          <w:rFonts w:ascii="Times New Roman" w:hAnsi="Times New Roman" w:cs="Times New Roman" w:eastAsia="Times New Roman" w:hint="default"/>
          <w:spacing w:val="-3"/>
          <w:w w:val="100"/>
        </w:rPr>
        <w:t>“</w:t>
      </w:r>
      <w:r>
        <w:rPr>
          <w:spacing w:val="-3"/>
          <w:w w:val="100"/>
        </w:rPr>
        <w:t>北京中宏</w:t>
      </w:r>
      <w:r>
        <w:rPr>
          <w:rFonts w:ascii="Times New Roman" w:hAnsi="Times New Roman" w:cs="Times New Roman" w:eastAsia="Times New Roman" w:hint="default"/>
          <w:spacing w:val="-3"/>
          <w:w w:val="100"/>
        </w:rPr>
        <w:t>”</w:t>
      </w:r>
      <w:r>
        <w:rPr>
          <w:spacing w:val="-3"/>
          <w:w w:val="100"/>
        </w:rPr>
        <w:t>）基于购买债权的方式取得部分抵押债权。</w:t>
      </w:r>
    </w:p>
    <w:p>
      <w:pPr>
        <w:pStyle w:val="Heading4"/>
        <w:spacing w:line="357" w:lineRule="auto" w:before="65"/>
        <w:ind w:right="1119" w:firstLine="420"/>
        <w:jc w:val="left"/>
      </w:pPr>
      <w:r>
        <w:rPr>
          <w:spacing w:val="-1"/>
        </w:rPr>
        <w:t>因开发商涉及与北京中宏的其他债务纠纷，北京中宏依据生效法律文书向北京市第二中级人民法院申</w:t>
      </w:r>
      <w:r>
        <w:rPr/>
        <w:t> </w:t>
      </w:r>
      <w:r>
        <w:rPr>
          <w:spacing w:val="-3"/>
        </w:rPr>
        <w:t>请执行，并对开发商位于北京市丰台区花乡四合庄的金丰能源中心项目</w:t>
      </w:r>
      <w:r>
        <w:rPr>
          <w:spacing w:val="-50"/>
        </w:rPr>
        <w:t> </w:t>
      </w:r>
      <w:r>
        <w:rPr>
          <w:rFonts w:ascii="Times New Roman" w:hAnsi="Times New Roman" w:cs="Times New Roman" w:eastAsia="Times New Roman" w:hint="default"/>
          <w:spacing w:val="-1"/>
        </w:rPr>
        <w:t>1516-15</w:t>
      </w:r>
      <w:r>
        <w:rPr>
          <w:rFonts w:ascii="Times New Roman" w:hAnsi="Times New Roman" w:cs="Times New Roman" w:eastAsia="Times New Roman" w:hint="default"/>
          <w:spacing w:val="2"/>
        </w:rPr>
        <w:t> </w:t>
      </w:r>
      <w:r>
        <w:rPr/>
        <w:t>地块</w:t>
      </w:r>
      <w:r>
        <w:rPr>
          <w:spacing w:val="-51"/>
        </w:rPr>
        <w:t> </w:t>
      </w:r>
      <w:r>
        <w:rPr>
          <w:rFonts w:ascii="Times New Roman" w:hAnsi="Times New Roman" w:cs="Times New Roman" w:eastAsia="Times New Roman" w:hint="default"/>
        </w:rPr>
        <w:t>37,651.02</w:t>
      </w:r>
      <w:r>
        <w:rPr>
          <w:rFonts w:ascii="Times New Roman" w:hAnsi="Times New Roman" w:cs="Times New Roman" w:eastAsia="Times New Roman" w:hint="default"/>
          <w:spacing w:val="2"/>
        </w:rPr>
        <w:t> </w:t>
      </w:r>
      <w:r>
        <w:rPr>
          <w:spacing w:val="-1"/>
        </w:rPr>
        <w:t>㎡的土地使</w:t>
      </w:r>
    </w:p>
    <w:p>
      <w:pPr>
        <w:pStyle w:val="Heading4"/>
        <w:spacing w:line="369" w:lineRule="auto" w:before="3"/>
        <w:ind w:left="574" w:right="3402" w:hanging="420"/>
        <w:jc w:val="left"/>
      </w:pPr>
      <w:r>
        <w:rPr/>
        <w:t>用权及地上</w:t>
      </w:r>
      <w:r>
        <w:rPr>
          <w:spacing w:val="-53"/>
        </w:rPr>
        <w:t> </w:t>
      </w:r>
      <w:r>
        <w:rPr>
          <w:rFonts w:ascii="Times New Roman" w:hAnsi="Times New Roman" w:cs="Times New Roman" w:eastAsia="Times New Roman" w:hint="default"/>
        </w:rPr>
        <w:t>225,484.78</w:t>
      </w:r>
      <w:r>
        <w:rPr>
          <w:rFonts w:ascii="Times New Roman" w:hAnsi="Times New Roman" w:cs="Times New Roman" w:eastAsia="Times New Roman" w:hint="default"/>
          <w:spacing w:val="-1"/>
        </w:rPr>
        <w:t> </w:t>
      </w:r>
      <w:r>
        <w:rPr/>
        <w:t>㎡在建工程采取查封措施。 经公司向北京市丰台区不动产登记中心查询，目前标的房产处于查封状态。</w:t>
      </w:r>
    </w:p>
    <w:p>
      <w:pPr>
        <w:pStyle w:val="Heading4"/>
        <w:spacing w:line="340" w:lineRule="auto" w:before="60"/>
        <w:ind w:right="1130" w:firstLine="420"/>
        <w:jc w:val="both"/>
        <w:rPr>
          <w:rFonts w:ascii="Times New Roman" w:hAnsi="Times New Roman" w:cs="Times New Roman" w:eastAsia="Times New Roman" w:hint="default"/>
        </w:rPr>
      </w:pPr>
      <w:r>
        <w:rPr/>
        <w:t>北京网安于</w:t>
      </w:r>
      <w:r>
        <w:rPr>
          <w:spacing w:val="-57"/>
        </w:rPr>
        <w:t> </w:t>
      </w:r>
      <w:r>
        <w:rPr>
          <w:rFonts w:ascii="Times New Roman" w:hAnsi="Times New Roman" w:cs="Times New Roman" w:eastAsia="Times New Roman" w:hint="default"/>
        </w:rPr>
        <w:t>2019</w:t>
      </w:r>
      <w:r>
        <w:rPr>
          <w:rFonts w:ascii="Times New Roman" w:hAnsi="Times New Roman" w:cs="Times New Roman" w:eastAsia="Times New Roman" w:hint="default"/>
          <w:spacing w:val="-5"/>
        </w:rPr>
        <w:t> </w:t>
      </w:r>
      <w:r>
        <w:rPr/>
        <w:t>年</w:t>
      </w:r>
      <w:r>
        <w:rPr>
          <w:spacing w:val="-58"/>
        </w:rPr>
        <w:t> </w:t>
      </w:r>
      <w:r>
        <w:rPr>
          <w:rFonts w:ascii="Times New Roman" w:hAnsi="Times New Roman" w:cs="Times New Roman" w:eastAsia="Times New Roman" w:hint="default"/>
        </w:rPr>
        <w:t>2</w:t>
      </w:r>
      <w:r>
        <w:rPr>
          <w:rFonts w:ascii="Times New Roman" w:hAnsi="Times New Roman" w:cs="Times New Roman" w:eastAsia="Times New Roman" w:hint="default"/>
          <w:spacing w:val="-5"/>
        </w:rPr>
        <w:t> </w:t>
      </w:r>
      <w:r>
        <w:rPr/>
        <w:t>月</w:t>
      </w:r>
      <w:r>
        <w:rPr>
          <w:spacing w:val="-58"/>
        </w:rPr>
        <w:t> </w:t>
      </w:r>
      <w:r>
        <w:rPr>
          <w:rFonts w:ascii="Times New Roman" w:hAnsi="Times New Roman" w:cs="Times New Roman" w:eastAsia="Times New Roman" w:hint="default"/>
        </w:rPr>
        <w:t>25</w:t>
      </w:r>
      <w:r>
        <w:rPr>
          <w:rFonts w:ascii="Times New Roman" w:hAnsi="Times New Roman" w:cs="Times New Roman" w:eastAsia="Times New Roman" w:hint="default"/>
          <w:spacing w:val="-5"/>
        </w:rPr>
        <w:t> </w:t>
      </w:r>
      <w:r>
        <w:rPr/>
        <w:t>日向北京市第二中级人民法院提交了民事诉讼状，就北京网安向北京金丰 科华房地产开发有限公司购买的北京市丰台区花乡四合庄</w:t>
      </w:r>
      <w:r>
        <w:rPr>
          <w:spacing w:val="-67"/>
        </w:rPr>
        <w:t> </w:t>
      </w:r>
      <w:r>
        <w:rPr>
          <w:rFonts w:ascii="Times New Roman" w:hAnsi="Times New Roman" w:cs="Times New Roman" w:eastAsia="Times New Roman" w:hint="default"/>
        </w:rPr>
        <w:t>1516-15</w:t>
      </w:r>
      <w:r>
        <w:rPr>
          <w:rFonts w:ascii="Times New Roman" w:hAnsi="Times New Roman" w:cs="Times New Roman" w:eastAsia="Times New Roman" w:hint="default"/>
          <w:spacing w:val="-15"/>
        </w:rPr>
        <w:t> </w:t>
      </w:r>
      <w:r>
        <w:rPr/>
        <w:t>地块上</w:t>
      </w:r>
      <w:r>
        <w:rPr>
          <w:spacing w:val="-68"/>
        </w:rPr>
        <w:t> </w:t>
      </w:r>
      <w:r>
        <w:rPr>
          <w:rFonts w:ascii="Times New Roman" w:hAnsi="Times New Roman" w:cs="Times New Roman" w:eastAsia="Times New Roman" w:hint="default"/>
        </w:rPr>
        <w:t>5#</w:t>
      </w:r>
      <w:r>
        <w:rPr/>
        <w:t>办公商业楼及该房屋对应土地 </w:t>
      </w:r>
      <w:r>
        <w:rPr>
          <w:spacing w:val="-1"/>
        </w:rPr>
        <w:t>使用权的查封事项提起执行异议诉讼，并提交相关证据，请求北京市第二中级人民法院依法解除对丰台区</w:t>
      </w:r>
      <w:r>
        <w:rPr>
          <w:spacing w:val="-81"/>
        </w:rPr>
        <w:t> </w:t>
      </w:r>
      <w:r>
        <w:rPr>
          <w:spacing w:val="-81"/>
        </w:rPr>
      </w:r>
      <w:r>
        <w:rPr/>
        <w:t>花乡四合庄</w:t>
      </w:r>
      <w:r>
        <w:rPr>
          <w:spacing w:val="-66"/>
        </w:rPr>
        <w:t> </w:t>
      </w:r>
      <w:r>
        <w:rPr>
          <w:rFonts w:ascii="Times New Roman" w:hAnsi="Times New Roman" w:cs="Times New Roman" w:eastAsia="Times New Roman" w:hint="default"/>
        </w:rPr>
        <w:t>1516-15</w:t>
      </w:r>
      <w:r>
        <w:rPr>
          <w:rFonts w:ascii="Times New Roman" w:hAnsi="Times New Roman" w:cs="Times New Roman" w:eastAsia="Times New Roman" w:hint="default"/>
          <w:spacing w:val="-15"/>
        </w:rPr>
        <w:t> </w:t>
      </w:r>
      <w:r>
        <w:rPr/>
        <w:t>地块上</w:t>
      </w:r>
      <w:r>
        <w:rPr>
          <w:spacing w:val="-67"/>
        </w:rPr>
        <w:t> </w:t>
      </w:r>
      <w:r>
        <w:rPr>
          <w:rFonts w:ascii="Times New Roman" w:hAnsi="Times New Roman" w:cs="Times New Roman" w:eastAsia="Times New Roman" w:hint="default"/>
        </w:rPr>
        <w:t>5#</w:t>
      </w:r>
      <w:r>
        <w:rPr/>
        <w:t>办公商业楼及该房屋对应的土地使用权的查封。北京市第二中级人民法院于 </w:t>
      </w:r>
      <w:r>
        <w:rPr>
          <w:rFonts w:ascii="Times New Roman" w:hAnsi="Times New Roman" w:cs="Times New Roman" w:eastAsia="Times New Roman" w:hint="default"/>
        </w:rPr>
        <w:t>2019</w:t>
      </w:r>
      <w:r>
        <w:rPr>
          <w:rFonts w:ascii="Times New Roman" w:hAnsi="Times New Roman" w:cs="Times New Roman" w:eastAsia="Times New Roman" w:hint="default"/>
          <w:spacing w:val="11"/>
        </w:rPr>
        <w:t> </w:t>
      </w:r>
      <w:r>
        <w:rPr/>
        <w:t>年</w:t>
      </w:r>
      <w:r>
        <w:rPr>
          <w:spacing w:val="-43"/>
        </w:rPr>
        <w:t> </w:t>
      </w:r>
      <w:r>
        <w:rPr>
          <w:rFonts w:ascii="Times New Roman" w:hAnsi="Times New Roman" w:cs="Times New Roman" w:eastAsia="Times New Roman" w:hint="default"/>
        </w:rPr>
        <w:t>3</w:t>
      </w:r>
      <w:r>
        <w:rPr>
          <w:rFonts w:ascii="Times New Roman" w:hAnsi="Times New Roman" w:cs="Times New Roman" w:eastAsia="Times New Roman" w:hint="default"/>
          <w:spacing w:val="10"/>
        </w:rPr>
        <w:t> </w:t>
      </w:r>
      <w:r>
        <w:rPr/>
        <w:t>月</w:t>
      </w:r>
      <w:r>
        <w:rPr>
          <w:spacing w:val="-43"/>
        </w:rPr>
        <w:t> </w:t>
      </w:r>
      <w:r>
        <w:rPr>
          <w:rFonts w:ascii="Times New Roman" w:hAnsi="Times New Roman" w:cs="Times New Roman" w:eastAsia="Times New Roman" w:hint="default"/>
        </w:rPr>
        <w:t>1</w:t>
      </w:r>
      <w:r>
        <w:rPr>
          <w:rFonts w:ascii="Times New Roman" w:hAnsi="Times New Roman" w:cs="Times New Roman" w:eastAsia="Times New Roman" w:hint="default"/>
          <w:spacing w:val="10"/>
        </w:rPr>
        <w:t> </w:t>
      </w:r>
      <w:r>
        <w:rPr/>
        <w:t>日出具《受理案件通知书》及《诉讼费交费通知书》，受理了本案。北京网安于</w:t>
      </w:r>
      <w:r>
        <w:rPr>
          <w:spacing w:val="-43"/>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0"/>
        </w:rPr>
        <w:t> </w:t>
      </w:r>
      <w:r>
        <w:rPr/>
        <w:t>年</w:t>
      </w:r>
      <w:r>
        <w:rPr>
          <w:spacing w:val="-43"/>
        </w:rPr>
        <w:t> </w:t>
      </w:r>
      <w:r>
        <w:rPr>
          <w:rFonts w:ascii="Times New Roman" w:hAnsi="Times New Roman" w:cs="Times New Roman" w:eastAsia="Times New Roman" w:hint="default"/>
        </w:rPr>
        <w:t>4</w:t>
      </w:r>
    </w:p>
    <w:p>
      <w:pPr>
        <w:pStyle w:val="Heading4"/>
        <w:spacing w:line="336" w:lineRule="auto" w:before="21"/>
        <w:ind w:right="1132"/>
        <w:jc w:val="both"/>
      </w:pPr>
      <w:r>
        <w:rPr/>
        <w:t>月</w:t>
      </w:r>
      <w:r>
        <w:rPr>
          <w:spacing w:val="-49"/>
        </w:rPr>
        <w:t> </w:t>
      </w:r>
      <w:r>
        <w:rPr>
          <w:rFonts w:ascii="Times New Roman" w:hAnsi="Times New Roman" w:cs="Times New Roman" w:eastAsia="Times New Roman" w:hint="default"/>
        </w:rPr>
        <w:t>4</w:t>
      </w:r>
      <w:r>
        <w:rPr>
          <w:rFonts w:ascii="Times New Roman" w:hAnsi="Times New Roman" w:cs="Times New Roman" w:eastAsia="Times New Roman" w:hint="default"/>
          <w:spacing w:val="4"/>
        </w:rPr>
        <w:t> </w:t>
      </w:r>
      <w:r>
        <w:rPr/>
        <w:t>日收到一审判决，驳回了北京网安的诉讼请求。</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w:t>
      </w:r>
      <w:r>
        <w:rPr>
          <w:spacing w:val="-49"/>
        </w:rPr>
        <w:t> </w:t>
      </w:r>
      <w:r>
        <w:rPr>
          <w:rFonts w:ascii="Times New Roman" w:hAnsi="Times New Roman" w:cs="Times New Roman" w:eastAsia="Times New Roman" w:hint="default"/>
        </w:rPr>
        <w:t>4</w:t>
      </w:r>
      <w:r>
        <w:rPr>
          <w:rFonts w:ascii="Times New Roman" w:hAnsi="Times New Roman" w:cs="Times New Roman" w:eastAsia="Times New Roman" w:hint="default"/>
          <w:spacing w:val="4"/>
        </w:rPr>
        <w:t> </w:t>
      </w:r>
      <w:r>
        <w:rPr/>
        <w:t>月</w:t>
      </w:r>
      <w:r>
        <w:rPr>
          <w:spacing w:val="-49"/>
        </w:rPr>
        <w:t> </w:t>
      </w:r>
      <w:r>
        <w:rPr>
          <w:rFonts w:ascii="Times New Roman" w:hAnsi="Times New Roman" w:cs="Times New Roman" w:eastAsia="Times New Roman" w:hint="default"/>
        </w:rPr>
        <w:t>17</w:t>
      </w:r>
      <w:r>
        <w:rPr>
          <w:rFonts w:ascii="Times New Roman" w:hAnsi="Times New Roman" w:cs="Times New Roman" w:eastAsia="Times New Roman" w:hint="default"/>
          <w:spacing w:val="4"/>
        </w:rPr>
        <w:t> </w:t>
      </w:r>
      <w:r>
        <w:rPr/>
        <w:t>日，北京网安通过北京市第二中级人 民法院向北京市高级人民法院提起上诉。</w:t>
      </w:r>
    </w:p>
    <w:p>
      <w:pPr>
        <w:pStyle w:val="Heading4"/>
        <w:spacing w:line="240" w:lineRule="auto" w:before="90"/>
        <w:ind w:left="574" w:right="1022"/>
        <w:jc w:val="left"/>
        <w:rPr>
          <w:rFonts w:ascii="Times New Roman" w:hAnsi="Times New Roman" w:cs="Times New Roman" w:eastAsia="Times New Roman" w:hint="default"/>
        </w:rPr>
      </w:pPr>
      <w:r>
        <w:rPr/>
        <w:t>上述诉讼案目前尚未终审判决</w:t>
      </w:r>
      <w:r>
        <w:rPr>
          <w:spacing w:val="-105"/>
        </w:rPr>
        <w:t>，</w:t>
      </w:r>
      <w:r>
        <w:rPr/>
        <w:t>被查封资产列报于</w:t>
      </w:r>
      <w:r>
        <w:rPr>
          <w:rFonts w:ascii="Times New Roman" w:hAnsi="Times New Roman" w:cs="Times New Roman" w:eastAsia="Times New Roman" w:hint="default"/>
          <w:spacing w:val="-1"/>
          <w:w w:val="100"/>
        </w:rPr>
        <w:t>“</w:t>
      </w:r>
      <w:r>
        <w:rPr/>
        <w:t>在建工</w:t>
      </w:r>
      <w:r>
        <w:rPr>
          <w:spacing w:val="1"/>
        </w:rPr>
        <w:t>程</w:t>
      </w:r>
      <w:r>
        <w:rPr>
          <w:rFonts w:ascii="Times New Roman" w:hAnsi="Times New Roman" w:cs="Times New Roman" w:eastAsia="Times New Roman" w:hint="default"/>
          <w:w w:val="100"/>
        </w:rPr>
        <w:t>”</w:t>
      </w:r>
      <w:r>
        <w:rPr/>
        <w:t>项目</w:t>
      </w:r>
      <w:r>
        <w:rPr>
          <w:spacing w:val="-105"/>
        </w:rPr>
        <w:t>，</w:t>
      </w:r>
      <w:r>
        <w:rPr>
          <w:rFonts w:ascii="Times New Roman" w:hAnsi="Times New Roman" w:cs="Times New Roman" w:eastAsia="Times New Roman" w:hint="default"/>
        </w:rPr>
        <w:t>2018 </w:t>
      </w:r>
      <w:r>
        <w:rPr/>
        <w:t>年</w:t>
      </w:r>
      <w:r>
        <w:rPr>
          <w:spacing w:val="-52"/>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2 </w:t>
      </w:r>
      <w:r>
        <w:rPr/>
        <w:t>月</w:t>
      </w:r>
      <w:r>
        <w:rPr>
          <w:spacing w:val="-53"/>
        </w:rPr>
        <w:t> </w:t>
      </w:r>
      <w:r>
        <w:rPr>
          <w:rFonts w:ascii="Times New Roman" w:hAnsi="Times New Roman" w:cs="Times New Roman" w:eastAsia="Times New Roman" w:hint="default"/>
          <w:spacing w:val="-1"/>
        </w:rPr>
        <w:t>3</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日余额</w:t>
      </w:r>
      <w:r>
        <w:rPr>
          <w:spacing w:val="-53"/>
        </w:rPr>
        <w:t> </w:t>
      </w:r>
      <w:r>
        <w:rPr>
          <w:rFonts w:ascii="Times New Roman" w:hAnsi="Times New Roman" w:cs="Times New Roman" w:eastAsia="Times New Roman" w:hint="default"/>
        </w:rPr>
        <w:t>116,</w:t>
      </w:r>
      <w:r>
        <w:rPr>
          <w:rFonts w:ascii="Times New Roman" w:hAnsi="Times New Roman" w:cs="Times New Roman" w:eastAsia="Times New Roman" w:hint="default"/>
          <w:spacing w:val="-1"/>
        </w:rPr>
        <w:t>3</w:t>
      </w:r>
      <w:r>
        <w:rPr>
          <w:rFonts w:ascii="Times New Roman" w:hAnsi="Times New Roman" w:cs="Times New Roman" w:eastAsia="Times New Roman" w:hint="default"/>
        </w:rPr>
        <w:t>0</w:t>
      </w:r>
      <w:r>
        <w:rPr>
          <w:rFonts w:ascii="Times New Roman" w:hAnsi="Times New Roman" w:cs="Times New Roman" w:eastAsia="Times New Roman" w:hint="default"/>
          <w:spacing w:val="1"/>
        </w:rPr>
        <w:t>9</w:t>
      </w:r>
      <w:r>
        <w:rPr>
          <w:rFonts w:ascii="Times New Roman" w:hAnsi="Times New Roman" w:cs="Times New Roman" w:eastAsia="Times New Roman" w:hint="default"/>
          <w:spacing w:val="-1"/>
        </w:rPr>
        <w:t>.</w:t>
      </w:r>
      <w:r>
        <w:rPr>
          <w:rFonts w:ascii="Times New Roman" w:hAnsi="Times New Roman" w:cs="Times New Roman" w:eastAsia="Times New Roman" w:hint="default"/>
        </w:rPr>
        <w:t>74</w:t>
      </w:r>
    </w:p>
    <w:p>
      <w:pPr>
        <w:pStyle w:val="Heading4"/>
        <w:spacing w:line="240" w:lineRule="auto" w:before="117"/>
        <w:ind w:right="0"/>
        <w:jc w:val="both"/>
      </w:pPr>
      <w:r>
        <w:rPr/>
        <w:t>万元。</w:t>
      </w:r>
    </w:p>
    <w:p>
      <w:pPr>
        <w:pStyle w:val="Heading3"/>
        <w:spacing w:line="240" w:lineRule="auto" w:before="174"/>
        <w:ind w:left="576" w:right="1022"/>
        <w:jc w:val="left"/>
        <w:rPr>
          <w:b w:val="0"/>
          <w:bCs w:val="0"/>
        </w:rPr>
      </w:pPr>
      <w:r>
        <w:rPr>
          <w:rFonts w:ascii="Times New Roman" w:hAnsi="Times New Roman" w:cs="Times New Roman" w:eastAsia="Times New Roman" w:hint="default"/>
        </w:rPr>
        <w:t>2</w:t>
      </w:r>
      <w:r>
        <w:rPr/>
        <w:t>、债权转让纠纷未决诉讼</w:t>
      </w:r>
      <w:r>
        <w:rPr>
          <w:b w:val="0"/>
          <w:bCs w:val="0"/>
        </w:rPr>
      </w:r>
    </w:p>
    <w:p>
      <w:pPr>
        <w:pStyle w:val="Heading4"/>
        <w:spacing w:line="343" w:lineRule="auto" w:before="158"/>
        <w:ind w:right="1023" w:firstLine="420"/>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11"/>
        </w:rPr>
        <w:t> </w:t>
      </w:r>
      <w:r>
        <w:rPr/>
        <w:t>年</w:t>
      </w:r>
      <w:r>
        <w:rPr>
          <w:spacing w:val="-44"/>
        </w:rPr>
        <w:t> </w:t>
      </w:r>
      <w:r>
        <w:rPr>
          <w:rFonts w:ascii="Times New Roman" w:hAnsi="Times New Roman" w:cs="Times New Roman" w:eastAsia="Times New Roman" w:hint="default"/>
        </w:rPr>
        <w:t>3</w:t>
      </w:r>
      <w:r>
        <w:rPr>
          <w:rFonts w:ascii="Times New Roman" w:hAnsi="Times New Roman" w:cs="Times New Roman" w:eastAsia="Times New Roman" w:hint="default"/>
          <w:spacing w:val="10"/>
        </w:rPr>
        <w:t> </w:t>
      </w:r>
      <w:r>
        <w:rPr/>
        <w:t>月</w:t>
      </w:r>
      <w:r>
        <w:rPr>
          <w:spacing w:val="-44"/>
        </w:rPr>
        <w:t> </w:t>
      </w:r>
      <w:r>
        <w:rPr>
          <w:rFonts w:ascii="Times New Roman" w:hAnsi="Times New Roman" w:cs="Times New Roman" w:eastAsia="Times New Roman" w:hint="default"/>
        </w:rPr>
        <w:t>13</w:t>
      </w:r>
      <w:r>
        <w:rPr>
          <w:rFonts w:ascii="Times New Roman" w:hAnsi="Times New Roman" w:cs="Times New Roman" w:eastAsia="Times New Roman" w:hint="default"/>
          <w:spacing w:val="10"/>
        </w:rPr>
        <w:t> </w:t>
      </w:r>
      <w:r>
        <w:rPr/>
        <w:t>日，北京网安与中城数据股份有限公司（曾用名</w:t>
      </w:r>
      <w:r>
        <w:rPr>
          <w:rFonts w:ascii="Times New Roman" w:hAnsi="Times New Roman" w:cs="Times New Roman" w:eastAsia="Times New Roman" w:hint="default"/>
        </w:rPr>
        <w:t>“</w:t>
      </w:r>
      <w:r>
        <w:rPr/>
        <w:t>国创科视科技股份有限公司</w:t>
      </w:r>
      <w:r>
        <w:rPr>
          <w:rFonts w:ascii="Times New Roman" w:hAnsi="Times New Roman" w:cs="Times New Roman" w:eastAsia="Times New Roman" w:hint="default"/>
        </w:rPr>
        <w:t>”</w:t>
      </w:r>
      <w:r>
        <w:rPr/>
        <w:t>，以下 简称</w:t>
      </w:r>
      <w:r>
        <w:rPr>
          <w:rFonts w:ascii="Times New Roman" w:hAnsi="Times New Roman" w:cs="Times New Roman" w:eastAsia="Times New Roman" w:hint="default"/>
        </w:rPr>
        <w:t>“</w:t>
      </w:r>
      <w:r>
        <w:rPr/>
        <w:t>中城股份</w:t>
      </w:r>
      <w:r>
        <w:rPr>
          <w:rFonts w:ascii="Times New Roman" w:hAnsi="Times New Roman" w:cs="Times New Roman" w:eastAsia="Times New Roman" w:hint="default"/>
        </w:rPr>
        <w:t>”</w:t>
      </w:r>
      <w:r>
        <w:rPr/>
        <w:t>）签订债权转让协议，由于中城股份经营困难，中城股份将其对陕西国城数据科技有限公 司（以下简称</w:t>
      </w:r>
      <w:r>
        <w:rPr>
          <w:rFonts w:ascii="Times New Roman" w:hAnsi="Times New Roman" w:cs="Times New Roman" w:eastAsia="Times New Roman" w:hint="default"/>
        </w:rPr>
        <w:t>“</w:t>
      </w:r>
      <w:r>
        <w:rPr/>
        <w:t>陕西国城</w:t>
      </w:r>
      <w:r>
        <w:rPr>
          <w:rFonts w:ascii="Times New Roman" w:hAnsi="Times New Roman" w:cs="Times New Roman" w:eastAsia="Times New Roman" w:hint="default"/>
        </w:rPr>
        <w:t>”</w:t>
      </w:r>
      <w:r>
        <w:rPr/>
        <w:t>）</w:t>
      </w:r>
      <w:r>
        <w:rPr>
          <w:rFonts w:ascii="Times New Roman" w:hAnsi="Times New Roman" w:cs="Times New Roman" w:eastAsia="Times New Roman" w:hint="default"/>
        </w:rPr>
        <w:t>3,098.59</w:t>
      </w:r>
      <w:r>
        <w:rPr>
          <w:rFonts w:ascii="Times New Roman" w:hAnsi="Times New Roman" w:cs="Times New Roman" w:eastAsia="Times New Roman" w:hint="default"/>
          <w:spacing w:val="-12"/>
        </w:rPr>
        <w:t> </w:t>
      </w:r>
      <w:r>
        <w:rPr/>
        <w:t>万元以及其对永兴开元投资有限公司（以下简称</w:t>
      </w:r>
      <w:r>
        <w:rPr>
          <w:rFonts w:ascii="Times New Roman" w:hAnsi="Times New Roman" w:cs="Times New Roman" w:eastAsia="Times New Roman" w:hint="default"/>
        </w:rPr>
        <w:t>“</w:t>
      </w:r>
      <w:r>
        <w:rPr/>
        <w:t>永兴开元</w:t>
      </w:r>
      <w:r>
        <w:rPr>
          <w:rFonts w:ascii="Times New Roman" w:hAnsi="Times New Roman" w:cs="Times New Roman" w:eastAsia="Times New Roman" w:hint="default"/>
        </w:rPr>
        <w:t>”</w:t>
      </w:r>
      <w:r>
        <w:rPr/>
        <w:t>）</w:t>
      </w:r>
      <w:r>
        <w:rPr>
          <w:rFonts w:ascii="Times New Roman" w:hAnsi="Times New Roman" w:cs="Times New Roman" w:eastAsia="Times New Roman" w:hint="default"/>
        </w:rPr>
        <w:t>1,000.00 </w:t>
      </w:r>
      <w:r>
        <w:rPr>
          <w:spacing w:val="-3"/>
        </w:rPr>
        <w:t>万元债权转让给北京网安，用于偿还其应付北京网安债务；同时约定北京网安在实际实现上述受让债权前，</w:t>
      </w:r>
      <w:r>
        <w:rPr>
          <w:spacing w:val="-92"/>
        </w:rPr>
        <w:t> </w:t>
      </w:r>
      <w:r>
        <w:rPr>
          <w:spacing w:val="-92"/>
        </w:rPr>
      </w:r>
      <w:r>
        <w:rPr/>
        <w:t>中城股份对北京网安债务的付款义务不因任何形式减少或免除。</w:t>
      </w:r>
    </w:p>
    <w:p>
      <w:pPr>
        <w:spacing w:after="0" w:line="343" w:lineRule="auto"/>
        <w:jc w:val="left"/>
        <w:sectPr>
          <w:pgSz w:w="11910" w:h="16840"/>
          <w:pgMar w:header="747" w:footer="979" w:top="1060" w:bottom="1160" w:left="980" w:right="0"/>
        </w:sectPr>
      </w:pPr>
    </w:p>
    <w:p>
      <w:pPr>
        <w:spacing w:line="240" w:lineRule="auto" w:before="3"/>
        <w:rPr>
          <w:rFonts w:ascii="宋体" w:hAnsi="宋体" w:cs="宋体" w:eastAsia="宋体" w:hint="default"/>
          <w:sz w:val="23"/>
          <w:szCs w:val="23"/>
        </w:rPr>
      </w:pPr>
    </w:p>
    <w:p>
      <w:pPr>
        <w:pStyle w:val="Heading4"/>
        <w:spacing w:line="350" w:lineRule="auto" w:before="35"/>
        <w:ind w:right="1130" w:firstLine="420"/>
        <w:jc w:val="both"/>
      </w:pPr>
      <w:r>
        <w:rPr/>
        <w:t>因陕西国城及永兴开元均未按期归还北京网安上述受让债权，北京网安于 </w:t>
      </w:r>
      <w:r>
        <w:rPr>
          <w:rFonts w:ascii="Times New Roman" w:hAnsi="Times New Roman" w:cs="Times New Roman" w:eastAsia="Times New Roman" w:hint="default"/>
        </w:rPr>
        <w:t>2019 </w:t>
      </w:r>
      <w:r>
        <w:rPr/>
        <w:t>年 </w:t>
      </w:r>
      <w:r>
        <w:rPr>
          <w:rFonts w:ascii="Times New Roman" w:hAnsi="Times New Roman" w:cs="Times New Roman" w:eastAsia="Times New Roman" w:hint="default"/>
        </w:rPr>
        <w:t>1</w:t>
      </w:r>
      <w:r>
        <w:rPr>
          <w:rFonts w:ascii="Times New Roman" w:hAnsi="Times New Roman" w:cs="Times New Roman" w:eastAsia="Times New Roman" w:hint="default"/>
          <w:spacing w:val="-23"/>
        </w:rPr>
        <w:t> </w:t>
      </w:r>
      <w:r>
        <w:rPr/>
        <w:t>月分别将永兴开 </w:t>
      </w:r>
      <w:r>
        <w:rPr>
          <w:spacing w:val="-1"/>
        </w:rPr>
        <w:t>元、陕西国城及中城股份作为被告向永兴县人民法院、北京市丰台区人民法院提起诉讼，请求上述债务人</w:t>
      </w:r>
      <w:r>
        <w:rPr>
          <w:spacing w:val="-83"/>
        </w:rPr>
        <w:t> </w:t>
      </w:r>
      <w:r>
        <w:rPr>
          <w:spacing w:val="-83"/>
        </w:rPr>
      </w:r>
      <w:r>
        <w:rPr>
          <w:spacing w:val="-1"/>
        </w:rPr>
        <w:t>归还北京网安上述债权。截至财务报告批准报出日，上述案件目前尚未终审判决。本公司根据上述债权的</w:t>
      </w:r>
      <w:r>
        <w:rPr>
          <w:spacing w:val="-83"/>
        </w:rPr>
        <w:t> </w:t>
      </w:r>
      <w:r>
        <w:rPr>
          <w:spacing w:val="-83"/>
        </w:rPr>
      </w:r>
      <w:r>
        <w:rPr/>
        <w:t>预计可回收金额与账面值之间的差额计提了坏账准备</w:t>
      </w:r>
      <w:r>
        <w:rPr>
          <w:spacing w:val="-52"/>
        </w:rPr>
        <w:t> </w:t>
      </w:r>
      <w:r>
        <w:rPr>
          <w:rFonts w:ascii="Times New Roman" w:hAnsi="Times New Roman" w:cs="Times New Roman" w:eastAsia="Times New Roman" w:hint="default"/>
        </w:rPr>
        <w:t>3,215.35 </w:t>
      </w:r>
      <w:r>
        <w:rPr/>
        <w:t>万元。</w:t>
      </w:r>
    </w:p>
    <w:p>
      <w:pPr>
        <w:pStyle w:val="Heading4"/>
        <w:spacing w:line="240" w:lineRule="auto" w:before="51"/>
        <w:ind w:left="574" w:right="1022"/>
        <w:jc w:val="left"/>
      </w:pPr>
      <w:r>
        <w:rPr/>
        <w:pict>
          <v:group style="position:absolute;margin-left:55.32pt;margin-top:47.753708pt;width:484.75pt;height:.5pt;mso-position-horizontal-relative:page;mso-position-vertical-relative:paragraph;z-index:-1003120" coordorigin="1106,955" coordsize="9695,10">
            <v:shape style="position:absolute;left:1106;top:955;width:1737;height:10" type="#_x0000_t75" stroked="false">
              <v:imagedata r:id="rId16" o:title=""/>
            </v:shape>
            <v:shape style="position:absolute;left:2838;top:955;width:7963;height:10" type="#_x0000_t75" stroked="false">
              <v:imagedata r:id="rId17" o:title=""/>
            </v:shape>
            <w10:wrap type="none"/>
          </v:group>
        </w:pict>
      </w:r>
      <w:r>
        <w:rPr/>
        <w:t>相应案件进展情况如下：</w:t>
      </w:r>
    </w:p>
    <w:p>
      <w:pPr>
        <w:spacing w:line="240" w:lineRule="auto" w:before="12"/>
        <w:rPr>
          <w:rFonts w:ascii="宋体" w:hAnsi="宋体" w:cs="宋体" w:eastAsia="宋体" w:hint="default"/>
          <w:sz w:val="15"/>
          <w:szCs w:val="15"/>
        </w:rPr>
      </w:pPr>
    </w:p>
    <w:tbl>
      <w:tblPr>
        <w:tblW w:w="0" w:type="auto"/>
        <w:jc w:val="left"/>
        <w:tblInd w:w="126" w:type="dxa"/>
        <w:tblLayout w:type="fixed"/>
        <w:tblCellMar>
          <w:top w:w="0" w:type="dxa"/>
          <w:left w:w="0" w:type="dxa"/>
          <w:bottom w:w="0" w:type="dxa"/>
          <w:right w:w="0" w:type="dxa"/>
        </w:tblCellMar>
        <w:tblLook w:val="01E0"/>
      </w:tblPr>
      <w:tblGrid>
        <w:gridCol w:w="445"/>
        <w:gridCol w:w="1296"/>
        <w:gridCol w:w="2369"/>
        <w:gridCol w:w="1609"/>
        <w:gridCol w:w="1608"/>
        <w:gridCol w:w="2366"/>
      </w:tblGrid>
      <w:tr>
        <w:trPr>
          <w:trHeight w:val="410" w:hRule="exact"/>
        </w:trPr>
        <w:tc>
          <w:tcPr>
            <w:tcW w:w="445" w:type="dxa"/>
            <w:tcBorders>
              <w:top w:val="single" w:sz="12" w:space="0" w:color="000000"/>
              <w:left w:val="nil" w:sz="6" w:space="0" w:color="auto"/>
              <w:bottom w:val="nil" w:sz="6" w:space="0" w:color="auto"/>
              <w:right w:val="single" w:sz="4" w:space="0" w:color="000000"/>
            </w:tcBorders>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pacing w:val="-17"/>
                <w:sz w:val="21"/>
                <w:szCs w:val="21"/>
              </w:rPr>
              <w:t>序号</w:t>
            </w:r>
            <w:r>
              <w:rPr>
                <w:rFonts w:ascii="宋体" w:hAnsi="宋体" w:cs="宋体" w:eastAsia="宋体" w:hint="default"/>
                <w:sz w:val="21"/>
                <w:szCs w:val="21"/>
              </w:rPr>
            </w:r>
          </w:p>
        </w:tc>
        <w:tc>
          <w:tcPr>
            <w:tcW w:w="1296"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22"/>
              <w:ind w:left="22" w:right="0"/>
              <w:jc w:val="left"/>
              <w:rPr>
                <w:rFonts w:ascii="宋体" w:hAnsi="宋体" w:cs="宋体" w:eastAsia="宋体" w:hint="default"/>
                <w:sz w:val="21"/>
                <w:szCs w:val="21"/>
              </w:rPr>
            </w:pPr>
            <w:r>
              <w:rPr>
                <w:rFonts w:ascii="宋体" w:hAnsi="宋体" w:cs="宋体" w:eastAsia="宋体" w:hint="default"/>
                <w:spacing w:val="-17"/>
                <w:sz w:val="21"/>
                <w:szCs w:val="21"/>
              </w:rPr>
              <w:t>原告</w:t>
            </w:r>
            <w:r>
              <w:rPr>
                <w:rFonts w:ascii="宋体" w:hAnsi="宋体" w:cs="宋体" w:eastAsia="宋体" w:hint="default"/>
                <w:sz w:val="21"/>
                <w:szCs w:val="21"/>
              </w:rPr>
            </w:r>
          </w:p>
        </w:tc>
        <w:tc>
          <w:tcPr>
            <w:tcW w:w="2369"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22"/>
              <w:ind w:left="24" w:right="0"/>
              <w:jc w:val="left"/>
              <w:rPr>
                <w:rFonts w:ascii="宋体" w:hAnsi="宋体" w:cs="宋体" w:eastAsia="宋体" w:hint="default"/>
                <w:sz w:val="21"/>
                <w:szCs w:val="21"/>
              </w:rPr>
            </w:pPr>
            <w:r>
              <w:rPr>
                <w:rFonts w:ascii="宋体" w:hAnsi="宋体" w:cs="宋体" w:eastAsia="宋体" w:hint="default"/>
                <w:spacing w:val="-17"/>
                <w:sz w:val="21"/>
                <w:szCs w:val="21"/>
              </w:rPr>
              <w:t>被告</w:t>
            </w:r>
            <w:r>
              <w:rPr>
                <w:rFonts w:ascii="宋体" w:hAnsi="宋体" w:cs="宋体" w:eastAsia="宋体" w:hint="default"/>
                <w:sz w:val="21"/>
                <w:szCs w:val="21"/>
              </w:rPr>
            </w:r>
          </w:p>
        </w:tc>
        <w:tc>
          <w:tcPr>
            <w:tcW w:w="1609"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22"/>
              <w:ind w:left="22" w:right="0"/>
              <w:jc w:val="left"/>
              <w:rPr>
                <w:rFonts w:ascii="宋体" w:hAnsi="宋体" w:cs="宋体" w:eastAsia="宋体" w:hint="default"/>
                <w:sz w:val="21"/>
                <w:szCs w:val="21"/>
              </w:rPr>
            </w:pPr>
            <w:r>
              <w:rPr>
                <w:rFonts w:ascii="宋体" w:hAnsi="宋体" w:cs="宋体" w:eastAsia="宋体" w:hint="default"/>
                <w:spacing w:val="-17"/>
                <w:sz w:val="21"/>
                <w:szCs w:val="21"/>
              </w:rPr>
              <w:t>案由</w:t>
            </w:r>
            <w:r>
              <w:rPr>
                <w:rFonts w:ascii="宋体" w:hAnsi="宋体" w:cs="宋体" w:eastAsia="宋体" w:hint="default"/>
                <w:sz w:val="21"/>
                <w:szCs w:val="21"/>
              </w:rPr>
            </w:r>
          </w:p>
        </w:tc>
        <w:tc>
          <w:tcPr>
            <w:tcW w:w="1608"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22"/>
              <w:ind w:right="6"/>
              <w:jc w:val="right"/>
              <w:rPr>
                <w:rFonts w:ascii="宋体" w:hAnsi="宋体" w:cs="宋体" w:eastAsia="宋体" w:hint="default"/>
                <w:sz w:val="21"/>
                <w:szCs w:val="21"/>
              </w:rPr>
            </w:pPr>
            <w:r>
              <w:rPr>
                <w:rFonts w:ascii="宋体" w:hAnsi="宋体" w:cs="宋体" w:eastAsia="宋体" w:hint="default"/>
                <w:spacing w:val="-15"/>
                <w:sz w:val="21"/>
                <w:szCs w:val="21"/>
              </w:rPr>
              <w:t>诉讼金额（万元）</w:t>
            </w:r>
          </w:p>
        </w:tc>
        <w:tc>
          <w:tcPr>
            <w:tcW w:w="2366" w:type="dxa"/>
            <w:tcBorders>
              <w:top w:val="single" w:sz="12" w:space="0" w:color="000000"/>
              <w:left w:val="single" w:sz="4" w:space="0" w:color="000000"/>
              <w:bottom w:val="nil" w:sz="6" w:space="0" w:color="auto"/>
              <w:right w:val="nil" w:sz="6" w:space="0" w:color="auto"/>
            </w:tcBorders>
          </w:tcPr>
          <w:p>
            <w:pPr>
              <w:pStyle w:val="TableParagraph"/>
              <w:spacing w:line="240" w:lineRule="auto" w:before="22"/>
              <w:ind w:left="23" w:right="0"/>
              <w:jc w:val="left"/>
              <w:rPr>
                <w:rFonts w:ascii="宋体" w:hAnsi="宋体" w:cs="宋体" w:eastAsia="宋体" w:hint="default"/>
                <w:sz w:val="21"/>
                <w:szCs w:val="21"/>
              </w:rPr>
            </w:pPr>
            <w:r>
              <w:rPr>
                <w:rFonts w:ascii="宋体" w:hAnsi="宋体" w:cs="宋体" w:eastAsia="宋体" w:hint="default"/>
                <w:spacing w:val="-13"/>
                <w:sz w:val="21"/>
                <w:szCs w:val="21"/>
              </w:rPr>
              <w:t>案件进展</w:t>
            </w:r>
          </w:p>
        </w:tc>
      </w:tr>
      <w:tr>
        <w:trPr>
          <w:trHeight w:val="390" w:hRule="exact"/>
        </w:trPr>
        <w:tc>
          <w:tcPr>
            <w:tcW w:w="445" w:type="dxa"/>
            <w:tcBorders>
              <w:top w:val="nil" w:sz="6" w:space="0" w:color="auto"/>
              <w:left w:val="nil" w:sz="6" w:space="0" w:color="auto"/>
              <w:bottom w:val="nil" w:sz="6" w:space="0" w:color="auto"/>
              <w:right w:val="single" w:sz="4" w:space="0" w:color="000000"/>
            </w:tcBorders>
          </w:tcPr>
          <w:p>
            <w:pPr>
              <w:pStyle w:val="TableParagraph"/>
              <w:spacing w:line="240" w:lineRule="auto" w:before="82"/>
              <w:ind w:left="27" w:right="0"/>
              <w:jc w:val="left"/>
              <w:rPr>
                <w:rFonts w:ascii="Times New Roman" w:hAnsi="Times New Roman" w:cs="Times New Roman" w:eastAsia="Times New Roman" w:hint="default"/>
                <w:sz w:val="21"/>
                <w:szCs w:val="21"/>
              </w:rPr>
            </w:pPr>
            <w:r>
              <w:rPr>
                <w:rFonts w:ascii="Times New Roman"/>
                <w:sz w:val="21"/>
              </w:rPr>
              <w:t>1</w:t>
            </w:r>
          </w:p>
        </w:tc>
        <w:tc>
          <w:tcPr>
            <w:tcW w:w="1296"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22" w:right="0"/>
              <w:jc w:val="left"/>
              <w:rPr>
                <w:rFonts w:ascii="宋体" w:hAnsi="宋体" w:cs="宋体" w:eastAsia="宋体" w:hint="default"/>
                <w:sz w:val="21"/>
                <w:szCs w:val="21"/>
              </w:rPr>
            </w:pPr>
            <w:r>
              <w:rPr>
                <w:rFonts w:ascii="宋体" w:hAnsi="宋体" w:cs="宋体" w:eastAsia="宋体" w:hint="default"/>
                <w:spacing w:val="-13"/>
                <w:sz w:val="21"/>
                <w:szCs w:val="21"/>
              </w:rPr>
              <w:t>北京网安</w:t>
            </w:r>
          </w:p>
        </w:tc>
        <w:tc>
          <w:tcPr>
            <w:tcW w:w="2369"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24" w:right="0"/>
              <w:jc w:val="left"/>
              <w:rPr>
                <w:rFonts w:ascii="宋体" w:hAnsi="宋体" w:cs="宋体" w:eastAsia="宋体" w:hint="default"/>
                <w:sz w:val="21"/>
                <w:szCs w:val="21"/>
              </w:rPr>
            </w:pPr>
            <w:r>
              <w:rPr>
                <w:rFonts w:ascii="宋体" w:hAnsi="宋体" w:cs="宋体" w:eastAsia="宋体" w:hint="default"/>
                <w:spacing w:val="-15"/>
                <w:sz w:val="21"/>
                <w:szCs w:val="21"/>
              </w:rPr>
              <w:t>永兴开元投资有限公司</w:t>
            </w:r>
          </w:p>
        </w:tc>
        <w:tc>
          <w:tcPr>
            <w:tcW w:w="1609"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22" w:right="0"/>
              <w:jc w:val="left"/>
              <w:rPr>
                <w:rFonts w:ascii="宋体" w:hAnsi="宋体" w:cs="宋体" w:eastAsia="宋体" w:hint="default"/>
                <w:sz w:val="21"/>
                <w:szCs w:val="21"/>
              </w:rPr>
            </w:pPr>
            <w:r>
              <w:rPr>
                <w:rFonts w:ascii="宋体" w:hAnsi="宋体" w:cs="宋体" w:eastAsia="宋体" w:hint="default"/>
                <w:spacing w:val="-15"/>
                <w:sz w:val="21"/>
                <w:szCs w:val="21"/>
              </w:rPr>
              <w:t>债权转让合同纠纷</w:t>
            </w:r>
          </w:p>
        </w:tc>
        <w:tc>
          <w:tcPr>
            <w:tcW w:w="1608" w:type="dxa"/>
            <w:tcBorders>
              <w:top w:val="nil" w:sz="6" w:space="0" w:color="auto"/>
              <w:left w:val="single" w:sz="4" w:space="0" w:color="000000"/>
              <w:bottom w:val="nil" w:sz="6" w:space="0" w:color="auto"/>
              <w:right w:val="single" w:sz="4" w:space="0" w:color="000000"/>
            </w:tcBorders>
          </w:tcPr>
          <w:p>
            <w:pPr>
              <w:pStyle w:val="TableParagraph"/>
              <w:spacing w:line="240" w:lineRule="auto" w:before="78"/>
              <w:ind w:right="22"/>
              <w:jc w:val="right"/>
              <w:rPr>
                <w:rFonts w:ascii="Times New Roman" w:hAnsi="Times New Roman" w:cs="Times New Roman" w:eastAsia="Times New Roman" w:hint="default"/>
                <w:sz w:val="21"/>
                <w:szCs w:val="21"/>
              </w:rPr>
            </w:pPr>
            <w:r>
              <w:rPr>
                <w:rFonts w:ascii="Times New Roman"/>
                <w:spacing w:val="-1"/>
                <w:sz w:val="21"/>
              </w:rPr>
              <w:t>1,000,00</w:t>
            </w:r>
          </w:p>
        </w:tc>
        <w:tc>
          <w:tcPr>
            <w:tcW w:w="2366" w:type="dxa"/>
            <w:tcBorders>
              <w:top w:val="nil" w:sz="6" w:space="0" w:color="auto"/>
              <w:left w:val="single" w:sz="4" w:space="0" w:color="000000"/>
              <w:bottom w:val="nil" w:sz="6" w:space="0" w:color="auto"/>
              <w:right w:val="nil" w:sz="6" w:space="0" w:color="auto"/>
            </w:tcBorders>
          </w:tcPr>
          <w:p>
            <w:pPr>
              <w:pStyle w:val="TableParagraph"/>
              <w:spacing w:line="240" w:lineRule="auto" w:before="29"/>
              <w:ind w:left="23" w:right="0"/>
              <w:jc w:val="left"/>
              <w:rPr>
                <w:rFonts w:ascii="宋体" w:hAnsi="宋体" w:cs="宋体" w:eastAsia="宋体" w:hint="default"/>
                <w:sz w:val="21"/>
                <w:szCs w:val="21"/>
              </w:rPr>
            </w:pPr>
            <w:r>
              <w:rPr>
                <w:rFonts w:ascii="宋体" w:hAnsi="宋体" w:cs="宋体" w:eastAsia="宋体" w:hint="default"/>
                <w:sz w:val="21"/>
                <w:szCs w:val="21"/>
              </w:rPr>
              <w:t>一审被驳回，正准备上诉</w:t>
            </w:r>
          </w:p>
        </w:tc>
      </w:tr>
      <w:tr>
        <w:trPr>
          <w:trHeight w:val="594" w:hRule="exact"/>
        </w:trPr>
        <w:tc>
          <w:tcPr>
            <w:tcW w:w="445" w:type="dxa"/>
            <w:tcBorders>
              <w:top w:val="nil" w:sz="6" w:space="0" w:color="auto"/>
              <w:left w:val="nil" w:sz="6" w:space="0" w:color="auto"/>
              <w:bottom w:val="single" w:sz="12" w:space="0" w:color="000000"/>
              <w:right w:val="single" w:sz="4" w:space="0" w:color="000000"/>
            </w:tcBorders>
          </w:tcPr>
          <w:p>
            <w:pPr>
              <w:pStyle w:val="TableParagraph"/>
              <w:spacing w:line="240" w:lineRule="auto" w:before="178"/>
              <w:ind w:left="27" w:right="0"/>
              <w:jc w:val="left"/>
              <w:rPr>
                <w:rFonts w:ascii="Times New Roman" w:hAnsi="Times New Roman" w:cs="Times New Roman" w:eastAsia="Times New Roman" w:hint="default"/>
                <w:sz w:val="21"/>
                <w:szCs w:val="21"/>
              </w:rPr>
            </w:pPr>
            <w:r>
              <w:rPr>
                <w:rFonts w:ascii="Times New Roman"/>
                <w:sz w:val="21"/>
              </w:rPr>
              <w:t>2</w:t>
            </w:r>
          </w:p>
        </w:tc>
        <w:tc>
          <w:tcPr>
            <w:tcW w:w="1296"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25"/>
              <w:ind w:left="22" w:right="0"/>
              <w:jc w:val="left"/>
              <w:rPr>
                <w:rFonts w:ascii="宋体" w:hAnsi="宋体" w:cs="宋体" w:eastAsia="宋体" w:hint="default"/>
                <w:sz w:val="21"/>
                <w:szCs w:val="21"/>
              </w:rPr>
            </w:pPr>
            <w:r>
              <w:rPr>
                <w:rFonts w:ascii="宋体" w:hAnsi="宋体" w:cs="宋体" w:eastAsia="宋体" w:hint="default"/>
                <w:spacing w:val="-13"/>
                <w:sz w:val="21"/>
                <w:szCs w:val="21"/>
              </w:rPr>
              <w:t>北京网安</w:t>
            </w:r>
          </w:p>
        </w:tc>
        <w:tc>
          <w:tcPr>
            <w:tcW w:w="2369" w:type="dxa"/>
            <w:tcBorders>
              <w:top w:val="nil" w:sz="6" w:space="0" w:color="auto"/>
              <w:left w:val="single" w:sz="4" w:space="0" w:color="000000"/>
              <w:bottom w:val="single" w:sz="12" w:space="0" w:color="000000"/>
              <w:right w:val="single" w:sz="4" w:space="0" w:color="000000"/>
            </w:tcBorders>
          </w:tcPr>
          <w:p>
            <w:pPr>
              <w:pStyle w:val="TableParagraph"/>
              <w:spacing w:line="240" w:lineRule="exact" w:before="59"/>
              <w:ind w:left="24" w:right="5"/>
              <w:jc w:val="left"/>
              <w:rPr>
                <w:rFonts w:ascii="宋体" w:hAnsi="宋体" w:cs="宋体" w:eastAsia="宋体" w:hint="default"/>
                <w:sz w:val="21"/>
                <w:szCs w:val="21"/>
              </w:rPr>
            </w:pPr>
            <w:r>
              <w:rPr>
                <w:rFonts w:ascii="宋体" w:hAnsi="宋体" w:cs="宋体" w:eastAsia="宋体" w:hint="default"/>
                <w:sz w:val="21"/>
                <w:szCs w:val="21"/>
              </w:rPr>
              <w:t>陕西国城数据科技有限公</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17"/>
                <w:sz w:val="21"/>
                <w:szCs w:val="21"/>
              </w:rPr>
              <w:t>司、中城数据股份有限公司</w:t>
            </w:r>
          </w:p>
        </w:tc>
        <w:tc>
          <w:tcPr>
            <w:tcW w:w="1609"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25"/>
              <w:ind w:left="22" w:right="0"/>
              <w:jc w:val="left"/>
              <w:rPr>
                <w:rFonts w:ascii="宋体" w:hAnsi="宋体" w:cs="宋体" w:eastAsia="宋体" w:hint="default"/>
                <w:sz w:val="21"/>
                <w:szCs w:val="21"/>
              </w:rPr>
            </w:pPr>
            <w:r>
              <w:rPr>
                <w:rFonts w:ascii="宋体" w:hAnsi="宋体" w:cs="宋体" w:eastAsia="宋体" w:hint="default"/>
                <w:spacing w:val="-15"/>
                <w:sz w:val="21"/>
                <w:szCs w:val="21"/>
              </w:rPr>
              <w:t>债权转让合同纠纷</w:t>
            </w:r>
          </w:p>
        </w:tc>
        <w:tc>
          <w:tcPr>
            <w:tcW w:w="1608"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75"/>
              <w:ind w:right="22"/>
              <w:jc w:val="right"/>
              <w:rPr>
                <w:rFonts w:ascii="Times New Roman" w:hAnsi="Times New Roman" w:cs="Times New Roman" w:eastAsia="Times New Roman" w:hint="default"/>
                <w:sz w:val="21"/>
                <w:szCs w:val="21"/>
              </w:rPr>
            </w:pPr>
            <w:r>
              <w:rPr>
                <w:rFonts w:ascii="Times New Roman"/>
                <w:spacing w:val="-1"/>
                <w:sz w:val="21"/>
              </w:rPr>
              <w:t>3,098.59</w:t>
            </w:r>
          </w:p>
        </w:tc>
        <w:tc>
          <w:tcPr>
            <w:tcW w:w="2366" w:type="dxa"/>
            <w:tcBorders>
              <w:top w:val="nil" w:sz="6" w:space="0" w:color="auto"/>
              <w:left w:val="single" w:sz="4" w:space="0" w:color="000000"/>
              <w:bottom w:val="single" w:sz="12" w:space="0" w:color="000000"/>
              <w:right w:val="nil" w:sz="6" w:space="0" w:color="auto"/>
            </w:tcBorders>
          </w:tcPr>
          <w:p>
            <w:pPr>
              <w:pStyle w:val="TableParagraph"/>
              <w:spacing w:line="240" w:lineRule="auto" w:before="125"/>
              <w:ind w:left="23" w:right="0"/>
              <w:jc w:val="left"/>
              <w:rPr>
                <w:rFonts w:ascii="宋体" w:hAnsi="宋体" w:cs="宋体" w:eastAsia="宋体" w:hint="default"/>
                <w:sz w:val="21"/>
                <w:szCs w:val="21"/>
              </w:rPr>
            </w:pPr>
            <w:r>
              <w:rPr>
                <w:rFonts w:ascii="宋体" w:hAnsi="宋体" w:cs="宋体" w:eastAsia="宋体" w:hint="default"/>
                <w:sz w:val="21"/>
                <w:szCs w:val="21"/>
              </w:rPr>
              <w:t>立案，尚未开庭</w:t>
            </w:r>
          </w:p>
        </w:tc>
      </w:tr>
    </w:tbl>
    <w:p>
      <w:pPr>
        <w:spacing w:line="240" w:lineRule="auto" w:before="8"/>
        <w:rPr>
          <w:rFonts w:ascii="宋体" w:hAnsi="宋体" w:cs="宋体" w:eastAsia="宋体" w:hint="default"/>
          <w:sz w:val="6"/>
          <w:szCs w:val="6"/>
        </w:rPr>
      </w:pPr>
    </w:p>
    <w:p>
      <w:pPr>
        <w:pStyle w:val="Heading3"/>
        <w:spacing w:line="240" w:lineRule="auto" w:before="35"/>
        <w:ind w:left="576" w:right="1022"/>
        <w:jc w:val="left"/>
        <w:rPr>
          <w:b w:val="0"/>
          <w:bCs w:val="0"/>
        </w:rPr>
      </w:pPr>
      <w:r>
        <w:rPr/>
        <w:pict>
          <v:group style="position:absolute;margin-left:55.32pt;margin-top:-34.346317pt;width:484.75pt;height:.5pt;mso-position-horizontal-relative:page;mso-position-vertical-relative:paragraph;z-index:-1003096" coordorigin="1106,-687" coordsize="9695,10">
            <v:shape style="position:absolute;left:1106;top:-687;width:1737;height:10" type="#_x0000_t75" stroked="false">
              <v:imagedata r:id="rId16" o:title=""/>
            </v:shape>
            <v:shape style="position:absolute;left:2838;top:-687;width:7963;height:10" type="#_x0000_t75" stroked="false">
              <v:imagedata r:id="rId17" o:title=""/>
            </v:shape>
            <w10:wrap type="none"/>
          </v:group>
        </w:pict>
      </w:r>
      <w:r>
        <w:rPr/>
        <w:pict>
          <v:shape style="position:absolute;margin-left:77.339996pt;margin-top:-6.026328pt;width:.480027pt;height:.18pt;mso-position-horizontal-relative:page;mso-position-vertical-relative:paragraph;z-index:-1003072" type="#_x0000_t75" stroked="false">
            <v:imagedata r:id="rId18" o:title=""/>
          </v:shape>
        </w:pict>
      </w:r>
      <w:r>
        <w:rPr/>
        <w:pict>
          <v:shape style="position:absolute;margin-left:142.160004pt;margin-top:-6.026328pt;width:.480027pt;height:.18pt;mso-position-horizontal-relative:page;mso-position-vertical-relative:paragraph;z-index:-1003048" type="#_x0000_t75" stroked="false">
            <v:imagedata r:id="rId18" o:title=""/>
          </v:shape>
        </w:pict>
      </w:r>
      <w:r>
        <w:rPr/>
        <w:pict>
          <v:shape style="position:absolute;margin-left:260.619995pt;margin-top:-6.026328pt;width:.480037pt;height:.18pt;mso-position-horizontal-relative:page;mso-position-vertical-relative:paragraph;z-index:-1003024" type="#_x0000_t75" stroked="false">
            <v:imagedata r:id="rId18" o:title=""/>
          </v:shape>
        </w:pict>
      </w:r>
      <w:r>
        <w:rPr/>
        <w:pict>
          <v:shape style="position:absolute;margin-left:341.079987pt;margin-top:-6.026328pt;width:.480037pt;height:.18pt;mso-position-horizontal-relative:page;mso-position-vertical-relative:paragraph;z-index:-1003000" type="#_x0000_t75" stroked="false">
            <v:imagedata r:id="rId18" o:title=""/>
          </v:shape>
        </w:pict>
      </w:r>
      <w:r>
        <w:rPr/>
        <w:pict>
          <v:shape style="position:absolute;margin-left:421.5pt;margin-top:-6.026328pt;width:.480037pt;height:.18pt;mso-position-horizontal-relative:page;mso-position-vertical-relative:paragraph;z-index:-1002976" type="#_x0000_t75" stroked="false">
            <v:imagedata r:id="rId18" o:title=""/>
          </v:shape>
        </w:pict>
      </w:r>
      <w:r>
        <w:rPr>
          <w:rFonts w:ascii="Times New Roman" w:hAnsi="Times New Roman" w:cs="Times New Roman" w:eastAsia="Times New Roman" w:hint="default"/>
        </w:rPr>
        <w:t>3</w:t>
      </w:r>
      <w:r>
        <w:rPr/>
        <w:t>、居间服务纠纷未决诉讼</w:t>
      </w:r>
      <w:r>
        <w:rPr>
          <w:b w:val="0"/>
          <w:bCs w:val="0"/>
        </w:rPr>
      </w:r>
    </w:p>
    <w:p>
      <w:pPr>
        <w:spacing w:line="240" w:lineRule="auto" w:before="5"/>
        <w:rPr>
          <w:rFonts w:ascii="宋体" w:hAnsi="宋体" w:cs="宋体" w:eastAsia="宋体" w:hint="default"/>
          <w:b/>
          <w:bCs/>
          <w:sz w:val="9"/>
          <w:szCs w:val="9"/>
        </w:rPr>
      </w:pPr>
    </w:p>
    <w:p>
      <w:pPr>
        <w:pStyle w:val="Heading4"/>
        <w:spacing w:line="240" w:lineRule="auto" w:before="35"/>
        <w:ind w:left="574" w:right="1022"/>
        <w:jc w:val="left"/>
      </w:pPr>
      <w:r>
        <w:rPr>
          <w:rFonts w:ascii="Times New Roman" w:hAnsi="Times New Roman" w:cs="Times New Roman" w:eastAsia="Times New Roman" w:hint="default"/>
        </w:rPr>
        <w:t>2012</w:t>
      </w:r>
      <w:r>
        <w:rPr>
          <w:rFonts w:ascii="Times New Roman" w:hAnsi="Times New Roman" w:cs="Times New Roman" w:eastAsia="Times New Roman" w:hint="default"/>
          <w:spacing w:val="-15"/>
        </w:rPr>
        <w:t> </w:t>
      </w:r>
      <w:r>
        <w:rPr/>
        <w:t>年</w:t>
      </w:r>
      <w:r>
        <w:rPr>
          <w:spacing w:val="-68"/>
        </w:rPr>
        <w:t> </w:t>
      </w:r>
      <w:r>
        <w:rPr>
          <w:rFonts w:ascii="Times New Roman" w:hAnsi="Times New Roman" w:cs="Times New Roman" w:eastAsia="Times New Roman" w:hint="default"/>
        </w:rPr>
        <w:t>12</w:t>
      </w:r>
      <w:r>
        <w:rPr>
          <w:rFonts w:ascii="Times New Roman" w:hAnsi="Times New Roman" w:cs="Times New Roman" w:eastAsia="Times New Roman" w:hint="default"/>
          <w:spacing w:val="-15"/>
        </w:rPr>
        <w:t> </w:t>
      </w:r>
      <w:r>
        <w:rPr/>
        <w:t>月，深圳市金宏威技术有限责任公司（以下简称</w:t>
      </w:r>
      <w:r>
        <w:rPr>
          <w:rFonts w:ascii="Times New Roman" w:hAnsi="Times New Roman" w:cs="Times New Roman" w:eastAsia="Times New Roman" w:hint="default"/>
        </w:rPr>
        <w:t>“</w:t>
      </w:r>
      <w:r>
        <w:rPr/>
        <w:t>深圳金宏威</w:t>
      </w:r>
      <w:r>
        <w:rPr>
          <w:rFonts w:ascii="Times New Roman" w:hAnsi="Times New Roman" w:cs="Times New Roman" w:eastAsia="Times New Roman" w:hint="default"/>
        </w:rPr>
        <w:t>”</w:t>
      </w:r>
      <w:r>
        <w:rPr/>
        <w:t>）与本公司就</w:t>
      </w:r>
      <w:r>
        <w:rPr>
          <w:rFonts w:ascii="Times New Roman" w:hAnsi="Times New Roman" w:cs="Times New Roman" w:eastAsia="Times New Roman" w:hint="default"/>
        </w:rPr>
        <w:t>“</w:t>
      </w:r>
      <w:r>
        <w:rPr/>
        <w:t>中国南方电网</w:t>
      </w:r>
    </w:p>
    <w:p>
      <w:pPr>
        <w:pStyle w:val="Heading4"/>
        <w:spacing w:line="343" w:lineRule="auto" w:before="118"/>
        <w:ind w:right="1109"/>
        <w:jc w:val="both"/>
      </w:pPr>
      <w:r>
        <w:rPr/>
        <w:t>有限责任公司</w:t>
      </w:r>
      <w:r>
        <w:rPr>
          <w:spacing w:val="8"/>
        </w:rPr>
        <w:t> </w:t>
      </w:r>
      <w:r>
        <w:rPr>
          <w:rFonts w:ascii="Times New Roman" w:hAnsi="Times New Roman" w:cs="Times New Roman" w:eastAsia="Times New Roman" w:hint="default"/>
        </w:rPr>
        <w:t>2013</w:t>
      </w:r>
      <w:r>
        <w:rPr>
          <w:rFonts w:ascii="Times New Roman" w:hAnsi="Times New Roman" w:cs="Times New Roman" w:eastAsia="Times New Roman" w:hint="default"/>
          <w:spacing w:val="8"/>
        </w:rPr>
        <w:t> </w:t>
      </w:r>
      <w:r>
        <w:rPr/>
        <w:t>年二次设备及通信设备框架招标项目</w:t>
      </w:r>
      <w:r>
        <w:rPr>
          <w:rFonts w:ascii="Times New Roman" w:hAnsi="Times New Roman" w:cs="Times New Roman" w:eastAsia="Times New Roman" w:hint="default"/>
        </w:rPr>
        <w:t>-</w:t>
      </w:r>
      <w:r>
        <w:rPr/>
        <w:t>二次系统安全防纵向认证加密装置</w:t>
      </w:r>
      <w:r>
        <w:rPr>
          <w:rFonts w:ascii="Times New Roman" w:hAnsi="Times New Roman" w:cs="Times New Roman" w:eastAsia="Times New Roman" w:hint="default"/>
        </w:rPr>
        <w:t>”</w:t>
      </w:r>
      <w:r>
        <w:rPr/>
        <w:t>项目开展合</w:t>
      </w:r>
      <w:r>
        <w:rPr>
          <w:spacing w:val="-103"/>
        </w:rPr>
        <w:t> </w:t>
      </w:r>
      <w:r>
        <w:rPr>
          <w:spacing w:val="-103"/>
        </w:rPr>
      </w:r>
      <w:r>
        <w:rPr>
          <w:spacing w:val="-1"/>
        </w:rPr>
        <w:t>作。金宏威公司负责市场开拓、安装实施、售后回复、款项回收。但项目中标后，金宏威公司未完全按照</w:t>
      </w:r>
      <w:r>
        <w:rPr>
          <w:spacing w:val="-83"/>
        </w:rPr>
        <w:t> </w:t>
      </w:r>
      <w:r>
        <w:rPr>
          <w:spacing w:val="-83"/>
        </w:rPr>
      </w:r>
      <w:r>
        <w:rPr/>
        <w:t>双方约定履行义务。</w:t>
      </w:r>
      <w:r>
        <w:rPr>
          <w:rFonts w:ascii="Times New Roman" w:hAnsi="Times New Roman" w:cs="Times New Roman" w:eastAsia="Times New Roman" w:hint="default"/>
        </w:rPr>
        <w:t>2016</w:t>
      </w:r>
      <w:r>
        <w:rPr>
          <w:rFonts w:ascii="Times New Roman" w:hAnsi="Times New Roman" w:cs="Times New Roman" w:eastAsia="Times New Roman" w:hint="default"/>
          <w:spacing w:val="-22"/>
        </w:rPr>
        <w:t> </w:t>
      </w:r>
      <w:r>
        <w:rPr/>
        <w:t>年</w:t>
      </w:r>
      <w:r>
        <w:rPr>
          <w:spacing w:val="-75"/>
        </w:rPr>
        <w:t> </w:t>
      </w:r>
      <w:r>
        <w:rPr>
          <w:rFonts w:ascii="Times New Roman" w:hAnsi="Times New Roman" w:cs="Times New Roman" w:eastAsia="Times New Roman" w:hint="default"/>
        </w:rPr>
        <w:t>3</w:t>
      </w:r>
      <w:r>
        <w:rPr>
          <w:rFonts w:ascii="Times New Roman" w:hAnsi="Times New Roman" w:cs="Times New Roman" w:eastAsia="Times New Roman" w:hint="default"/>
          <w:spacing w:val="-22"/>
        </w:rPr>
        <w:t> </w:t>
      </w:r>
      <w:r>
        <w:rPr/>
        <w:t>月，本公司广州办事处工作人员在未核实相关数据、未取得公司授权的情况 下在《关于项目合作情况确认函》中加盖广州办事处印章，该《确认函》记载了</w:t>
      </w:r>
      <w:r>
        <w:rPr>
          <w:spacing w:val="-53"/>
        </w:rPr>
        <w:t> </w:t>
      </w:r>
      <w:r>
        <w:rPr>
          <w:rFonts w:ascii="Times New Roman" w:hAnsi="Times New Roman" w:cs="Times New Roman" w:eastAsia="Times New Roman" w:hint="default"/>
        </w:rPr>
        <w:t>2013 </w:t>
      </w:r>
      <w:r>
        <w:rPr/>
        <w:t>年至</w:t>
      </w:r>
      <w:r>
        <w:rPr>
          <w:spacing w:val="-54"/>
        </w:rPr>
        <w:t> </w:t>
      </w:r>
      <w:r>
        <w:rPr>
          <w:rFonts w:ascii="Times New Roman" w:hAnsi="Times New Roman" w:cs="Times New Roman" w:eastAsia="Times New Roman" w:hint="default"/>
        </w:rPr>
        <w:t>2016 </w:t>
      </w:r>
      <w:r>
        <w:rPr/>
        <w:t>年期间，</w:t>
      </w:r>
    </w:p>
    <w:p>
      <w:pPr>
        <w:pStyle w:val="Heading4"/>
        <w:spacing w:line="348" w:lineRule="auto" w:before="17"/>
        <w:ind w:right="1023"/>
        <w:jc w:val="left"/>
      </w:pPr>
      <w:r>
        <w:rPr/>
        <w:t>本公司应付深圳金宏威服务费用费用总额</w:t>
      </w:r>
      <w:r>
        <w:rPr>
          <w:spacing w:val="-48"/>
        </w:rPr>
        <w:t> </w:t>
      </w:r>
      <w:r>
        <w:rPr>
          <w:rFonts w:ascii="Times New Roman" w:hAnsi="Times New Roman" w:cs="Times New Roman" w:eastAsia="Times New Roman" w:hint="default"/>
        </w:rPr>
        <w:t>481.67</w:t>
      </w:r>
      <w:r>
        <w:rPr>
          <w:rFonts w:ascii="Times New Roman" w:hAnsi="Times New Roman" w:cs="Times New Roman" w:eastAsia="Times New Roman" w:hint="default"/>
          <w:spacing w:val="4"/>
        </w:rPr>
        <w:t> </w:t>
      </w:r>
      <w:r>
        <w:rPr>
          <w:spacing w:val="-4"/>
        </w:rPr>
        <w:t>万元，本公司从未认可该《确认函》的法律效力。基于金</w:t>
      </w:r>
      <w:r>
        <w:rPr>
          <w:spacing w:val="-95"/>
        </w:rPr>
        <w:t> </w:t>
      </w:r>
      <w:r>
        <w:rPr>
          <w:spacing w:val="-95"/>
        </w:rPr>
      </w:r>
      <w:r>
        <w:rPr>
          <w:spacing w:val="-3"/>
        </w:rPr>
        <w:t>宏威未完全履行服务合同约定的义务，客观上增加了本公司的项目运作成本，结合金宏威实际提供的服务，</w:t>
      </w:r>
      <w:r>
        <w:rPr>
          <w:spacing w:val="-92"/>
        </w:rPr>
        <w:t> </w:t>
      </w:r>
      <w:r>
        <w:rPr>
          <w:spacing w:val="-92"/>
        </w:rPr>
      </w:r>
      <w:r>
        <w:rPr/>
        <w:t>双方在</w:t>
      </w:r>
      <w:r>
        <w:rPr>
          <w:spacing w:val="-52"/>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52"/>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月就合作费用金额达成一致，以</w:t>
      </w:r>
      <w:r>
        <w:rPr>
          <w:spacing w:val="-52"/>
        </w:rPr>
        <w:t> </w:t>
      </w:r>
      <w:r>
        <w:rPr>
          <w:rFonts w:ascii="Times New Roman" w:hAnsi="Times New Roman" w:cs="Times New Roman" w:eastAsia="Times New Roman" w:hint="default"/>
        </w:rPr>
        <w:t>481.67</w:t>
      </w:r>
      <w:r>
        <w:rPr>
          <w:rFonts w:ascii="Times New Roman" w:hAnsi="Times New Roman" w:cs="Times New Roman" w:eastAsia="Times New Roman" w:hint="default"/>
          <w:spacing w:val="1"/>
        </w:rPr>
        <w:t> </w:t>
      </w:r>
      <w:r>
        <w:rPr/>
        <w:t>万元的</w:t>
      </w:r>
      <w:r>
        <w:rPr>
          <w:spacing w:val="-52"/>
        </w:rPr>
        <w:t> </w:t>
      </w:r>
      <w:r>
        <w:rPr>
          <w:rFonts w:ascii="Times New Roman" w:hAnsi="Times New Roman" w:cs="Times New Roman" w:eastAsia="Times New Roman" w:hint="default"/>
        </w:rPr>
        <w:t>30%</w:t>
      </w:r>
      <w:r>
        <w:rPr/>
        <w:t>计算金宏威的服务费用。因双方还涉 及其他合同的款项支付和发票开具的问题，双方对付款细节未进一步确认，故本公司未予支付上述服务费 用。</w:t>
      </w:r>
    </w:p>
    <w:p>
      <w:pPr>
        <w:pStyle w:val="Heading4"/>
        <w:spacing w:line="240" w:lineRule="auto" w:before="79"/>
        <w:ind w:left="574" w:right="1022"/>
        <w:jc w:val="left"/>
      </w:pPr>
      <w:r>
        <w:rPr/>
        <w:t>为此，</w:t>
      </w:r>
      <w:r>
        <w:rPr>
          <w:rFonts w:ascii="Times New Roman" w:hAnsi="Times New Roman" w:cs="Times New Roman" w:eastAsia="Times New Roman" w:hint="default"/>
        </w:rPr>
        <w:t>2019  </w:t>
      </w:r>
      <w:r>
        <w:rPr/>
        <w:t>年 </w:t>
      </w:r>
      <w:r>
        <w:rPr>
          <w:rFonts w:ascii="Times New Roman" w:hAnsi="Times New Roman" w:cs="Times New Roman" w:eastAsia="Times New Roman" w:hint="default"/>
        </w:rPr>
        <w:t>1  </w:t>
      </w:r>
      <w:r>
        <w:rPr/>
        <w:t>月 </w:t>
      </w:r>
      <w:r>
        <w:rPr>
          <w:rFonts w:ascii="Times New Roman" w:hAnsi="Times New Roman" w:cs="Times New Roman" w:eastAsia="Times New Roman" w:hint="default"/>
        </w:rPr>
        <w:t>23</w:t>
      </w:r>
      <w:r>
        <w:rPr>
          <w:rFonts w:ascii="Times New Roman" w:hAnsi="Times New Roman" w:cs="Times New Roman" w:eastAsia="Times New Roman" w:hint="default"/>
          <w:spacing w:val="27"/>
        </w:rPr>
        <w:t> </w:t>
      </w:r>
      <w:r>
        <w:rPr/>
        <w:t>日深圳金宏威向深圳市南山区人民法院起诉本公司，要求支付上述服务费用</w:t>
      </w:r>
    </w:p>
    <w:p>
      <w:pPr>
        <w:pStyle w:val="Heading4"/>
        <w:spacing w:line="338" w:lineRule="auto" w:before="117"/>
        <w:ind w:right="1123"/>
        <w:jc w:val="left"/>
      </w:pPr>
      <w:r>
        <w:rPr>
          <w:rFonts w:ascii="Times New Roman" w:hAnsi="Times New Roman" w:cs="Times New Roman" w:eastAsia="Times New Roman" w:hint="default"/>
        </w:rPr>
        <w:t>481.67</w:t>
      </w:r>
      <w:r>
        <w:rPr>
          <w:rFonts w:ascii="Times New Roman" w:hAnsi="Times New Roman" w:cs="Times New Roman" w:eastAsia="Times New Roman" w:hint="default"/>
          <w:spacing w:val="-6"/>
        </w:rPr>
        <w:t> </w:t>
      </w:r>
      <w:r>
        <w:rPr/>
        <w:t>万元及延期支付期间资金占用费用</w:t>
      </w:r>
      <w:r>
        <w:rPr>
          <w:spacing w:val="-58"/>
        </w:rPr>
        <w:t> </w:t>
      </w:r>
      <w:r>
        <w:rPr>
          <w:rFonts w:ascii="Times New Roman" w:hAnsi="Times New Roman" w:cs="Times New Roman" w:eastAsia="Times New Roman" w:hint="default"/>
        </w:rPr>
        <w:t>81.71</w:t>
      </w:r>
      <w:r>
        <w:rPr>
          <w:rFonts w:ascii="Times New Roman" w:hAnsi="Times New Roman" w:cs="Times New Roman" w:eastAsia="Times New Roman" w:hint="default"/>
          <w:spacing w:val="-7"/>
        </w:rPr>
        <w:t> </w:t>
      </w:r>
      <w:r>
        <w:rPr/>
        <w:t>万元，合计</w:t>
      </w:r>
      <w:r>
        <w:rPr>
          <w:spacing w:val="-59"/>
        </w:rPr>
        <w:t> </w:t>
      </w:r>
      <w:r>
        <w:rPr>
          <w:rFonts w:ascii="Times New Roman" w:hAnsi="Times New Roman" w:cs="Times New Roman" w:eastAsia="Times New Roman" w:hint="default"/>
        </w:rPr>
        <w:t>563.38</w:t>
      </w:r>
      <w:r>
        <w:rPr>
          <w:rFonts w:ascii="Times New Roman" w:hAnsi="Times New Roman" w:cs="Times New Roman" w:eastAsia="Times New Roman" w:hint="default"/>
          <w:spacing w:val="-6"/>
        </w:rPr>
        <w:t> </w:t>
      </w:r>
      <w:r>
        <w:rPr/>
        <w:t>万元。截至财务报告批准报出日，上述 案件尚未开庭。</w:t>
      </w:r>
    </w:p>
    <w:p>
      <w:pPr>
        <w:spacing w:line="240" w:lineRule="auto" w:before="1"/>
        <w:rPr>
          <w:rFonts w:ascii="宋体" w:hAnsi="宋体" w:cs="宋体" w:eastAsia="宋体" w:hint="default"/>
          <w:sz w:val="28"/>
          <w:szCs w:val="28"/>
        </w:rPr>
      </w:pPr>
    </w:p>
    <w:p>
      <w:pPr>
        <w:pStyle w:val="Heading3"/>
        <w:spacing w:line="240" w:lineRule="auto"/>
        <w:ind w:right="1022"/>
        <w:jc w:val="left"/>
        <w:rPr>
          <w:b w:val="0"/>
          <w:bCs w:val="0"/>
        </w:rPr>
      </w:pPr>
      <w:bookmarkStart w:name="（2）公司没有需要披露的重要或有事项，也应予以说明" w:id="334"/>
      <w:bookmarkEnd w:id="334"/>
      <w:r>
        <w:rPr>
          <w:b w:val="0"/>
          <w:bCs w:val="0"/>
        </w:rPr>
      </w: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22"/>
        <w:jc w:val="left"/>
      </w:pPr>
      <w:r>
        <w:rPr/>
        <w:t>公司不存在需要披露的重要或有事项。</w:t>
      </w:r>
    </w:p>
    <w:p>
      <w:pPr>
        <w:spacing w:line="240" w:lineRule="auto" w:before="1"/>
        <w:rPr>
          <w:rFonts w:ascii="宋体" w:hAnsi="宋体" w:cs="宋体" w:eastAsia="宋体" w:hint="default"/>
          <w:sz w:val="25"/>
          <w:szCs w:val="25"/>
        </w:rPr>
      </w:pPr>
    </w:p>
    <w:p>
      <w:pPr>
        <w:pStyle w:val="Heading2"/>
        <w:spacing w:line="240" w:lineRule="auto"/>
        <w:ind w:right="1022"/>
        <w:jc w:val="left"/>
        <w:rPr>
          <w:b w:val="0"/>
          <w:bCs w:val="0"/>
        </w:rPr>
      </w:pPr>
      <w:bookmarkStart w:name="十三、资产负债表日后事项" w:id="335"/>
      <w:bookmarkEnd w:id="335"/>
      <w:r>
        <w:rPr>
          <w:b w:val="0"/>
          <w:bCs w:val="0"/>
        </w:rPr>
      </w:r>
      <w:r>
        <w:rPr/>
        <w:t>十三、资产负债表日后事项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22"/>
        <w:jc w:val="left"/>
        <w:rPr>
          <w:b w:val="0"/>
          <w:bCs w:val="0"/>
        </w:rPr>
      </w:pPr>
      <w:bookmarkStart w:name="1、销售退回" w:id="336"/>
      <w:bookmarkEnd w:id="336"/>
      <w:r>
        <w:rPr>
          <w:b w:val="0"/>
          <w:bCs w:val="0"/>
        </w:rPr>
      </w:r>
      <w:r>
        <w:rPr>
          <w:rFonts w:ascii="Times New Roman" w:hAnsi="Times New Roman" w:cs="Times New Roman" w:eastAsia="Times New Roman" w:hint="default"/>
        </w:rPr>
        <w:t>1</w:t>
      </w:r>
      <w:r>
        <w:rPr/>
        <w:t>、销售退回</w:t>
      </w:r>
      <w:r>
        <w:rPr>
          <w:b w:val="0"/>
          <w:bCs w:val="0"/>
        </w:rPr>
      </w:r>
    </w:p>
    <w:p>
      <w:pPr>
        <w:spacing w:line="240" w:lineRule="auto" w:before="7"/>
        <w:rPr>
          <w:rFonts w:ascii="宋体" w:hAnsi="宋体" w:cs="宋体" w:eastAsia="宋体" w:hint="default"/>
          <w:b/>
          <w:bCs/>
          <w:sz w:val="24"/>
          <w:szCs w:val="24"/>
        </w:rPr>
      </w:pPr>
    </w:p>
    <w:p>
      <w:pPr>
        <w:pStyle w:val="Heading4"/>
        <w:spacing w:line="240" w:lineRule="auto" w:before="0"/>
        <w:ind w:left="574" w:right="1022"/>
        <w:jc w:val="left"/>
      </w:pPr>
      <w:r>
        <w:rPr/>
        <w:t>本公司无需要披露的重大销售退回情况。</w:t>
      </w:r>
    </w:p>
    <w:p>
      <w:pPr>
        <w:spacing w:line="240" w:lineRule="auto" w:before="12"/>
        <w:rPr>
          <w:rFonts w:ascii="宋体" w:hAnsi="宋体" w:cs="宋体" w:eastAsia="宋体" w:hint="default"/>
          <w:sz w:val="25"/>
          <w:szCs w:val="25"/>
        </w:rPr>
      </w:pPr>
    </w:p>
    <w:p>
      <w:pPr>
        <w:spacing w:line="506" w:lineRule="auto" w:before="0"/>
        <w:ind w:left="574" w:right="2772" w:hanging="420"/>
        <w:jc w:val="left"/>
        <w:rPr>
          <w:rFonts w:ascii="宋体" w:hAnsi="宋体" w:cs="宋体" w:eastAsia="宋体" w:hint="default"/>
          <w:sz w:val="21"/>
          <w:szCs w:val="21"/>
        </w:rPr>
      </w:pPr>
      <w:bookmarkStart w:name="2、其他资产负债表日后事项说明" w:id="337"/>
      <w:bookmarkEnd w:id="337"/>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、其他资产负债表日后事项说明</w:t>
      </w:r>
      <w:r>
        <w:rPr>
          <w:rFonts w:ascii="宋体" w:hAnsi="宋体" w:cs="宋体" w:eastAsia="宋体" w:hint="default"/>
          <w:b/>
          <w:bCs/>
          <w:w w:val="99"/>
          <w:sz w:val="21"/>
          <w:szCs w:val="21"/>
        </w:rPr>
        <w:t> </w:t>
      </w:r>
      <w:r>
        <w:rPr>
          <w:rFonts w:ascii="宋体" w:hAnsi="宋体" w:cs="宋体" w:eastAsia="宋体" w:hint="default"/>
          <w:sz w:val="21"/>
          <w:szCs w:val="21"/>
        </w:rPr>
        <w:t>截至财务报告批准报出日止，本公司无应披露未披露的重大资产负债表日后事项。</w:t>
      </w:r>
    </w:p>
    <w:p>
      <w:pPr>
        <w:spacing w:after="0" w:line="506" w:lineRule="auto"/>
        <w:jc w:val="left"/>
        <w:rPr>
          <w:rFonts w:ascii="宋体" w:hAnsi="宋体" w:cs="宋体" w:eastAsia="宋体" w:hint="default"/>
          <w:sz w:val="21"/>
          <w:szCs w:val="21"/>
        </w:rPr>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1022"/>
        <w:jc w:val="left"/>
        <w:rPr>
          <w:b w:val="0"/>
          <w:bCs w:val="0"/>
        </w:rPr>
      </w:pPr>
      <w:bookmarkStart w:name="十四、母公司财务报表主要项目注释" w:id="338"/>
      <w:bookmarkEnd w:id="338"/>
      <w:r>
        <w:rPr>
          <w:b w:val="0"/>
          <w:bCs w:val="0"/>
        </w:rPr>
      </w:r>
      <w:r>
        <w:rPr/>
        <w:t>十四、母公司财务报表主要项目注释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22"/>
        <w:jc w:val="left"/>
        <w:rPr>
          <w:b w:val="0"/>
          <w:bCs w:val="0"/>
        </w:rPr>
      </w:pPr>
      <w:bookmarkStart w:name="1、应收票据及应收账款" w:id="339"/>
      <w:bookmarkEnd w:id="339"/>
      <w:r>
        <w:rPr>
          <w:b w:val="0"/>
          <w:bCs w:val="0"/>
        </w:rPr>
      </w:r>
      <w:r>
        <w:rPr>
          <w:rFonts w:ascii="Times New Roman" w:hAnsi="Times New Roman" w:cs="Times New Roman" w:eastAsia="Times New Roman" w:hint="default"/>
        </w:rPr>
        <w:t>1</w:t>
      </w:r>
      <w:r>
        <w:rPr/>
        <w:t>、应收票据及应收账款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46,497,048.57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15,653,871.65</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212,042,479.14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358,950,081.21</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258,539,527.71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374,603,952.86</w:t>
            </w:r>
          </w:p>
        </w:tc>
      </w:tr>
    </w:tbl>
    <w:p>
      <w:pPr>
        <w:spacing w:line="240" w:lineRule="auto" w:before="2"/>
        <w:rPr>
          <w:rFonts w:ascii="宋体" w:hAnsi="宋体" w:cs="宋体" w:eastAsia="宋体" w:hint="default"/>
          <w:sz w:val="19"/>
          <w:szCs w:val="19"/>
        </w:rPr>
      </w:pPr>
    </w:p>
    <w:p>
      <w:pPr>
        <w:pStyle w:val="Heading3"/>
        <w:spacing w:line="240" w:lineRule="auto" w:before="35"/>
        <w:ind w:right="1022"/>
        <w:jc w:val="left"/>
        <w:rPr>
          <w:b w:val="0"/>
          <w:bCs w:val="0"/>
        </w:rPr>
      </w:pPr>
      <w:bookmarkStart w:name="（1）应收票据" w:id="340"/>
      <w:bookmarkEnd w:id="340"/>
      <w:r>
        <w:rPr>
          <w:b w:val="0"/>
          <w:bCs w:val="0"/>
        </w:rPr>
      </w:r>
      <w:r>
        <w:rPr/>
        <w:t>（</w:t>
      </w:r>
      <w:r>
        <w:rPr>
          <w:rFonts w:ascii="Times New Roman" w:hAnsi="Times New Roman" w:cs="Times New Roman" w:eastAsia="Times New Roman" w:hint="default"/>
        </w:rPr>
        <w:t>1</w:t>
      </w:r>
      <w:r>
        <w:rPr/>
        <w:t>）应收票据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022"/>
        <w:jc w:val="left"/>
      </w:pPr>
      <w:r>
        <w:rPr>
          <w:rFonts w:ascii="Times New Roman" w:hAnsi="Times New Roman" w:cs="Times New Roman" w:eastAsia="Times New Roman" w:hint="default"/>
        </w:rPr>
        <w:t>1)</w:t>
      </w:r>
      <w:r>
        <w:rPr/>
        <w:t>应收票据分类列示</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3,856,159.57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4,965,654.65</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42,640,889.00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10,688,217.00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46,497,048.57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15,653,871.65</w:t>
            </w:r>
          </w:p>
        </w:tc>
      </w:tr>
    </w:tbl>
    <w:p>
      <w:pPr>
        <w:spacing w:line="240" w:lineRule="auto" w:before="2"/>
        <w:rPr>
          <w:rFonts w:ascii="宋体" w:hAnsi="宋体" w:cs="宋体" w:eastAsia="宋体" w:hint="default"/>
          <w:sz w:val="19"/>
          <w:szCs w:val="19"/>
        </w:rPr>
      </w:pPr>
    </w:p>
    <w:p>
      <w:pPr>
        <w:pStyle w:val="Heading3"/>
        <w:spacing w:line="240" w:lineRule="auto" w:before="35"/>
        <w:ind w:right="1022"/>
        <w:jc w:val="left"/>
        <w:rPr>
          <w:b w:val="0"/>
          <w:bCs w:val="0"/>
        </w:rPr>
      </w:pPr>
      <w:bookmarkStart w:name="2)期末公司因出票人未履约而将其转应收账款的票据" w:id="341"/>
      <w:bookmarkEnd w:id="341"/>
      <w:r>
        <w:rPr>
          <w:b w:val="0"/>
          <w:bCs w:val="0"/>
        </w:rPr>
      </w:r>
      <w:r>
        <w:rPr>
          <w:rFonts w:ascii="Times New Roman" w:hAnsi="Times New Roman" w:cs="Times New Roman" w:eastAsia="Times New Roman" w:hint="default"/>
        </w:rPr>
        <w:t>2)</w:t>
      </w:r>
      <w:r>
        <w:rPr/>
        <w:t>期末公司因出票人未履约而将其转应收账款的票据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762"/>
        <w:gridCol w:w="4796"/>
      </w:tblGrid>
      <w:tr>
        <w:trPr>
          <w:trHeight w:val="403"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588"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9,016,217.00</w:t>
            </w:r>
          </w:p>
        </w:tc>
      </w:tr>
      <w:tr>
        <w:trPr>
          <w:trHeight w:val="403"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9,016,217.00</w:t>
            </w:r>
          </w:p>
        </w:tc>
      </w:tr>
    </w:tbl>
    <w:p>
      <w:pPr>
        <w:spacing w:line="240" w:lineRule="auto" w:before="2"/>
        <w:rPr>
          <w:rFonts w:ascii="宋体" w:hAnsi="宋体" w:cs="宋体" w:eastAsia="宋体" w:hint="default"/>
          <w:sz w:val="19"/>
          <w:szCs w:val="19"/>
        </w:rPr>
      </w:pPr>
    </w:p>
    <w:p>
      <w:pPr>
        <w:pStyle w:val="Heading3"/>
        <w:spacing w:line="240" w:lineRule="auto" w:before="35"/>
        <w:ind w:right="1022"/>
        <w:jc w:val="left"/>
        <w:rPr>
          <w:b w:val="0"/>
          <w:bCs w:val="0"/>
        </w:rPr>
      </w:pPr>
      <w:bookmarkStart w:name="（2）应收账款" w:id="342"/>
      <w:bookmarkEnd w:id="342"/>
      <w:r>
        <w:rPr>
          <w:b w:val="0"/>
          <w:bCs w:val="0"/>
        </w:rPr>
      </w:r>
      <w:r>
        <w:rPr/>
        <w:t>（</w:t>
      </w:r>
      <w:r>
        <w:rPr>
          <w:rFonts w:ascii="Times New Roman" w:hAnsi="Times New Roman" w:cs="Times New Roman" w:eastAsia="Times New Roman" w:hint="default"/>
        </w:rPr>
        <w:t>2</w:t>
      </w:r>
      <w:r>
        <w:rPr/>
        <w:t>）应收账款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022"/>
        <w:jc w:val="left"/>
      </w:pPr>
      <w:r>
        <w:rPr>
          <w:rFonts w:ascii="Times New Roman" w:hAnsi="Times New Roman" w:cs="Times New Roman" w:eastAsia="Times New Roman" w:hint="default"/>
        </w:rPr>
        <w:t>1)</w:t>
      </w:r>
      <w:r>
        <w:rPr/>
        <w:t>应收账款分类披露</w:t>
      </w:r>
    </w:p>
    <w:p>
      <w:pPr>
        <w:pStyle w:val="BodyText"/>
        <w:spacing w:line="240" w:lineRule="auto" w:before="102"/>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403" w:hRule="exact"/>
        </w:trPr>
        <w:tc>
          <w:tcPr>
            <w:tcW w:w="1635"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635"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3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35"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2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35"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35"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22"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244,281,</w:t>
            </w:r>
          </w:p>
          <w:p>
            <w:pPr>
              <w:pStyle w:val="TableParagraph"/>
              <w:spacing w:line="240" w:lineRule="auto" w:before="105"/>
              <w:ind w:left="200" w:right="0"/>
              <w:jc w:val="center"/>
              <w:rPr>
                <w:rFonts w:ascii="Times New Roman" w:hAnsi="Times New Roman" w:cs="Times New Roman" w:eastAsia="Times New Roman" w:hint="default"/>
                <w:sz w:val="18"/>
                <w:szCs w:val="18"/>
              </w:rPr>
            </w:pPr>
            <w:r>
              <w:rPr>
                <w:rFonts w:ascii="Times New Roman"/>
                <w:sz w:val="18"/>
              </w:rPr>
              <w:t>072.77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99.53%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32,238,5</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93.63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53" w:right="0"/>
              <w:jc w:val="center"/>
              <w:rPr>
                <w:rFonts w:ascii="Times New Roman" w:hAnsi="Times New Roman" w:cs="Times New Roman" w:eastAsia="Times New Roman" w:hint="default"/>
                <w:sz w:val="18"/>
                <w:szCs w:val="18"/>
              </w:rPr>
            </w:pPr>
            <w:r>
              <w:rPr>
                <w:rFonts w:ascii="Times New Roman"/>
                <w:sz w:val="18"/>
              </w:rPr>
              <w:t>13.20%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212,042,4</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79.14</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399,969</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,345.18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99.73%</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41,019,26</w:t>
            </w:r>
          </w:p>
          <w:p>
            <w:pPr>
              <w:pStyle w:val="TableParagraph"/>
              <w:spacing w:line="240" w:lineRule="auto" w:before="105"/>
              <w:ind w:left="465" w:right="0"/>
              <w:jc w:val="left"/>
              <w:rPr>
                <w:rFonts w:ascii="Times New Roman" w:hAnsi="Times New Roman" w:cs="Times New Roman" w:eastAsia="Times New Roman" w:hint="default"/>
                <w:sz w:val="18"/>
                <w:szCs w:val="18"/>
              </w:rPr>
            </w:pPr>
            <w:r>
              <w:rPr>
                <w:rFonts w:ascii="Times New Roman"/>
                <w:sz w:val="18"/>
              </w:rPr>
              <w:t>3.97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10.26%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358,950,08</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1.21</w:t>
            </w:r>
          </w:p>
        </w:tc>
      </w:tr>
      <w:tr>
        <w:trPr>
          <w:trHeight w:val="715"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22" w:right="160"/>
              <w:jc w:val="left"/>
              <w:rPr>
                <w:rFonts w:ascii="宋体" w:hAnsi="宋体" w:cs="宋体" w:eastAsia="宋体" w:hint="default"/>
                <w:sz w:val="18"/>
                <w:szCs w:val="18"/>
              </w:rPr>
            </w:pPr>
            <w:r>
              <w:rPr>
                <w:rFonts w:ascii="宋体" w:hAnsi="宋体" w:cs="宋体" w:eastAsia="宋体" w:hint="default"/>
                <w:sz w:val="18"/>
                <w:szCs w:val="18"/>
              </w:rPr>
              <w:t>单项金额不重大但 单独计提坏账准备</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87" w:right="0"/>
              <w:jc w:val="left"/>
              <w:rPr>
                <w:rFonts w:ascii="Times New Roman" w:hAnsi="Times New Roman" w:cs="Times New Roman" w:eastAsia="Times New Roman" w:hint="default"/>
                <w:sz w:val="18"/>
                <w:szCs w:val="18"/>
              </w:rPr>
            </w:pPr>
            <w:r>
              <w:rPr>
                <w:rFonts w:ascii="Times New Roman"/>
                <w:sz w:val="18"/>
              </w:rPr>
              <w:t>1,149,70</w:t>
            </w:r>
          </w:p>
          <w:p>
            <w:pPr>
              <w:pStyle w:val="TableParagraph"/>
              <w:spacing w:line="240" w:lineRule="auto" w:before="105"/>
              <w:ind w:left="403" w:right="0"/>
              <w:jc w:val="left"/>
              <w:rPr>
                <w:rFonts w:ascii="Times New Roman" w:hAnsi="Times New Roman" w:cs="Times New Roman" w:eastAsia="Times New Roman" w:hint="default"/>
                <w:sz w:val="18"/>
                <w:szCs w:val="18"/>
              </w:rPr>
            </w:pPr>
            <w:r>
              <w:rPr>
                <w:rFonts w:ascii="Times New Roman"/>
                <w:sz w:val="18"/>
              </w:rPr>
              <w:t>5.40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0.47%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8" w:right="0"/>
              <w:jc w:val="left"/>
              <w:rPr>
                <w:rFonts w:ascii="Times New Roman" w:hAnsi="Times New Roman" w:cs="Times New Roman" w:eastAsia="Times New Roman" w:hint="default"/>
                <w:sz w:val="18"/>
                <w:szCs w:val="18"/>
              </w:rPr>
            </w:pPr>
            <w:r>
              <w:rPr>
                <w:rFonts w:ascii="Times New Roman"/>
                <w:sz w:val="18"/>
              </w:rPr>
              <w:t>1,149,70</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5.40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7" w:right="0"/>
              <w:jc w:val="center"/>
              <w:rPr>
                <w:rFonts w:ascii="Times New Roman" w:hAnsi="Times New Roman" w:cs="Times New Roman" w:eastAsia="Times New Roman" w:hint="default"/>
                <w:sz w:val="18"/>
                <w:szCs w:val="18"/>
              </w:rPr>
            </w:pPr>
            <w:r>
              <w:rPr>
                <w:rFonts w:ascii="Times New Roman"/>
                <w:sz w:val="18"/>
              </w:rPr>
              <w:t>1,095,2</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05.40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0.27%</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1,095,205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34"/>
        <w:gridCol w:w="764"/>
        <w:gridCol w:w="762"/>
        <w:gridCol w:w="762"/>
        <w:gridCol w:w="762"/>
        <w:gridCol w:w="790"/>
        <w:gridCol w:w="654"/>
        <w:gridCol w:w="762"/>
        <w:gridCol w:w="813"/>
        <w:gridCol w:w="932"/>
        <w:gridCol w:w="932"/>
      </w:tblGrid>
      <w:tr>
        <w:trPr>
          <w:trHeight w:val="362"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的应收账款</w:t>
            </w:r>
          </w:p>
        </w:tc>
        <w:tc>
          <w:tcPr>
            <w:tcW w:w="76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center"/>
              <w:rPr>
                <w:rFonts w:ascii="Times New Roman" w:hAnsi="Times New Roman" w:cs="Times New Roman" w:eastAsia="Times New Roman" w:hint="default"/>
                <w:sz w:val="18"/>
                <w:szCs w:val="18"/>
              </w:rPr>
            </w:pPr>
            <w:r>
              <w:rPr>
                <w:rFonts w:ascii="Times New Roman"/>
                <w:sz w:val="18"/>
              </w:rPr>
              <w:t>245,430,</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778.17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33,388,2</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99.03</w:t>
            </w: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212,042,4</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79.14</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 w:right="0"/>
              <w:jc w:val="left"/>
              <w:rPr>
                <w:rFonts w:ascii="Times New Roman" w:hAnsi="Times New Roman" w:cs="Times New Roman" w:eastAsia="Times New Roman" w:hint="default"/>
                <w:sz w:val="18"/>
                <w:szCs w:val="18"/>
              </w:rPr>
            </w:pPr>
            <w:r>
              <w:rPr>
                <w:rFonts w:ascii="Times New Roman"/>
                <w:sz w:val="18"/>
              </w:rPr>
              <w:t>401,064</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,550.58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42,114,46</w:t>
            </w:r>
          </w:p>
          <w:p>
            <w:pPr>
              <w:pStyle w:val="TableParagraph"/>
              <w:spacing w:line="240" w:lineRule="auto" w:before="105"/>
              <w:ind w:left="465" w:right="0"/>
              <w:jc w:val="left"/>
              <w:rPr>
                <w:rFonts w:ascii="Times New Roman" w:hAnsi="Times New Roman" w:cs="Times New Roman" w:eastAsia="Times New Roman" w:hint="default"/>
                <w:sz w:val="18"/>
                <w:szCs w:val="18"/>
              </w:rPr>
            </w:pPr>
            <w:r>
              <w:rPr>
                <w:rFonts w:ascii="Times New Roman"/>
                <w:sz w:val="18"/>
              </w:rPr>
              <w:t>9.37</w:t>
            </w: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358,950,08</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1.21</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pStyle w:val="BodyText"/>
        <w:spacing w:line="240" w:lineRule="auto" w:before="51"/>
        <w:ind w:right="-20"/>
        <w:jc w:val="left"/>
      </w:pPr>
      <w:r>
        <w:rPr/>
        <w:t>期末单项金额重大并单项计提坏账准备的应收账款：</w:t>
      </w:r>
    </w:p>
    <w:p>
      <w:pPr>
        <w:pStyle w:val="BodyText"/>
        <w:spacing w:line="338" w:lineRule="auto" w:before="117"/>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pStyle w:val="BodyText"/>
        <w:spacing w:line="240" w:lineRule="auto" w:before="42"/>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0"/>
          <w:cols w:num="2" w:equalWidth="0">
            <w:col w:w="4295" w:space="4535"/>
            <w:col w:w="210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488"/>
        <w:gridCol w:w="2301"/>
        <w:gridCol w:w="2391"/>
        <w:gridCol w:w="2389"/>
      </w:tblGrid>
      <w:tr>
        <w:trPr>
          <w:trHeight w:val="402" w:hRule="exact"/>
        </w:trPr>
        <w:tc>
          <w:tcPr>
            <w:tcW w:w="24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8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88" w:type="dxa"/>
            <w:vMerge/>
            <w:tcBorders>
              <w:left w:val="single" w:sz="4" w:space="0" w:color="000000"/>
              <w:bottom w:val="single" w:sz="4" w:space="0" w:color="000000"/>
              <w:right w:val="single" w:sz="4" w:space="0" w:color="000000"/>
            </w:tcBorders>
            <w:shd w:val="clear" w:color="auto" w:fill="D2D2D2"/>
          </w:tcPr>
          <w:p>
            <w:pPr/>
          </w:p>
        </w:tc>
        <w:tc>
          <w:tcPr>
            <w:tcW w:w="2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其中：信息安全产品及服务款</w:t>
            </w:r>
          </w:p>
        </w:tc>
        <w:tc>
          <w:tcPr>
            <w:tcW w:w="2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91,318,459.46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4,565,922.97</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91,318,459.46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4,565,922.97</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46,221,520.42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4,622,152.04</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7,288,290.69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2,186,487.21</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26,516,854.94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20,864,031.41</w:t>
            </w: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9,035,932.20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4,517,966.10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5,674,287.14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4,539,429.71</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11,806,635.60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11,806,635.60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171,345,125.51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32,238,593.63</w:t>
            </w:r>
          </w:p>
        </w:tc>
        <w:tc>
          <w:tcPr>
            <w:tcW w:w="23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51"/>
        <w:ind w:right="6432"/>
        <w:jc w:val="left"/>
      </w:pPr>
      <w:r>
        <w:rPr/>
        <w:t>确定该组合依据的说明： 组合中，采用余额百分比法计提坏账准备的应收账款：</w:t>
      </w:r>
    </w:p>
    <w:p>
      <w:pPr>
        <w:pStyle w:val="BodyText"/>
        <w:spacing w:line="340" w:lineRule="auto" w:before="26"/>
        <w:ind w:right="67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w:t>
      </w:r>
    </w:p>
    <w:p>
      <w:pPr>
        <w:spacing w:line="240" w:lineRule="auto" w:before="3"/>
        <w:rPr>
          <w:rFonts w:ascii="宋体" w:hAnsi="宋体" w:cs="宋体" w:eastAsia="宋体" w:hint="default"/>
          <w:sz w:val="2"/>
          <w:szCs w:val="2"/>
        </w:rPr>
      </w:pPr>
    </w:p>
    <w:tbl>
      <w:tblPr>
        <w:tblW w:w="0" w:type="auto"/>
        <w:jc w:val="left"/>
        <w:tblInd w:w="139" w:type="dxa"/>
        <w:tblLayout w:type="fixed"/>
        <w:tblCellMar>
          <w:top w:w="0" w:type="dxa"/>
          <w:left w:w="0" w:type="dxa"/>
          <w:bottom w:w="0" w:type="dxa"/>
          <w:right w:w="0" w:type="dxa"/>
        </w:tblCellMar>
        <w:tblLook w:val="01E0"/>
      </w:tblPr>
      <w:tblGrid>
        <w:gridCol w:w="2957"/>
        <w:gridCol w:w="2234"/>
        <w:gridCol w:w="2235"/>
        <w:gridCol w:w="2233"/>
      </w:tblGrid>
      <w:tr>
        <w:trPr>
          <w:trHeight w:val="342" w:hRule="exact"/>
        </w:trPr>
        <w:tc>
          <w:tcPr>
            <w:tcW w:w="2957" w:type="dxa"/>
            <w:vMerge w:val="restart"/>
            <w:tcBorders>
              <w:top w:val="single" w:sz="4" w:space="0" w:color="000000"/>
              <w:left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670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42" w:hRule="exact"/>
        </w:trPr>
        <w:tc>
          <w:tcPr>
            <w:tcW w:w="2957" w:type="dxa"/>
            <w:vMerge/>
            <w:tcBorders>
              <w:left w:val="single" w:sz="4" w:space="0" w:color="000000"/>
              <w:bottom w:val="single" w:sz="4" w:space="0" w:color="000000"/>
              <w:right w:val="single" w:sz="4" w:space="0" w:color="000000"/>
            </w:tcBorders>
          </w:tcPr>
          <w:p>
            <w:pPr/>
          </w:p>
        </w:tc>
        <w:tc>
          <w:tcPr>
            <w:tcW w:w="2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95"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42" w:hRule="exact"/>
        </w:trPr>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特别关联组合</w:t>
            </w:r>
          </w:p>
        </w:tc>
        <w:tc>
          <w:tcPr>
            <w:tcW w:w="2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72,935,947.26</w:t>
            </w:r>
          </w:p>
        </w:tc>
        <w:tc>
          <w:tcPr>
            <w:tcW w:w="2235" w:type="dxa"/>
            <w:tcBorders>
              <w:top w:val="single" w:sz="4" w:space="0" w:color="000000"/>
              <w:left w:val="single" w:sz="4" w:space="0" w:color="000000"/>
              <w:bottom w:val="single" w:sz="4" w:space="0" w:color="000000"/>
              <w:right w:val="single" w:sz="4" w:space="0" w:color="000000"/>
            </w:tcBorders>
          </w:tcPr>
          <w:p>
            <w:pPr/>
          </w:p>
        </w:tc>
        <w:tc>
          <w:tcPr>
            <w:tcW w:w="2233"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72,935,947.26</w:t>
            </w:r>
          </w:p>
        </w:tc>
        <w:tc>
          <w:tcPr>
            <w:tcW w:w="2235" w:type="dxa"/>
            <w:tcBorders>
              <w:top w:val="single" w:sz="4" w:space="0" w:color="000000"/>
              <w:left w:val="single" w:sz="4" w:space="0" w:color="000000"/>
              <w:bottom w:val="single" w:sz="4" w:space="0" w:color="000000"/>
              <w:right w:val="single" w:sz="4" w:space="0" w:color="000000"/>
            </w:tcBorders>
          </w:tcPr>
          <w:p>
            <w:pPr/>
          </w:p>
        </w:tc>
        <w:tc>
          <w:tcPr>
            <w:tcW w:w="2233" w:type="dxa"/>
            <w:tcBorders>
              <w:top w:val="single" w:sz="4" w:space="0" w:color="000000"/>
              <w:left w:val="single" w:sz="4" w:space="0" w:color="000000"/>
              <w:bottom w:val="single" w:sz="4" w:space="0" w:color="000000"/>
              <w:right w:val="single" w:sz="4" w:space="0" w:color="000000"/>
            </w:tcBorders>
          </w:tcPr>
          <w:p>
            <w:pPr/>
          </w:p>
        </w:tc>
      </w:tr>
    </w:tbl>
    <w:p>
      <w:pPr>
        <w:pStyle w:val="Heading4"/>
        <w:spacing w:line="260" w:lineRule="exact" w:before="0"/>
        <w:ind w:left="574" w:right="1022"/>
        <w:jc w:val="left"/>
      </w:pPr>
      <w:r>
        <w:rPr/>
        <w:t>确定该组合依据的说明：</w:t>
      </w:r>
    </w:p>
    <w:p>
      <w:pPr>
        <w:pStyle w:val="Heading4"/>
        <w:spacing w:line="240" w:lineRule="auto" w:before="37"/>
        <w:ind w:left="574" w:right="1022"/>
        <w:jc w:val="left"/>
      </w:pPr>
      <w:r>
        <w:rPr/>
        <w:t>本公司与下属全资子公司间的往来款项作为特别关联方组合，不计提坏账准备。</w:t>
      </w:r>
    </w:p>
    <w:p>
      <w:pPr>
        <w:pStyle w:val="BodyText"/>
        <w:spacing w:line="240" w:lineRule="auto" w:before="103"/>
        <w:ind w:right="1022"/>
        <w:jc w:val="left"/>
      </w:pPr>
      <w:r>
        <w:rPr>
          <w:rFonts w:ascii="Times New Roman" w:hAnsi="Times New Roman" w:cs="Times New Roman" w:eastAsia="Times New Roman" w:hint="default"/>
        </w:rPr>
        <w:t>2)</w:t>
      </w:r>
      <w:r>
        <w:rPr/>
        <w:t>本期计提、收回或转回的坏账准备情况</w:t>
      </w:r>
    </w:p>
    <w:p>
      <w:pPr>
        <w:pStyle w:val="BodyText"/>
        <w:spacing w:line="240" w:lineRule="auto" w:before="103"/>
        <w:ind w:right="1022"/>
        <w:jc w:val="left"/>
      </w:pPr>
      <w:r>
        <w:rPr/>
        <w:t>本期计提坏账准备金额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元；本期收回或转回坏账准备金额</w:t>
      </w:r>
      <w:r>
        <w:rPr>
          <w:spacing w:val="-47"/>
        </w:rPr>
        <w:t> </w:t>
      </w:r>
      <w:r>
        <w:rPr>
          <w:rFonts w:ascii="Times New Roman" w:hAnsi="Times New Roman" w:cs="Times New Roman" w:eastAsia="Times New Roman" w:hint="default"/>
        </w:rPr>
        <w:t>8,726,170.34</w:t>
      </w:r>
      <w:r>
        <w:rPr>
          <w:rFonts w:ascii="Times New Roman" w:hAnsi="Times New Roman" w:cs="Times New Roman" w:eastAsia="Times New Roman" w:hint="default"/>
          <w:spacing w:val="-1"/>
        </w:rPr>
        <w:t> </w:t>
      </w:r>
      <w:r>
        <w:rPr/>
        <w:t>元。</w:t>
      </w:r>
    </w:p>
    <w:p>
      <w:pPr>
        <w:pStyle w:val="BodyText"/>
        <w:spacing w:line="240" w:lineRule="auto" w:before="102"/>
        <w:ind w:right="1022"/>
        <w:jc w:val="left"/>
      </w:pPr>
      <w:r>
        <w:rPr>
          <w:rFonts w:ascii="Times New Roman" w:hAnsi="Times New Roman" w:cs="Times New Roman" w:eastAsia="Times New Roman" w:hint="default"/>
        </w:rPr>
        <w:t>3)</w:t>
      </w:r>
      <w:r>
        <w:rPr/>
        <w:t>按欠款方归集的期末余额前五名的应收账款情况</w:t>
      </w:r>
    </w:p>
    <w:p>
      <w:pPr>
        <w:spacing w:line="240" w:lineRule="auto" w:before="0"/>
        <w:rPr>
          <w:rFonts w:ascii="宋体" w:hAnsi="宋体" w:cs="宋体" w:eastAsia="宋体" w:hint="default"/>
          <w:sz w:val="7"/>
          <w:szCs w:val="7"/>
        </w:rPr>
      </w:pPr>
    </w:p>
    <w:tbl>
      <w:tblPr>
        <w:tblW w:w="0" w:type="auto"/>
        <w:jc w:val="left"/>
        <w:tblInd w:w="139" w:type="dxa"/>
        <w:tblLayout w:type="fixed"/>
        <w:tblCellMar>
          <w:top w:w="0" w:type="dxa"/>
          <w:left w:w="0" w:type="dxa"/>
          <w:bottom w:w="0" w:type="dxa"/>
          <w:right w:w="0" w:type="dxa"/>
        </w:tblCellMar>
        <w:tblLook w:val="01E0"/>
      </w:tblPr>
      <w:tblGrid>
        <w:gridCol w:w="2414"/>
        <w:gridCol w:w="2415"/>
        <w:gridCol w:w="2416"/>
        <w:gridCol w:w="2414"/>
      </w:tblGrid>
      <w:tr>
        <w:trPr>
          <w:trHeight w:val="654" w:hRule="exact"/>
        </w:trPr>
        <w:tc>
          <w:tcPr>
            <w:tcW w:w="2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占应收账款期末余额的比例</w:t>
            </w:r>
          </w:p>
          <w:p>
            <w:pPr>
              <w:pStyle w:val="TableParagraph"/>
              <w:spacing w:line="240" w:lineRule="auto" w:before="116"/>
              <w:ind w:right="0"/>
              <w:jc w:val="center"/>
              <w:rPr>
                <w:rFonts w:ascii="Times New Roman" w:hAnsi="Times New Roman" w:cs="Times New Roman" w:eastAsia="Times New Roman" w:hint="default"/>
                <w:sz w:val="18"/>
                <w:szCs w:val="18"/>
              </w:rPr>
            </w:pPr>
            <w:r>
              <w:rPr>
                <w:rFonts w:ascii="Times New Roman"/>
                <w:sz w:val="18"/>
              </w:rPr>
              <w:t>(%)</w:t>
            </w:r>
          </w:p>
        </w:tc>
        <w:tc>
          <w:tcPr>
            <w:tcW w:w="2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72" w:right="0"/>
              <w:jc w:val="left"/>
              <w:rPr>
                <w:rFonts w:ascii="宋体" w:hAnsi="宋体" w:cs="宋体" w:eastAsia="宋体" w:hint="default"/>
                <w:sz w:val="18"/>
                <w:szCs w:val="18"/>
              </w:rPr>
            </w:pPr>
            <w:r>
              <w:rPr>
                <w:rFonts w:ascii="宋体" w:hAnsi="宋体" w:cs="宋体" w:eastAsia="宋体" w:hint="default"/>
                <w:sz w:val="18"/>
                <w:szCs w:val="18"/>
              </w:rPr>
              <w:t>已计提坏账准备</w:t>
            </w:r>
          </w:p>
        </w:tc>
      </w:tr>
      <w:tr>
        <w:trPr>
          <w:trHeight w:val="342" w:hRule="exact"/>
        </w:trPr>
        <w:tc>
          <w:tcPr>
            <w:tcW w:w="2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69,402,204.86</w:t>
            </w:r>
          </w:p>
        </w:tc>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sz w:val="18"/>
              </w:rPr>
              <w:t>28.28</w:t>
            </w:r>
          </w:p>
        </w:tc>
        <w:tc>
          <w:tcPr>
            <w:tcW w:w="2414"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2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28,749,943.80</w:t>
            </w:r>
          </w:p>
        </w:tc>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sz w:val="18"/>
              </w:rPr>
              <w:t>11.71</w:t>
            </w:r>
          </w:p>
        </w:tc>
        <w:tc>
          <w:tcPr>
            <w:tcW w:w="2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1,437,497.19</w:t>
            </w:r>
          </w:p>
        </w:tc>
      </w:tr>
      <w:tr>
        <w:trPr>
          <w:trHeight w:val="342" w:hRule="exact"/>
        </w:trPr>
        <w:tc>
          <w:tcPr>
            <w:tcW w:w="2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15,437,560.41</w:t>
            </w:r>
          </w:p>
        </w:tc>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sz w:val="18"/>
              </w:rPr>
              <w:t>6.29</w:t>
            </w:r>
          </w:p>
        </w:tc>
        <w:tc>
          <w:tcPr>
            <w:tcW w:w="2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1,500,076.04</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39" w:type="dxa"/>
        <w:tblLayout w:type="fixed"/>
        <w:tblCellMar>
          <w:top w:w="0" w:type="dxa"/>
          <w:left w:w="0" w:type="dxa"/>
          <w:bottom w:w="0" w:type="dxa"/>
          <w:right w:w="0" w:type="dxa"/>
        </w:tblCellMar>
        <w:tblLook w:val="01E0"/>
      </w:tblPr>
      <w:tblGrid>
        <w:gridCol w:w="2414"/>
        <w:gridCol w:w="2415"/>
        <w:gridCol w:w="2416"/>
        <w:gridCol w:w="2414"/>
      </w:tblGrid>
      <w:tr>
        <w:trPr>
          <w:trHeight w:val="342" w:hRule="exact"/>
        </w:trPr>
        <w:tc>
          <w:tcPr>
            <w:tcW w:w="2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15,000,000.00</w:t>
            </w:r>
          </w:p>
        </w:tc>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z w:val="18"/>
              </w:rPr>
              <w:t>6.11</w:t>
            </w:r>
          </w:p>
        </w:tc>
        <w:tc>
          <w:tcPr>
            <w:tcW w:w="2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750,000.00</w:t>
            </w:r>
          </w:p>
        </w:tc>
      </w:tr>
      <w:tr>
        <w:trPr>
          <w:trHeight w:val="342" w:hRule="exact"/>
        </w:trPr>
        <w:tc>
          <w:tcPr>
            <w:tcW w:w="2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9,381,917.00</w:t>
            </w:r>
          </w:p>
        </w:tc>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z w:val="18"/>
              </w:rPr>
              <w:t>3.82</w:t>
            </w:r>
          </w:p>
        </w:tc>
        <w:tc>
          <w:tcPr>
            <w:tcW w:w="2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469,095.85</w:t>
            </w:r>
          </w:p>
        </w:tc>
      </w:tr>
      <w:tr>
        <w:trPr>
          <w:trHeight w:val="342" w:hRule="exact"/>
        </w:trPr>
        <w:tc>
          <w:tcPr>
            <w:tcW w:w="2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137,971,626.07</w:t>
            </w:r>
          </w:p>
        </w:tc>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56.21</w:t>
            </w:r>
          </w:p>
        </w:tc>
        <w:tc>
          <w:tcPr>
            <w:tcW w:w="2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4,156,669.08</w:t>
            </w:r>
          </w:p>
        </w:tc>
      </w:tr>
    </w:tbl>
    <w:p>
      <w:pPr>
        <w:spacing w:line="240" w:lineRule="auto" w:before="3"/>
        <w:rPr>
          <w:rFonts w:ascii="宋体" w:hAnsi="宋体" w:cs="宋体" w:eastAsia="宋体" w:hint="default"/>
          <w:sz w:val="19"/>
          <w:szCs w:val="19"/>
        </w:rPr>
      </w:pPr>
    </w:p>
    <w:p>
      <w:pPr>
        <w:pStyle w:val="Heading3"/>
        <w:spacing w:line="240" w:lineRule="auto" w:before="35"/>
        <w:ind w:right="1022"/>
        <w:jc w:val="left"/>
        <w:rPr>
          <w:b w:val="0"/>
          <w:bCs w:val="0"/>
        </w:rPr>
      </w:pPr>
      <w:bookmarkStart w:name="2、其他应收款" w:id="343"/>
      <w:bookmarkEnd w:id="343"/>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34,334,267.62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52,770,443.85</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84,334,267.62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82,770,443.85</w:t>
            </w:r>
          </w:p>
        </w:tc>
      </w:tr>
    </w:tbl>
    <w:p>
      <w:pPr>
        <w:spacing w:line="240" w:lineRule="auto" w:before="2"/>
        <w:rPr>
          <w:rFonts w:ascii="宋体" w:hAnsi="宋体" w:cs="宋体" w:eastAsia="宋体" w:hint="default"/>
          <w:sz w:val="19"/>
          <w:szCs w:val="19"/>
        </w:rPr>
      </w:pPr>
    </w:p>
    <w:p>
      <w:pPr>
        <w:pStyle w:val="Heading3"/>
        <w:spacing w:line="240" w:lineRule="auto" w:before="35"/>
        <w:ind w:right="1022"/>
        <w:jc w:val="left"/>
        <w:rPr>
          <w:b w:val="0"/>
          <w:bCs w:val="0"/>
        </w:rPr>
      </w:pPr>
      <w:bookmarkStart w:name="（1）应收股利" w:id="344"/>
      <w:bookmarkEnd w:id="344"/>
      <w:r>
        <w:rPr>
          <w:b w:val="0"/>
          <w:bCs w:val="0"/>
        </w:rPr>
      </w:r>
      <w:r>
        <w:rPr/>
        <w:t>（</w:t>
      </w:r>
      <w:r>
        <w:rPr>
          <w:rFonts w:ascii="Times New Roman" w:hAnsi="Times New Roman" w:cs="Times New Roman" w:eastAsia="Times New Roman" w:hint="default"/>
        </w:rPr>
        <w:t>1</w:t>
      </w:r>
      <w:r>
        <w:rPr/>
        <w:t>）应收股利</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022"/>
        <w:jc w:val="left"/>
      </w:pPr>
      <w:r>
        <w:rPr>
          <w:rFonts w:ascii="Times New Roman" w:hAnsi="Times New Roman" w:cs="Times New Roman" w:eastAsia="Times New Roman" w:hint="default"/>
        </w:rPr>
        <w:t>1)</w:t>
      </w:r>
      <w:r>
        <w:rPr/>
        <w:t>应收股利</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8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成都卫士通信息安全技术有限公司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30,000,000.00</w:t>
            </w:r>
          </w:p>
        </w:tc>
      </w:tr>
    </w:tbl>
    <w:p>
      <w:pPr>
        <w:spacing w:line="240" w:lineRule="auto" w:before="3"/>
        <w:rPr>
          <w:rFonts w:ascii="宋体" w:hAnsi="宋体" w:cs="宋体" w:eastAsia="宋体" w:hint="default"/>
          <w:sz w:val="19"/>
          <w:szCs w:val="19"/>
        </w:rPr>
      </w:pPr>
    </w:p>
    <w:p>
      <w:pPr>
        <w:pStyle w:val="Heading3"/>
        <w:spacing w:line="240" w:lineRule="auto" w:before="35"/>
        <w:ind w:right="1022"/>
        <w:jc w:val="left"/>
        <w:rPr>
          <w:b w:val="0"/>
          <w:bCs w:val="0"/>
        </w:rPr>
      </w:pPr>
      <w:bookmarkStart w:name="（2）其他应收款" w:id="345"/>
      <w:bookmarkEnd w:id="345"/>
      <w:r>
        <w:rPr>
          <w:b w:val="0"/>
          <w:bCs w:val="0"/>
        </w:rPr>
      </w:r>
      <w:r>
        <w:rPr/>
        <w:t>（</w:t>
      </w:r>
      <w:r>
        <w:rPr>
          <w:rFonts w:ascii="Times New Roman" w:hAnsi="Times New Roman" w:cs="Times New Roman" w:eastAsia="Times New Roman" w:hint="default"/>
        </w:rPr>
        <w:t>2</w:t>
      </w:r>
      <w:r>
        <w:rPr/>
        <w:t>）其他应收款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022"/>
        <w:jc w:val="left"/>
      </w:pPr>
      <w:r>
        <w:rPr>
          <w:rFonts w:ascii="Times New Roman" w:hAnsi="Times New Roman" w:cs="Times New Roman" w:eastAsia="Times New Roman" w:hint="default"/>
        </w:rPr>
        <w:t>1)</w:t>
      </w:r>
      <w:r>
        <w:rPr/>
        <w:t>其他应收款分类披露</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611"/>
        <w:gridCol w:w="775"/>
        <w:gridCol w:w="762"/>
        <w:gridCol w:w="762"/>
        <w:gridCol w:w="762"/>
        <w:gridCol w:w="790"/>
        <w:gridCol w:w="654"/>
        <w:gridCol w:w="762"/>
        <w:gridCol w:w="813"/>
        <w:gridCol w:w="932"/>
        <w:gridCol w:w="932"/>
      </w:tblGrid>
      <w:tr>
        <w:trPr>
          <w:trHeight w:val="397" w:hRule="exact"/>
        </w:trPr>
        <w:tc>
          <w:tcPr>
            <w:tcW w:w="1611"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1"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1"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2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11"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11"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1"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13,145,1</w:t>
            </w:r>
          </w:p>
          <w:p>
            <w:pPr>
              <w:pStyle w:val="TableParagraph"/>
              <w:spacing w:line="240" w:lineRule="auto" w:before="106"/>
              <w:ind w:left="325" w:right="0"/>
              <w:jc w:val="left"/>
              <w:rPr>
                <w:rFonts w:ascii="Times New Roman" w:hAnsi="Times New Roman" w:cs="Times New Roman" w:eastAsia="Times New Roman" w:hint="default"/>
                <w:sz w:val="18"/>
                <w:szCs w:val="18"/>
              </w:rPr>
            </w:pPr>
            <w:r>
              <w:rPr>
                <w:rFonts w:ascii="Times New Roman"/>
                <w:sz w:val="18"/>
              </w:rPr>
              <w:t>53.12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26.15%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13,145,1</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53.12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36,660,0</w:t>
            </w:r>
          </w:p>
          <w:p>
            <w:pPr>
              <w:pStyle w:val="TableParagraph"/>
              <w:spacing w:line="240" w:lineRule="auto" w:before="106"/>
              <w:ind w:left="325" w:right="0"/>
              <w:jc w:val="left"/>
              <w:rPr>
                <w:rFonts w:ascii="Times New Roman" w:hAnsi="Times New Roman" w:cs="Times New Roman" w:eastAsia="Times New Roman" w:hint="default"/>
                <w:sz w:val="18"/>
                <w:szCs w:val="18"/>
              </w:rPr>
            </w:pPr>
            <w:r>
              <w:rPr>
                <w:rFonts w:ascii="Times New Roman"/>
                <w:sz w:val="18"/>
              </w:rPr>
              <w:t>61.28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72.91%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2,325,79</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3.66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6.34%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34,334,26</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7.62</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56,829,</w:t>
            </w:r>
          </w:p>
          <w:p>
            <w:pPr>
              <w:pStyle w:val="TableParagraph"/>
              <w:spacing w:line="240" w:lineRule="auto" w:before="106"/>
              <w:ind w:left="126" w:right="0"/>
              <w:jc w:val="left"/>
              <w:rPr>
                <w:rFonts w:ascii="Times New Roman" w:hAnsi="Times New Roman" w:cs="Times New Roman" w:eastAsia="Times New Roman" w:hint="default"/>
                <w:sz w:val="18"/>
                <w:szCs w:val="18"/>
              </w:rPr>
            </w:pPr>
            <w:r>
              <w:rPr>
                <w:rFonts w:ascii="Times New Roman"/>
                <w:sz w:val="18"/>
              </w:rPr>
              <w:t>870.67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99.18%</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4,059,426</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.82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7.14%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52,770,443.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85</w:t>
            </w: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470,080.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0.94%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470,080.</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70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470,080</w:t>
            </w:r>
          </w:p>
          <w:p>
            <w:pPr>
              <w:pStyle w:val="TableParagraph"/>
              <w:spacing w:line="240" w:lineRule="auto" w:before="106"/>
              <w:ind w:left="396" w:right="0"/>
              <w:jc w:val="left"/>
              <w:rPr>
                <w:rFonts w:ascii="Times New Roman" w:hAnsi="Times New Roman" w:cs="Times New Roman" w:eastAsia="Times New Roman" w:hint="default"/>
                <w:sz w:val="18"/>
                <w:szCs w:val="18"/>
              </w:rPr>
            </w:pPr>
            <w:r>
              <w:rPr>
                <w:rFonts w:ascii="Times New Roman"/>
                <w:sz w:val="18"/>
              </w:rPr>
              <w:t>.70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0.82%</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470,080.7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611"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50,275,2</w:t>
            </w:r>
          </w:p>
          <w:p>
            <w:pPr>
              <w:pStyle w:val="TableParagraph"/>
              <w:spacing w:line="240" w:lineRule="auto" w:before="106"/>
              <w:ind w:left="330" w:right="0"/>
              <w:jc w:val="left"/>
              <w:rPr>
                <w:rFonts w:ascii="Times New Roman" w:hAnsi="Times New Roman" w:cs="Times New Roman" w:eastAsia="Times New Roman" w:hint="default"/>
                <w:sz w:val="18"/>
                <w:szCs w:val="18"/>
              </w:rPr>
            </w:pPr>
            <w:r>
              <w:rPr>
                <w:rFonts w:ascii="Times New Roman"/>
                <w:sz w:val="18"/>
              </w:rPr>
              <w:t>95.10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15,941,0</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27.48</w:t>
            </w:r>
          </w:p>
        </w:tc>
        <w:tc>
          <w:tcPr>
            <w:tcW w:w="762" w:type="dxa"/>
            <w:vMerge w:val="restart"/>
            <w:tcBorders>
              <w:top w:val="single" w:sz="4" w:space="0" w:color="000000"/>
              <w:left w:val="single" w:sz="4" w:space="0" w:color="000000"/>
              <w:right w:val="single" w:sz="4" w:space="0" w:color="000000"/>
            </w:tcBorders>
          </w:tcPr>
          <w:p>
            <w:pP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34,334,26</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7.62</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57,299,</w:t>
            </w:r>
          </w:p>
          <w:p>
            <w:pPr>
              <w:pStyle w:val="TableParagraph"/>
              <w:spacing w:line="240" w:lineRule="auto" w:before="106"/>
              <w:ind w:left="126" w:right="0"/>
              <w:jc w:val="left"/>
              <w:rPr>
                <w:rFonts w:ascii="Times New Roman" w:hAnsi="Times New Roman" w:cs="Times New Roman" w:eastAsia="Times New Roman" w:hint="default"/>
                <w:sz w:val="18"/>
                <w:szCs w:val="18"/>
              </w:rPr>
            </w:pPr>
            <w:r>
              <w:rPr>
                <w:rFonts w:ascii="Times New Roman"/>
                <w:sz w:val="18"/>
              </w:rPr>
              <w:t>951.37</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4,529,507</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.52</w:t>
            </w:r>
          </w:p>
        </w:tc>
        <w:tc>
          <w:tcPr>
            <w:tcW w:w="932" w:type="dxa"/>
            <w:vMerge w:val="restart"/>
            <w:tcBorders>
              <w:top w:val="single" w:sz="4" w:space="0" w:color="000000"/>
              <w:left w:val="single" w:sz="4" w:space="0" w:color="000000"/>
              <w:right w:val="single" w:sz="4" w:space="0" w:color="000000"/>
            </w:tcBorders>
          </w:tcPr>
          <w:p>
            <w:pP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52,770,443.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85</w:t>
            </w:r>
          </w:p>
        </w:tc>
      </w:tr>
      <w:tr>
        <w:trPr>
          <w:trHeight w:val="392" w:hRule="exact"/>
        </w:trPr>
        <w:tc>
          <w:tcPr>
            <w:tcW w:w="16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11"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747" w:footer="979" w:top="1060" w:bottom="1160" w:left="980" w:right="0"/>
        </w:sectPr>
      </w:pPr>
    </w:p>
    <w:p>
      <w:pPr>
        <w:pStyle w:val="BodyText"/>
        <w:spacing w:line="240" w:lineRule="auto" w:before="44"/>
        <w:ind w:right="-20"/>
        <w:jc w:val="left"/>
      </w:pPr>
      <w:r>
        <w:rPr/>
        <w:t>期末单项金额重大并单项计提坏账准备的其他应收款：</w:t>
      </w:r>
    </w:p>
    <w:p>
      <w:pPr>
        <w:pStyle w:val="BodyText"/>
        <w:spacing w:line="240" w:lineRule="auto" w:before="116"/>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0"/>
          <w:cols w:num="2" w:equalWidth="0">
            <w:col w:w="4475" w:space="4355"/>
            <w:col w:w="210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95"/>
        <w:gridCol w:w="1838"/>
        <w:gridCol w:w="1913"/>
        <w:gridCol w:w="1913"/>
        <w:gridCol w:w="1913"/>
      </w:tblGrid>
      <w:tr>
        <w:trPr>
          <w:trHeight w:val="402"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91" w:right="0"/>
              <w:jc w:val="left"/>
              <w:rPr>
                <w:rFonts w:ascii="宋体" w:hAnsi="宋体" w:cs="宋体" w:eastAsia="宋体" w:hint="default"/>
                <w:sz w:val="18"/>
                <w:szCs w:val="18"/>
              </w:rPr>
            </w:pPr>
            <w:r>
              <w:rPr>
                <w:rFonts w:ascii="宋体" w:hAnsi="宋体" w:cs="宋体" w:eastAsia="宋体" w:hint="default"/>
                <w:sz w:val="18"/>
                <w:szCs w:val="18"/>
              </w:rPr>
              <w:t>其他应收款（按单位）</w:t>
            </w:r>
          </w:p>
        </w:tc>
        <w:tc>
          <w:tcPr>
            <w:tcW w:w="757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714"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0"/>
              <w:jc w:val="left"/>
              <w:rPr>
                <w:rFonts w:ascii="宋体" w:hAnsi="宋体" w:cs="宋体" w:eastAsia="宋体" w:hint="default"/>
                <w:sz w:val="18"/>
                <w:szCs w:val="18"/>
              </w:rPr>
            </w:pPr>
            <w:r>
              <w:rPr>
                <w:rFonts w:ascii="宋体" w:hAnsi="宋体" w:cs="宋体" w:eastAsia="宋体" w:hint="default"/>
                <w:sz w:val="18"/>
                <w:szCs w:val="18"/>
              </w:rPr>
              <w:t>上海卫士通网络安全有 限公司</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13,145,153.12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13,145,153.12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36" w:right="0"/>
              <w:jc w:val="left"/>
              <w:rPr>
                <w:rFonts w:ascii="Times New Roman" w:hAnsi="Times New Roman" w:cs="Times New Roman" w:eastAsia="Times New Roman" w:hint="default"/>
                <w:sz w:val="18"/>
                <w:szCs w:val="18"/>
              </w:rPr>
            </w:pPr>
            <w:r>
              <w:rPr>
                <w:rFonts w:ascii="Times New Roman"/>
                <w:sz w:val="18"/>
              </w:rPr>
              <w:t>100.00%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13,145,153.12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13,145,153.12</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60" w:left="980" w:right="0"/>
        </w:sectPr>
      </w:pPr>
    </w:p>
    <w:p>
      <w:pPr>
        <w:pStyle w:val="BodyText"/>
        <w:spacing w:line="240" w:lineRule="auto" w:before="51"/>
        <w:ind w:right="-20"/>
        <w:jc w:val="left"/>
      </w:pPr>
      <w:r>
        <w:rPr/>
        <w:t>组合中，按账龄分析法计提坏账准备的其他应收款：</w:t>
      </w:r>
    </w:p>
    <w:p>
      <w:pPr>
        <w:pStyle w:val="BodyText"/>
        <w:spacing w:line="240" w:lineRule="auto" w:before="117"/>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0"/>
          <w:cols w:num="2" w:equalWidth="0">
            <w:col w:w="4295" w:space="4535"/>
            <w:col w:w="210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88"/>
        <w:gridCol w:w="2301"/>
        <w:gridCol w:w="2391"/>
        <w:gridCol w:w="2389"/>
      </w:tblGrid>
      <w:tr>
        <w:trPr>
          <w:trHeight w:val="402" w:hRule="exact"/>
        </w:trPr>
        <w:tc>
          <w:tcPr>
            <w:tcW w:w="24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8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88" w:type="dxa"/>
            <w:vMerge/>
            <w:tcBorders>
              <w:left w:val="single" w:sz="4" w:space="0" w:color="000000"/>
              <w:bottom w:val="single" w:sz="4" w:space="0" w:color="000000"/>
              <w:right w:val="single" w:sz="4" w:space="0" w:color="000000"/>
            </w:tcBorders>
            <w:shd w:val="clear" w:color="auto" w:fill="D2D2D2"/>
          </w:tcPr>
          <w:p>
            <w:pPr/>
          </w:p>
        </w:tc>
        <w:tc>
          <w:tcPr>
            <w:tcW w:w="2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8"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tcPr>
          <w:p>
            <w:pPr/>
          </w:p>
        </w:tc>
        <w:tc>
          <w:tcPr>
            <w:tcW w:w="2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17,490,098.49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874,504.92</w:t>
            </w: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17,490,098.49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874,504.92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3,157,994.01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315,799.40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189,317.66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56,795.30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1,268,592.54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1,078,695.04</w:t>
            </w: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379,795.00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189,897.50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888,796.54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888,796.54</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22,106,001.70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2,325,793.66</w:t>
            </w:r>
          </w:p>
        </w:tc>
        <w:tc>
          <w:tcPr>
            <w:tcW w:w="23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51"/>
        <w:ind w:right="6252"/>
        <w:jc w:val="left"/>
      </w:pPr>
      <w:r>
        <w:rPr/>
        <w:t>确定该组合依据的说明： 组合中，采用余额百分比法计提坏账准备的其他应收款：</w:t>
      </w:r>
    </w:p>
    <w:p>
      <w:pPr>
        <w:pStyle w:val="BodyText"/>
        <w:spacing w:line="338" w:lineRule="auto" w:before="26"/>
        <w:ind w:right="66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3"/>
        <w:ind w:right="10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39" w:type="dxa"/>
        <w:tblLayout w:type="fixed"/>
        <w:tblCellMar>
          <w:top w:w="0" w:type="dxa"/>
          <w:left w:w="0" w:type="dxa"/>
          <w:bottom w:w="0" w:type="dxa"/>
          <w:right w:w="0" w:type="dxa"/>
        </w:tblCellMar>
        <w:tblLook w:val="01E0"/>
      </w:tblPr>
      <w:tblGrid>
        <w:gridCol w:w="2898"/>
        <w:gridCol w:w="2252"/>
        <w:gridCol w:w="2253"/>
        <w:gridCol w:w="2256"/>
      </w:tblGrid>
      <w:tr>
        <w:trPr>
          <w:trHeight w:val="342" w:hRule="exact"/>
        </w:trPr>
        <w:tc>
          <w:tcPr>
            <w:tcW w:w="2898" w:type="dxa"/>
            <w:vMerge w:val="restart"/>
            <w:tcBorders>
              <w:top w:val="single" w:sz="4" w:space="0" w:color="000000"/>
              <w:left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676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42" w:hRule="exact"/>
        </w:trPr>
        <w:tc>
          <w:tcPr>
            <w:tcW w:w="2898" w:type="dxa"/>
            <w:vMerge/>
            <w:tcBorders>
              <w:left w:val="single" w:sz="4" w:space="0" w:color="000000"/>
              <w:bottom w:val="single" w:sz="4" w:space="0" w:color="000000"/>
              <w:right w:val="single" w:sz="4" w:space="0" w:color="000000"/>
            </w:tcBorders>
          </w:tcPr>
          <w:p>
            <w:pP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70"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07"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42"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特别关联组合</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14,554,059.58</w:t>
            </w:r>
          </w:p>
        </w:tc>
        <w:tc>
          <w:tcPr>
            <w:tcW w:w="2253" w:type="dxa"/>
            <w:tcBorders>
              <w:top w:val="single" w:sz="4" w:space="0" w:color="000000"/>
              <w:left w:val="single" w:sz="4" w:space="0" w:color="000000"/>
              <w:bottom w:val="single" w:sz="4" w:space="0" w:color="000000"/>
              <w:right w:val="single" w:sz="4" w:space="0" w:color="000000"/>
            </w:tcBorders>
          </w:tcPr>
          <w:p>
            <w:pPr/>
          </w:p>
        </w:tc>
        <w:tc>
          <w:tcPr>
            <w:tcW w:w="2256"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14,554,059.58</w:t>
            </w:r>
          </w:p>
        </w:tc>
        <w:tc>
          <w:tcPr>
            <w:tcW w:w="2253" w:type="dxa"/>
            <w:tcBorders>
              <w:top w:val="single" w:sz="4" w:space="0" w:color="000000"/>
              <w:left w:val="single" w:sz="4" w:space="0" w:color="000000"/>
              <w:bottom w:val="single" w:sz="4" w:space="0" w:color="000000"/>
              <w:right w:val="single" w:sz="4" w:space="0" w:color="000000"/>
            </w:tcBorders>
          </w:tcPr>
          <w:p>
            <w:pPr/>
          </w:p>
        </w:tc>
        <w:tc>
          <w:tcPr>
            <w:tcW w:w="2256" w:type="dxa"/>
            <w:tcBorders>
              <w:top w:val="single" w:sz="4" w:space="0" w:color="000000"/>
              <w:left w:val="single" w:sz="4" w:space="0" w:color="000000"/>
              <w:bottom w:val="single" w:sz="4" w:space="0" w:color="000000"/>
              <w:right w:val="single" w:sz="4" w:space="0" w:color="000000"/>
            </w:tcBorders>
          </w:tcPr>
          <w:p>
            <w:pPr/>
          </w:p>
        </w:tc>
      </w:tr>
    </w:tbl>
    <w:p>
      <w:pPr>
        <w:pStyle w:val="Heading4"/>
        <w:spacing w:line="260" w:lineRule="exact" w:before="0"/>
        <w:ind w:left="574" w:right="1022"/>
        <w:jc w:val="left"/>
      </w:pPr>
      <w:r>
        <w:rPr/>
        <w:t>确定该组合依据的说明：</w:t>
      </w:r>
    </w:p>
    <w:p>
      <w:pPr>
        <w:pStyle w:val="Heading4"/>
        <w:spacing w:line="240" w:lineRule="auto" w:before="37"/>
        <w:ind w:left="574" w:right="1022"/>
        <w:jc w:val="left"/>
      </w:pPr>
      <w:r>
        <w:rPr/>
        <w:t>本公司与下属全资子公司间的往来款项作为特别关联方组合，不计提坏账准备。</w:t>
      </w:r>
    </w:p>
    <w:p>
      <w:pPr>
        <w:pStyle w:val="BodyText"/>
        <w:spacing w:line="240" w:lineRule="auto" w:before="103"/>
        <w:ind w:right="1022"/>
        <w:jc w:val="left"/>
      </w:pPr>
      <w:r>
        <w:rPr>
          <w:rFonts w:ascii="Times New Roman" w:hAnsi="Times New Roman" w:cs="Times New Roman" w:eastAsia="Times New Roman" w:hint="default"/>
        </w:rPr>
        <w:t>2)</w:t>
      </w:r>
      <w:r>
        <w:rPr/>
        <w:t>本期计提、收回或转回的坏账准备情况</w:t>
      </w:r>
    </w:p>
    <w:p>
      <w:pPr>
        <w:pStyle w:val="BodyText"/>
        <w:spacing w:line="240" w:lineRule="auto" w:before="103"/>
        <w:ind w:right="1022"/>
        <w:jc w:val="left"/>
      </w:pPr>
      <w:r>
        <w:rPr/>
        <w:t>本期计提坏账准备金额</w:t>
      </w:r>
      <w:r>
        <w:rPr>
          <w:spacing w:val="-50"/>
        </w:rPr>
        <w:t> </w:t>
      </w:r>
      <w:r>
        <w:rPr>
          <w:rFonts w:ascii="Times New Roman" w:hAnsi="Times New Roman" w:cs="Times New Roman" w:eastAsia="Times New Roman" w:hint="default"/>
        </w:rPr>
        <w:t>11,411,520.96</w:t>
      </w:r>
      <w:r>
        <w:rPr>
          <w:rFonts w:ascii="Times New Roman" w:hAnsi="Times New Roman" w:cs="Times New Roman" w:eastAsia="Times New Roman" w:hint="default"/>
          <w:spacing w:val="-5"/>
        </w:rPr>
        <w:t> </w:t>
      </w:r>
      <w:r>
        <w:rPr/>
        <w:t>元；本期收回或转回坏账准备金额</w:t>
      </w:r>
      <w:r>
        <w:rPr>
          <w:spacing w:val="-50"/>
        </w:rPr>
        <w:t> </w:t>
      </w:r>
      <w:r>
        <w:rPr>
          <w:rFonts w:ascii="Times New Roman" w:hAnsi="Times New Roman" w:cs="Times New Roman" w:eastAsia="Times New Roman" w:hint="default"/>
        </w:rPr>
        <w:t>0.00</w:t>
      </w:r>
      <w:r>
        <w:rPr>
          <w:rFonts w:ascii="Times New Roman" w:hAnsi="Times New Roman" w:cs="Times New Roman" w:eastAsia="Times New Roman" w:hint="default"/>
          <w:spacing w:val="-5"/>
        </w:rPr>
        <w:t> </w:t>
      </w:r>
      <w:r>
        <w:rPr/>
        <w:t>元。</w:t>
      </w:r>
    </w:p>
    <w:p>
      <w:pPr>
        <w:pStyle w:val="BodyText"/>
        <w:spacing w:line="240" w:lineRule="auto" w:before="102"/>
        <w:ind w:right="1022"/>
        <w:jc w:val="left"/>
      </w:pPr>
      <w:r>
        <w:rPr>
          <w:rFonts w:ascii="Times New Roman" w:hAnsi="Times New Roman" w:cs="Times New Roman" w:eastAsia="Times New Roman" w:hint="default"/>
        </w:rPr>
        <w:t>3)</w:t>
      </w:r>
      <w:r>
        <w:rPr/>
        <w:t>其他应收款按款项性质分类情况</w:t>
      </w:r>
    </w:p>
    <w:p>
      <w:pPr>
        <w:spacing w:after="0" w:line="240" w:lineRule="auto"/>
        <w:jc w:val="left"/>
        <w:sectPr>
          <w:type w:val="continuous"/>
          <w:pgSz w:w="11910" w:h="16840"/>
          <w:pgMar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1"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46,332,551.27</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53,217,529.70</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1,769,016.00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2,011,613.60</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个人业务借款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1,302,199.12</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1,213,951.36</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854,393.71</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854,693.71</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17,135.00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2,163.00</w:t>
            </w:r>
          </w:p>
        </w:tc>
      </w:tr>
      <w:tr>
        <w:trPr>
          <w:trHeight w:val="403"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50,275,295.10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57,299,951.37</w:t>
            </w:r>
          </w:p>
        </w:tc>
      </w:tr>
    </w:tbl>
    <w:p>
      <w:pPr>
        <w:pStyle w:val="BodyText"/>
        <w:spacing w:line="240" w:lineRule="auto" w:before="51"/>
        <w:ind w:right="1022"/>
        <w:jc w:val="left"/>
      </w:pPr>
      <w:r>
        <w:rPr>
          <w:rFonts w:ascii="Times New Roman" w:hAnsi="Times New Roman" w:cs="Times New Roman" w:eastAsia="Times New Roman" w:hint="default"/>
        </w:rPr>
        <w:t>4)</w:t>
      </w:r>
      <w:r>
        <w:rPr/>
        <w:t>按欠款方归集的期末余额前五名的其他应收款情况</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1" w:right="8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0"/>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关联往来</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14,554,059.58</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28.95%</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关联往来</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18,072,472.75</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35.95%</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1,007,472.12</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关联往来</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13,145,153.12</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26.15%</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13,145,153.12</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785,228.31</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1.56%</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78,522.83</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1.21%</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610,000.00</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47,166,913.76</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93.82%</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14,841,148.07</w:t>
            </w:r>
          </w:p>
        </w:tc>
      </w:tr>
    </w:tbl>
    <w:p>
      <w:pPr>
        <w:spacing w:line="240" w:lineRule="auto" w:before="2"/>
        <w:rPr>
          <w:rFonts w:ascii="宋体" w:hAnsi="宋体" w:cs="宋体" w:eastAsia="宋体" w:hint="default"/>
          <w:sz w:val="19"/>
          <w:szCs w:val="19"/>
        </w:rPr>
      </w:pPr>
    </w:p>
    <w:p>
      <w:pPr>
        <w:pStyle w:val="Heading3"/>
        <w:spacing w:line="240" w:lineRule="auto" w:before="35"/>
        <w:ind w:right="1022"/>
        <w:jc w:val="left"/>
        <w:rPr>
          <w:b w:val="0"/>
          <w:bCs w:val="0"/>
        </w:rPr>
      </w:pPr>
      <w:bookmarkStart w:name="3、长期股权投资" w:id="346"/>
      <w:bookmarkEnd w:id="346"/>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46"/>
        <w:gridCol w:w="1379"/>
        <w:gridCol w:w="1367"/>
        <w:gridCol w:w="1367"/>
        <w:gridCol w:w="1368"/>
        <w:gridCol w:w="1367"/>
        <w:gridCol w:w="1367"/>
      </w:tblGrid>
      <w:tr>
        <w:trPr>
          <w:trHeight w:val="206"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3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3,349,470,693.48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2,186,129.61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3,347,284,563.87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3,333,787,700.80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3,333,787,700.80</w:t>
            </w:r>
          </w:p>
        </w:tc>
      </w:tr>
      <w:tr>
        <w:trPr>
          <w:trHeight w:val="714"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62"/>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31,418,091.71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31,418,091.71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26,606,406.67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26,606,406.67</w:t>
            </w: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3,380,888,785.19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2,186,129.61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3,378,702,655.58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3,360,394,107.47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3,360,394,107.47</w:t>
            </w:r>
          </w:p>
        </w:tc>
      </w:tr>
    </w:tbl>
    <w:p>
      <w:pPr>
        <w:spacing w:line="240" w:lineRule="auto" w:before="2"/>
        <w:rPr>
          <w:rFonts w:ascii="宋体" w:hAnsi="宋体" w:cs="宋体" w:eastAsia="宋体" w:hint="default"/>
          <w:sz w:val="19"/>
          <w:szCs w:val="19"/>
        </w:rPr>
      </w:pPr>
    </w:p>
    <w:p>
      <w:pPr>
        <w:pStyle w:val="Heading3"/>
        <w:spacing w:line="240" w:lineRule="auto" w:before="35"/>
        <w:ind w:right="1022"/>
        <w:jc w:val="left"/>
        <w:rPr>
          <w:b w:val="0"/>
          <w:bCs w:val="0"/>
        </w:rPr>
      </w:pPr>
      <w:bookmarkStart w:name="（1）对子公司投资" w:id="347"/>
      <w:bookmarkEnd w:id="347"/>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19"/>
        <w:gridCol w:w="1418"/>
        <w:gridCol w:w="1418"/>
        <w:gridCol w:w="566"/>
        <w:gridCol w:w="1418"/>
        <w:gridCol w:w="851"/>
        <w:gridCol w:w="778"/>
      </w:tblGrid>
      <w:tr>
        <w:trPr>
          <w:trHeight w:val="714" w:hRule="exact"/>
        </w:trPr>
        <w:tc>
          <w:tcPr>
            <w:tcW w:w="3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8" w:right="96"/>
              <w:jc w:val="left"/>
              <w:rPr>
                <w:rFonts w:ascii="宋体" w:hAnsi="宋体" w:cs="宋体" w:eastAsia="宋体" w:hint="default"/>
                <w:sz w:val="18"/>
                <w:szCs w:val="18"/>
              </w:rPr>
            </w:pPr>
            <w:r>
              <w:rPr>
                <w:rFonts w:ascii="宋体" w:hAnsi="宋体" w:cs="宋体" w:eastAsia="宋体" w:hint="default"/>
                <w:sz w:val="18"/>
                <w:szCs w:val="18"/>
              </w:rPr>
              <w:t>本期 减少</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9" w:right="59"/>
              <w:jc w:val="left"/>
              <w:rPr>
                <w:rFonts w:ascii="宋体" w:hAnsi="宋体" w:cs="宋体" w:eastAsia="宋体" w:hint="default"/>
                <w:sz w:val="18"/>
                <w:szCs w:val="18"/>
              </w:rPr>
            </w:pPr>
            <w:r>
              <w:rPr>
                <w:rFonts w:ascii="宋体" w:hAnsi="宋体" w:cs="宋体" w:eastAsia="宋体" w:hint="default"/>
                <w:sz w:val="18"/>
                <w:szCs w:val="18"/>
              </w:rPr>
              <w:t>本期计提 减值准备</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成都卫士通信息安全技术有限公司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90,000,000.00</w:t>
            </w: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90,000,000.00</w:t>
            </w:r>
          </w:p>
        </w:tc>
        <w:tc>
          <w:tcPr>
            <w:tcW w:w="851"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成都三零豪赛网络安全技术有限公司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851"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中电科（北京）网络信息安全有限公司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2,762,650,518.93</w:t>
            </w: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2,762,650,518.93</w:t>
            </w:r>
          </w:p>
        </w:tc>
        <w:tc>
          <w:tcPr>
            <w:tcW w:w="851"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19"/>
        <w:gridCol w:w="1418"/>
        <w:gridCol w:w="1418"/>
        <w:gridCol w:w="566"/>
        <w:gridCol w:w="1418"/>
        <w:gridCol w:w="851"/>
        <w:gridCol w:w="778"/>
      </w:tblGrid>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四川卫士通信息安全平台技术有限公司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26,066,843.06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15,682,992.68</w:t>
            </w:r>
          </w:p>
        </w:tc>
        <w:tc>
          <w:tcPr>
            <w:tcW w:w="56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41,749,835.74</w:t>
            </w:r>
          </w:p>
        </w:tc>
        <w:tc>
          <w:tcPr>
            <w:tcW w:w="851"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成都三零盛安信息系统有限公司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207,762,680.90</w:t>
            </w: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207,762,680.90</w:t>
            </w:r>
          </w:p>
        </w:tc>
        <w:tc>
          <w:tcPr>
            <w:tcW w:w="851"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成都三零瑞通移动通信有限公司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162,409,345.53</w:t>
            </w: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162,409,345.53</w:t>
            </w:r>
          </w:p>
        </w:tc>
        <w:tc>
          <w:tcPr>
            <w:tcW w:w="851"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成都三零嘉微电子有限公司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70,437,182.77</w:t>
            </w: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70,437,182.77</w:t>
            </w:r>
          </w:p>
        </w:tc>
        <w:tc>
          <w:tcPr>
            <w:tcW w:w="851"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上海卫士通网络安全有限公司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2,186,129.61</w:t>
            </w: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2,186,129.61</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2,186,129.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61</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2,186,129</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.61</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中电科（天津）网络信息安全有限公司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2,275,000.00</w:t>
            </w: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2,275,000.00</w:t>
            </w:r>
          </w:p>
        </w:tc>
        <w:tc>
          <w:tcPr>
            <w:tcW w:w="851"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3,333,787,700.80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15,682,992.68</w:t>
            </w:r>
          </w:p>
        </w:tc>
        <w:tc>
          <w:tcPr>
            <w:tcW w:w="56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3,349,470,693.48</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2,186,129.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61</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2,186,129</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.61</w:t>
            </w:r>
          </w:p>
        </w:tc>
      </w:tr>
    </w:tbl>
    <w:p>
      <w:pPr>
        <w:spacing w:line="240" w:lineRule="auto" w:before="2"/>
        <w:rPr>
          <w:rFonts w:ascii="宋体" w:hAnsi="宋体" w:cs="宋体" w:eastAsia="宋体" w:hint="default"/>
          <w:sz w:val="19"/>
          <w:szCs w:val="19"/>
        </w:rPr>
      </w:pPr>
    </w:p>
    <w:p>
      <w:pPr>
        <w:pStyle w:val="Heading3"/>
        <w:spacing w:line="240" w:lineRule="auto" w:before="35"/>
        <w:ind w:right="1022"/>
        <w:jc w:val="left"/>
        <w:rPr>
          <w:b w:val="0"/>
          <w:bCs w:val="0"/>
        </w:rPr>
      </w:pPr>
      <w:bookmarkStart w:name="（2）对联营、合营企业投资" w:id="348"/>
      <w:bookmarkEnd w:id="348"/>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成都摩宝 网络科技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26,606,40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6.67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-4,343,97</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6.55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22,262,43</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0.12</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成都市数 字城市运 营管理有 限公司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155,661.5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9,155,661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.59</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26,606,40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6.67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-4,188,31</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4.96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31,418,09</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1.71</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26,606,40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6.67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-4,188,31</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4.96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31,418,09</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1.71</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1022"/>
        <w:jc w:val="left"/>
        <w:rPr>
          <w:b w:val="0"/>
          <w:bCs w:val="0"/>
        </w:rPr>
      </w:pPr>
      <w:bookmarkStart w:name="4、营业收入和营业成本" w:id="349"/>
      <w:bookmarkEnd w:id="349"/>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83"/>
        <w:gridCol w:w="1838"/>
        <w:gridCol w:w="1913"/>
        <w:gridCol w:w="1913"/>
        <w:gridCol w:w="1913"/>
      </w:tblGrid>
      <w:tr>
        <w:trPr>
          <w:trHeight w:val="206" w:hRule="exact"/>
        </w:trPr>
        <w:tc>
          <w:tcPr>
            <w:tcW w:w="1983" w:type="dxa"/>
            <w:tcBorders>
              <w:top w:val="single" w:sz="4" w:space="0" w:color="000000"/>
              <w:left w:val="single" w:sz="4" w:space="0" w:color="000000"/>
              <w:bottom w:val="nil" w:sz="6" w:space="0" w:color="auto"/>
              <w:right w:val="single" w:sz="4" w:space="0" w:color="000000"/>
            </w:tcBorders>
            <w:shd w:val="clear" w:color="auto" w:fill="D2D2D2"/>
          </w:tcPr>
          <w:p>
            <w:pPr/>
          </w:p>
        </w:tc>
        <w:tc>
          <w:tcPr>
            <w:tcW w:w="375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6" w:hRule="exact"/>
        </w:trPr>
        <w:tc>
          <w:tcPr>
            <w:tcW w:w="19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vMerge/>
            <w:tcBorders>
              <w:left w:val="single" w:sz="4" w:space="0" w:color="000000"/>
              <w:bottom w:val="single" w:sz="4" w:space="0" w:color="000000"/>
              <w:right w:val="single" w:sz="4" w:space="0" w:color="000000"/>
            </w:tcBorders>
            <w:shd w:val="clear" w:color="auto" w:fill="D2D2D2"/>
          </w:tcPr>
          <w:p>
            <w:pP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197" w:hRule="exact"/>
        </w:trPr>
        <w:tc>
          <w:tcPr>
            <w:tcW w:w="1983" w:type="dxa"/>
            <w:vMerge/>
            <w:tcBorders>
              <w:left w:val="single" w:sz="4" w:space="0" w:color="000000"/>
              <w:bottom w:val="nil" w:sz="6" w:space="0" w:color="auto"/>
              <w:right w:val="single" w:sz="4" w:space="0" w:color="000000"/>
            </w:tcBorders>
            <w:shd w:val="clear" w:color="auto" w:fill="D2D2D2"/>
          </w:tcPr>
          <w:p>
            <w:pPr/>
          </w:p>
        </w:tc>
        <w:tc>
          <w:tcPr>
            <w:tcW w:w="18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5" w:hRule="exact"/>
        </w:trPr>
        <w:tc>
          <w:tcPr>
            <w:tcW w:w="1983"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310,574,049.02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56" w:right="0"/>
              <w:jc w:val="left"/>
              <w:rPr>
                <w:rFonts w:ascii="Times New Roman" w:hAnsi="Times New Roman" w:cs="Times New Roman" w:eastAsia="Times New Roman" w:hint="default"/>
                <w:sz w:val="18"/>
                <w:szCs w:val="18"/>
              </w:rPr>
            </w:pPr>
            <w:r>
              <w:rPr>
                <w:rFonts w:ascii="Times New Roman"/>
                <w:sz w:val="18"/>
              </w:rPr>
              <w:t>196,801,228.06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499,230,096.01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56" w:right="0"/>
              <w:jc w:val="left"/>
              <w:rPr>
                <w:rFonts w:ascii="Times New Roman" w:hAnsi="Times New Roman" w:cs="Times New Roman" w:eastAsia="Times New Roman" w:hint="default"/>
                <w:sz w:val="18"/>
                <w:szCs w:val="18"/>
              </w:rPr>
            </w:pPr>
            <w:r>
              <w:rPr>
                <w:rFonts w:ascii="Times New Roman"/>
                <w:sz w:val="18"/>
              </w:rPr>
              <w:t>297,724,990.10</w:t>
            </w:r>
          </w:p>
        </w:tc>
      </w:tr>
      <w:tr>
        <w:trPr>
          <w:trHeight w:val="403"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3,211,929.81</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2,225,014.05</w:t>
            </w:r>
          </w:p>
        </w:tc>
        <w:tc>
          <w:tcPr>
            <w:tcW w:w="191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94"/>
        <w:gridCol w:w="1838"/>
        <w:gridCol w:w="1913"/>
        <w:gridCol w:w="1913"/>
        <w:gridCol w:w="1913"/>
      </w:tblGrid>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9" w:right="0"/>
              <w:jc w:val="left"/>
              <w:rPr>
                <w:rFonts w:ascii="Times New Roman" w:hAnsi="Times New Roman" w:cs="Times New Roman" w:eastAsia="Times New Roman" w:hint="default"/>
                <w:sz w:val="18"/>
                <w:szCs w:val="18"/>
              </w:rPr>
            </w:pPr>
            <w:r>
              <w:rPr>
                <w:rFonts w:ascii="Times New Roman"/>
                <w:sz w:val="18"/>
              </w:rPr>
              <w:t>313,785,978.83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6" w:right="0"/>
              <w:jc w:val="left"/>
              <w:rPr>
                <w:rFonts w:ascii="Times New Roman" w:hAnsi="Times New Roman" w:cs="Times New Roman" w:eastAsia="Times New Roman" w:hint="default"/>
                <w:sz w:val="18"/>
                <w:szCs w:val="18"/>
              </w:rPr>
            </w:pPr>
            <w:r>
              <w:rPr>
                <w:rFonts w:ascii="Times New Roman"/>
                <w:sz w:val="18"/>
              </w:rPr>
              <w:t>196,801,228.06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2" w:right="0"/>
              <w:jc w:val="left"/>
              <w:rPr>
                <w:rFonts w:ascii="Times New Roman" w:hAnsi="Times New Roman" w:cs="Times New Roman" w:eastAsia="Times New Roman" w:hint="default"/>
                <w:sz w:val="18"/>
                <w:szCs w:val="18"/>
              </w:rPr>
            </w:pPr>
            <w:r>
              <w:rPr>
                <w:rFonts w:ascii="Times New Roman"/>
                <w:sz w:val="18"/>
              </w:rPr>
              <w:t>501,455,110.06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6" w:right="0"/>
              <w:jc w:val="left"/>
              <w:rPr>
                <w:rFonts w:ascii="Times New Roman" w:hAnsi="Times New Roman" w:cs="Times New Roman" w:eastAsia="Times New Roman" w:hint="default"/>
                <w:sz w:val="18"/>
                <w:szCs w:val="18"/>
              </w:rPr>
            </w:pPr>
            <w:r>
              <w:rPr>
                <w:rFonts w:ascii="Times New Roman"/>
                <w:sz w:val="18"/>
              </w:rPr>
              <w:t>297,724,990.10</w:t>
            </w:r>
          </w:p>
        </w:tc>
      </w:tr>
    </w:tbl>
    <w:p>
      <w:pPr>
        <w:pStyle w:val="BodyText"/>
        <w:spacing w:line="240" w:lineRule="auto" w:before="51"/>
        <w:ind w:right="1022"/>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022"/>
        <w:jc w:val="left"/>
        <w:rPr>
          <w:b w:val="0"/>
          <w:bCs w:val="0"/>
        </w:rPr>
      </w:pPr>
      <w:bookmarkStart w:name="5、投资收益" w:id="350"/>
      <w:bookmarkEnd w:id="350"/>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30,000,000.00</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-4,188,314.96</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1,603,366.18</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200,000.00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200,000.00</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46,011,685.04</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31,803,366.18</w:t>
            </w:r>
          </w:p>
        </w:tc>
      </w:tr>
    </w:tbl>
    <w:p>
      <w:pPr>
        <w:spacing w:line="240" w:lineRule="auto" w:before="2"/>
        <w:rPr>
          <w:rFonts w:ascii="宋体" w:hAnsi="宋体" w:cs="宋体" w:eastAsia="宋体" w:hint="default"/>
          <w:sz w:val="18"/>
          <w:szCs w:val="18"/>
        </w:rPr>
      </w:pPr>
    </w:p>
    <w:p>
      <w:pPr>
        <w:pStyle w:val="Heading2"/>
        <w:spacing w:line="240" w:lineRule="auto" w:before="26"/>
        <w:ind w:right="1022"/>
        <w:jc w:val="left"/>
        <w:rPr>
          <w:b w:val="0"/>
          <w:bCs w:val="0"/>
        </w:rPr>
      </w:pPr>
      <w:bookmarkStart w:name="十五、补充资料" w:id="351"/>
      <w:bookmarkEnd w:id="351"/>
      <w:r>
        <w:rPr>
          <w:b w:val="0"/>
          <w:bCs w:val="0"/>
        </w:rPr>
      </w:r>
      <w:r>
        <w:rPr/>
        <w:t>十五、补充资料</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22"/>
        <w:jc w:val="left"/>
        <w:rPr>
          <w:b w:val="0"/>
          <w:bCs w:val="0"/>
        </w:rPr>
      </w:pPr>
      <w:bookmarkStart w:name="1、当期非经常性损益明细表" w:id="352"/>
      <w:bookmarkEnd w:id="352"/>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10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 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2"/>
          <w:szCs w:val="22"/>
        </w:rPr>
      </w:pPr>
    </w:p>
    <w:p>
      <w:pPr>
        <w:pStyle w:val="BodyText"/>
        <w:spacing w:line="240" w:lineRule="auto" w:before="44"/>
        <w:ind w:left="0" w:right="1140"/>
        <w:jc w:val="right"/>
      </w:pPr>
      <w:r>
        <w:rPr/>
        <w:pict>
          <v:group style="position:absolute;margin-left:191.660004pt;margin-top:3.651715pt;width:70.4pt;height:31.2pt;mso-position-horizontal-relative:page;mso-position-vertical-relative:paragraph;z-index:1792" coordorigin="3833,73" coordsize="1408,624">
            <v:shape style="position:absolute;left:3833;top:73;width:1408;height:624" coordorigin="3833,73" coordsize="1408,624" path="m3833,697l5241,697,5241,73,3833,73,3833,697xe" filled="true" fillcolor="#ffffff" stroked="false">
              <v:path arrowok="t"/>
              <v:fill type="solid"/>
            </v:shape>
            <w10:wrap type="none"/>
          </v:group>
        </w:pict>
      </w:r>
      <w:r>
        <w:rPr/>
        <w:pict>
          <v:shape style="position:absolute;margin-left:57.029999pt;margin-top:-87.868263pt;width:478.65pt;height:219.3pt;mso-position-horizontal-relative:page;mso-position-vertical-relative:paragraph;z-index:18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683"/>
                    <w:gridCol w:w="1418"/>
                    <w:gridCol w:w="5458"/>
                  </w:tblGrid>
                  <w:tr>
                    <w:trPr>
                      <w:trHeight w:val="402" w:hRule="exact"/>
                    </w:trPr>
                    <w:tc>
                      <w:tcPr>
                        <w:tcW w:w="2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54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2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1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-31,986.54</w:t>
                        </w:r>
                        <w:r>
                          <w:rPr>
                            <w:rFonts w:ascii="Times New Roman"/>
                            <w:sz w:val="18"/>
                          </w:rPr>
                        </w:r>
                      </w:p>
                    </w:tc>
                    <w:tc>
                      <w:tcPr>
                        <w:tcW w:w="5458" w:type="dxa"/>
                        <w:tcBorders>
                          <w:top w:val="single" w:sz="4" w:space="0" w:color="000000"/>
                          <w:left w:val="single" w:sz="4" w:space="0" w:color="000000"/>
                          <w:bottom w:val="single" w:sz="4" w:space="0" w:color="000000"/>
                          <w:right w:val="single" w:sz="4" w:space="0" w:color="000000"/>
                        </w:tcBorders>
                      </w:tcPr>
                      <w:p>
                        <w:pPr/>
                      </w:p>
                    </w:tc>
                  </w:tr>
                  <w:tr>
                    <w:trPr>
                      <w:trHeight w:val="318" w:hRule="exact"/>
                    </w:trPr>
                    <w:tc>
                      <w:tcPr>
                        <w:tcW w:w="2683"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8"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left="342" w:right="0"/>
                          <w:jc w:val="left"/>
                          <w:rPr>
                            <w:rFonts w:ascii="Times New Roman" w:hAnsi="Times New Roman" w:cs="Times New Roman" w:eastAsia="Times New Roman" w:hint="default"/>
                            <w:sz w:val="18"/>
                            <w:szCs w:val="18"/>
                          </w:rPr>
                        </w:pPr>
                        <w:r>
                          <w:rPr>
                            <w:rFonts w:ascii="Times New Roman"/>
                            <w:sz w:val="18"/>
                          </w:rPr>
                          <w:t>23,349,900.42</w:t>
                        </w:r>
                      </w:p>
                    </w:tc>
                    <w:tc>
                      <w:tcPr>
                        <w:tcW w:w="5458" w:type="dxa"/>
                        <w:vMerge w:val="restart"/>
                        <w:tcBorders>
                          <w:top w:val="single" w:sz="4" w:space="0" w:color="000000"/>
                          <w:left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《企业会计准则第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z w:val="18"/>
                            <w:szCs w:val="18"/>
                          </w:rPr>
                          <w:t>政府补助</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宋体" w:hAnsi="宋体" w:cs="宋体" w:eastAsia="宋体" w:hint="default"/>
                            <w:sz w:val="18"/>
                            <w:szCs w:val="18"/>
                          </w:rPr>
                          <w:t>）自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起施行，</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日存在的政府补助和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年新增的政府补助</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pacing w:val="-7"/>
                            <w:sz w:val="18"/>
                            <w:szCs w:val="18"/>
                          </w:rPr>
                          <w:t>适用该准则。根据规定，公司自</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日开始将发生的与日常</w:t>
                        </w:r>
                      </w:p>
                      <w:p>
                        <w:pPr>
                          <w:pStyle w:val="TableParagraph"/>
                          <w:spacing w:line="302" w:lineRule="auto" w:before="63"/>
                          <w:ind w:left="22" w:right="113"/>
                          <w:jc w:val="left"/>
                          <w:rPr>
                            <w:rFonts w:ascii="宋体" w:hAnsi="宋体" w:cs="宋体" w:eastAsia="宋体" w:hint="default"/>
                            <w:sz w:val="18"/>
                            <w:szCs w:val="18"/>
                          </w:rPr>
                        </w:pPr>
                        <w:r>
                          <w:rPr>
                            <w:rFonts w:ascii="宋体" w:hAnsi="宋体" w:cs="宋体" w:eastAsia="宋体" w:hint="default"/>
                            <w:sz w:val="18"/>
                            <w:szCs w:val="18"/>
                          </w:rPr>
                          <w:t>经营活动相关的政府补助计入经常性损益，而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年无需追溯调整 仍计入非经常性损益。</w:t>
                        </w:r>
                      </w:p>
                    </w:tc>
                  </w:tr>
                  <w:tr>
                    <w:trPr>
                      <w:trHeight w:val="1015" w:hRule="exact"/>
                    </w:trPr>
                    <w:tc>
                      <w:tcPr>
                        <w:tcW w:w="268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11" w:right="-39"/>
                          <w:jc w:val="both"/>
                          <w:rPr>
                            <w:rFonts w:ascii="宋体" w:hAnsi="宋体" w:cs="宋体" w:eastAsia="宋体" w:hint="default"/>
                            <w:sz w:val="18"/>
                            <w:szCs w:val="18"/>
                          </w:rPr>
                        </w:pPr>
                        <w:r>
                          <w:rPr>
                            <w:rFonts w:ascii="宋体" w:hAnsi="宋体" w:cs="宋体" w:eastAsia="宋体" w:hint="default"/>
                            <w:spacing w:val="-5"/>
                            <w:sz w:val="18"/>
                            <w:szCs w:val="18"/>
                          </w:rPr>
                          <w:t>计入当期损益的政府补助（与企业</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5"/>
                            <w:sz w:val="18"/>
                            <w:szCs w:val="18"/>
                          </w:rPr>
                          <w:t>业务密切相关，按照国家统一标准</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定额或定量享受的政府补助除外）</w:t>
                        </w:r>
                      </w:p>
                    </w:tc>
                    <w:tc>
                      <w:tcPr>
                        <w:tcW w:w="1418" w:type="dxa"/>
                        <w:vMerge/>
                        <w:tcBorders>
                          <w:left w:val="single" w:sz="9" w:space="0" w:color="D2D2D2"/>
                          <w:right w:val="single" w:sz="4" w:space="0" w:color="000000"/>
                        </w:tcBorders>
                      </w:tcPr>
                      <w:p>
                        <w:pPr/>
                      </w:p>
                    </w:tc>
                    <w:tc>
                      <w:tcPr>
                        <w:tcW w:w="5458" w:type="dxa"/>
                        <w:vMerge/>
                        <w:tcBorders>
                          <w:left w:val="single" w:sz="4" w:space="0" w:color="000000"/>
                          <w:right w:val="single" w:sz="4" w:space="0" w:color="000000"/>
                        </w:tcBorders>
                      </w:tcPr>
                      <w:p>
                        <w:pPr/>
                      </w:p>
                    </w:tc>
                  </w:tr>
                  <w:tr>
                    <w:trPr>
                      <w:trHeight w:val="317" w:hRule="exact"/>
                    </w:trPr>
                    <w:tc>
                      <w:tcPr>
                        <w:tcW w:w="2683"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8" w:type="dxa"/>
                        <w:vMerge/>
                        <w:tcBorders>
                          <w:left w:val="single" w:sz="9" w:space="0" w:color="D2D2D2"/>
                          <w:bottom w:val="single" w:sz="4" w:space="0" w:color="000000"/>
                          <w:right w:val="single" w:sz="4" w:space="0" w:color="000000"/>
                        </w:tcBorders>
                      </w:tcPr>
                      <w:p>
                        <w:pPr/>
                      </w:p>
                    </w:tc>
                    <w:tc>
                      <w:tcPr>
                        <w:tcW w:w="5458" w:type="dxa"/>
                        <w:vMerge/>
                        <w:tcBorders>
                          <w:left w:val="single" w:sz="4" w:space="0" w:color="000000"/>
                          <w:bottom w:val="single" w:sz="4" w:space="0" w:color="000000"/>
                          <w:right w:val="single" w:sz="4" w:space="0" w:color="000000"/>
                        </w:tcBorders>
                      </w:tcPr>
                      <w:p>
                        <w:pPr/>
                      </w:p>
                    </w:tc>
                  </w:tr>
                  <w:tr>
                    <w:trPr>
                      <w:trHeight w:val="714" w:hRule="exact"/>
                    </w:trPr>
                    <w:tc>
                      <w:tcPr>
                        <w:tcW w:w="2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41"/>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 入和支出</w:t>
                        </w:r>
                      </w:p>
                    </w:tc>
                    <w:tc>
                      <w:tcPr>
                        <w:tcW w:w="1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-253,690.98</w:t>
                        </w:r>
                        <w:r>
                          <w:rPr>
                            <w:rFonts w:ascii="Times New Roman"/>
                            <w:sz w:val="18"/>
                          </w:rPr>
                        </w:r>
                      </w:p>
                    </w:tc>
                    <w:tc>
                      <w:tcPr>
                        <w:tcW w:w="545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3,446,246.51</w:t>
                        </w:r>
                      </w:p>
                    </w:tc>
                    <w:tc>
                      <w:tcPr>
                        <w:tcW w:w="545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1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230,060.44</w:t>
                        </w:r>
                      </w:p>
                    </w:tc>
                    <w:tc>
                      <w:tcPr>
                        <w:tcW w:w="54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18" w:type="dxa"/>
                        <w:tcBorders>
                          <w:top w:val="single" w:sz="4" w:space="0" w:color="000000"/>
                          <w:left w:val="single" w:sz="13" w:space="0" w:color="D2D2D2"/>
                          <w:bottom w:val="single" w:sz="4" w:space="0" w:color="000000"/>
                          <w:right w:val="single" w:sz="9" w:space="0" w:color="D2D2D2"/>
                        </w:tcBorders>
                      </w:tcPr>
                      <w:p>
                        <w:pPr>
                          <w:pStyle w:val="TableParagraph"/>
                          <w:spacing w:line="240" w:lineRule="auto" w:before="92"/>
                          <w:ind w:right="15"/>
                          <w:jc w:val="right"/>
                          <w:rPr>
                            <w:rFonts w:ascii="Times New Roman" w:hAnsi="Times New Roman" w:cs="Times New Roman" w:eastAsia="Times New Roman" w:hint="default"/>
                            <w:sz w:val="18"/>
                            <w:szCs w:val="18"/>
                          </w:rPr>
                        </w:pPr>
                        <w:r>
                          <w:rPr>
                            <w:rFonts w:ascii="Times New Roman"/>
                            <w:spacing w:val="-1"/>
                            <w:sz w:val="18"/>
                          </w:rPr>
                          <w:t>19,387,915.95</w:t>
                        </w:r>
                      </w:p>
                    </w:tc>
                    <w:tc>
                      <w:tcPr>
                        <w:tcW w:w="54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9"/>
          <w:szCs w:val="19"/>
        </w:rPr>
      </w:pPr>
    </w:p>
    <w:p>
      <w:pPr>
        <w:pStyle w:val="BodyText"/>
        <w:spacing w:line="240" w:lineRule="auto" w:before="44"/>
        <w:ind w:right="1022"/>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1"/>
        <w:ind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69"/>
        <w:ind w:right="10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1022"/>
        <w:jc w:val="left"/>
        <w:rPr>
          <w:b w:val="0"/>
          <w:bCs w:val="0"/>
        </w:rPr>
      </w:pPr>
      <w:bookmarkStart w:name="2、净资产收益率及每股收益" w:id="353"/>
      <w:bookmarkEnd w:id="353"/>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662"/>
        <w:gridCol w:w="3081"/>
        <w:gridCol w:w="1913"/>
        <w:gridCol w:w="1915"/>
      </w:tblGrid>
      <w:tr>
        <w:trPr>
          <w:trHeight w:val="402" w:hRule="exact"/>
        </w:trPr>
        <w:tc>
          <w:tcPr>
            <w:tcW w:w="26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876"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402" w:hRule="exact"/>
        </w:trPr>
        <w:tc>
          <w:tcPr>
            <w:tcW w:w="2662" w:type="dxa"/>
            <w:vMerge/>
            <w:tcBorders>
              <w:left w:val="single" w:sz="4" w:space="0" w:color="000000"/>
              <w:bottom w:val="single" w:sz="4" w:space="0" w:color="000000"/>
              <w:right w:val="single" w:sz="4" w:space="0" w:color="000000"/>
            </w:tcBorders>
            <w:shd w:val="clear" w:color="auto" w:fill="D2D2D2"/>
          </w:tcPr>
          <w:p>
            <w:pPr/>
          </w:p>
        </w:tc>
        <w:tc>
          <w:tcPr>
            <w:tcW w:w="3081" w:type="dxa"/>
            <w:vMerge/>
            <w:tcBorders>
              <w:left w:val="single" w:sz="4" w:space="0" w:color="000000"/>
              <w:bottom w:val="single" w:sz="4" w:space="0" w:color="000000"/>
              <w:right w:val="single" w:sz="4" w:space="0" w:color="000000"/>
            </w:tcBorders>
            <w:shd w:val="clear" w:color="auto" w:fill="D2D2D2"/>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2662"/>
        <w:gridCol w:w="3081"/>
        <w:gridCol w:w="1913"/>
        <w:gridCol w:w="1913"/>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0.1434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0.1434</w:t>
            </w:r>
          </w:p>
        </w:tc>
      </w:tr>
      <w:tr>
        <w:trPr>
          <w:trHeight w:val="714"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2.33%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0.1203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0.1203</w:t>
            </w:r>
          </w:p>
        </w:tc>
      </w:tr>
    </w:tbl>
    <w:p>
      <w:pPr>
        <w:spacing w:line="240" w:lineRule="auto" w:before="3"/>
        <w:rPr>
          <w:rFonts w:ascii="宋体" w:hAnsi="宋体" w:cs="宋体" w:eastAsia="宋体" w:hint="default"/>
          <w:b/>
          <w:bCs/>
          <w:sz w:val="19"/>
          <w:szCs w:val="19"/>
        </w:rPr>
      </w:pPr>
    </w:p>
    <w:p>
      <w:pPr>
        <w:pStyle w:val="Heading3"/>
        <w:spacing w:line="240" w:lineRule="auto" w:before="35"/>
        <w:ind w:right="1022"/>
        <w:jc w:val="left"/>
        <w:rPr>
          <w:b w:val="0"/>
          <w:bCs w:val="0"/>
        </w:rPr>
      </w:pPr>
      <w:bookmarkStart w:name="3、境内外会计准则下会计数据差异" w:id="354"/>
      <w:bookmarkEnd w:id="354"/>
      <w:r>
        <w:rPr>
          <w:b w:val="0"/>
          <w:bCs w:val="0"/>
        </w:rPr>
      </w:r>
      <w:r>
        <w:rPr>
          <w:rFonts w:ascii="Times New Roman" w:hAnsi="Times New Roman" w:cs="Times New Roman" w:eastAsia="Times New Roman" w:hint="default"/>
        </w:rPr>
        <w:t>3</w:t>
      </w:r>
      <w:r>
        <w:rPr/>
        <w:t>、境内外会计准则下会计数据差异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22"/>
        <w:jc w:val="left"/>
        <w:rPr>
          <w:b w:val="0"/>
          <w:bCs w:val="0"/>
        </w:rPr>
      </w:pPr>
      <w:bookmarkStart w:name="（1）同时按照国际会计准则与按中国会计准则披露的财务报告中净利润和净资产差异情况" w:id="355"/>
      <w:bookmarkEnd w:id="355"/>
      <w:r>
        <w:rPr>
          <w:b w:val="0"/>
          <w:bCs w:val="0"/>
        </w:rPr>
      </w: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1022"/>
        <w:jc w:val="left"/>
        <w:rPr>
          <w:b w:val="0"/>
          <w:bCs w:val="0"/>
        </w:rPr>
      </w:pPr>
      <w:bookmarkStart w:name="（2）同时按照境外会计准则与按中国会计准则披露的财务报告中净利润和净资产差异情况" w:id="356"/>
      <w:bookmarkEnd w:id="356"/>
      <w:r>
        <w:rPr>
          <w:b w:val="0"/>
          <w:bCs w:val="0"/>
        </w:rPr>
      </w: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0"/>
          <w:szCs w:val="20"/>
        </w:rPr>
      </w:pPr>
    </w:p>
    <w:p>
      <w:pPr>
        <w:pStyle w:val="Heading1"/>
        <w:spacing w:line="240" w:lineRule="auto"/>
        <w:ind w:left="3286" w:right="1022"/>
        <w:jc w:val="left"/>
        <w:rPr>
          <w:b w:val="0"/>
          <w:bCs w:val="0"/>
        </w:rPr>
      </w:pPr>
      <w:bookmarkStart w:name="第十二节 备查文件目录" w:id="357"/>
      <w:bookmarkEnd w:id="357"/>
      <w:r>
        <w:rPr>
          <w:b w:val="0"/>
          <w:bCs w:val="0"/>
        </w:rPr>
      </w:r>
      <w:bookmarkStart w:name="_bookmark10" w:id="358"/>
      <w:bookmarkEnd w:id="358"/>
      <w:r>
        <w:rPr>
          <w:b w:val="0"/>
          <w:bCs w:val="0"/>
        </w:rPr>
      </w:r>
      <w:r>
        <w:rPr/>
        <w:t>第十二节</w:t>
      </w:r>
      <w:r>
        <w:rPr>
          <w:spacing w:val="-8"/>
        </w:rPr>
        <w:t> </w:t>
      </w:r>
      <w:r>
        <w:rPr/>
        <w:t>备查文件目录</w:t>
      </w:r>
      <w:r>
        <w:rPr>
          <w:b w:val="0"/>
          <w:bCs w:val="0"/>
        </w:rPr>
      </w:r>
    </w:p>
    <w:p>
      <w:pPr>
        <w:spacing w:line="240" w:lineRule="auto" w:before="6"/>
        <w:rPr>
          <w:rFonts w:ascii="宋体" w:hAnsi="宋体" w:cs="宋体" w:eastAsia="宋体" w:hint="default"/>
          <w:b/>
          <w:bCs/>
          <w:sz w:val="42"/>
          <w:szCs w:val="42"/>
        </w:rPr>
      </w:pPr>
    </w:p>
    <w:p>
      <w:pPr>
        <w:pStyle w:val="BodyText"/>
        <w:spacing w:line="312" w:lineRule="auto"/>
        <w:ind w:right="3552"/>
        <w:jc w:val="left"/>
      </w:pPr>
      <w:r>
        <w:rPr/>
        <w:t>一、载有公司法定代表人签名并盖章的公司 </w:t>
      </w:r>
      <w:r>
        <w:rPr>
          <w:rFonts w:ascii="Times New Roman" w:hAnsi="Times New Roman" w:cs="Times New Roman" w:eastAsia="Times New Roman" w:hint="default"/>
        </w:rPr>
        <w:t>2018</w:t>
      </w:r>
      <w:r>
        <w:rPr>
          <w:rFonts w:ascii="Times New Roman" w:hAnsi="Times New Roman" w:cs="Times New Roman" w:eastAsia="Times New Roman" w:hint="default"/>
          <w:spacing w:val="9"/>
        </w:rPr>
        <w:t> </w:t>
      </w:r>
      <w:r>
        <w:rPr/>
        <w:t>年年度报告文本原件。 二、载有公司法定代表人、主管会计工作负责人及会计机构负责人签名并盖章的财务报表。 三、载有会计师事务所盖章、注册会计师签名并盖章的审计报告原件。 四、报告期内在中国证监会指定网站上公开披露过的所有公司文件的正本及公告的原稿。</w:t>
      </w:r>
    </w:p>
    <w:sectPr>
      <w:pgSz w:w="11910" w:h="16840"/>
      <w:pgMar w:header="747" w:footer="979" w:top="106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微软雅黑">
    <w:altName w:val="微软雅黑"/>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03696" type="#_x0000_t75" stroked="false">
          <v:imagedata r:id="rId1" o:title=""/>
        </v:shape>
      </w:pict>
    </w:r>
    <w:r>
      <w:rPr/>
      <w:pict>
        <v:shape style="position:absolute;margin-left:533.179993pt;margin-top:795.517944pt;width:6.5pt;height:11pt;mso-position-horizontal-relative:page;mso-position-vertical-relative:page;z-index:-1003672"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03648" type="#_x0000_t75" stroked="false">
          <v:imagedata r:id="rId1" o:title=""/>
        </v:shape>
      </w:pict>
    </w:r>
    <w:r>
      <w:rPr/>
      <w:pict>
        <v:shape style="position:absolute;margin-left:527.679993pt;margin-top:781.957947pt;width:13pt;height:11pt;mso-position-horizontal-relative:page;mso-position-vertical-relative:page;z-index:-100362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03600" type="#_x0000_t75" stroked="false">
          <v:imagedata r:id="rId1" o:title=""/>
        </v:shape>
      </w:pict>
    </w:r>
    <w:r>
      <w:rPr/>
      <w:pict>
        <v:shape style="position:absolute;margin-left:527.679993pt;margin-top:781.957947pt;width:13pt;height:11pt;mso-position-horizontal-relative:page;mso-position-vertical-relative:page;z-index:-100357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97</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03552" type="#_x0000_t75" stroked="false">
          <v:imagedata r:id="rId1" o:title=""/>
        </v:shape>
      </w:pict>
    </w:r>
    <w:r>
      <w:rPr/>
      <w:pict>
        <v:shape style="position:absolute;margin-left:524.179993pt;margin-top:781.957947pt;width:15.5pt;height:11pt;mso-position-horizontal-relative:page;mso-position-vertical-relative:page;z-index:-1003528"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03504" type="#_x0000_t75" stroked="false">
          <v:imagedata r:id="rId1" o:title=""/>
        </v:shape>
      </w:pict>
    </w:r>
    <w:r>
      <w:rPr/>
      <w:pict>
        <v:shape style="position:absolute;margin-left:523.179993pt;margin-top:781.957947pt;width:17.5pt;height:11pt;mso-position-horizontal-relative:page;mso-position-vertical-relative:page;z-index:-100348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17.160004pt;margin-top:36.325607pt;width:222.55pt;height:11.5pt;mso-position-horizontal-relative:page;mso-position-vertical-relative:page;z-index:-1003720" type="#_x0000_t202" filled="false" stroked="false">
          <v:textbox inset="0,0,0,0">
            <w:txbxContent>
              <w:p>
                <w:pPr>
                  <w:pStyle w:val="BodyText"/>
                  <w:spacing w:line="214" w:lineRule="exact"/>
                  <w:ind w:left="20" w:right="0"/>
                  <w:jc w:val="left"/>
                </w:pPr>
                <w:r>
                  <w:rPr/>
                  <w:t>成都卫士通信息产业股份有限公司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9"/>
      <w:ind w:left="154"/>
    </w:pPr>
    <w:rPr>
      <w:rFonts w:ascii="宋体" w:hAnsi="宋体" w:eastAsia="宋体"/>
      <w:b/>
      <w:bCs/>
      <w:sz w:val="24"/>
      <w:szCs w:val="24"/>
    </w:rPr>
  </w:style>
  <w:style w:styleId="BodyText" w:type="paragraph">
    <w:name w:val="Body Text"/>
    <w:basedOn w:val="Normal"/>
    <w:uiPriority w:val="1"/>
    <w:qFormat/>
    <w:pPr>
      <w:ind w:left="154"/>
    </w:pPr>
    <w:rPr>
      <w:rFonts w:ascii="宋体" w:hAnsi="宋体" w:eastAsia="宋体"/>
      <w:sz w:val="18"/>
      <w:szCs w:val="18"/>
    </w:rPr>
  </w:style>
  <w:style w:styleId="Heading1" w:type="paragraph">
    <w:name w:val="Heading 1"/>
    <w:basedOn w:val="Normal"/>
    <w:uiPriority w:val="1"/>
    <w:qFormat/>
    <w:pPr>
      <w:spacing w:before="1"/>
      <w:ind w:left="2243"/>
      <w:outlineLvl w:val="1"/>
    </w:pPr>
    <w:rPr>
      <w:rFonts w:ascii="宋体" w:hAnsi="宋体" w:eastAsia="宋体"/>
      <w:b/>
      <w:bCs/>
      <w:sz w:val="32"/>
      <w:szCs w:val="32"/>
    </w:rPr>
  </w:style>
  <w:style w:styleId="Heading2" w:type="paragraph">
    <w:name w:val="Heading 2"/>
    <w:basedOn w:val="Normal"/>
    <w:uiPriority w:val="1"/>
    <w:qFormat/>
    <w:pPr>
      <w:ind w:left="154"/>
      <w:outlineLvl w:val="2"/>
    </w:pPr>
    <w:rPr>
      <w:rFonts w:ascii="宋体" w:hAnsi="宋体" w:eastAsia="宋体"/>
      <w:b/>
      <w:bCs/>
      <w:sz w:val="24"/>
      <w:szCs w:val="24"/>
    </w:rPr>
  </w:style>
  <w:style w:styleId="Heading3" w:type="paragraph">
    <w:name w:val="Heading 3"/>
    <w:basedOn w:val="Normal"/>
    <w:uiPriority w:val="1"/>
    <w:qFormat/>
    <w:pPr>
      <w:ind w:left="154"/>
      <w:outlineLvl w:val="3"/>
    </w:pPr>
    <w:rPr>
      <w:rFonts w:ascii="宋体" w:hAnsi="宋体" w:eastAsia="宋体"/>
      <w:b/>
      <w:bCs/>
      <w:sz w:val="21"/>
      <w:szCs w:val="21"/>
    </w:rPr>
  </w:style>
  <w:style w:styleId="Heading4" w:type="paragraph">
    <w:name w:val="Heading 4"/>
    <w:basedOn w:val="Normal"/>
    <w:uiPriority w:val="1"/>
    <w:qFormat/>
    <w:pPr>
      <w:spacing w:before="7"/>
      <w:ind w:left="154"/>
      <w:outlineLvl w:val="4"/>
    </w:pPr>
    <w:rPr>
      <w:rFonts w:ascii="宋体" w:hAnsi="宋体" w:eastAsia="宋体"/>
      <w:sz w:val="21"/>
      <w:szCs w:val="21"/>
    </w:rPr>
  </w:style>
  <w:style w:styleId="Heading5" w:type="paragraph">
    <w:name w:val="Heading 5"/>
    <w:basedOn w:val="Normal"/>
    <w:uiPriority w:val="1"/>
    <w:qFormat/>
    <w:pPr>
      <w:ind w:left="508"/>
      <w:outlineLvl w:val="5"/>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hyperlink" Target="http://www.westone.com.cn/" TargetMode="External"/><Relationship Id="rId9" Type="http://schemas.openxmlformats.org/officeDocument/2006/relationships/hyperlink" Target="mailto:westone_dm@163.com" TargetMode="External"/><Relationship Id="rId10" Type="http://schemas.openxmlformats.org/officeDocument/2006/relationships/hyperlink" Target="mailto:westone_zd@163.com" TargetMode="External"/><Relationship Id="rId11" Type="http://schemas.openxmlformats.org/officeDocument/2006/relationships/hyperlink" Target="http://www.cninfo.com.cn/" TargetMode="External"/><Relationship Id="rId12" Type="http://schemas.openxmlformats.org/officeDocument/2006/relationships/image" Target="media/image2.jpeg"/><Relationship Id="rId13" Type="http://schemas.openxmlformats.org/officeDocument/2006/relationships/footer" Target="footer3.xml"/><Relationship Id="rId14" Type="http://schemas.openxmlformats.org/officeDocument/2006/relationships/footer" Target="footer4.xml"/><Relationship Id="rId15" Type="http://schemas.openxmlformats.org/officeDocument/2006/relationships/footer" Target="footer5.xml"/><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png"/></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成都卫士通信息产业股份有限公司</dc:creator>
  <dc:title>成都卫士通信息产业股份有限公司2018年年度报告全文</dc:title>
  <dcterms:created xsi:type="dcterms:W3CDTF">2020-05-05T03:27:54Z</dcterms:created>
  <dcterms:modified xsi:type="dcterms:W3CDTF">2020-05-05T03:27:54Z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2019-04-26T00:00:00Z</vt:filetime>
  </property>
  <property fmtid="{D5CDD505-2E9C-101B-9397-08002B2CF9AE}" pid="3" name="Creator">
    <vt:lpwstr>Microsoft® Office Word 2007</vt:lpwstr>
  </property>
  <property fmtid="{D5CDD505-2E9C-101B-9397-08002B2CF9AE}" pid="4" name="LastSaved">
    <vt:filetime>2020-05-04T00:00:00Z</vt:filetime>
  </property>
</Properties>
</file>