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855"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6"/>
          <w:sz w:val="20"/>
          <w:szCs w:val="20"/>
        </w:rPr>
        <w:drawing>
          <wp:inline distT="0" distB="0" distL="0" distR="0">
            <wp:extent cx="1411350" cy="54292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11350" cy="542925"/>
                    </a:xfrm>
                    <a:prstGeom prst="rect">
                      <a:avLst/>
                    </a:prstGeom>
                  </pic:spPr>
                </pic:pic>
              </a:graphicData>
            </a:graphic>
          </wp:inline>
        </w:drawing>
      </w:r>
      <w:r>
        <w:rPr>
          <w:rFonts w:ascii="Times New Roman" w:hAnsi="Times New Roman" w:cs="Times New Roman" w:eastAsia="Times New Roman" w:hint="default"/>
          <w:position w:val="-16"/>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2241" w:right="3224" w:firstLine="0"/>
        <w:jc w:val="center"/>
        <w:rPr>
          <w:rFonts w:ascii="宋体" w:hAnsi="宋体" w:cs="宋体" w:eastAsia="宋体" w:hint="default"/>
          <w:sz w:val="36"/>
          <w:szCs w:val="36"/>
        </w:rPr>
      </w:pPr>
      <w:r>
        <w:rPr>
          <w:rFonts w:ascii="宋体" w:hAnsi="宋体" w:cs="宋体" w:eastAsia="宋体" w:hint="default"/>
          <w:b/>
          <w:bCs/>
          <w:sz w:val="36"/>
          <w:szCs w:val="36"/>
        </w:rPr>
        <w:t>成都卫士通信息产业股份有限公司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241" w:right="322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6"/>
        <w:rPr>
          <w:rFonts w:ascii="宋体" w:hAnsi="宋体" w:cs="宋体" w:eastAsia="宋体" w:hint="default"/>
          <w:b/>
          <w:bCs/>
          <w:sz w:val="48"/>
          <w:szCs w:val="48"/>
        </w:rPr>
      </w:pPr>
    </w:p>
    <w:p>
      <w:pPr>
        <w:spacing w:before="0"/>
        <w:ind w:left="2241" w:right="321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1133"/>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6"/>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公司负责人卿昱、主管会计工作负责人刘志惠及会计机构负责人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周天文声明：保证年度报告中财务报告的真实、准确、完整。</w:t>
      </w:r>
      <w:r>
        <w:rPr>
          <w:rFonts w:ascii="宋体" w:hAnsi="宋体" w:cs="宋体" w:eastAsia="宋体" w:hint="default"/>
          <w:sz w:val="28"/>
          <w:szCs w:val="28"/>
        </w:rPr>
      </w:r>
    </w:p>
    <w:p>
      <w:pPr>
        <w:spacing w:line="472" w:lineRule="auto" w:before="148"/>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大华会计师事务所（特殊普通合伙）为本公司出具了带强调事项段的无保</w:t>
      </w:r>
      <w:r>
        <w:rPr>
          <w:rFonts w:ascii="宋体" w:hAnsi="宋体" w:cs="宋体" w:eastAsia="宋体" w:hint="default"/>
          <w:spacing w:val="2"/>
          <w:sz w:val="28"/>
          <w:szCs w:val="28"/>
        </w:rPr>
      </w:r>
    </w:p>
    <w:p>
      <w:pPr>
        <w:spacing w:line="408" w:lineRule="auto" w:before="0"/>
        <w:ind w:left="152" w:right="1129" w:firstLine="0"/>
        <w:jc w:val="left"/>
        <w:rPr>
          <w:rFonts w:ascii="宋体" w:hAnsi="宋体" w:cs="宋体" w:eastAsia="宋体" w:hint="default"/>
          <w:sz w:val="28"/>
          <w:szCs w:val="28"/>
        </w:rPr>
      </w:pPr>
      <w:r>
        <w:rPr>
          <w:rFonts w:ascii="宋体" w:hAnsi="宋体" w:cs="宋体" w:eastAsia="宋体" w:hint="default"/>
          <w:b/>
          <w:bCs/>
          <w:spacing w:val="2"/>
          <w:sz w:val="28"/>
          <w:szCs w:val="28"/>
        </w:rPr>
        <w:t>留意见审计报告，本公司董事会、监事会对相关事项已有详细说明，请投资者</w:t>
      </w:r>
      <w:r>
        <w:rPr>
          <w:rFonts w:ascii="宋体" w:hAnsi="宋体" w:cs="宋体" w:eastAsia="宋体" w:hint="default"/>
          <w:b/>
          <w:bCs/>
          <w:spacing w:val="2"/>
          <w:w w:val="99"/>
          <w:sz w:val="28"/>
          <w:szCs w:val="28"/>
        </w:rPr>
        <w:t> </w:t>
      </w:r>
      <w:r>
        <w:rPr>
          <w:rFonts w:ascii="宋体" w:hAnsi="宋体" w:cs="宋体" w:eastAsia="宋体" w:hint="default"/>
          <w:b/>
          <w:bCs/>
          <w:sz w:val="28"/>
          <w:szCs w:val="28"/>
        </w:rPr>
        <w:t>注意阅读。</w:t>
      </w:r>
      <w:r>
        <w:rPr>
          <w:rFonts w:ascii="宋体" w:hAnsi="宋体" w:cs="宋体" w:eastAsia="宋体" w:hint="default"/>
          <w:sz w:val="28"/>
          <w:szCs w:val="28"/>
        </w:rPr>
      </w:r>
    </w:p>
    <w:p>
      <w:pPr>
        <w:spacing w:line="408" w:lineRule="auto" w:before="162"/>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年度报告中所设定的经营计划和经营目标，为公司的内部管理控制指标，</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不代表公司盈利预测，能否实现取决于宏观经济环境、市场情况、行业发展状</w:t>
      </w:r>
      <w:r>
        <w:rPr>
          <w:rFonts w:ascii="宋体" w:hAnsi="宋体" w:cs="宋体" w:eastAsia="宋体" w:hint="default"/>
          <w:b/>
          <w:bCs/>
          <w:w w:val="99"/>
          <w:sz w:val="28"/>
          <w:szCs w:val="28"/>
        </w:rPr>
        <w:t> </w:t>
      </w:r>
      <w:r>
        <w:rPr>
          <w:rFonts w:ascii="宋体" w:hAnsi="宋体" w:cs="宋体" w:eastAsia="宋体" w:hint="default"/>
          <w:b/>
          <w:bCs/>
          <w:spacing w:val="2"/>
          <w:sz w:val="28"/>
          <w:szCs w:val="28"/>
        </w:rPr>
        <w:t>况与公司管理团队的努力等多种因素，存在很大的不确定性，请投资者注意投</w:t>
      </w:r>
      <w:r>
        <w:rPr>
          <w:rFonts w:ascii="宋体" w:hAnsi="宋体" w:cs="宋体" w:eastAsia="宋体" w:hint="default"/>
          <w:b/>
          <w:bCs/>
          <w:w w:val="99"/>
          <w:sz w:val="28"/>
          <w:szCs w:val="28"/>
        </w:rPr>
        <w:t> </w:t>
      </w:r>
      <w:r>
        <w:rPr>
          <w:rFonts w:ascii="宋体" w:hAnsi="宋体" w:cs="宋体" w:eastAsia="宋体" w:hint="default"/>
          <w:b/>
          <w:bCs/>
          <w:sz w:val="28"/>
          <w:szCs w:val="28"/>
        </w:rPr>
        <w:t>资风险。</w:t>
      </w:r>
      <w:r>
        <w:rPr>
          <w:rFonts w:ascii="宋体" w:hAnsi="宋体" w:cs="宋体" w:eastAsia="宋体" w:hint="default"/>
          <w:sz w:val="28"/>
          <w:szCs w:val="28"/>
        </w:rPr>
      </w:r>
    </w:p>
    <w:p>
      <w:pPr>
        <w:spacing w:line="386" w:lineRule="auto" w:before="162"/>
        <w:ind w:left="152" w:right="1128" w:firstLine="562"/>
        <w:jc w:val="both"/>
        <w:rPr>
          <w:rFonts w:ascii="宋体" w:hAnsi="宋体" w:cs="宋体" w:eastAsia="宋体" w:hint="default"/>
          <w:sz w:val="28"/>
          <w:szCs w:val="28"/>
        </w:rPr>
      </w:pPr>
      <w:r>
        <w:rPr>
          <w:rFonts w:ascii="宋体" w:hAnsi="宋体" w:cs="宋体" w:eastAsia="宋体" w:hint="default"/>
          <w:b/>
          <w:bCs/>
          <w:spacing w:val="6"/>
          <w:sz w:val="28"/>
          <w:szCs w:val="28"/>
        </w:rPr>
        <w:t>公司已在本报告</w:t>
      </w:r>
      <w:r>
        <w:rPr>
          <w:rFonts w:ascii="Times New Roman" w:hAnsi="Times New Roman" w:cs="Times New Roman" w:eastAsia="Times New Roman" w:hint="default"/>
          <w:b/>
          <w:bCs/>
          <w:spacing w:val="6"/>
          <w:sz w:val="28"/>
          <w:szCs w:val="28"/>
        </w:rPr>
        <w:t>“</w:t>
      </w:r>
      <w:r>
        <w:rPr>
          <w:rFonts w:ascii="宋体" w:hAnsi="宋体" w:cs="宋体" w:eastAsia="宋体" w:hint="default"/>
          <w:b/>
          <w:bCs/>
          <w:spacing w:val="6"/>
          <w:sz w:val="28"/>
          <w:szCs w:val="28"/>
        </w:rPr>
        <w:t>第四节</w:t>
      </w:r>
      <w:r>
        <w:rPr>
          <w:rFonts w:ascii="宋体" w:hAnsi="宋体" w:cs="宋体" w:eastAsia="宋体" w:hint="default"/>
          <w:b/>
          <w:bCs/>
          <w:spacing w:val="27"/>
          <w:sz w:val="28"/>
          <w:szCs w:val="28"/>
        </w:rPr>
        <w:t> </w:t>
      </w:r>
      <w:r>
        <w:rPr>
          <w:rFonts w:ascii="宋体" w:hAnsi="宋体" w:cs="宋体" w:eastAsia="宋体" w:hint="default"/>
          <w:b/>
          <w:bCs/>
          <w:spacing w:val="6"/>
          <w:sz w:val="28"/>
          <w:szCs w:val="28"/>
        </w:rPr>
        <w:t>经营情况讨论与分析</w:t>
      </w:r>
      <w:r>
        <w:rPr>
          <w:rFonts w:ascii="Times New Roman" w:hAnsi="Times New Roman" w:cs="Times New Roman" w:eastAsia="Times New Roman" w:hint="default"/>
          <w:b/>
          <w:bCs/>
          <w:spacing w:val="6"/>
          <w:sz w:val="28"/>
          <w:szCs w:val="28"/>
        </w:rPr>
        <w:t>”</w:t>
      </w:r>
      <w:r>
        <w:rPr>
          <w:rFonts w:ascii="宋体" w:hAnsi="宋体" w:cs="宋体" w:eastAsia="宋体" w:hint="default"/>
          <w:b/>
          <w:bCs/>
          <w:spacing w:val="6"/>
          <w:sz w:val="28"/>
          <w:szCs w:val="28"/>
        </w:rPr>
        <w:t>中详细描述公司经营中可</w:t>
      </w:r>
      <w:r>
        <w:rPr>
          <w:rFonts w:ascii="宋体" w:hAnsi="宋体" w:cs="宋体" w:eastAsia="宋体" w:hint="default"/>
          <w:b/>
          <w:bCs/>
          <w:spacing w:val="7"/>
          <w:w w:val="99"/>
          <w:sz w:val="28"/>
          <w:szCs w:val="28"/>
        </w:rPr>
        <w:t> </w:t>
      </w:r>
      <w:r>
        <w:rPr>
          <w:rFonts w:ascii="宋体" w:hAnsi="宋体" w:cs="宋体" w:eastAsia="宋体" w:hint="default"/>
          <w:b/>
          <w:bCs/>
          <w:sz w:val="28"/>
          <w:szCs w:val="28"/>
        </w:rPr>
        <w:t>能存在的风险和应对措施，敬请投资者关注相关内容。</w:t>
      </w:r>
      <w:r>
        <w:rPr>
          <w:rFonts w:ascii="宋体" w:hAnsi="宋体" w:cs="宋体" w:eastAsia="宋体" w:hint="default"/>
          <w:sz w:val="28"/>
          <w:szCs w:val="28"/>
        </w:rPr>
      </w:r>
    </w:p>
    <w:p>
      <w:pPr>
        <w:spacing w:before="185"/>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838,336,028</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line="386" w:lineRule="auto" w:before="236"/>
        <w:ind w:left="152" w:right="1125" w:firstLine="0"/>
        <w:jc w:val="left"/>
        <w:rPr>
          <w:rFonts w:ascii="宋体" w:hAnsi="宋体" w:cs="宋体" w:eastAsia="宋体" w:hint="default"/>
          <w:sz w:val="28"/>
          <w:szCs w:val="28"/>
        </w:rPr>
      </w:pPr>
      <w:r>
        <w:rPr>
          <w:rFonts w:ascii="宋体" w:hAnsi="宋体" w:cs="宋体" w:eastAsia="宋体" w:hint="default"/>
          <w:b/>
          <w:bCs/>
          <w:w w:val="99"/>
          <w:sz w:val="28"/>
          <w:szCs w:val="28"/>
        </w:rPr>
        <w:t>向全体股东每</w:t>
      </w:r>
      <w:r>
        <w:rPr>
          <w:rFonts w:ascii="宋体" w:hAnsi="宋体" w:cs="宋体" w:eastAsia="宋体" w:hint="default"/>
          <w:b/>
          <w:bCs/>
          <w:spacing w:val="-69"/>
          <w:w w:val="99"/>
          <w:sz w:val="28"/>
          <w:szCs w:val="28"/>
        </w:rPr>
        <w:t> </w:t>
      </w:r>
      <w:r>
        <w:rPr>
          <w:rFonts w:ascii="Times New Roman" w:hAnsi="Times New Roman" w:cs="Times New Roman" w:eastAsia="Times New Roman" w:hint="default"/>
          <w:b/>
          <w:bCs/>
          <w:w w:val="100"/>
          <w:sz w:val="28"/>
          <w:szCs w:val="28"/>
        </w:rPr>
        <w:t>10</w:t>
      </w:r>
      <w:r>
        <w:rPr>
          <w:rFonts w:ascii="Times New Roman" w:hAnsi="Times New Roman" w:cs="Times New Roman" w:eastAsia="Times New Roman" w:hint="default"/>
          <w:b/>
          <w:bCs/>
          <w:spacing w:val="-1"/>
          <w:w w:val="100"/>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9"/>
          <w:w w:val="99"/>
          <w:sz w:val="28"/>
          <w:szCs w:val="28"/>
        </w:rPr>
        <w:t> </w:t>
      </w:r>
      <w:r>
        <w:rPr>
          <w:rFonts w:ascii="Times New Roman" w:hAnsi="Times New Roman" w:cs="Times New Roman" w:eastAsia="Times New Roman" w:hint="default"/>
          <w:b/>
          <w:bCs/>
          <w:w w:val="100"/>
          <w:sz w:val="28"/>
          <w:szCs w:val="28"/>
        </w:rPr>
        <w:t>0.19 </w:t>
      </w:r>
      <w:r>
        <w:rPr>
          <w:rFonts w:ascii="宋体" w:hAnsi="宋体" w:cs="宋体" w:eastAsia="宋体" w:hint="default"/>
          <w:b/>
          <w:bCs/>
          <w:spacing w:val="-23"/>
          <w:w w:val="99"/>
          <w:sz w:val="28"/>
          <w:szCs w:val="28"/>
        </w:rPr>
        <w:t>元（含税），送红股</w:t>
      </w:r>
      <w:r>
        <w:rPr>
          <w:rFonts w:ascii="宋体" w:hAnsi="宋体" w:cs="宋体" w:eastAsia="宋体" w:hint="default"/>
          <w:b/>
          <w:bCs/>
          <w:spacing w:val="-70"/>
          <w:w w:val="9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1"/>
          <w:w w:val="100"/>
          <w:sz w:val="28"/>
          <w:szCs w:val="28"/>
        </w:rPr>
        <w:t> </w:t>
      </w:r>
      <w:r>
        <w:rPr>
          <w:rFonts w:ascii="宋体" w:hAnsi="宋体" w:cs="宋体" w:eastAsia="宋体" w:hint="default"/>
          <w:b/>
          <w:bCs/>
          <w:spacing w:val="-23"/>
          <w:w w:val="99"/>
          <w:sz w:val="28"/>
          <w:szCs w:val="28"/>
        </w:rPr>
        <w:t>股（含税），不以公</w:t>
      </w:r>
      <w:r>
        <w:rPr>
          <w:rFonts w:ascii="宋体" w:hAnsi="宋体" w:cs="宋体" w:eastAsia="宋体" w:hint="default"/>
          <w:b/>
          <w:bCs/>
          <w:w w:val="99"/>
          <w:sz w:val="28"/>
          <w:szCs w:val="28"/>
        </w:rPr>
        <w:t> </w:t>
      </w:r>
      <w:r>
        <w:rPr>
          <w:rFonts w:ascii="宋体" w:hAnsi="宋体" w:cs="宋体" w:eastAsia="宋体" w:hint="default"/>
          <w:b/>
          <w:bCs/>
          <w:sz w:val="28"/>
          <w:szCs w:val="28"/>
        </w:rPr>
        <w:t>积金转增股本。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8"/>
          <w:pgSz w:w="11910" w:h="16840"/>
          <w:pgMar w:footer="980"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241" w:right="321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7"/>
          <w:szCs w:val="47"/>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before="177"/>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30</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可转换公司债券相关情况</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董事、监事、高级管理人员和员工情况</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公司治理</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2"/>
              </w:rPr>
              <w:t> </w:t>
            </w:r>
            <w:r>
              <w:rPr/>
              <w:t>公司债券相关情况</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财务报告</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2">
            <w:r>
              <w:rPr/>
              <w:t>第十三节</w:t>
            </w:r>
            <w:r>
              <w:rPr>
                <w:spacing w:val="-2"/>
              </w:rPr>
              <w:t> </w:t>
            </w:r>
            <w:r>
              <w:rPr/>
              <w:t>备查文件目录</w:t>
            </w:r>
            <w:r>
              <w:rPr>
                <w:rFonts w:ascii="Times New Roman" w:hAnsi="Times New Roman" w:cs="Times New Roman" w:eastAsia="Times New Roman" w:hint="default"/>
              </w:rPr>
              <w:tab/>
              <w:t>177</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80" w:top="1060" w:bottom="1160" w:left="980" w:right="0"/>
        </w:sectPr>
      </w:pPr>
    </w:p>
    <w:p>
      <w:pPr>
        <w:spacing w:before="945"/>
        <w:ind w:left="2241" w:right="321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公司、本公司、卫士通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成都卫士通信息产业股份有限公司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控股股东、中国网安</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三十所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西南通信研究所（中国电子科技集团公司第三十研究所）</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中电科财务公司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中国电子科技财务有限公司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实际控制人、中国电科</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审计机构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成都卫士通信息产业股份有限公司股东大会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成都卫士通信息产业股份有限公司董事会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成都卫士通信息产业股份有限公司监事会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72.809998pt;width:361.55pt;height:19.6pt;mso-position-horizontal-relative:page;mso-position-vertical-relative:page;z-index:-1076872" coordorigin="3447,5456" coordsize="7231,392">
            <v:shape style="position:absolute;left:3447;top:5456;width:7231;height:392" coordorigin="3447,5456" coordsize="7231,392" path="m3447,5847l10677,5847,10677,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2" w:right="1133"/>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卫士通</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002268</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成都卫士通信息产业股份有限公司</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卫士通</w:t>
            </w:r>
          </w:p>
        </w:tc>
      </w:tr>
      <w:tr>
        <w:trPr>
          <w:trHeight w:val="404"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pacing w:val="-3"/>
                <w:sz w:val="18"/>
              </w:rPr>
              <w:t>Westone </w:t>
            </w:r>
            <w:r>
              <w:rPr>
                <w:rFonts w:ascii="Times New Roman"/>
                <w:sz w:val="18"/>
              </w:rPr>
              <w:t>Information Industry Inc.</w:t>
            </w:r>
          </w:p>
        </w:tc>
      </w:tr>
      <w:tr>
        <w:trPr>
          <w:trHeight w:val="401"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pacing w:val="-3"/>
                <w:sz w:val="18"/>
              </w:rPr>
              <w:t>Westone</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卿昱</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成都市高新区云华路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333 </w:t>
            </w:r>
            <w:r>
              <w:rPr>
                <w:rFonts w:ascii="宋体" w:hAnsi="宋体" w:cs="宋体" w:eastAsia="宋体" w:hint="default"/>
                <w:sz w:val="18"/>
                <w:szCs w:val="18"/>
              </w:rPr>
              <w:t>号</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610095</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成都市高新区云华路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333 </w:t>
            </w:r>
            <w:r>
              <w:rPr>
                <w:rFonts w:ascii="宋体" w:hAnsi="宋体" w:cs="宋体" w:eastAsia="宋体" w:hint="default"/>
                <w:sz w:val="18"/>
                <w:szCs w:val="18"/>
              </w:rPr>
              <w:t>号</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610095</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http://www.westone.com.cn</w:t>
              </w:r>
            </w:hyperlink>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westone_dm1@163.com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刘志惠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舒梅</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成都市高新区云华路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成都市高新区云华路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333 </w:t>
            </w:r>
            <w:r>
              <w:rPr>
                <w:rFonts w:ascii="宋体" w:hAnsi="宋体" w:cs="宋体" w:eastAsia="宋体" w:hint="default"/>
                <w:sz w:val="18"/>
                <w:szCs w:val="18"/>
              </w:rPr>
              <w:t>号</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028-62386166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028-62386169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028-62386030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028-62386030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westone_dm1@163.com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westone_zd@163.com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公司证券投资部</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b/>
          <w:bCs/>
          <w:sz w:val="23"/>
          <w:szCs w:val="23"/>
        </w:rPr>
      </w:pPr>
    </w:p>
    <w:p>
      <w:pPr>
        <w:pStyle w:val="Heading2"/>
        <w:spacing w:line="240" w:lineRule="auto" w:before="26"/>
        <w:ind w:right="1133"/>
        <w:jc w:val="left"/>
        <w:rPr>
          <w:b w:val="0"/>
          <w:bCs w:val="0"/>
        </w:rPr>
      </w:pPr>
      <w:bookmarkStart w:name="四、注册变更情况" w:id="8"/>
      <w:bookmarkEnd w:id="8"/>
      <w:r>
        <w:rPr>
          <w:b w:val="0"/>
          <w:bCs w:val="0"/>
        </w:rPr>
      </w: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686"/>
        <w:gridCol w:w="5883"/>
      </w:tblGrid>
      <w:tr>
        <w:trPr>
          <w:trHeight w:val="401"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统一社会信用代码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9151010070927392XM</w:t>
            </w:r>
          </w:p>
        </w:tc>
      </w:tr>
      <w:tr>
        <w:trPr>
          <w:trHeight w:val="403"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公司上市以来主营业务的变化情况（如有）</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1025"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42"/>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年公司控股股东由西南通信研究所（中国电子科技集团公司第三十研 究所）变更为中国电子科技网络信息安全有限公司，实际控制人未发生变 更，仍为中国电子科技集团有限公司。</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五、其他有关资料" w:id="9"/>
      <w:bookmarkEnd w:id="9"/>
      <w:r>
        <w:rPr>
          <w:b w:val="0"/>
          <w:bCs w:val="0"/>
        </w:rPr>
      </w:r>
      <w:r>
        <w:rPr/>
        <w:t>五、其他有关资料</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1101</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钟平修、曹云华</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710"/>
        <w:gridCol w:w="1844"/>
        <w:gridCol w:w="2624"/>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8"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北京市西城区丰盛胡同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号丰铭</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国际大厦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李金虎、贾鹏</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日到督导事项完毕</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1133"/>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line="348" w:lineRule="auto" w:before="117"/>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追溯调整或重述原因 会计政策变更</w:t>
      </w:r>
    </w:p>
    <w:p>
      <w:pPr>
        <w:spacing w:line="240" w:lineRule="auto" w:before="2"/>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360"/>
        <w:gridCol w:w="1201"/>
        <w:gridCol w:w="1202"/>
        <w:gridCol w:w="1200"/>
        <w:gridCol w:w="1202"/>
        <w:gridCol w:w="1201"/>
        <w:gridCol w:w="1202"/>
      </w:tblGrid>
      <w:tr>
        <w:trPr>
          <w:trHeight w:val="161" w:hRule="exact"/>
        </w:trPr>
        <w:tc>
          <w:tcPr>
            <w:tcW w:w="2360" w:type="dxa"/>
            <w:vMerge w:val="restart"/>
            <w:tcBorders>
              <w:top w:val="single" w:sz="4" w:space="0" w:color="000000"/>
              <w:left w:val="single" w:sz="4" w:space="0" w:color="000000"/>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
        </w:tc>
        <w:tc>
          <w:tcPr>
            <w:tcW w:w="240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06" w:right="55" w:hanging="452"/>
              <w:jc w:val="left"/>
              <w:rPr>
                <w:rFonts w:ascii="宋体" w:hAnsi="宋体" w:cs="宋体" w:eastAsia="宋体" w:hint="default"/>
                <w:sz w:val="18"/>
                <w:szCs w:val="18"/>
              </w:rPr>
            </w:pPr>
            <w:r>
              <w:rPr>
                <w:rFonts w:ascii="宋体" w:hAnsi="宋体" w:cs="宋体" w:eastAsia="宋体" w:hint="default"/>
                <w:sz w:val="18"/>
                <w:szCs w:val="18"/>
              </w:rPr>
              <w:t>本年比上年增 减</w:t>
            </w:r>
          </w:p>
        </w:tc>
        <w:tc>
          <w:tcPr>
            <w:tcW w:w="2403"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360"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240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02" w:type="dxa"/>
            <w:vMerge/>
            <w:tcBorders>
              <w:left w:val="single" w:sz="4" w:space="0" w:color="000000"/>
              <w:right w:val="single" w:sz="4" w:space="0" w:color="000000"/>
            </w:tcBorders>
            <w:shd w:val="clear" w:color="auto" w:fill="D2D2D2"/>
          </w:tcPr>
          <w:p>
            <w:pPr/>
          </w:p>
        </w:tc>
        <w:tc>
          <w:tcPr>
            <w:tcW w:w="240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190" w:hRule="exact"/>
        </w:trPr>
        <w:tc>
          <w:tcPr>
            <w:tcW w:w="2360" w:type="dxa"/>
            <w:vMerge w:val="restart"/>
            <w:tcBorders>
              <w:top w:val="nil" w:sz="6" w:space="0" w:color="auto"/>
              <w:left w:val="single" w:sz="4" w:space="0" w:color="000000"/>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gridSpan w:val="2"/>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2403"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360"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240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2403"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23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161" w:hRule="exact"/>
        </w:trPr>
        <w:tc>
          <w:tcPr>
            <w:tcW w:w="23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2,103,759,987.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90</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1,930,998,380.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73</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1,930,998,380.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73</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3" w:right="0"/>
              <w:jc w:val="left"/>
              <w:rPr>
                <w:rFonts w:ascii="Times New Roman" w:hAnsi="Times New Roman" w:cs="Times New Roman" w:eastAsia="Times New Roman" w:hint="default"/>
                <w:sz w:val="18"/>
                <w:szCs w:val="18"/>
              </w:rPr>
            </w:pPr>
            <w:r>
              <w:rPr>
                <w:rFonts w:ascii="Times New Roman"/>
                <w:sz w:val="18"/>
              </w:rPr>
              <w:t>8.95%</w:t>
            </w:r>
          </w:p>
        </w:tc>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2,136,933,366.</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68</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2,136,933,366.</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68</w:t>
            </w:r>
          </w:p>
        </w:tc>
      </w:tr>
      <w:tr>
        <w:trPr>
          <w:trHeight w:val="391" w:hRule="exact"/>
        </w:trPr>
        <w:tc>
          <w:tcPr>
            <w:tcW w:w="23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01" w:type="dxa"/>
            <w:vMerge/>
            <w:tcBorders>
              <w:left w:val="single" w:sz="10" w:space="0" w:color="D2D2D2"/>
              <w:right w:val="single" w:sz="4" w:space="0" w:color="000000"/>
            </w:tcBorders>
          </w:tcPr>
          <w:p>
            <w:pPr/>
          </w:p>
        </w:tc>
        <w:tc>
          <w:tcPr>
            <w:tcW w:w="1202"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1"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61" w:hRule="exact"/>
        </w:trPr>
        <w:tc>
          <w:tcPr>
            <w:tcW w:w="23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10" w:space="0" w:color="D2D2D2"/>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1"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715"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155,765,488.34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120,204,513.73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120,204,513.73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29.58%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169,054,901.59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169,054,901.59</w:t>
            </w:r>
          </w:p>
        </w:tc>
      </w:tr>
      <w:tr>
        <w:trPr>
          <w:trHeight w:val="71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120,905,436.58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100,816,597.78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100,816,597.78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19.93%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162,950,284.55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162,950,284.55</w:t>
            </w:r>
          </w:p>
        </w:tc>
      </w:tr>
      <w:tr>
        <w:trPr>
          <w:trHeight w:val="715"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-97,886,037.33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32,868,957.49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32,868,957.49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-397.81%</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-51,064,026.58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-51,064,026.58</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60"/>
        <w:gridCol w:w="1201"/>
        <w:gridCol w:w="1202"/>
        <w:gridCol w:w="1200"/>
        <w:gridCol w:w="1202"/>
        <w:gridCol w:w="1201"/>
        <w:gridCol w:w="1202"/>
      </w:tblGrid>
      <w:tr>
        <w:trPr>
          <w:trHeight w:val="401"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0.1858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0.1434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0.1434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29.57%</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0.2109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0.2109</w:t>
            </w:r>
          </w:p>
        </w:tc>
      </w:tr>
      <w:tr>
        <w:trPr>
          <w:trHeight w:val="40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0.1858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0.1434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0.1434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29.57%</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0.2109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0.2109</w:t>
            </w:r>
          </w:p>
        </w:tc>
      </w:tr>
      <w:tr>
        <w:trPr>
          <w:trHeight w:val="161" w:hRule="exact"/>
        </w:trPr>
        <w:tc>
          <w:tcPr>
            <w:tcW w:w="23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6" w:right="0"/>
              <w:jc w:val="left"/>
              <w:rPr>
                <w:rFonts w:ascii="Times New Roman" w:hAnsi="Times New Roman" w:cs="Times New Roman" w:eastAsia="Times New Roman" w:hint="default"/>
                <w:sz w:val="18"/>
                <w:szCs w:val="18"/>
              </w:rPr>
            </w:pPr>
            <w:r>
              <w:rPr>
                <w:rFonts w:ascii="Times New Roman"/>
                <w:sz w:val="18"/>
              </w:rPr>
              <w:t>3.48%</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3" w:right="0"/>
              <w:jc w:val="left"/>
              <w:rPr>
                <w:rFonts w:ascii="Times New Roman" w:hAnsi="Times New Roman" w:cs="Times New Roman" w:eastAsia="Times New Roman" w:hint="default"/>
                <w:sz w:val="18"/>
                <w:szCs w:val="18"/>
              </w:rPr>
            </w:pPr>
            <w:r>
              <w:rPr>
                <w:rFonts w:ascii="Times New Roman"/>
                <w:sz w:val="18"/>
              </w:rPr>
              <w:t>2.78%</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3" w:right="0"/>
              <w:jc w:val="left"/>
              <w:rPr>
                <w:rFonts w:ascii="Times New Roman" w:hAnsi="Times New Roman" w:cs="Times New Roman" w:eastAsia="Times New Roman" w:hint="default"/>
                <w:sz w:val="18"/>
                <w:szCs w:val="18"/>
              </w:rPr>
            </w:pPr>
            <w:r>
              <w:rPr>
                <w:rFonts w:ascii="Times New Roman"/>
                <w:sz w:val="18"/>
              </w:rPr>
              <w:t>2.78%</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w:t>
            </w:r>
          </w:p>
          <w:p>
            <w:pPr>
              <w:pStyle w:val="TableParagraph"/>
              <w:spacing w:line="240" w:lineRule="auto" w:before="63"/>
              <w:ind w:right="23"/>
              <w:jc w:val="right"/>
              <w:rPr>
                <w:rFonts w:ascii="宋体" w:hAnsi="宋体" w:cs="宋体" w:eastAsia="宋体" w:hint="default"/>
                <w:sz w:val="18"/>
                <w:szCs w:val="18"/>
              </w:rPr>
            </w:pPr>
            <w:r>
              <w:rPr>
                <w:rFonts w:ascii="宋体" w:hAnsi="宋体" w:cs="宋体" w:eastAsia="宋体" w:hint="default"/>
                <w:sz w:val="18"/>
                <w:szCs w:val="18"/>
              </w:rPr>
              <w:t>分点</w:t>
            </w:r>
          </w:p>
        </w:tc>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6" w:right="0"/>
              <w:jc w:val="left"/>
              <w:rPr>
                <w:rFonts w:ascii="Times New Roman" w:hAnsi="Times New Roman" w:cs="Times New Roman" w:eastAsia="Times New Roman" w:hint="default"/>
                <w:sz w:val="18"/>
                <w:szCs w:val="18"/>
              </w:rPr>
            </w:pPr>
            <w:r>
              <w:rPr>
                <w:rFonts w:ascii="Times New Roman"/>
                <w:sz w:val="18"/>
              </w:rPr>
              <w:t>4.76%</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8" w:right="0"/>
              <w:jc w:val="left"/>
              <w:rPr>
                <w:rFonts w:ascii="Times New Roman" w:hAnsi="Times New Roman" w:cs="Times New Roman" w:eastAsia="Times New Roman" w:hint="default"/>
                <w:sz w:val="18"/>
                <w:szCs w:val="18"/>
              </w:rPr>
            </w:pPr>
            <w:r>
              <w:rPr>
                <w:rFonts w:ascii="Times New Roman"/>
                <w:sz w:val="18"/>
              </w:rPr>
              <w:t>4.76%</w:t>
            </w:r>
          </w:p>
        </w:tc>
      </w:tr>
      <w:tr>
        <w:trPr>
          <w:trHeight w:val="391" w:hRule="exact"/>
        </w:trPr>
        <w:tc>
          <w:tcPr>
            <w:tcW w:w="23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01" w:type="dxa"/>
            <w:vMerge/>
            <w:tcBorders>
              <w:left w:val="single" w:sz="10" w:space="0" w:color="D2D2D2"/>
              <w:right w:val="single" w:sz="4" w:space="0" w:color="000000"/>
            </w:tcBorders>
          </w:tcPr>
          <w:p>
            <w:pPr/>
          </w:p>
        </w:tc>
        <w:tc>
          <w:tcPr>
            <w:tcW w:w="1202"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1"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61" w:hRule="exact"/>
        </w:trPr>
        <w:tc>
          <w:tcPr>
            <w:tcW w:w="23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10" w:space="0" w:color="D2D2D2"/>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1"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163" w:hRule="exact"/>
        </w:trPr>
        <w:tc>
          <w:tcPr>
            <w:tcW w:w="2360" w:type="dxa"/>
            <w:vMerge w:val="restart"/>
            <w:tcBorders>
              <w:top w:val="single" w:sz="4" w:space="0" w:color="000000"/>
              <w:left w:val="single" w:sz="4" w:space="0" w:color="000000"/>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
        </w:tc>
        <w:tc>
          <w:tcPr>
            <w:tcW w:w="240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326" w:right="55" w:hanging="272"/>
              <w:jc w:val="left"/>
              <w:rPr>
                <w:rFonts w:ascii="宋体" w:hAnsi="宋体" w:cs="宋体" w:eastAsia="宋体" w:hint="default"/>
                <w:sz w:val="18"/>
                <w:szCs w:val="18"/>
              </w:rPr>
            </w:pPr>
            <w:r>
              <w:rPr>
                <w:rFonts w:ascii="宋体" w:hAnsi="宋体" w:cs="宋体" w:eastAsia="宋体" w:hint="default"/>
                <w:sz w:val="18"/>
                <w:szCs w:val="18"/>
              </w:rPr>
              <w:t>本年末比上年 末增减</w:t>
            </w:r>
          </w:p>
        </w:tc>
        <w:tc>
          <w:tcPr>
            <w:tcW w:w="2403"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9" w:hRule="exact"/>
        </w:trPr>
        <w:tc>
          <w:tcPr>
            <w:tcW w:w="2360"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240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202" w:type="dxa"/>
            <w:vMerge/>
            <w:tcBorders>
              <w:left w:val="single" w:sz="4" w:space="0" w:color="000000"/>
              <w:right w:val="single" w:sz="4" w:space="0" w:color="000000"/>
            </w:tcBorders>
            <w:shd w:val="clear" w:color="auto" w:fill="D2D2D2"/>
          </w:tcPr>
          <w:p>
            <w:pPr/>
          </w:p>
        </w:tc>
        <w:tc>
          <w:tcPr>
            <w:tcW w:w="240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92" w:hRule="exact"/>
        </w:trPr>
        <w:tc>
          <w:tcPr>
            <w:tcW w:w="2360" w:type="dxa"/>
            <w:vMerge w:val="restart"/>
            <w:tcBorders>
              <w:top w:val="nil" w:sz="6" w:space="0" w:color="auto"/>
              <w:left w:val="single" w:sz="4" w:space="0" w:color="000000"/>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403" w:type="dxa"/>
            <w:gridSpan w:val="2"/>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2403"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360"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240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2403"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23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3" w:hRule="exact"/>
        </w:trPr>
        <w:tc>
          <w:tcPr>
            <w:tcW w:w="23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10"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5,956,625,043.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53</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6,220,278,883.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90</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6,220,278,883.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90</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3" w:right="0"/>
              <w:jc w:val="left"/>
              <w:rPr>
                <w:rFonts w:ascii="Times New Roman" w:hAnsi="Times New Roman" w:cs="Times New Roman" w:eastAsia="Times New Roman" w:hint="default"/>
                <w:sz w:val="18"/>
                <w:szCs w:val="18"/>
              </w:rPr>
            </w:pPr>
            <w:r>
              <w:rPr>
                <w:rFonts w:ascii="Times New Roman"/>
                <w:sz w:val="18"/>
              </w:rPr>
              <w:t>-4.24%</w:t>
            </w:r>
          </w:p>
        </w:tc>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5,753,577,876.</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80</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5,753,577,876.</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80</w:t>
            </w:r>
          </w:p>
        </w:tc>
      </w:tr>
      <w:tr>
        <w:trPr>
          <w:trHeight w:val="391" w:hRule="exact"/>
        </w:trPr>
        <w:tc>
          <w:tcPr>
            <w:tcW w:w="23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201" w:type="dxa"/>
            <w:vMerge/>
            <w:tcBorders>
              <w:left w:val="single" w:sz="10" w:space="0" w:color="D2D2D2"/>
              <w:right w:val="single" w:sz="4" w:space="0" w:color="000000"/>
            </w:tcBorders>
          </w:tcPr>
          <w:p>
            <w:pPr/>
          </w:p>
        </w:tc>
        <w:tc>
          <w:tcPr>
            <w:tcW w:w="1202"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1"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61" w:hRule="exact"/>
        </w:trPr>
        <w:tc>
          <w:tcPr>
            <w:tcW w:w="23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10" w:space="0" w:color="D2D2D2"/>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1"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716"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归属于上市公司股东的净资 产（元）</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4,550,793,991.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4,406,885,517.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4,406,885,517.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3.27%</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4,295,785,925.</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34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4,295,785,925.</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34</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会计政策变更的原因及会计差错更正的情况</w:t>
      </w:r>
    </w:p>
    <w:p>
      <w:pPr>
        <w:spacing w:before="115"/>
        <w:ind w:left="152" w:right="1133" w:firstLine="0"/>
        <w:jc w:val="left"/>
        <w:rPr>
          <w:rFonts w:ascii="宋体" w:hAnsi="宋体" w:cs="宋体" w:eastAsia="宋体" w:hint="default"/>
          <w:sz w:val="18"/>
          <w:szCs w:val="18"/>
        </w:rPr>
      </w:pPr>
      <w:r>
        <w:rPr>
          <w:rFonts w:ascii="宋体" w:hAnsi="宋体" w:cs="宋体" w:eastAsia="宋体" w:hint="default"/>
          <w:sz w:val="18"/>
          <w:szCs w:val="18"/>
        </w:rPr>
        <w:t>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年执行新金融工具准则调整资产负债表项目，不影响损益。</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15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4"/>
        <w:spacing w:line="240" w:lineRule="auto"/>
        <w:ind w:right="1133"/>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2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165,005,851.19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446,600,008.28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431,712,527.50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1,060,441,600.93</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-79,214,430.19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-3,264,287.87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18,874,474.48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219,369,731.92</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-81,380,277.73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-4,488,278.66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18,723,589.57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188,050,403.40</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-460,954,041.42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-119,507,639.57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-22,101,158.99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504,676,802.65</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73"/>
        <w:gridCol w:w="1430"/>
        <w:gridCol w:w="1418"/>
        <w:gridCol w:w="1275"/>
        <w:gridCol w:w="1063"/>
      </w:tblGrid>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3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 部分）</w:t>
            </w:r>
          </w:p>
        </w:tc>
        <w:tc>
          <w:tcPr>
            <w:tcW w:w="1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-69,044.41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-31,986.54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1,003,606.70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 国家统一标准定额或定量享受的政府补助除外）</w:t>
            </w:r>
          </w:p>
        </w:tc>
        <w:tc>
          <w:tcPr>
            <w:tcW w:w="1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44,226,251.84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23,349,900.42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6,840,633.08</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单独进行减值测试的应收款项、合同资产减值准备转回</w:t>
            </w:r>
          </w:p>
        </w:tc>
        <w:tc>
          <w:tcPr>
            <w:tcW w:w="1430" w:type="dxa"/>
            <w:tcBorders>
              <w:top w:val="single" w:sz="4" w:space="0" w:color="000000"/>
              <w:left w:val="single" w:sz="10" w:space="0" w:color="D2D2D2"/>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222,482.30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-750,995.95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-253,690.98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-433,269.23</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6,419,760.06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3,446,246.51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1,215,032.55</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2,126,399.66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230,060.44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313,803.26</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34,860,051.76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19,387,915.95</w:t>
            </w:r>
          </w:p>
        </w:tc>
        <w:tc>
          <w:tcPr>
            <w:tcW w:w="127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6,104,617.04</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3"/>
        <w:ind w:left="152" w:right="111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46" w:right="1133"/>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before="103"/>
        <w:ind w:left="513" w:right="1133" w:firstLine="0"/>
        <w:jc w:val="left"/>
        <w:rPr>
          <w:rFonts w:ascii="宋体" w:hAnsi="宋体" w:cs="宋体" w:eastAsia="宋体" w:hint="default"/>
          <w:sz w:val="18"/>
          <w:szCs w:val="18"/>
        </w:rPr>
      </w:pPr>
      <w:r>
        <w:rPr>
          <w:rFonts w:ascii="宋体" w:hAnsi="宋体" w:cs="宋体" w:eastAsia="宋体" w:hint="default"/>
          <w:sz w:val="18"/>
          <w:szCs w:val="18"/>
        </w:rPr>
        <w:t>（一）公司主要业务</w:t>
      </w:r>
    </w:p>
    <w:p>
      <w:pPr>
        <w:spacing w:line="300" w:lineRule="auto" w:before="115"/>
        <w:ind w:left="152" w:right="1133" w:firstLine="360"/>
        <w:jc w:val="left"/>
        <w:rPr>
          <w:rFonts w:ascii="宋体" w:hAnsi="宋体" w:cs="宋体" w:eastAsia="宋体" w:hint="default"/>
          <w:sz w:val="18"/>
          <w:szCs w:val="18"/>
        </w:rPr>
      </w:pPr>
      <w:r>
        <w:rPr>
          <w:rFonts w:ascii="宋体" w:hAnsi="宋体" w:cs="宋体" w:eastAsia="宋体" w:hint="default"/>
          <w:sz w:val="18"/>
          <w:szCs w:val="18"/>
        </w:rPr>
        <w:t>卫士通公司一直致力于信息安全领域相关安全产品的开发及技术研究。经过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余年的耕耘，业务范围已覆盖安全产品 研制、安全服务提供和安全集成。</w:t>
      </w:r>
    </w:p>
    <w:p>
      <w:pPr>
        <w:spacing w:line="300" w:lineRule="auto" w:before="72"/>
        <w:ind w:left="152" w:right="112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、安全产品，包括密码产品、网络安全产品、计算安全产品、安全管理中心、移动互联网安全产品、云安全产品、物 联网安全和安全应用。产品的云化、自主可控等是重要发展方向。</w:t>
      </w:r>
    </w:p>
    <w:p>
      <w:pPr>
        <w:spacing w:line="300" w:lineRule="auto" w:before="73"/>
        <w:ind w:left="152" w:right="1140" w:firstLine="28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）密码产品。密码产品是卫士通公司一直以来的核心产品，公司密码产品具有全系列、全产业链的特点。密码芯片 有嵌入式安全</w:t>
      </w:r>
      <w:r>
        <w:rPr>
          <w:rFonts w:ascii="Times New Roman" w:hAnsi="Times New Roman" w:cs="Times New Roman" w:eastAsia="Times New Roman" w:hint="default"/>
          <w:sz w:val="18"/>
          <w:szCs w:val="18"/>
        </w:rPr>
        <w:t>SE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IP</w:t>
      </w:r>
      <w:r>
        <w:rPr>
          <w:rFonts w:ascii="宋体" w:hAnsi="宋体" w:cs="宋体" w:eastAsia="宋体" w:hint="default"/>
          <w:sz w:val="18"/>
          <w:szCs w:val="18"/>
        </w:rPr>
        <w:t>、高速可编程安全芯片、超低功耗安全芯片、移动终端安全芯片和物理噪声源芯片等；密码模块有</w:t>
      </w:r>
      <w:r>
        <w:rPr>
          <w:rFonts w:ascii="Times New Roman" w:hAnsi="Times New Roman" w:cs="Times New Roman" w:eastAsia="Times New Roman" w:hint="default"/>
          <w:sz w:val="18"/>
          <w:szCs w:val="18"/>
        </w:rPr>
        <w:t>TF</w:t>
      </w:r>
      <w:r>
        <w:rPr>
          <w:rFonts w:ascii="宋体" w:hAnsi="宋体" w:cs="宋体" w:eastAsia="宋体" w:hint="default"/>
          <w:sz w:val="18"/>
          <w:szCs w:val="18"/>
        </w:rPr>
        <w:t>密 码模块、</w:t>
      </w:r>
      <w:r>
        <w:rPr>
          <w:rFonts w:ascii="Times New Roman" w:hAnsi="Times New Roman" w:cs="Times New Roman" w:eastAsia="Times New Roman" w:hint="default"/>
          <w:sz w:val="18"/>
          <w:szCs w:val="18"/>
        </w:rPr>
        <w:t>PCI-E</w:t>
      </w:r>
      <w:r>
        <w:rPr>
          <w:rFonts w:ascii="宋体" w:hAnsi="宋体" w:cs="宋体" w:eastAsia="宋体" w:hint="default"/>
          <w:sz w:val="18"/>
          <w:szCs w:val="18"/>
        </w:rPr>
        <w:t>系列密码卡和软件密码模块等；密码整机有金融数据密码机、服务器密码机、签名验签服务器等；密码系统</w:t>
      </w:r>
      <w:r>
        <w:rPr>
          <w:rFonts w:ascii="宋体" w:hAnsi="宋体" w:cs="宋体" w:eastAsia="宋体" w:hint="default"/>
          <w:w w:val="99"/>
          <w:sz w:val="18"/>
          <w:szCs w:val="18"/>
        </w:rPr>
        <w:t> </w:t>
      </w:r>
      <w:r>
        <w:rPr>
          <w:rFonts w:ascii="宋体" w:hAnsi="宋体" w:cs="宋体" w:eastAsia="宋体" w:hint="default"/>
          <w:sz w:val="18"/>
          <w:szCs w:val="18"/>
        </w:rPr>
        <w:t>有密钥管理系统、证书管理系统和密码中间件等。</w:t>
      </w:r>
    </w:p>
    <w:p>
      <w:pPr>
        <w:spacing w:line="300" w:lineRule="auto" w:before="31"/>
        <w:ind w:left="152" w:right="1028" w:firstLine="286"/>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）网络安全产品。公司重点发展通用、常用和核心的网络安全产品。保障通信网络安全的产品有交换机、</w:t>
      </w:r>
      <w:r>
        <w:rPr>
          <w:rFonts w:ascii="Times New Roman" w:hAnsi="Times New Roman" w:cs="Times New Roman" w:eastAsia="Times New Roman" w:hint="default"/>
          <w:spacing w:val="-2"/>
          <w:sz w:val="18"/>
          <w:szCs w:val="18"/>
        </w:rPr>
        <w:t>IPSec</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VPN</w:t>
      </w:r>
      <w:r>
        <w:rPr>
          <w:rFonts w:ascii="宋体" w:hAnsi="宋体" w:cs="宋体" w:eastAsia="宋体" w:hint="default"/>
          <w:sz w:val="18"/>
          <w:szCs w:val="18"/>
        </w:rPr>
        <w:t>、 </w:t>
      </w:r>
      <w:r>
        <w:rPr>
          <w:rFonts w:ascii="Times New Roman" w:hAnsi="Times New Roman" w:cs="Times New Roman" w:eastAsia="Times New Roman" w:hint="default"/>
          <w:sz w:val="18"/>
          <w:szCs w:val="18"/>
        </w:rPr>
        <w:t>SSL</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VPN</w:t>
      </w:r>
      <w:r>
        <w:rPr>
          <w:rFonts w:ascii="宋体" w:hAnsi="宋体" w:cs="宋体" w:eastAsia="宋体" w:hint="default"/>
          <w:sz w:val="18"/>
          <w:szCs w:val="18"/>
        </w:rPr>
        <w:t>等；保障区域边界安全的产品有防火墙、网络安全隔离与信息单向导入系统、网络安全隔离与信息交换系统等。</w:t>
      </w:r>
    </w:p>
    <w:p>
      <w:pPr>
        <w:spacing w:line="309" w:lineRule="auto" w:before="13"/>
        <w:ind w:left="152" w:right="1129" w:firstLine="28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）计算安全产品。包括终端安全产品、数据安全产品和认证授权产品。终端安全产品有主机监控与审计系统、终端 </w:t>
      </w:r>
      <w:r>
        <w:rPr>
          <w:rFonts w:ascii="宋体" w:hAnsi="宋体" w:cs="宋体" w:eastAsia="宋体" w:hint="default"/>
          <w:spacing w:val="-2"/>
          <w:sz w:val="18"/>
          <w:szCs w:val="18"/>
        </w:rPr>
        <w:t>安全登录与文件保护系统等；数据安全产品有电子文档密级标识生成与管理系统和企业网盘等；认证授权产品有信任服务基</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础设施、身份认证系统和电子印章系统等。</w:t>
      </w:r>
    </w:p>
    <w:p>
      <w:pPr>
        <w:spacing w:line="300" w:lineRule="auto" w:before="24"/>
        <w:ind w:left="152" w:right="1196" w:firstLine="28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）安全管理中心。覆盖密码管理、安全管理、系统管理和审计管理，有安全运行监管系统、设备集中管理中心和高 级威胁检测分析系统等产品。</w:t>
      </w:r>
    </w:p>
    <w:p>
      <w:pPr>
        <w:spacing w:line="307" w:lineRule="auto" w:before="32"/>
        <w:ind w:left="152" w:right="0" w:firstLine="288"/>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）移动互联网安全产品。从终端、解决方案两个方向规划业务，终端包括手机、平板两类，解决方案主要针对政府、</w:t>
      </w:r>
      <w:r>
        <w:rPr>
          <w:rFonts w:ascii="宋体" w:hAnsi="宋体" w:cs="宋体" w:eastAsia="宋体" w:hint="default"/>
          <w:sz w:val="18"/>
          <w:szCs w:val="18"/>
        </w:rPr>
        <w:t> </w:t>
      </w:r>
      <w:r>
        <w:rPr>
          <w:rFonts w:ascii="宋体" w:hAnsi="宋体" w:cs="宋体" w:eastAsia="宋体" w:hint="default"/>
          <w:spacing w:val="-4"/>
          <w:sz w:val="18"/>
          <w:szCs w:val="18"/>
        </w:rPr>
        <w:t>军工、司法三个行业打造移动办公整体解决方案，并在一些移动办公样板工程中推广整体保障服务模式，探索业务转型路线；</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产品围绕</w:t>
      </w:r>
      <w:r>
        <w:rPr>
          <w:rFonts w:ascii="Times New Roman" w:hAnsi="Times New Roman" w:cs="Times New Roman" w:eastAsia="Times New Roman" w:hint="default"/>
          <w:sz w:val="18"/>
          <w:szCs w:val="18"/>
        </w:rPr>
        <w:t>“</w:t>
      </w:r>
      <w:r>
        <w:rPr>
          <w:rFonts w:ascii="宋体" w:hAnsi="宋体" w:cs="宋体" w:eastAsia="宋体" w:hint="default"/>
          <w:sz w:val="18"/>
          <w:szCs w:val="18"/>
        </w:rPr>
        <w:t>安全通信、安全接入、安全管控</w:t>
      </w:r>
      <w:r>
        <w:rPr>
          <w:rFonts w:ascii="Times New Roman" w:hAnsi="Times New Roman" w:cs="Times New Roman" w:eastAsia="Times New Roman" w:hint="default"/>
          <w:sz w:val="18"/>
          <w:szCs w:val="18"/>
        </w:rPr>
        <w:t>”</w:t>
      </w:r>
      <w:r>
        <w:rPr>
          <w:rFonts w:ascii="宋体" w:hAnsi="宋体" w:cs="宋体" w:eastAsia="宋体" w:hint="default"/>
          <w:sz w:val="18"/>
          <w:szCs w:val="18"/>
        </w:rPr>
        <w:t>三个方向进行研制，包括政务安全手机、政务安全平板、尊御安全手机、安全移 动办公系统、</w:t>
      </w:r>
      <w:r>
        <w:rPr>
          <w:rFonts w:ascii="Times New Roman" w:hAnsi="Times New Roman" w:cs="Times New Roman" w:eastAsia="Times New Roman" w:hint="default"/>
          <w:sz w:val="18"/>
          <w:szCs w:val="18"/>
        </w:rPr>
        <w:t>VoLTE</w:t>
      </w:r>
      <w:r>
        <w:rPr>
          <w:rFonts w:ascii="宋体" w:hAnsi="宋体" w:cs="宋体" w:eastAsia="宋体" w:hint="default"/>
          <w:sz w:val="18"/>
          <w:szCs w:val="18"/>
        </w:rPr>
        <w:t>语音加密系统、橙讯即时通信系统、安全接入平台和移动终端安全管控系统等。</w:t>
      </w:r>
    </w:p>
    <w:p>
      <w:pPr>
        <w:spacing w:line="300" w:lineRule="auto" w:before="7"/>
        <w:ind w:left="152" w:right="1196" w:firstLine="28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）云安全产品。产品支持和阿里、腾讯、中国电信等主流云厂商的对接，支持公有云、社区云、私有云和政务云多 种部署模式，产品包括云密码机、云密码资源池管理平台、云密钥管理系统和安全云终端等。</w:t>
      </w:r>
    </w:p>
    <w:p>
      <w:pPr>
        <w:spacing w:before="31"/>
        <w:ind w:left="441"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）物联网安全产品。在物联网安全领域，重点研制安全视频加密系统和</w:t>
      </w:r>
      <w:r>
        <w:rPr>
          <w:rFonts w:ascii="Times New Roman" w:hAnsi="Times New Roman" w:cs="Times New Roman" w:eastAsia="Times New Roman" w:hint="default"/>
          <w:sz w:val="18"/>
          <w:szCs w:val="18"/>
        </w:rPr>
        <w:t>NB-IoT</w:t>
      </w:r>
      <w:r>
        <w:rPr>
          <w:rFonts w:ascii="宋体" w:hAnsi="宋体" w:cs="宋体" w:eastAsia="宋体" w:hint="default"/>
          <w:sz w:val="18"/>
          <w:szCs w:val="18"/>
        </w:rPr>
        <w:t>加密模组。</w:t>
      </w:r>
    </w:p>
    <w:p>
      <w:pPr>
        <w:spacing w:line="309" w:lineRule="auto" w:before="63"/>
        <w:ind w:left="152" w:right="1125" w:firstLine="28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）安全应用。是安全与应用深度融合的产品，有可用于通用场景的安全电子邮件系统、安全即时通信系统、安全会 </w:t>
      </w:r>
      <w:r>
        <w:rPr>
          <w:rFonts w:ascii="宋体" w:hAnsi="宋体" w:cs="宋体" w:eastAsia="宋体" w:hint="default"/>
          <w:spacing w:val="-2"/>
          <w:sz w:val="18"/>
          <w:szCs w:val="18"/>
        </w:rPr>
        <w:t>议系统和电子文档安全管理系统等产品；有专用于电子政务的电子印章系统、信任服务基础设施、电子公文交换系统等；有</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专用于金融行业的金融数据密码机、金融</w:t>
      </w:r>
      <w:r>
        <w:rPr>
          <w:rFonts w:ascii="Times New Roman" w:hAnsi="Times New Roman" w:cs="Times New Roman" w:eastAsia="Times New Roman" w:hint="default"/>
          <w:spacing w:val="-2"/>
          <w:sz w:val="18"/>
          <w:szCs w:val="18"/>
        </w:rPr>
        <w:t>IC</w:t>
      </w:r>
      <w:r>
        <w:rPr>
          <w:rFonts w:ascii="宋体" w:hAnsi="宋体" w:cs="宋体" w:eastAsia="宋体" w:hint="default"/>
          <w:spacing w:val="-2"/>
          <w:sz w:val="18"/>
          <w:szCs w:val="18"/>
        </w:rPr>
        <w:t>卡密钥管理系统；有专用于能源行业的电力纵向加密认证装置、电力防护加密系</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统等；有专用于公检法的检察业务系统、公安经侦智能化工作平台、涉案财物集中管理信息平台、行贿档案综合管理与评估</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系统等。</w:t>
      </w:r>
    </w:p>
    <w:p>
      <w:pPr>
        <w:spacing w:line="300" w:lineRule="auto" w:before="24"/>
        <w:ind w:left="513" w:right="112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、安全服务 </w:t>
      </w:r>
      <w:r>
        <w:rPr>
          <w:rFonts w:ascii="宋体" w:hAnsi="宋体" w:cs="宋体" w:eastAsia="宋体" w:hint="default"/>
          <w:spacing w:val="-2"/>
          <w:sz w:val="18"/>
          <w:szCs w:val="18"/>
        </w:rPr>
        <w:t>基于公司核心技术和核心产品，依托公司强大的技术支持、专家团队以及公司高安全的安全云平台，为用户提供安全运</w:t>
      </w:r>
    </w:p>
    <w:p>
      <w:pPr>
        <w:spacing w:line="309" w:lineRule="auto" w:before="31"/>
        <w:ind w:left="152" w:right="1135" w:firstLine="0"/>
        <w:jc w:val="both"/>
        <w:rPr>
          <w:rFonts w:ascii="宋体" w:hAnsi="宋体" w:cs="宋体" w:eastAsia="宋体" w:hint="default"/>
          <w:sz w:val="18"/>
          <w:szCs w:val="18"/>
        </w:rPr>
      </w:pPr>
      <w:r>
        <w:rPr>
          <w:rFonts w:ascii="宋体" w:hAnsi="宋体" w:cs="宋体" w:eastAsia="宋体" w:hint="default"/>
          <w:spacing w:val="-2"/>
          <w:sz w:val="18"/>
          <w:szCs w:val="18"/>
        </w:rPr>
        <w:t>维服务、安全运营服务、监测预警服务、风险评估服务和安全咨询服务等。安全运营服务包括云密码服务、云认证服务、企</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业微信加密服务、网站安全防护和</w:t>
      </w:r>
      <w:r>
        <w:rPr>
          <w:rFonts w:ascii="Times New Roman" w:hAnsi="Times New Roman" w:cs="Times New Roman" w:eastAsia="Times New Roman" w:hint="default"/>
          <w:sz w:val="18"/>
          <w:szCs w:val="18"/>
        </w:rPr>
        <w:t>SaaS/PaaS/IaaS</w:t>
      </w:r>
      <w:r>
        <w:rPr>
          <w:rFonts w:ascii="宋体" w:hAnsi="宋体" w:cs="宋体" w:eastAsia="宋体" w:hint="default"/>
          <w:sz w:val="18"/>
          <w:szCs w:val="18"/>
        </w:rPr>
        <w:t>服务；监测预警服务包括安全态势感知与监测预警服务、高级威胁监测服 务、互联网舆情监测服务和安全事件分析服务等；风险评估服务包括系统架构评估、渗透测试和安全加固等。</w:t>
      </w:r>
    </w:p>
    <w:p>
      <w:pPr>
        <w:spacing w:line="300" w:lineRule="auto" w:before="24"/>
        <w:ind w:left="513" w:right="12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、安全集成 安全集成业务是公司依托雄厚的技术支持和强大的营销网络为各层次用户提供的系统集成及全生命周期安全支持与服</w:t>
      </w:r>
    </w:p>
    <w:p>
      <w:pPr>
        <w:spacing w:before="31"/>
        <w:ind w:left="152" w:right="0" w:firstLine="0"/>
        <w:jc w:val="both"/>
        <w:rPr>
          <w:rFonts w:ascii="宋体" w:hAnsi="宋体" w:cs="宋体" w:eastAsia="宋体" w:hint="default"/>
          <w:sz w:val="18"/>
          <w:szCs w:val="18"/>
        </w:rPr>
      </w:pPr>
      <w:r>
        <w:rPr>
          <w:rFonts w:ascii="宋体" w:hAnsi="宋体" w:cs="宋体" w:eastAsia="宋体" w:hint="default"/>
          <w:sz w:val="18"/>
          <w:szCs w:val="18"/>
        </w:rPr>
        <w:t>务，包括项目规划、整体解决方案设计、工程建设、用户培训及安全服务等。</w:t>
      </w:r>
    </w:p>
    <w:p>
      <w:pPr>
        <w:spacing w:after="0"/>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513" w:right="1133" w:firstLine="0"/>
        <w:jc w:val="left"/>
        <w:rPr>
          <w:rFonts w:ascii="宋体" w:hAnsi="宋体" w:cs="宋体" w:eastAsia="宋体" w:hint="default"/>
          <w:sz w:val="18"/>
          <w:szCs w:val="18"/>
        </w:rPr>
      </w:pPr>
      <w:r>
        <w:rPr>
          <w:rFonts w:ascii="宋体" w:hAnsi="宋体" w:cs="宋体" w:eastAsia="宋体" w:hint="default"/>
          <w:sz w:val="18"/>
          <w:szCs w:val="18"/>
        </w:rPr>
        <w:t>（二）宏观经济形势等外部因素分析</w:t>
      </w:r>
    </w:p>
    <w:p>
      <w:pPr>
        <w:spacing w:before="77"/>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年，我国网络安全政策环境持续优化，制度不断完善，产业生态向良性方向发展。</w:t>
      </w:r>
    </w:p>
    <w:p>
      <w:pPr>
        <w:spacing w:line="300" w:lineRule="auto" w:before="63"/>
        <w:ind w:left="513" w:right="112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、网络安全产业持续增长，市场规模快速扩大 </w:t>
      </w:r>
      <w:r>
        <w:rPr>
          <w:rFonts w:ascii="宋体" w:hAnsi="宋体" w:cs="宋体" w:eastAsia="宋体" w:hint="default"/>
          <w:spacing w:val="-2"/>
          <w:sz w:val="18"/>
          <w:szCs w:val="18"/>
        </w:rPr>
        <w:t>在全球政治、经济、社会、技术等多方力量推动下，网络空间安全需求强劲，网络安全市场持续高速增长。得益于数字</w:t>
      </w:r>
    </w:p>
    <w:p>
      <w:pPr>
        <w:spacing w:line="300" w:lineRule="auto" w:before="31"/>
        <w:ind w:left="152" w:right="1131" w:firstLine="0"/>
        <w:jc w:val="both"/>
        <w:rPr>
          <w:rFonts w:ascii="宋体" w:hAnsi="宋体" w:cs="宋体" w:eastAsia="宋体" w:hint="default"/>
          <w:sz w:val="18"/>
          <w:szCs w:val="18"/>
        </w:rPr>
      </w:pPr>
      <w:r>
        <w:rPr>
          <w:rFonts w:ascii="宋体" w:hAnsi="宋体" w:cs="宋体" w:eastAsia="宋体" w:hint="default"/>
          <w:spacing w:val="-2"/>
          <w:sz w:val="18"/>
          <w:szCs w:val="18"/>
        </w:rPr>
        <w:t>时代发展的需要及网络强国战略实施，我国网络安全产业规模逐年增长，发展空间巨大。</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年，我国网络安全产业规模超</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1"/>
          <w:sz w:val="18"/>
          <w:szCs w:val="18"/>
        </w:rPr>
        <w:t>过</w:t>
      </w:r>
      <w:r>
        <w:rPr>
          <w:rFonts w:ascii="Times New Roman" w:hAnsi="Times New Roman" w:cs="Times New Roman" w:eastAsia="Times New Roman" w:hint="default"/>
          <w:spacing w:val="-1"/>
          <w:sz w:val="18"/>
          <w:szCs w:val="18"/>
        </w:rPr>
        <w:t>600</w:t>
      </w:r>
      <w:r>
        <w:rPr>
          <w:rFonts w:ascii="宋体" w:hAnsi="宋体" w:cs="宋体" w:eastAsia="宋体" w:hint="default"/>
          <w:spacing w:val="-1"/>
          <w:sz w:val="18"/>
          <w:szCs w:val="18"/>
        </w:rPr>
        <w:t>亿元人民币，年增长率超过</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，高于全球</w:t>
      </w: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的平均增速，保持快速增长的良好势头。赛迪顾问数据显示，</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年我</w:t>
      </w:r>
      <w:r>
        <w:rPr>
          <w:rFonts w:ascii="宋体" w:hAnsi="宋体" w:cs="宋体" w:eastAsia="宋体" w:hint="default"/>
          <w:spacing w:val="-61"/>
          <w:sz w:val="18"/>
          <w:szCs w:val="18"/>
        </w:rPr>
        <w:t> </w:t>
      </w:r>
      <w:r>
        <w:rPr>
          <w:rFonts w:ascii="宋体" w:hAnsi="宋体" w:cs="宋体" w:eastAsia="宋体" w:hint="default"/>
          <w:sz w:val="18"/>
          <w:szCs w:val="18"/>
        </w:rPr>
        <w:t>国网络安全市场规模为</w:t>
      </w:r>
      <w:r>
        <w:rPr>
          <w:rFonts w:ascii="Times New Roman" w:hAnsi="Times New Roman" w:cs="Times New Roman" w:eastAsia="Times New Roman" w:hint="default"/>
          <w:sz w:val="18"/>
          <w:szCs w:val="18"/>
        </w:rPr>
        <w:t>495</w:t>
      </w:r>
      <w:r>
        <w:rPr>
          <w:rFonts w:ascii="宋体" w:hAnsi="宋体" w:cs="宋体" w:eastAsia="宋体" w:hint="default"/>
          <w:sz w:val="18"/>
          <w:szCs w:val="18"/>
        </w:rPr>
        <w:t>亿元，</w:t>
      </w:r>
      <w:r>
        <w:rPr>
          <w:rFonts w:ascii="Times New Roman" w:hAnsi="Times New Roman" w:cs="Times New Roman" w:eastAsia="Times New Roman" w:hint="default"/>
          <w:sz w:val="18"/>
          <w:szCs w:val="18"/>
        </w:rPr>
        <w:t>2025</w:t>
      </w:r>
      <w:r>
        <w:rPr>
          <w:rFonts w:ascii="宋体" w:hAnsi="宋体" w:cs="宋体" w:eastAsia="宋体" w:hint="default"/>
          <w:sz w:val="18"/>
          <w:szCs w:val="18"/>
        </w:rPr>
        <w:t>年市场规模将超过</w:t>
      </w:r>
      <w:r>
        <w:rPr>
          <w:rFonts w:ascii="Times New Roman" w:hAnsi="Times New Roman" w:cs="Times New Roman" w:eastAsia="Times New Roman" w:hint="default"/>
          <w:sz w:val="18"/>
          <w:szCs w:val="18"/>
        </w:rPr>
        <w:t>2000</w:t>
      </w:r>
      <w:r>
        <w:rPr>
          <w:rFonts w:ascii="宋体" w:hAnsi="宋体" w:cs="宋体" w:eastAsia="宋体" w:hint="default"/>
          <w:sz w:val="18"/>
          <w:szCs w:val="18"/>
        </w:rPr>
        <w:t>亿元，年均增长超过</w:t>
      </w:r>
      <w:r>
        <w:rPr>
          <w:rFonts w:ascii="Times New Roman" w:hAnsi="Times New Roman" w:cs="Times New Roman" w:eastAsia="Times New Roman" w:hint="default"/>
          <w:sz w:val="18"/>
          <w:szCs w:val="18"/>
        </w:rPr>
        <w:t>20%</w:t>
      </w:r>
      <w:r>
        <w:rPr>
          <w:rFonts w:ascii="宋体" w:hAnsi="宋体" w:cs="宋体" w:eastAsia="宋体" w:hint="default"/>
          <w:sz w:val="18"/>
          <w:szCs w:val="18"/>
        </w:rPr>
        <w:t>。据统计，全球网络安全投入占系统 总投入的比例近</w:t>
      </w:r>
      <w:r>
        <w:rPr>
          <w:rFonts w:ascii="Times New Roman" w:hAnsi="Times New Roman" w:cs="Times New Roman" w:eastAsia="Times New Roman" w:hint="default"/>
          <w:sz w:val="18"/>
          <w:szCs w:val="18"/>
        </w:rPr>
        <w:t>10%</w:t>
      </w:r>
      <w:r>
        <w:rPr>
          <w:rFonts w:ascii="宋体" w:hAnsi="宋体" w:cs="宋体" w:eastAsia="宋体" w:hint="default"/>
          <w:sz w:val="18"/>
          <w:szCs w:val="18"/>
        </w:rPr>
        <w:t>，而我国占比不到</w:t>
      </w:r>
      <w:r>
        <w:rPr>
          <w:rFonts w:ascii="Times New Roman" w:hAnsi="Times New Roman" w:cs="Times New Roman" w:eastAsia="Times New Roman" w:hint="default"/>
          <w:sz w:val="18"/>
          <w:szCs w:val="18"/>
        </w:rPr>
        <w:t>2%</w:t>
      </w:r>
      <w:r>
        <w:rPr>
          <w:rFonts w:ascii="宋体" w:hAnsi="宋体" w:cs="宋体" w:eastAsia="宋体" w:hint="default"/>
          <w:sz w:val="18"/>
          <w:szCs w:val="18"/>
        </w:rPr>
        <w:t>，差距明显，增长预期巨大。</w:t>
      </w:r>
    </w:p>
    <w:p>
      <w:pPr>
        <w:spacing w:line="300" w:lineRule="auto" w:before="13"/>
        <w:ind w:left="513" w:right="1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、网络安全监管体系持续完善，网络安全法律及配套制度逐步健全 网络安全等级保护制度</w:t>
      </w:r>
      <w:r>
        <w:rPr>
          <w:rFonts w:ascii="Times New Roman" w:hAnsi="Times New Roman" w:cs="Times New Roman" w:eastAsia="Times New Roman" w:hint="default"/>
          <w:sz w:val="18"/>
          <w:szCs w:val="18"/>
        </w:rPr>
        <w:t>2.0</w:t>
      </w:r>
      <w:r>
        <w:rPr>
          <w:rFonts w:ascii="宋体" w:hAnsi="宋体" w:cs="宋体" w:eastAsia="宋体" w:hint="default"/>
          <w:sz w:val="18"/>
          <w:szCs w:val="18"/>
        </w:rPr>
        <w:t>标准（以下简称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等保</w:t>
      </w:r>
      <w:r>
        <w:rPr>
          <w:rFonts w:ascii="Times New Roman" w:hAnsi="Times New Roman" w:cs="Times New Roman" w:eastAsia="Times New Roman" w:hint="default"/>
          <w:sz w:val="18"/>
          <w:szCs w:val="18"/>
        </w:rPr>
        <w:t>2.0</w:t>
      </w:r>
      <w:r>
        <w:rPr>
          <w:rFonts w:ascii="宋体" w:hAnsi="宋体" w:cs="宋体" w:eastAsia="宋体" w:hint="default"/>
          <w:sz w:val="18"/>
          <w:szCs w:val="18"/>
        </w:rPr>
        <w:t>标准</w:t>
      </w:r>
      <w:r>
        <w:rPr>
          <w:rFonts w:ascii="Times New Roman" w:hAnsi="Times New Roman" w:cs="Times New Roman" w:eastAsia="Times New Roman" w:hint="default"/>
          <w:sz w:val="18"/>
          <w:szCs w:val="18"/>
        </w:rPr>
        <w:t>”</w:t>
      </w:r>
      <w:r>
        <w:rPr>
          <w:rFonts w:ascii="宋体" w:hAnsi="宋体" w:cs="宋体" w:eastAsia="宋体" w:hint="default"/>
          <w:sz w:val="18"/>
          <w:szCs w:val="18"/>
        </w:rPr>
        <w:t>）于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月正式发布，并于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日开始实施。等保</w:t>
      </w:r>
    </w:p>
    <w:p>
      <w:pPr>
        <w:spacing w:line="304" w:lineRule="auto" w:before="13"/>
        <w:ind w:left="152" w:right="1126"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标准是我国信息安全保障的基本制度，是网络空间安全保障体系的重要支撑，标志着我国由传统的计算机信息系统防护 转向了新型计算环境下的网络空间主动防御体系建设。等保</w:t>
      </w:r>
      <w:r>
        <w:rPr>
          <w:rFonts w:ascii="Times New Roman" w:hAnsi="Times New Roman" w:cs="Times New Roman" w:eastAsia="Times New Roman" w:hint="default"/>
          <w:sz w:val="18"/>
          <w:szCs w:val="18"/>
        </w:rPr>
        <w:t>2.0</w:t>
      </w:r>
      <w:r>
        <w:rPr>
          <w:rFonts w:ascii="宋体" w:hAnsi="宋体" w:cs="宋体" w:eastAsia="宋体" w:hint="default"/>
          <w:sz w:val="18"/>
          <w:szCs w:val="18"/>
        </w:rPr>
        <w:t>时代重点对云计算、移动互联网、物联网、工业控制以及大 </w:t>
      </w:r>
      <w:r>
        <w:rPr>
          <w:rFonts w:ascii="宋体" w:hAnsi="宋体" w:cs="宋体" w:eastAsia="宋体" w:hint="default"/>
          <w:spacing w:val="-2"/>
          <w:sz w:val="18"/>
          <w:szCs w:val="18"/>
        </w:rPr>
        <w:t>数据安全等进行全面安全防护，确保关键信息基础设施安全。密码治理是数字经济安全治理的重要组成部分。</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pacing w:val="-2"/>
          <w:sz w:val="18"/>
          <w:szCs w:val="18"/>
        </w:rPr>
        <w:t>日，第十三届全国人大常委会第十四次会议通过《中华人民共和国密码法》（以下简称《密码法》），习近平主席签署第</w:t>
      </w:r>
      <w:r>
        <w:rPr>
          <w:rFonts w:ascii="Times New Roman" w:hAnsi="Times New Roman" w:cs="Times New Roman" w:eastAsia="Times New Roman" w:hint="default"/>
          <w:spacing w:val="-2"/>
          <w:sz w:val="18"/>
          <w:szCs w:val="18"/>
        </w:rPr>
        <w:t>35</w:t>
      </w:r>
      <w:r>
        <w:rPr>
          <w:rFonts w:ascii="Times New Roman" w:hAnsi="Times New Roman" w:cs="Times New Roman" w:eastAsia="Times New Roman" w:hint="default"/>
          <w:spacing w:val="-18"/>
          <w:sz w:val="18"/>
          <w:szCs w:val="18"/>
        </w:rPr>
        <w:t> </w:t>
      </w:r>
      <w:r>
        <w:rPr>
          <w:rFonts w:ascii="宋体" w:hAnsi="宋体" w:cs="宋体" w:eastAsia="宋体" w:hint="default"/>
          <w:spacing w:val="-2"/>
          <w:sz w:val="18"/>
          <w:szCs w:val="18"/>
        </w:rPr>
        <w:t>号主席令予以公布，将于</w:t>
      </w:r>
      <w:r>
        <w:rPr>
          <w:rFonts w:ascii="Times New Roman" w:hAnsi="Times New Roman" w:cs="Times New Roman" w:eastAsia="Times New Roman" w:hint="default"/>
          <w:spacing w:val="-2"/>
          <w:sz w:val="18"/>
          <w:szCs w:val="18"/>
        </w:rPr>
        <w:t>2020</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日起正式施行。这是我国密码领域第一部综合性、基础性法律，对于规范密码应用和管</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2"/>
          <w:sz w:val="18"/>
          <w:szCs w:val="18"/>
        </w:rPr>
        <w:t>理，更好地发挥密码在维护国家安全、促进经济社会发展、保护人民群众利益方面具有十分重要的意义，对于提升数据安全</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治理效能也具有重要作用。此外，关键信息基础设施保护、个人信息保护和数据安全领域相关政策和标准的出台，也为网络</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安全产业发展夯实了基础、营造了良好的发展环境。</w:t>
      </w:r>
    </w:p>
    <w:p>
      <w:pPr>
        <w:spacing w:line="300" w:lineRule="auto" w:before="28"/>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、数字经济蓬勃发展，网络安全从以合规需求为主向合规需求与内生需求并存转变 </w:t>
      </w:r>
      <w:r>
        <w:rPr>
          <w:rFonts w:ascii="宋体" w:hAnsi="宋体" w:cs="宋体" w:eastAsia="宋体" w:hint="default"/>
          <w:spacing w:val="-2"/>
          <w:sz w:val="18"/>
          <w:szCs w:val="18"/>
        </w:rPr>
        <w:t>党的十九大明确提出，到</w:t>
      </w:r>
      <w:r>
        <w:rPr>
          <w:rFonts w:ascii="Times New Roman" w:hAnsi="Times New Roman" w:cs="Times New Roman" w:eastAsia="Times New Roman" w:hint="default"/>
          <w:spacing w:val="-2"/>
          <w:sz w:val="18"/>
          <w:szCs w:val="18"/>
        </w:rPr>
        <w:t>2035</w:t>
      </w:r>
      <w:r>
        <w:rPr>
          <w:rFonts w:ascii="宋体" w:hAnsi="宋体" w:cs="宋体" w:eastAsia="宋体" w:hint="default"/>
          <w:spacing w:val="-2"/>
          <w:sz w:val="18"/>
          <w:szCs w:val="18"/>
        </w:rPr>
        <w:t>年我国将基本实现社会主义现代化。我国大力推动供给侧结构性改革，经济已由高速发展</w:t>
      </w:r>
    </w:p>
    <w:p>
      <w:pPr>
        <w:spacing w:line="312" w:lineRule="auto" w:before="13"/>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阶段转向高质量发展阶段，我国正处在转变发展方式、优化经济结构、转换增长动力的攻关期。发展数字经济成为经济高质</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4"/>
          <w:sz w:val="18"/>
          <w:szCs w:val="18"/>
        </w:rPr>
        <w:t>量发展的重要着力点，数字产业化、产业数字化进程不断加快，数字经济和实体经济加快融合，智能商业高速发展，在线化、</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智能化、网络化趋势不断加强，数字资产价值快速提升，数据成为</w:t>
      </w:r>
      <w:r>
        <w:rPr>
          <w:rFonts w:ascii="Times New Roman" w:hAnsi="Times New Roman" w:cs="Times New Roman" w:eastAsia="Times New Roman" w:hint="default"/>
          <w:sz w:val="18"/>
          <w:szCs w:val="18"/>
        </w:rPr>
        <w:t>“</w:t>
      </w:r>
      <w:r>
        <w:rPr>
          <w:rFonts w:ascii="宋体" w:hAnsi="宋体" w:cs="宋体" w:eastAsia="宋体" w:hint="default"/>
          <w:sz w:val="18"/>
          <w:szCs w:val="18"/>
        </w:rPr>
        <w:t>新生产要素</w:t>
      </w:r>
      <w:r>
        <w:rPr>
          <w:rFonts w:ascii="Times New Roman" w:hAnsi="Times New Roman" w:cs="Times New Roman" w:eastAsia="Times New Roman" w:hint="default"/>
          <w:sz w:val="18"/>
          <w:szCs w:val="18"/>
        </w:rPr>
        <w:t>”</w:t>
      </w:r>
      <w:r>
        <w:rPr>
          <w:rFonts w:ascii="宋体" w:hAnsi="宋体" w:cs="宋体" w:eastAsia="宋体" w:hint="default"/>
          <w:sz w:val="18"/>
          <w:szCs w:val="18"/>
        </w:rPr>
        <w:t>，网络成为</w:t>
      </w:r>
      <w:r>
        <w:rPr>
          <w:rFonts w:ascii="Times New Roman" w:hAnsi="Times New Roman" w:cs="Times New Roman" w:eastAsia="Times New Roman" w:hint="default"/>
          <w:sz w:val="18"/>
          <w:szCs w:val="18"/>
        </w:rPr>
        <w:t>“</w:t>
      </w:r>
      <w:r>
        <w:rPr>
          <w:rFonts w:ascii="宋体" w:hAnsi="宋体" w:cs="宋体" w:eastAsia="宋体" w:hint="default"/>
          <w:sz w:val="18"/>
          <w:szCs w:val="18"/>
        </w:rPr>
        <w:t>新基础设施</w:t>
      </w:r>
      <w:r>
        <w:rPr>
          <w:rFonts w:ascii="Times New Roman" w:hAnsi="Times New Roman" w:cs="Times New Roman" w:eastAsia="Times New Roman" w:hint="default"/>
          <w:sz w:val="18"/>
          <w:szCs w:val="18"/>
        </w:rPr>
        <w:t>”</w:t>
      </w:r>
      <w:r>
        <w:rPr>
          <w:rFonts w:ascii="宋体" w:hAnsi="宋体" w:cs="宋体" w:eastAsia="宋体" w:hint="default"/>
          <w:sz w:val="18"/>
          <w:szCs w:val="18"/>
        </w:rPr>
        <w:t>。保证在线业务的 安全连续运行、数据资产安全可控的需求日趋迫切，已不限于满足政策合规，更成为内生刚性需求。</w:t>
      </w:r>
    </w:p>
    <w:p>
      <w:pPr>
        <w:spacing w:line="300" w:lineRule="auto" w:before="23"/>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、网络安全成为社会治理和个人隐私保护的焦点 </w:t>
      </w:r>
      <w:r>
        <w:rPr>
          <w:rFonts w:ascii="宋体" w:hAnsi="宋体" w:cs="宋体" w:eastAsia="宋体" w:hint="default"/>
          <w:spacing w:val="-2"/>
          <w:sz w:val="18"/>
          <w:szCs w:val="18"/>
        </w:rPr>
        <w:t>当前，网络信息技术日新月异，全面融入社会生产生活，安全风险倍增且加速向社会各领域扩散。网络安全问题涉及到</w:t>
      </w:r>
    </w:p>
    <w:p>
      <w:pPr>
        <w:spacing w:line="300" w:lineRule="auto" w:before="31"/>
        <w:ind w:left="152" w:right="1071" w:firstLine="0"/>
        <w:jc w:val="both"/>
        <w:rPr>
          <w:rFonts w:ascii="宋体" w:hAnsi="宋体" w:cs="宋体" w:eastAsia="宋体" w:hint="default"/>
          <w:sz w:val="18"/>
          <w:szCs w:val="18"/>
        </w:rPr>
      </w:pPr>
      <w:r>
        <w:rPr>
          <w:rFonts w:ascii="宋体" w:hAnsi="宋体" w:cs="宋体" w:eastAsia="宋体" w:hint="default"/>
          <w:sz w:val="18"/>
          <w:szCs w:val="18"/>
        </w:rPr>
        <w:t>个人隐私信息保护和打击网络犯罪，关系到网络舆论空间的</w:t>
      </w:r>
      <w:r>
        <w:rPr>
          <w:rFonts w:ascii="Times New Roman" w:hAnsi="Times New Roman" w:cs="Times New Roman" w:eastAsia="Times New Roman" w:hint="default"/>
          <w:sz w:val="18"/>
          <w:szCs w:val="18"/>
        </w:rPr>
        <w:t>“</w:t>
      </w:r>
      <w:r>
        <w:rPr>
          <w:rFonts w:ascii="宋体" w:hAnsi="宋体" w:cs="宋体" w:eastAsia="宋体" w:hint="default"/>
          <w:sz w:val="18"/>
          <w:szCs w:val="18"/>
        </w:rPr>
        <w:t>风清气朗</w:t>
      </w:r>
      <w:r>
        <w:rPr>
          <w:rFonts w:ascii="Times New Roman" w:hAnsi="Times New Roman" w:cs="Times New Roman" w:eastAsia="Times New Roman" w:hint="default"/>
          <w:sz w:val="18"/>
          <w:szCs w:val="18"/>
        </w:rPr>
        <w:t>”</w:t>
      </w:r>
      <w:r>
        <w:rPr>
          <w:rFonts w:ascii="宋体" w:hAnsi="宋体" w:cs="宋体" w:eastAsia="宋体" w:hint="default"/>
          <w:sz w:val="18"/>
          <w:szCs w:val="18"/>
        </w:rPr>
        <w:t>，关系到社会稳定和人民群众切身利益等社会问题。 网络安全不再仅仅局限于国际、党政、关键基础设施领域，医疗、教育等行业正成为社会治理的重要施力点。</w:t>
      </w:r>
    </w:p>
    <w:p>
      <w:pPr>
        <w:spacing w:before="31"/>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、新兴技术推动网络安全产业快速发展</w:t>
      </w:r>
    </w:p>
    <w:p>
      <w:pPr>
        <w:spacing w:line="312" w:lineRule="auto" w:before="63"/>
        <w:ind w:left="152" w:right="113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5G</w:t>
      </w:r>
      <w:r>
        <w:rPr>
          <w:rFonts w:ascii="宋体" w:hAnsi="宋体" w:cs="宋体" w:eastAsia="宋体" w:hint="default"/>
          <w:sz w:val="18"/>
          <w:szCs w:val="18"/>
        </w:rPr>
        <w:t>、人工智能、区块链、大数据、云计算、移动互联网等各种新技术、新应用、新场景不断萌生，使安全形势愈发严 </w:t>
      </w:r>
      <w:r>
        <w:rPr>
          <w:rFonts w:ascii="宋体" w:hAnsi="宋体" w:cs="宋体" w:eastAsia="宋体" w:hint="default"/>
          <w:spacing w:val="-2"/>
          <w:sz w:val="18"/>
          <w:szCs w:val="18"/>
        </w:rPr>
        <w:t>峻。针对关键基础设施的网络攻击愈演愈烈，互联网与传统产业、传统应用与服务融合引发的安全威胁更为复杂，物联网安</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全风险愈发严峻，网络安全需求不断延伸，网络空间更加复杂，边界更加模糊，网络空间安全风险显著变化，驱动着网络安</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全防护机制持续升级。</w:t>
      </w:r>
    </w:p>
    <w:p>
      <w:pPr>
        <w:spacing w:line="240" w:lineRule="auto" w:before="2"/>
        <w:rPr>
          <w:rFonts w:ascii="宋体" w:hAnsi="宋体" w:cs="宋体" w:eastAsia="宋体" w:hint="default"/>
          <w:sz w:val="21"/>
          <w:szCs w:val="21"/>
        </w:rPr>
      </w:pPr>
    </w:p>
    <w:p>
      <w:pPr>
        <w:pStyle w:val="Heading2"/>
        <w:spacing w:line="240" w:lineRule="auto"/>
        <w:ind w:right="0"/>
        <w:jc w:val="both"/>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3"/>
        <w:rPr>
          <w:rFonts w:ascii="宋体" w:hAnsi="宋体" w:cs="宋体" w:eastAsia="宋体" w:hint="default"/>
          <w:b/>
          <w:bCs/>
          <w:sz w:val="27"/>
          <w:szCs w:val="27"/>
        </w:rPr>
      </w:pPr>
    </w:p>
    <w:tbl>
      <w:tblPr>
        <w:tblW w:w="0" w:type="auto"/>
        <w:jc w:val="left"/>
        <w:tblInd w:w="160" w:type="dxa"/>
        <w:tblLayout w:type="fixed"/>
        <w:tblCellMar>
          <w:top w:w="0" w:type="dxa"/>
          <w:left w:w="0" w:type="dxa"/>
          <w:bottom w:w="0" w:type="dxa"/>
          <w:right w:w="0" w:type="dxa"/>
        </w:tblCellMar>
        <w:tblLook w:val="01E0"/>
      </w:tblPr>
      <w:tblGrid>
        <w:gridCol w:w="2104"/>
        <w:gridCol w:w="7455"/>
      </w:tblGrid>
      <w:tr>
        <w:trPr>
          <w:trHeight w:val="302"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ind w:left="686"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7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ind w:left="8"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3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left="1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7455" w:type="dxa"/>
            <w:tcBorders>
              <w:top w:val="single" w:sz="28" w:space="0" w:color="D2D2D2"/>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4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4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4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2127"/>
        <w:gridCol w:w="7444"/>
      </w:tblGrid>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主要系本年公司票据结算业务量增加所致。</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主要系报告期满足资本化条件的研发支出增加，导致开发支出增加。</w:t>
            </w: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74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6"/>
              <w:jc w:val="left"/>
              <w:rPr>
                <w:rFonts w:ascii="宋体" w:hAnsi="宋体" w:cs="宋体" w:eastAsia="宋体" w:hint="default"/>
                <w:sz w:val="18"/>
                <w:szCs w:val="18"/>
              </w:rPr>
            </w:pPr>
            <w:r>
              <w:rPr>
                <w:rFonts w:ascii="宋体" w:hAnsi="宋体" w:cs="宋体" w:eastAsia="宋体" w:hint="default"/>
                <w:sz w:val="18"/>
                <w:szCs w:val="18"/>
              </w:rPr>
              <w:t>主要系子公司中电科（北京）网络信息安全有限公司“行业安全解决方案创新中心项目”部分 满足条件转入固定资产，导致其他非流动资产减少。</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both"/>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bookmarkStart w:name="三、核心竞争力分析" w:id="22"/>
      <w:bookmarkEnd w:id="22"/>
      <w:r>
        <w:rPr>
          <w:b w:val="0"/>
          <w:bCs w:val="0"/>
        </w:rPr>
      </w:r>
      <w:r>
        <w:rPr/>
        <w:t>三、核心竞争力分析</w:t>
      </w:r>
      <w:r>
        <w:rPr>
          <w:b w:val="0"/>
          <w:bCs w:val="0"/>
        </w:rPr>
      </w:r>
    </w:p>
    <w:p>
      <w:pPr>
        <w:spacing w:line="240" w:lineRule="auto" w:before="6"/>
        <w:rPr>
          <w:rFonts w:ascii="宋体" w:hAnsi="宋体" w:cs="宋体" w:eastAsia="宋体" w:hint="default"/>
          <w:b/>
          <w:bCs/>
          <w:sz w:val="26"/>
          <w:szCs w:val="26"/>
        </w:rPr>
      </w:pPr>
    </w:p>
    <w:p>
      <w:pPr>
        <w:spacing w:line="319" w:lineRule="auto" w:before="0"/>
        <w:ind w:left="152" w:right="1133" w:firstLine="360"/>
        <w:jc w:val="both"/>
        <w:rPr>
          <w:rFonts w:ascii="宋体" w:hAnsi="宋体" w:cs="宋体" w:eastAsia="宋体" w:hint="default"/>
          <w:sz w:val="18"/>
          <w:szCs w:val="18"/>
        </w:rPr>
      </w:pPr>
      <w:r>
        <w:rPr>
          <w:rFonts w:ascii="宋体" w:hAnsi="宋体" w:cs="宋体" w:eastAsia="宋体" w:hint="default"/>
          <w:spacing w:val="-2"/>
          <w:sz w:val="18"/>
          <w:szCs w:val="18"/>
        </w:rPr>
        <w:t>卫士通公司自成立以来，一直专注于网络信息安全，经过二十余年的发展，积累了大量密码及网络安全核心技术，能够</w:t>
      </w:r>
      <w:r>
        <w:rPr>
          <w:rFonts w:ascii="宋体" w:hAnsi="宋体" w:cs="宋体" w:eastAsia="宋体" w:hint="default"/>
          <w:sz w:val="18"/>
          <w:szCs w:val="18"/>
        </w:rPr>
        <w:t> </w:t>
      </w:r>
      <w:r>
        <w:rPr>
          <w:rFonts w:ascii="宋体" w:hAnsi="宋体" w:cs="宋体" w:eastAsia="宋体" w:hint="default"/>
          <w:spacing w:val="-2"/>
          <w:sz w:val="18"/>
          <w:szCs w:val="18"/>
        </w:rPr>
        <w:t>满足用户从硬件到软件、从底层到应用层、从端到云的一体化安全需求，帮助用户有效解决基础设施防护、智慧城市、移动</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办公、安全应用、工业控制、云计算、信任服务等各类场景中面临的安全问题。</w:t>
      </w:r>
    </w:p>
    <w:p>
      <w:pPr>
        <w:spacing w:line="300" w:lineRule="auto" w:before="17"/>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、完整的产业链覆盖 </w:t>
      </w:r>
      <w:r>
        <w:rPr>
          <w:rFonts w:ascii="宋体" w:hAnsi="宋体" w:cs="宋体" w:eastAsia="宋体" w:hint="default"/>
          <w:spacing w:val="-2"/>
          <w:sz w:val="18"/>
          <w:szCs w:val="18"/>
        </w:rPr>
        <w:t>公司拥有</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密码基因</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，构建了覆盖芯片、模块、平台、整机和系统的产品体系，并具备产业链各环节的设计、制造、营</w:t>
      </w:r>
    </w:p>
    <w:p>
      <w:pPr>
        <w:spacing w:before="13"/>
        <w:ind w:left="152" w:right="0" w:firstLine="0"/>
        <w:jc w:val="both"/>
        <w:rPr>
          <w:rFonts w:ascii="宋体" w:hAnsi="宋体" w:cs="宋体" w:eastAsia="宋体" w:hint="default"/>
          <w:sz w:val="18"/>
          <w:szCs w:val="18"/>
        </w:rPr>
      </w:pPr>
      <w:r>
        <w:rPr>
          <w:rFonts w:ascii="宋体" w:hAnsi="宋体" w:cs="宋体" w:eastAsia="宋体" w:hint="default"/>
          <w:sz w:val="18"/>
          <w:szCs w:val="18"/>
        </w:rPr>
        <w:t>销、服务能力，成为公司核心优势。</w:t>
      </w:r>
    </w:p>
    <w:p>
      <w:pPr>
        <w:spacing w:line="300" w:lineRule="auto" w:before="76"/>
        <w:ind w:left="513" w:right="112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、密码技术深厚积淀 </w:t>
      </w:r>
      <w:r>
        <w:rPr>
          <w:rFonts w:ascii="宋体" w:hAnsi="宋体" w:cs="宋体" w:eastAsia="宋体" w:hint="default"/>
          <w:spacing w:val="-2"/>
          <w:sz w:val="18"/>
          <w:szCs w:val="18"/>
        </w:rPr>
        <w:t>密码是网络安全的基础支撑和核心保障，公司长期在密码技术领域进行研究和拓展，具有深厚的技术积累。公司在密码</w:t>
      </w:r>
    </w:p>
    <w:p>
      <w:pPr>
        <w:spacing w:line="316" w:lineRule="auto" w:before="31"/>
        <w:ind w:left="152" w:right="1130" w:firstLine="0"/>
        <w:jc w:val="both"/>
        <w:rPr>
          <w:rFonts w:ascii="宋体" w:hAnsi="宋体" w:cs="宋体" w:eastAsia="宋体" w:hint="default"/>
          <w:sz w:val="18"/>
          <w:szCs w:val="18"/>
        </w:rPr>
      </w:pPr>
      <w:r>
        <w:rPr>
          <w:rFonts w:ascii="宋体" w:hAnsi="宋体" w:cs="宋体" w:eastAsia="宋体" w:hint="default"/>
          <w:spacing w:val="-2"/>
          <w:sz w:val="18"/>
          <w:szCs w:val="18"/>
        </w:rPr>
        <w:t>产品多样性和密码算法高性能实现方面一直保持国内领先，多项商密产品达到国内首创、国际领先水平。公司持续参与支撑</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了国家顶层规划、国家标准和重大行业标准的制定，包括国家信息安全标准体系、国家密码标准体系规划、信息安全产品认</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证管理体系等，为公司的可持续发展奠定了坚实的基础。</w:t>
      </w:r>
    </w:p>
    <w:p>
      <w:pPr>
        <w:spacing w:line="300" w:lineRule="auto" w:before="19"/>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、全生命周期安全集成与服务能力 公司凭借先进的网络安全体系框架理念和完整的产品线综合优势，形成了</w:t>
      </w:r>
      <w:r>
        <w:rPr>
          <w:rFonts w:ascii="Times New Roman" w:hAnsi="Times New Roman" w:cs="Times New Roman" w:eastAsia="Times New Roman" w:hint="default"/>
          <w:sz w:val="18"/>
          <w:szCs w:val="18"/>
        </w:rPr>
        <w:t>“</w:t>
      </w:r>
      <w:r>
        <w:rPr>
          <w:rFonts w:ascii="宋体" w:hAnsi="宋体" w:cs="宋体" w:eastAsia="宋体" w:hint="default"/>
          <w:sz w:val="18"/>
          <w:szCs w:val="18"/>
        </w:rPr>
        <w:t>安全咨询、在线安全服务、应急响应服务、</w:t>
      </w:r>
    </w:p>
    <w:p>
      <w:pPr>
        <w:spacing w:line="309" w:lineRule="auto" w:before="13"/>
        <w:ind w:left="152" w:right="0" w:firstLine="0"/>
        <w:jc w:val="left"/>
        <w:rPr>
          <w:rFonts w:ascii="宋体" w:hAnsi="宋体" w:cs="宋体" w:eastAsia="宋体" w:hint="default"/>
          <w:sz w:val="18"/>
          <w:szCs w:val="18"/>
        </w:rPr>
      </w:pPr>
      <w:r>
        <w:rPr>
          <w:rFonts w:ascii="宋体" w:hAnsi="宋体" w:cs="宋体" w:eastAsia="宋体" w:hint="default"/>
          <w:sz w:val="18"/>
          <w:szCs w:val="18"/>
        </w:rPr>
        <w:t>安全运维服务</w:t>
      </w:r>
      <w:r>
        <w:rPr>
          <w:rFonts w:ascii="Times New Roman" w:hAnsi="Times New Roman" w:cs="Times New Roman" w:eastAsia="Times New Roman" w:hint="default"/>
          <w:sz w:val="18"/>
          <w:szCs w:val="18"/>
        </w:rPr>
        <w:t>”</w:t>
      </w:r>
      <w:r>
        <w:rPr>
          <w:rFonts w:ascii="宋体" w:hAnsi="宋体" w:cs="宋体" w:eastAsia="宋体" w:hint="default"/>
          <w:sz w:val="18"/>
          <w:szCs w:val="18"/>
        </w:rPr>
        <w:t>为主要内容的信息系统全生命周期安全集成与服务能力，承接了大量国家级重点工程，并为政府、央企、金 </w:t>
      </w:r>
      <w:r>
        <w:rPr>
          <w:rFonts w:ascii="宋体" w:hAnsi="宋体" w:cs="宋体" w:eastAsia="宋体" w:hint="default"/>
          <w:spacing w:val="-4"/>
          <w:sz w:val="18"/>
          <w:szCs w:val="18"/>
        </w:rPr>
        <w:t>融、能源、社保、交通等重点领域及行业用户提供安全集成与服务，切实肩负起了保障社会公共安全的责任，在北京奥运会、</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杭州</w:t>
      </w:r>
      <w:r>
        <w:rPr>
          <w:rFonts w:ascii="Times New Roman" w:hAnsi="Times New Roman" w:cs="Times New Roman" w:eastAsia="Times New Roman" w:hint="default"/>
          <w:sz w:val="18"/>
          <w:szCs w:val="18"/>
        </w:rPr>
        <w:t>G20</w:t>
      </w:r>
      <w:r>
        <w:rPr>
          <w:rFonts w:ascii="宋体" w:hAnsi="宋体" w:cs="宋体" w:eastAsia="宋体" w:hint="default"/>
          <w:sz w:val="18"/>
          <w:szCs w:val="18"/>
        </w:rPr>
        <w:t>峰会、上海世博会等多个国家重大活动中发挥了重要作用。</w:t>
      </w:r>
    </w:p>
    <w:p>
      <w:pPr>
        <w:spacing w:line="300" w:lineRule="auto" w:before="5"/>
        <w:ind w:left="513"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、辐射全国的市场营销网络 公司建立了行业和区域相结合的矩阵式营销服务支撑体系，通过华北、华东、华南、西部、四川</w:t>
      </w:r>
      <w:r>
        <w:rPr>
          <w:rFonts w:ascii="Times New Roman" w:hAnsi="Times New Roman" w:cs="Times New Roman" w:eastAsia="Times New Roman" w:hint="default"/>
          <w:sz w:val="18"/>
          <w:szCs w:val="18"/>
        </w:rPr>
        <w:t>5</w:t>
      </w:r>
      <w:r>
        <w:rPr>
          <w:rFonts w:ascii="宋体" w:hAnsi="宋体" w:cs="宋体" w:eastAsia="宋体" w:hint="default"/>
          <w:sz w:val="18"/>
          <w:szCs w:val="18"/>
        </w:rPr>
        <w:t>大区域营销中心及下</w:t>
      </w:r>
    </w:p>
    <w:p>
      <w:pPr>
        <w:spacing w:line="300" w:lineRule="auto" w:before="13"/>
        <w:ind w:left="152" w:right="1132" w:firstLine="0"/>
        <w:jc w:val="both"/>
        <w:rPr>
          <w:rFonts w:ascii="宋体" w:hAnsi="宋体" w:cs="宋体" w:eastAsia="宋体" w:hint="default"/>
          <w:sz w:val="18"/>
          <w:szCs w:val="18"/>
        </w:rPr>
      </w:pPr>
      <w:r>
        <w:rPr>
          <w:rFonts w:ascii="宋体" w:hAnsi="宋体" w:cs="宋体" w:eastAsia="宋体" w:hint="default"/>
          <w:spacing w:val="-2"/>
          <w:sz w:val="18"/>
          <w:szCs w:val="18"/>
        </w:rPr>
        <w:t>设的</w:t>
      </w:r>
      <w:r>
        <w:rPr>
          <w:rFonts w:ascii="Times New Roman" w:hAnsi="Times New Roman" w:cs="Times New Roman" w:eastAsia="Times New Roman" w:hint="default"/>
          <w:spacing w:val="-2"/>
          <w:sz w:val="18"/>
          <w:szCs w:val="18"/>
        </w:rPr>
        <w:t>20</w:t>
      </w:r>
      <w:r>
        <w:rPr>
          <w:rFonts w:ascii="宋体" w:hAnsi="宋体" w:cs="宋体" w:eastAsia="宋体" w:hint="default"/>
          <w:spacing w:val="-2"/>
          <w:sz w:val="18"/>
          <w:szCs w:val="18"/>
        </w:rPr>
        <w:t>余个办事处，配合政府、行业等行业营销部门与整体保障、移动互联网、卫士云三大事业部，建立了辐射全国的营销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服务网络，为用户提供专业的网络信息安全整体解决方案、</w:t>
      </w:r>
      <w:r>
        <w:rPr>
          <w:rFonts w:ascii="Times New Roman" w:hAnsi="Times New Roman" w:cs="Times New Roman" w:eastAsia="Times New Roman" w:hint="default"/>
          <w:spacing w:val="-2"/>
          <w:sz w:val="18"/>
          <w:szCs w:val="18"/>
        </w:rPr>
        <w:t>7x24</w:t>
      </w:r>
      <w:r>
        <w:rPr>
          <w:rFonts w:ascii="宋体" w:hAnsi="宋体" w:cs="宋体" w:eastAsia="宋体" w:hint="default"/>
          <w:spacing w:val="-2"/>
          <w:sz w:val="18"/>
          <w:szCs w:val="18"/>
        </w:rPr>
        <w:t>小时的日常维护、驻场、应急保障等服务，为公司全国化业</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务布局提供强力支撑。</w:t>
      </w:r>
    </w:p>
    <w:p>
      <w:pPr>
        <w:spacing w:line="300" w:lineRule="auto" w:before="31"/>
        <w:ind w:left="513" w:right="112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、持续提升的技术创新能力 </w:t>
      </w:r>
      <w:r>
        <w:rPr>
          <w:rFonts w:ascii="宋体" w:hAnsi="宋体" w:cs="宋体" w:eastAsia="宋体" w:hint="default"/>
          <w:spacing w:val="-2"/>
          <w:sz w:val="18"/>
          <w:szCs w:val="18"/>
        </w:rPr>
        <w:t>公司研发的系列密码产品具有完全自主知识产权，现有</w:t>
      </w:r>
      <w:r>
        <w:rPr>
          <w:rFonts w:ascii="Times New Roman" w:hAnsi="Times New Roman" w:cs="Times New Roman" w:eastAsia="Times New Roman" w:hint="default"/>
          <w:spacing w:val="-2"/>
          <w:sz w:val="18"/>
          <w:szCs w:val="18"/>
        </w:rPr>
        <w:t>143</w:t>
      </w:r>
      <w:r>
        <w:rPr>
          <w:rFonts w:ascii="宋体" w:hAnsi="宋体" w:cs="宋体" w:eastAsia="宋体" w:hint="default"/>
          <w:spacing w:val="-2"/>
          <w:sz w:val="18"/>
          <w:szCs w:val="18"/>
        </w:rPr>
        <w:t>项发明专利、</w:t>
      </w:r>
      <w:r>
        <w:rPr>
          <w:rFonts w:ascii="Times New Roman" w:hAnsi="Times New Roman" w:cs="Times New Roman" w:eastAsia="Times New Roman" w:hint="default"/>
          <w:spacing w:val="-2"/>
          <w:sz w:val="18"/>
          <w:szCs w:val="18"/>
        </w:rPr>
        <w:t>374</w:t>
      </w:r>
      <w:r>
        <w:rPr>
          <w:rFonts w:ascii="宋体" w:hAnsi="宋体" w:cs="宋体" w:eastAsia="宋体" w:hint="default"/>
          <w:spacing w:val="-2"/>
          <w:sz w:val="18"/>
          <w:szCs w:val="18"/>
        </w:rPr>
        <w:t>项软件著作权。公司承担了大量国家级重大</w:t>
      </w:r>
    </w:p>
    <w:p>
      <w:pPr>
        <w:spacing w:line="309" w:lineRule="auto" w:before="13"/>
        <w:ind w:left="152" w:right="1131" w:firstLine="0"/>
        <w:jc w:val="both"/>
        <w:rPr>
          <w:rFonts w:ascii="宋体" w:hAnsi="宋体" w:cs="宋体" w:eastAsia="宋体" w:hint="default"/>
          <w:sz w:val="18"/>
          <w:szCs w:val="18"/>
        </w:rPr>
      </w:pPr>
      <w:r>
        <w:rPr>
          <w:rFonts w:ascii="宋体" w:hAnsi="宋体" w:cs="宋体" w:eastAsia="宋体" w:hint="default"/>
          <w:spacing w:val="-2"/>
          <w:sz w:val="18"/>
          <w:szCs w:val="18"/>
        </w:rPr>
        <w:t>技术攻关及产业化项目以及国家、省部委重点新产品、重点技术创新科研项目，并高度重视研发与技术创新，成立了包括研</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究院、摩石实验室、省级科技创新平台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可信云计算与大数据四川省重点实验室</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等一系列科研创新机构，在公司现有产品及</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服务体系基础上，不断加大在</w:t>
      </w:r>
      <w:r>
        <w:rPr>
          <w:rFonts w:ascii="Times New Roman" w:hAnsi="Times New Roman" w:cs="Times New Roman" w:eastAsia="Times New Roman" w:hint="default"/>
          <w:sz w:val="18"/>
          <w:szCs w:val="18"/>
        </w:rPr>
        <w:t>5G</w:t>
      </w:r>
      <w:r>
        <w:rPr>
          <w:rFonts w:ascii="宋体" w:hAnsi="宋体" w:cs="宋体" w:eastAsia="宋体" w:hint="default"/>
          <w:sz w:val="18"/>
          <w:szCs w:val="18"/>
        </w:rPr>
        <w:t>安全、工控安全、物联网安全、云计算安全、安全云平台建设等领域的技术创新能力。</w:t>
      </w:r>
    </w:p>
    <w:p>
      <w:pPr>
        <w:spacing w:line="300" w:lineRule="auto" w:before="5"/>
        <w:ind w:left="513" w:right="112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、稳定的核心人才队伍 </w:t>
      </w:r>
      <w:r>
        <w:rPr>
          <w:rFonts w:ascii="宋体" w:hAnsi="宋体" w:cs="宋体" w:eastAsia="宋体" w:hint="default"/>
          <w:spacing w:val="-2"/>
          <w:sz w:val="18"/>
          <w:szCs w:val="18"/>
        </w:rPr>
        <w:t>公司高度注重人才队伍建设，持续开展网络安全核心人才挖掘和培养，通过外部引进、自身培养等多种方式，构建了一</w:t>
      </w:r>
    </w:p>
    <w:p>
      <w:pPr>
        <w:spacing w:line="316" w:lineRule="auto" w:before="31"/>
        <w:ind w:left="152" w:right="1131" w:firstLine="0"/>
        <w:jc w:val="both"/>
        <w:rPr>
          <w:rFonts w:ascii="宋体" w:hAnsi="宋体" w:cs="宋体" w:eastAsia="宋体" w:hint="default"/>
          <w:sz w:val="18"/>
          <w:szCs w:val="18"/>
        </w:rPr>
      </w:pPr>
      <w:r>
        <w:rPr>
          <w:rFonts w:ascii="宋体" w:hAnsi="宋体" w:cs="宋体" w:eastAsia="宋体" w:hint="default"/>
          <w:spacing w:val="-2"/>
          <w:sz w:val="18"/>
          <w:szCs w:val="18"/>
        </w:rPr>
        <w:t>支稳定的技术研发、总体规划、营销策划核心人才队伍。公司拥有人力资源和社会保障部认定的企业博士后科研工作站，并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与国内知名高校及科研院所建立起长期合作关系，通过项目合作、实习实训平台、互派教授导师等校企合作方式，产学研相</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结合，快速有力推进各类前沿技术和科研成果的市场化进程，激发人才队伍活力，实现公司可持续发展。</w:t>
      </w:r>
    </w:p>
    <w:p>
      <w:pPr>
        <w:spacing w:line="300" w:lineRule="auto" w:before="18"/>
        <w:ind w:left="513" w:right="116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、完备的网络安全资质体系 公司拥有较完备的网络信息安全资质体系，包括计算机信息系统集成一级资质、</w:t>
      </w:r>
      <w:r>
        <w:rPr>
          <w:rFonts w:ascii="Times New Roman" w:hAnsi="Times New Roman" w:cs="Times New Roman" w:eastAsia="Times New Roman" w:hint="default"/>
          <w:sz w:val="18"/>
          <w:szCs w:val="18"/>
        </w:rPr>
        <w:t>CMMI</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级证书、建筑智能化系统设</w:t>
      </w:r>
    </w:p>
    <w:p>
      <w:pPr>
        <w:spacing w:after="0" w:line="30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line="319" w:lineRule="auto" w:before="44"/>
        <w:ind w:left="152" w:right="1133" w:firstLine="0"/>
        <w:jc w:val="left"/>
        <w:rPr>
          <w:rFonts w:ascii="宋体" w:hAnsi="宋体" w:cs="宋体" w:eastAsia="宋体" w:hint="default"/>
          <w:sz w:val="18"/>
          <w:szCs w:val="18"/>
        </w:rPr>
      </w:pPr>
      <w:r>
        <w:rPr>
          <w:rFonts w:ascii="宋体" w:hAnsi="宋体" w:cs="宋体" w:eastAsia="宋体" w:hint="default"/>
          <w:spacing w:val="-2"/>
          <w:sz w:val="18"/>
          <w:szCs w:val="18"/>
        </w:rPr>
        <w:t>计专项甲级资质、电子与智能化工程专业承包壹级证书、信息安全服务资质认证证书（信息系统安全集成一级）、信息安全</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等级保护安全建设服务机构能力评估合格证书、增值电信业务经营许可证等。</w:t>
      </w:r>
    </w:p>
    <w:p>
      <w:pPr>
        <w:spacing w:line="300" w:lineRule="auto" w:before="17"/>
        <w:ind w:left="513" w:right="12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、强大的资源支持 公司控股股东中国电子科技网络信息安全有限公司是公司实际控制人中国电子科技集团有限公司根据国家安全战略发</w:t>
      </w:r>
    </w:p>
    <w:p>
      <w:pPr>
        <w:spacing w:line="316" w:lineRule="auto" w:before="31"/>
        <w:ind w:left="152" w:right="1129" w:firstLine="0"/>
        <w:jc w:val="left"/>
        <w:rPr>
          <w:rFonts w:ascii="宋体" w:hAnsi="宋体" w:cs="宋体" w:eastAsia="宋体" w:hint="default"/>
          <w:sz w:val="18"/>
          <w:szCs w:val="18"/>
        </w:rPr>
      </w:pPr>
      <w:r>
        <w:rPr>
          <w:rFonts w:ascii="宋体" w:hAnsi="宋体" w:cs="宋体" w:eastAsia="宋体" w:hint="default"/>
          <w:spacing w:val="-2"/>
          <w:sz w:val="18"/>
          <w:szCs w:val="18"/>
        </w:rPr>
        <w:t>展需要重点打造的网络安全子集团，在支撑国家网络安全战略任务和赢得关键领域客户顶层信任方面具有天然的优势，具备</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雄厚的技术实力和创新能力，能够为公司业务、技术、产品等各方面能力的持续提升和创新提供有力的支撑。</w:t>
      </w:r>
    </w:p>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1133"/>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33"/>
        <w:jc w:val="left"/>
        <w:rPr>
          <w:b w:val="0"/>
          <w:bCs w:val="0"/>
        </w:rPr>
      </w:pPr>
      <w:bookmarkStart w:name="一、概述" w:id="25"/>
      <w:bookmarkEnd w:id="25"/>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spacing w:line="309" w:lineRule="auto" w:before="0"/>
        <w:ind w:left="152" w:right="0" w:firstLine="36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年，《密码法》、等保</w:t>
      </w:r>
      <w:r>
        <w:rPr>
          <w:rFonts w:ascii="Times New Roman" w:hAnsi="Times New Roman" w:cs="Times New Roman" w:eastAsia="Times New Roman" w:hint="default"/>
          <w:spacing w:val="-4"/>
          <w:sz w:val="18"/>
          <w:szCs w:val="18"/>
        </w:rPr>
        <w:t>2.0</w:t>
      </w:r>
      <w:r>
        <w:rPr>
          <w:rFonts w:ascii="宋体" w:hAnsi="宋体" w:cs="宋体" w:eastAsia="宋体" w:hint="default"/>
          <w:spacing w:val="-4"/>
          <w:sz w:val="18"/>
          <w:szCs w:val="18"/>
        </w:rPr>
        <w:t>及商用密码应用推广加速落地，网络空间产业政策环境不断优化，进一步推动加强国产商</w:t>
      </w:r>
      <w:r>
        <w:rPr>
          <w:rFonts w:ascii="宋体" w:hAnsi="宋体" w:cs="宋体" w:eastAsia="宋体" w:hint="default"/>
          <w:sz w:val="18"/>
          <w:szCs w:val="18"/>
        </w:rPr>
        <w:t> </w:t>
      </w:r>
      <w:r>
        <w:rPr>
          <w:rFonts w:ascii="宋体" w:hAnsi="宋体" w:cs="宋体" w:eastAsia="宋体" w:hint="default"/>
          <w:spacing w:val="-2"/>
          <w:sz w:val="18"/>
          <w:szCs w:val="18"/>
        </w:rPr>
        <w:t>用密码、可信技术的应用和普及。公司在积极落实网络强国战略的同时，紧跟新形势下的网络安全行业政策和市场趋势，聚</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焦网络安全主责主业和网信事业发展需要，继续巩固在电子政务、金融、能源、军工等传统优势行业的市场地位，进一步提</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升市场竞争力；同时加强在安全运营服务、安全移动办公等新兴市场开拓及新业务策划，大力培育公司发展新动能，不断提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升企业管理水平。</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年实现营业收入</w:t>
      </w:r>
      <w:r>
        <w:rPr>
          <w:rFonts w:ascii="Times New Roman" w:hAnsi="Times New Roman" w:cs="Times New Roman" w:eastAsia="Times New Roman" w:hint="default"/>
          <w:spacing w:val="-1"/>
          <w:sz w:val="18"/>
          <w:szCs w:val="18"/>
        </w:rPr>
        <w:t>210,376.00</w:t>
      </w:r>
      <w:r>
        <w:rPr>
          <w:rFonts w:ascii="宋体" w:hAnsi="宋体" w:cs="宋体" w:eastAsia="宋体" w:hint="default"/>
          <w:spacing w:val="-1"/>
          <w:sz w:val="18"/>
          <w:szCs w:val="18"/>
        </w:rPr>
        <w:t>万元，同比增长</w:t>
      </w:r>
      <w:r>
        <w:rPr>
          <w:rFonts w:ascii="Times New Roman" w:hAnsi="Times New Roman" w:cs="Times New Roman" w:eastAsia="Times New Roman" w:hint="default"/>
          <w:spacing w:val="-1"/>
          <w:sz w:val="18"/>
          <w:szCs w:val="18"/>
        </w:rPr>
        <w:t>8.95%</w:t>
      </w:r>
      <w:r>
        <w:rPr>
          <w:rFonts w:ascii="宋体" w:hAnsi="宋体" w:cs="宋体" w:eastAsia="宋体" w:hint="default"/>
          <w:spacing w:val="-1"/>
          <w:sz w:val="18"/>
          <w:szCs w:val="18"/>
        </w:rPr>
        <w:t>；实现归属于上市公司股东的净利润</w:t>
      </w:r>
      <w:r>
        <w:rPr>
          <w:rFonts w:ascii="Times New Roman" w:hAnsi="Times New Roman" w:cs="Times New Roman" w:eastAsia="Times New Roman" w:hint="default"/>
          <w:spacing w:val="-1"/>
          <w:sz w:val="18"/>
          <w:szCs w:val="18"/>
        </w:rPr>
        <w:t>15,576.55</w:t>
      </w:r>
      <w:r>
        <w:rPr>
          <w:rFonts w:ascii="宋体" w:hAnsi="宋体" w:cs="宋体" w:eastAsia="宋体" w:hint="default"/>
          <w:spacing w:val="-1"/>
          <w:sz w:val="18"/>
          <w:szCs w:val="18"/>
        </w:rPr>
        <w:t>万元，</w:t>
      </w:r>
      <w:r>
        <w:rPr>
          <w:rFonts w:ascii="宋体" w:hAnsi="宋体" w:cs="宋体" w:eastAsia="宋体" w:hint="default"/>
          <w:spacing w:val="-35"/>
          <w:sz w:val="18"/>
          <w:szCs w:val="18"/>
        </w:rPr>
        <w:t> </w:t>
      </w:r>
      <w:r>
        <w:rPr>
          <w:rFonts w:ascii="宋体" w:hAnsi="宋体" w:cs="宋体" w:eastAsia="宋体" w:hint="default"/>
          <w:sz w:val="18"/>
          <w:szCs w:val="18"/>
        </w:rPr>
        <w:t>同比增长</w:t>
      </w:r>
      <w:r>
        <w:rPr>
          <w:rFonts w:ascii="Times New Roman" w:hAnsi="Times New Roman" w:cs="Times New Roman" w:eastAsia="Times New Roman" w:hint="default"/>
          <w:sz w:val="18"/>
          <w:szCs w:val="18"/>
        </w:rPr>
        <w:t>29.58%</w:t>
      </w:r>
      <w:r>
        <w:rPr>
          <w:rFonts w:ascii="宋体" w:hAnsi="宋体" w:cs="宋体" w:eastAsia="宋体" w:hint="default"/>
          <w:sz w:val="18"/>
          <w:szCs w:val="18"/>
        </w:rPr>
        <w:t>；报告期末公司资产总额</w:t>
      </w:r>
      <w:r>
        <w:rPr>
          <w:rFonts w:ascii="Times New Roman" w:hAnsi="Times New Roman" w:cs="Times New Roman" w:eastAsia="Times New Roman" w:hint="default"/>
          <w:sz w:val="18"/>
          <w:szCs w:val="18"/>
        </w:rPr>
        <w:t>595,662.50</w:t>
      </w:r>
      <w:r>
        <w:rPr>
          <w:rFonts w:ascii="宋体" w:hAnsi="宋体" w:cs="宋体" w:eastAsia="宋体" w:hint="default"/>
          <w:sz w:val="18"/>
          <w:szCs w:val="18"/>
        </w:rPr>
        <w:t>万元，同比减少</w:t>
      </w:r>
      <w:r>
        <w:rPr>
          <w:rFonts w:ascii="Times New Roman" w:hAnsi="Times New Roman" w:cs="Times New Roman" w:eastAsia="Times New Roman" w:hint="default"/>
          <w:sz w:val="18"/>
          <w:szCs w:val="18"/>
        </w:rPr>
        <w:t>4.24%</w:t>
      </w:r>
      <w:r>
        <w:rPr>
          <w:rFonts w:ascii="宋体" w:hAnsi="宋体" w:cs="宋体" w:eastAsia="宋体" w:hint="default"/>
          <w:sz w:val="18"/>
          <w:szCs w:val="18"/>
        </w:rPr>
        <w:t>；归属于上市公司股东的净资产</w:t>
      </w:r>
      <w:r>
        <w:rPr>
          <w:rFonts w:ascii="Times New Roman" w:hAnsi="Times New Roman" w:cs="Times New Roman" w:eastAsia="Times New Roman" w:hint="default"/>
          <w:sz w:val="18"/>
          <w:szCs w:val="18"/>
        </w:rPr>
        <w:t>455,079.40</w:t>
      </w:r>
      <w:r>
        <w:rPr>
          <w:rFonts w:ascii="宋体" w:hAnsi="宋体" w:cs="宋体" w:eastAsia="宋体" w:hint="default"/>
          <w:sz w:val="18"/>
          <w:szCs w:val="18"/>
        </w:rPr>
        <w:t>万元， 同比增长</w:t>
      </w:r>
      <w:r>
        <w:rPr>
          <w:rFonts w:ascii="Times New Roman" w:hAnsi="Times New Roman" w:cs="Times New Roman" w:eastAsia="Times New Roman" w:hint="default"/>
          <w:sz w:val="18"/>
          <w:szCs w:val="18"/>
        </w:rPr>
        <w:t>3.27%</w:t>
      </w:r>
      <w:r>
        <w:rPr>
          <w:rFonts w:ascii="宋体" w:hAnsi="宋体" w:cs="宋体" w:eastAsia="宋体" w:hint="default"/>
          <w:sz w:val="18"/>
          <w:szCs w:val="18"/>
        </w:rPr>
        <w:t>。</w:t>
      </w:r>
    </w:p>
    <w:p>
      <w:pPr>
        <w:spacing w:line="300" w:lineRule="auto" w:before="5"/>
        <w:ind w:left="513" w:right="112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、市场开拓情况 </w:t>
      </w:r>
      <w:r>
        <w:rPr>
          <w:rFonts w:ascii="宋体" w:hAnsi="宋体" w:cs="宋体" w:eastAsia="宋体" w:hint="default"/>
          <w:spacing w:val="-2"/>
          <w:sz w:val="18"/>
          <w:szCs w:val="18"/>
        </w:rPr>
        <w:t>加强传统市场布局力度，巩固核心优势。在党政业务领域，积极争取全国新系统建设项目，实现重大行业用户突破，为</w:t>
      </w:r>
    </w:p>
    <w:p>
      <w:pPr>
        <w:spacing w:line="316" w:lineRule="auto" w:before="31"/>
        <w:ind w:left="152" w:right="1133" w:firstLine="0"/>
        <w:jc w:val="left"/>
        <w:rPr>
          <w:rFonts w:ascii="宋体" w:hAnsi="宋体" w:cs="宋体" w:eastAsia="宋体" w:hint="default"/>
          <w:sz w:val="18"/>
          <w:szCs w:val="18"/>
        </w:rPr>
      </w:pPr>
      <w:r>
        <w:rPr>
          <w:rFonts w:ascii="宋体" w:hAnsi="宋体" w:cs="宋体" w:eastAsia="宋体" w:hint="default"/>
          <w:spacing w:val="-2"/>
          <w:sz w:val="18"/>
          <w:szCs w:val="18"/>
        </w:rPr>
        <w:t>积极探索布局面向党政领域云密码服务打下坚实的基础；在商密领域，不断完善金融、电力、政务云、安全移动办公等行业</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解决方案，在泛金融领域积极进行市场开拓。</w:t>
      </w:r>
    </w:p>
    <w:p>
      <w:pPr>
        <w:spacing w:line="316" w:lineRule="auto" w:before="19"/>
        <w:ind w:left="152" w:right="1133" w:firstLine="360"/>
        <w:jc w:val="both"/>
        <w:rPr>
          <w:rFonts w:ascii="宋体" w:hAnsi="宋体" w:cs="宋体" w:eastAsia="宋体" w:hint="default"/>
          <w:sz w:val="18"/>
          <w:szCs w:val="18"/>
        </w:rPr>
      </w:pPr>
      <w:r>
        <w:rPr>
          <w:rFonts w:ascii="宋体" w:hAnsi="宋体" w:cs="宋体" w:eastAsia="宋体" w:hint="default"/>
          <w:spacing w:val="-2"/>
          <w:sz w:val="18"/>
          <w:szCs w:val="18"/>
        </w:rPr>
        <w:t>积极开拓新市场，打造业务新动能。深度参与安全运营服务、安全移动办公等新业务工作，取得一定进展。大力推进安</w:t>
      </w:r>
      <w:r>
        <w:rPr>
          <w:rFonts w:ascii="宋体" w:hAnsi="宋体" w:cs="宋体" w:eastAsia="宋体" w:hint="default"/>
          <w:sz w:val="18"/>
          <w:szCs w:val="18"/>
        </w:rPr>
        <w:t> </w:t>
      </w:r>
      <w:r>
        <w:rPr>
          <w:rFonts w:ascii="宋体" w:hAnsi="宋体" w:cs="宋体" w:eastAsia="宋体" w:hint="default"/>
          <w:spacing w:val="-2"/>
          <w:sz w:val="18"/>
          <w:szCs w:val="18"/>
        </w:rPr>
        <w:t>全服务平台的设计研发工作；面向电子政务云的安全服务业务以及面向重点央企的整体保障服务业务有序推进，均取得一定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成绩。</w:t>
      </w:r>
    </w:p>
    <w:p>
      <w:pPr>
        <w:spacing w:before="19"/>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、研发与产品化情况</w:t>
      </w:r>
    </w:p>
    <w:p>
      <w:pPr>
        <w:spacing w:line="300" w:lineRule="auto" w:before="63"/>
        <w:ind w:left="152" w:right="1133"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年，公司积极推动密码泛在化、攻防智能化、安全服务化的产品研发战略，以市场为中心，以技术创新为基石，以</w:t>
      </w:r>
      <w:r>
        <w:rPr>
          <w:rFonts w:ascii="宋体" w:hAnsi="宋体" w:cs="宋体" w:eastAsia="宋体" w:hint="default"/>
          <w:sz w:val="18"/>
          <w:szCs w:val="18"/>
        </w:rPr>
        <w:t> 产品化为重点，推进公司产品的研制，推动信创和商密等专项工作。</w:t>
      </w:r>
    </w:p>
    <w:p>
      <w:pPr>
        <w:spacing w:line="300" w:lineRule="auto" w:before="32"/>
        <w:ind w:left="152" w:right="1131" w:firstLine="360"/>
        <w:jc w:val="both"/>
        <w:rPr>
          <w:rFonts w:ascii="宋体" w:hAnsi="宋体" w:cs="宋体" w:eastAsia="宋体" w:hint="default"/>
          <w:sz w:val="18"/>
          <w:szCs w:val="18"/>
        </w:rPr>
      </w:pPr>
      <w:r>
        <w:rPr>
          <w:rFonts w:ascii="宋体" w:hAnsi="宋体" w:cs="宋体" w:eastAsia="宋体" w:hint="default"/>
          <w:sz w:val="18"/>
          <w:szCs w:val="18"/>
        </w:rPr>
        <w:t>在信创产品研制方面，加强基础共性平台的研究，</w:t>
      </w:r>
      <w:r>
        <w:rPr>
          <w:rFonts w:ascii="Times New Roman" w:hAnsi="Times New Roman" w:cs="Times New Roman" w:eastAsia="Times New Roman" w:hint="default"/>
          <w:sz w:val="18"/>
          <w:szCs w:val="18"/>
        </w:rPr>
        <w:t>SJJ1940-G IPSec</w:t>
      </w:r>
      <w:r>
        <w:rPr>
          <w:rFonts w:ascii="Times New Roman" w:hAnsi="Times New Roman" w:cs="Times New Roman" w:eastAsia="Times New Roman" w:hint="default"/>
          <w:spacing w:val="-36"/>
          <w:sz w:val="18"/>
          <w:szCs w:val="18"/>
        </w:rPr>
        <w:t> </w:t>
      </w:r>
      <w:r>
        <w:rPr>
          <w:rFonts w:ascii="Times New Roman" w:hAnsi="Times New Roman" w:cs="Times New Roman" w:eastAsia="Times New Roman" w:hint="default"/>
          <w:sz w:val="18"/>
          <w:szCs w:val="18"/>
        </w:rPr>
        <w:t>VPN</w:t>
      </w:r>
      <w:r>
        <w:rPr>
          <w:rFonts w:ascii="宋体" w:hAnsi="宋体" w:cs="宋体" w:eastAsia="宋体" w:hint="default"/>
          <w:sz w:val="18"/>
          <w:szCs w:val="18"/>
        </w:rPr>
        <w:t>安全网关等</w:t>
      </w:r>
      <w:r>
        <w:rPr>
          <w:rFonts w:ascii="Times New Roman" w:hAnsi="Times New Roman" w:cs="Times New Roman" w:eastAsia="Times New Roman" w:hint="default"/>
          <w:sz w:val="18"/>
          <w:szCs w:val="18"/>
        </w:rPr>
        <w:t>7</w:t>
      </w:r>
      <w:r>
        <w:rPr>
          <w:rFonts w:ascii="宋体" w:hAnsi="宋体" w:cs="宋体" w:eastAsia="宋体" w:hint="default"/>
          <w:sz w:val="18"/>
          <w:szCs w:val="18"/>
        </w:rPr>
        <w:t>款产品获得国密局商密资质，安全 </w:t>
      </w:r>
      <w:r>
        <w:rPr>
          <w:rFonts w:ascii="宋体" w:hAnsi="宋体" w:cs="宋体" w:eastAsia="宋体" w:hint="default"/>
          <w:spacing w:val="-2"/>
          <w:sz w:val="18"/>
          <w:szCs w:val="18"/>
        </w:rPr>
        <w:t>隔离与单向导入系统、防火墙</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款产品通过公安部测评，</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款交换机通过工信部资质测评，信任服务基础设施通过相关机构资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质测评，终端安全登录系统等产品实现了专用机全平台的适配。</w:t>
      </w:r>
    </w:p>
    <w:p>
      <w:pPr>
        <w:spacing w:line="304" w:lineRule="auto" w:before="31"/>
        <w:ind w:left="152" w:right="1134" w:firstLine="360"/>
        <w:jc w:val="both"/>
        <w:rPr>
          <w:rFonts w:ascii="宋体" w:hAnsi="宋体" w:cs="宋体" w:eastAsia="宋体" w:hint="default"/>
          <w:sz w:val="18"/>
          <w:szCs w:val="18"/>
        </w:rPr>
      </w:pPr>
      <w:r>
        <w:rPr>
          <w:rFonts w:ascii="宋体" w:hAnsi="宋体" w:cs="宋体" w:eastAsia="宋体" w:hint="default"/>
          <w:spacing w:val="-2"/>
          <w:sz w:val="18"/>
          <w:szCs w:val="18"/>
        </w:rPr>
        <w:t>在商密产品研制方面，积极推动密码泛在化战略，金融数据密码机等</w:t>
      </w:r>
      <w:r>
        <w:rPr>
          <w:rFonts w:ascii="Times New Roman" w:hAnsi="Times New Roman" w:cs="Times New Roman" w:eastAsia="Times New Roman" w:hint="default"/>
          <w:spacing w:val="-2"/>
          <w:sz w:val="18"/>
          <w:szCs w:val="18"/>
        </w:rPr>
        <w:t>18</w:t>
      </w:r>
      <w:r>
        <w:rPr>
          <w:rFonts w:ascii="宋体" w:hAnsi="宋体" w:cs="宋体" w:eastAsia="宋体" w:hint="default"/>
          <w:spacing w:val="-2"/>
          <w:sz w:val="18"/>
          <w:szCs w:val="18"/>
        </w:rPr>
        <w:t>款产品获得商密资质；加强密码能力的整合，启</w:t>
      </w:r>
      <w:r>
        <w:rPr>
          <w:rFonts w:ascii="宋体" w:hAnsi="宋体" w:cs="宋体" w:eastAsia="宋体" w:hint="default"/>
          <w:sz w:val="18"/>
          <w:szCs w:val="18"/>
        </w:rPr>
        <w:t> 动高性能商密芯片、密码管理服务平台的设计工作；云安全服务平台完成立项和方案评审；完成嵌入式安全</w:t>
      </w:r>
      <w:r>
        <w:rPr>
          <w:rFonts w:ascii="Times New Roman" w:hAnsi="Times New Roman" w:cs="Times New Roman" w:eastAsia="Times New Roman" w:hint="default"/>
          <w:sz w:val="18"/>
          <w:szCs w:val="18"/>
        </w:rPr>
        <w:t>SE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IP</w:t>
      </w:r>
      <w:r>
        <w:rPr>
          <w:rFonts w:ascii="宋体" w:hAnsi="宋体" w:cs="宋体" w:eastAsia="宋体" w:hint="default"/>
          <w:sz w:val="18"/>
          <w:szCs w:val="18"/>
        </w:rPr>
        <w:t>，以及采 用该款</w:t>
      </w:r>
      <w:r>
        <w:rPr>
          <w:rFonts w:ascii="Times New Roman" w:hAnsi="Times New Roman" w:cs="Times New Roman" w:eastAsia="Times New Roman" w:hint="default"/>
          <w:sz w:val="18"/>
          <w:szCs w:val="18"/>
        </w:rPr>
        <w:t>SE</w:t>
      </w:r>
      <w:r>
        <w:rPr>
          <w:rFonts w:ascii="宋体" w:hAnsi="宋体" w:cs="宋体" w:eastAsia="宋体" w:hint="default"/>
          <w:sz w:val="18"/>
          <w:szCs w:val="18"/>
        </w:rPr>
        <w:t>的系列安全产品的发布，嵌入式安全</w:t>
      </w:r>
      <w:r>
        <w:rPr>
          <w:rFonts w:ascii="Times New Roman" w:hAnsi="Times New Roman" w:cs="Times New Roman" w:eastAsia="Times New Roman" w:hint="default"/>
          <w:sz w:val="18"/>
          <w:szCs w:val="18"/>
        </w:rPr>
        <w:t>SE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IP</w:t>
      </w:r>
      <w:r>
        <w:rPr>
          <w:rFonts w:ascii="宋体" w:hAnsi="宋体" w:cs="宋体" w:eastAsia="宋体" w:hint="default"/>
          <w:sz w:val="18"/>
          <w:szCs w:val="18"/>
        </w:rPr>
        <w:t>降低了产品成本，提升了产品性能和可靠性，加速推动了公司自主可控 </w:t>
      </w:r>
      <w:r>
        <w:rPr>
          <w:rFonts w:ascii="宋体" w:hAnsi="宋体" w:cs="宋体" w:eastAsia="宋体" w:hint="default"/>
          <w:spacing w:val="-2"/>
          <w:sz w:val="18"/>
          <w:szCs w:val="18"/>
        </w:rPr>
        <w:t>大生态建设，并通过和龙芯的合作，开拓出新的安全应用领域；云密码产品与银联、华为、平安、京东等企业对接成功，增</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强了公司在云安全领域的产品竞争力；身份认证系统实现了互联网</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政务服务信任体系产品的市场突破，安全视频加密和视</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联网密码应用方案实现了公司产品在物联网市场的突破，软件密码模块成功进入</w:t>
      </w:r>
      <w:r>
        <w:rPr>
          <w:rFonts w:ascii="Times New Roman" w:hAnsi="Times New Roman" w:cs="Times New Roman" w:eastAsia="Times New Roman" w:hint="default"/>
          <w:sz w:val="18"/>
          <w:szCs w:val="18"/>
        </w:rPr>
        <w:t>Win10</w:t>
      </w:r>
      <w:r>
        <w:rPr>
          <w:rFonts w:ascii="宋体" w:hAnsi="宋体" w:cs="宋体" w:eastAsia="宋体" w:hint="default"/>
          <w:sz w:val="18"/>
          <w:szCs w:val="18"/>
        </w:rPr>
        <w:t>政府版生产版本。</w:t>
      </w:r>
    </w:p>
    <w:p>
      <w:pPr>
        <w:spacing w:line="300" w:lineRule="auto" w:before="9"/>
        <w:ind w:left="152" w:right="1133" w:firstLine="360"/>
        <w:jc w:val="left"/>
        <w:rPr>
          <w:rFonts w:ascii="宋体" w:hAnsi="宋体" w:cs="宋体" w:eastAsia="宋体" w:hint="default"/>
          <w:sz w:val="18"/>
          <w:szCs w:val="18"/>
        </w:rPr>
      </w:pPr>
      <w:r>
        <w:rPr>
          <w:rFonts w:ascii="宋体" w:hAnsi="宋体" w:cs="宋体" w:eastAsia="宋体" w:hint="default"/>
          <w:sz w:val="18"/>
          <w:szCs w:val="18"/>
        </w:rPr>
        <w:t>重点产品研制方面，完成嵌入式安全</w:t>
      </w:r>
      <w:r>
        <w:rPr>
          <w:rFonts w:ascii="Times New Roman" w:hAnsi="Times New Roman" w:cs="Times New Roman" w:eastAsia="Times New Roman" w:hint="default"/>
          <w:sz w:val="18"/>
          <w:szCs w:val="18"/>
        </w:rPr>
        <w:t>SE</w:t>
      </w:r>
      <w:r>
        <w:rPr>
          <w:rFonts w:ascii="宋体" w:hAnsi="宋体" w:cs="宋体" w:eastAsia="宋体" w:hint="default"/>
          <w:sz w:val="18"/>
          <w:szCs w:val="18"/>
        </w:rPr>
        <w:t>、密钥管理系统、证书管理系统、密码服务中间件、主机密码机、云密码机、 </w:t>
      </w:r>
      <w:r>
        <w:rPr>
          <w:rFonts w:ascii="Times New Roman" w:hAnsi="Times New Roman" w:cs="Times New Roman" w:eastAsia="Times New Roman" w:hint="default"/>
          <w:spacing w:val="-2"/>
          <w:sz w:val="18"/>
          <w:szCs w:val="18"/>
        </w:rPr>
        <w:t>VPN</w:t>
      </w:r>
      <w:r>
        <w:rPr>
          <w:rFonts w:ascii="宋体" w:hAnsi="宋体" w:cs="宋体" w:eastAsia="宋体" w:hint="default"/>
          <w:spacing w:val="-2"/>
          <w:sz w:val="18"/>
          <w:szCs w:val="18"/>
        </w:rPr>
        <w:t>、交换机、防火墙、终端安全系列产品、电子文档密级标识生成与管理系统、信任服务基础设施、身份认证系统、安全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移动办公系统、橙讯即时通信系统等近</w:t>
      </w:r>
      <w:r>
        <w:rPr>
          <w:rFonts w:ascii="Times New Roman" w:hAnsi="Times New Roman" w:cs="Times New Roman" w:eastAsia="Times New Roman" w:hint="default"/>
          <w:sz w:val="18"/>
          <w:szCs w:val="18"/>
        </w:rPr>
        <w:t>30</w:t>
      </w:r>
      <w:r>
        <w:rPr>
          <w:rFonts w:ascii="宋体" w:hAnsi="宋体" w:cs="宋体" w:eastAsia="宋体" w:hint="default"/>
          <w:sz w:val="18"/>
          <w:szCs w:val="18"/>
        </w:rPr>
        <w:t>款产品的发布。</w:t>
      </w:r>
    </w:p>
    <w:p>
      <w:pPr>
        <w:spacing w:line="300" w:lineRule="auto" w:before="13"/>
        <w:ind w:left="152" w:right="1132" w:firstLine="360"/>
        <w:jc w:val="both"/>
        <w:rPr>
          <w:rFonts w:ascii="宋体" w:hAnsi="宋体" w:cs="宋体" w:eastAsia="宋体" w:hint="default"/>
          <w:sz w:val="18"/>
          <w:szCs w:val="18"/>
        </w:rPr>
      </w:pPr>
      <w:r>
        <w:rPr>
          <w:rFonts w:ascii="宋体" w:hAnsi="宋体" w:cs="宋体" w:eastAsia="宋体" w:hint="default"/>
          <w:sz w:val="18"/>
          <w:szCs w:val="18"/>
        </w:rPr>
        <w:t>加大新产品研发和新动能打造，在芯片、物联网、互联网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政务、数据治理等方向多维发力，重点策划推进高性能商密 芯片、密码管理服务平台、云安全服务平台、高级威胁检测分析系统、安全视频加密等自主创新产品。</w:t>
      </w:r>
    </w:p>
    <w:p>
      <w:pPr>
        <w:spacing w:line="312" w:lineRule="auto" w:before="31"/>
        <w:ind w:left="152" w:right="1133" w:firstLine="360"/>
        <w:jc w:val="both"/>
        <w:rPr>
          <w:rFonts w:ascii="宋体" w:hAnsi="宋体" w:cs="宋体" w:eastAsia="宋体" w:hint="default"/>
          <w:sz w:val="18"/>
          <w:szCs w:val="18"/>
        </w:rPr>
      </w:pPr>
      <w:r>
        <w:rPr>
          <w:rFonts w:ascii="宋体" w:hAnsi="宋体" w:cs="宋体" w:eastAsia="宋体" w:hint="default"/>
          <w:spacing w:val="-2"/>
          <w:sz w:val="18"/>
          <w:szCs w:val="18"/>
        </w:rPr>
        <w:t>重视基础技术研究和技术创新，打造了统一的硬件平台、操作系统固件、软件开发平台和软密码模块，积极开展同态加</w:t>
      </w:r>
      <w:r>
        <w:rPr>
          <w:rFonts w:ascii="宋体" w:hAnsi="宋体" w:cs="宋体" w:eastAsia="宋体" w:hint="default"/>
          <w:sz w:val="18"/>
          <w:szCs w:val="18"/>
        </w:rPr>
        <w:t> </w:t>
      </w:r>
      <w:r>
        <w:rPr>
          <w:rFonts w:ascii="宋体" w:hAnsi="宋体" w:cs="宋体" w:eastAsia="宋体" w:hint="default"/>
          <w:spacing w:val="-2"/>
          <w:sz w:val="18"/>
          <w:szCs w:val="18"/>
        </w:rPr>
        <w:t>密、白盒密码、新一代密码算法等密码基础理论研究和算法设计以及多项国家和行业标准的编制；聚焦网络空间安全热点和</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前沿领域，在</w:t>
      </w:r>
      <w:r>
        <w:rPr>
          <w:rFonts w:ascii="Times New Roman" w:hAnsi="Times New Roman" w:cs="Times New Roman" w:eastAsia="Times New Roman" w:hint="default"/>
          <w:sz w:val="18"/>
          <w:szCs w:val="18"/>
        </w:rPr>
        <w:t>5G</w:t>
      </w:r>
      <w:r>
        <w:rPr>
          <w:rFonts w:ascii="宋体" w:hAnsi="宋体" w:cs="宋体" w:eastAsia="宋体" w:hint="default"/>
          <w:sz w:val="18"/>
          <w:szCs w:val="18"/>
        </w:rPr>
        <w:t>安全、物联网安全、北斗应用安全、工控安全、区块链、人工智能等方向均成立了专门的团队进行研究探 索。</w:t>
      </w:r>
    </w:p>
    <w:p>
      <w:pPr>
        <w:spacing w:line="300" w:lineRule="auto" w:before="22"/>
        <w:ind w:left="513" w:right="10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、管理提升情况 快速组建公司经营团队，调整公司组织架构，公司运行效率明显提升。全力推动下属公司整合，对天津网安进行重整，</w:t>
      </w:r>
    </w:p>
    <w:p>
      <w:pPr>
        <w:spacing w:before="31"/>
        <w:ind w:left="152" w:right="0" w:firstLine="0"/>
        <w:jc w:val="left"/>
        <w:rPr>
          <w:rFonts w:ascii="宋体" w:hAnsi="宋体" w:cs="宋体" w:eastAsia="宋体" w:hint="default"/>
          <w:sz w:val="18"/>
          <w:szCs w:val="18"/>
        </w:rPr>
      </w:pPr>
      <w:r>
        <w:rPr>
          <w:rFonts w:ascii="宋体" w:hAnsi="宋体" w:cs="宋体" w:eastAsia="宋体" w:hint="default"/>
          <w:sz w:val="18"/>
          <w:szCs w:val="18"/>
        </w:rPr>
        <w:t>效果明显；推行了五元薪酬改革，提升了激励的针对性和有效性；启动了股权激励方案设计，致力于将公司与员工利益紧密</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line="319" w:lineRule="auto" w:before="44"/>
        <w:ind w:left="152" w:right="1133" w:firstLine="0"/>
        <w:jc w:val="left"/>
        <w:rPr>
          <w:rFonts w:ascii="宋体" w:hAnsi="宋体" w:cs="宋体" w:eastAsia="宋体" w:hint="default"/>
          <w:sz w:val="18"/>
          <w:szCs w:val="18"/>
        </w:rPr>
      </w:pPr>
      <w:r>
        <w:rPr>
          <w:rFonts w:ascii="宋体" w:hAnsi="宋体" w:cs="宋体" w:eastAsia="宋体" w:hint="default"/>
          <w:spacing w:val="-2"/>
          <w:sz w:val="18"/>
          <w:szCs w:val="18"/>
        </w:rPr>
        <w:t>捆绑，共同成长。两金管控效果显著，全年回款额创历史新高；积极探索财务共享服务模式，初步建立成都地区财务共享服</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务中心；缩短采购供应链，进一步节约成本，提高采购效率和质量。</w:t>
      </w:r>
    </w:p>
    <w:p>
      <w:pPr>
        <w:spacing w:line="240" w:lineRule="auto" w:before="9"/>
        <w:rPr>
          <w:rFonts w:ascii="宋体" w:hAnsi="宋体" w:cs="宋体" w:eastAsia="宋体" w:hint="default"/>
          <w:sz w:val="20"/>
          <w:szCs w:val="20"/>
        </w:rPr>
      </w:pPr>
    </w:p>
    <w:p>
      <w:pPr>
        <w:pStyle w:val="Heading2"/>
        <w:spacing w:line="240" w:lineRule="auto"/>
        <w:ind w:right="1133"/>
        <w:jc w:val="left"/>
        <w:rPr>
          <w:b w:val="0"/>
          <w:bCs w:val="0"/>
        </w:rPr>
      </w:pPr>
      <w:bookmarkStart w:name="二、主营业务分析" w:id="26"/>
      <w:bookmarkEnd w:id="26"/>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6474"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8"/>
        <w:ind w:right="1133"/>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2,103,759,987.90</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1,930,998,380.73</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8.95%</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信息安全行业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2,103,759,987.90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1,930,998,380.73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8.95%</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单机和系统产品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863,768,204.62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41.06%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922,576,104.96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47.78%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-6.37%</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安全服务与集成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1,239,991,783.28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58.94%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1,008,422,275.77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52.22%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22.96%</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39,622,479.29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34,668,667.82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14.29%</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630,820,267.98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29.99%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690,765,302.33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35.78%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-8.68%</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225,165,713.87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10.70%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203,206,138.71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10.52%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10.81%</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169,946,831.84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144,915,625.49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17.27%</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92,797,033.89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80,550,219.91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15.20%</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169,757,172.95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138,730,207.52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7.18%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22.36%</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775,650,488.08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36.87%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638,162,218.95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33.05%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21.54%</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08"/>
        <w:gridCol w:w="1008"/>
        <w:gridCol w:w="1009"/>
        <w:gridCol w:w="1013"/>
        <w:gridCol w:w="1011"/>
        <w:gridCol w:w="1003"/>
        <w:gridCol w:w="1006"/>
        <w:gridCol w:w="1001"/>
        <w:gridCol w:w="1003"/>
      </w:tblGrid>
      <w:tr>
        <w:trPr>
          <w:trHeight w:val="206" w:hRule="exact"/>
        </w:trPr>
        <w:tc>
          <w:tcPr>
            <w:tcW w:w="1508" w:type="dxa"/>
            <w:tcBorders>
              <w:top w:val="single" w:sz="4" w:space="0" w:color="000000"/>
              <w:left w:val="single" w:sz="4" w:space="0" w:color="000000"/>
              <w:bottom w:val="nil" w:sz="6" w:space="0" w:color="auto"/>
              <w:right w:val="single" w:sz="4" w:space="0" w:color="000000"/>
            </w:tcBorders>
            <w:shd w:val="clear" w:color="auto" w:fill="D2D2D2"/>
          </w:tcPr>
          <w:p>
            <w:pPr/>
          </w:p>
        </w:tc>
        <w:tc>
          <w:tcPr>
            <w:tcW w:w="4040"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013"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196" w:hRule="exact"/>
        </w:trPr>
        <w:tc>
          <w:tcPr>
            <w:tcW w:w="1508" w:type="dxa"/>
            <w:vMerge w:val="restart"/>
            <w:tcBorders>
              <w:top w:val="nil" w:sz="6" w:space="0" w:color="auto"/>
              <w:left w:val="single" w:sz="4" w:space="0" w:color="000000"/>
              <w:right w:val="single" w:sz="4" w:space="0" w:color="000000"/>
            </w:tcBorders>
            <w:shd w:val="clear" w:color="auto" w:fill="D2D2D2"/>
          </w:tcPr>
          <w:p>
            <w:pPr/>
          </w:p>
        </w:tc>
        <w:tc>
          <w:tcPr>
            <w:tcW w:w="4040" w:type="dxa"/>
            <w:gridSpan w:val="4"/>
            <w:vMerge/>
            <w:tcBorders>
              <w:left w:val="single" w:sz="4" w:space="0" w:color="000000"/>
              <w:bottom w:val="single" w:sz="4" w:space="0" w:color="000000"/>
              <w:right w:val="single" w:sz="4" w:space="0" w:color="000000"/>
            </w:tcBorders>
            <w:shd w:val="clear" w:color="auto" w:fill="D2D2D2"/>
          </w:tcPr>
          <w:p>
            <w:pPr/>
          </w:p>
        </w:tc>
        <w:tc>
          <w:tcPr>
            <w:tcW w:w="4013" w:type="dxa"/>
            <w:gridSpan w:val="4"/>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508" w:type="dxa"/>
            <w:vMerge/>
            <w:tcBorders>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4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41"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3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37"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3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6" w:hRule="exact"/>
        </w:trPr>
        <w:tc>
          <w:tcPr>
            <w:tcW w:w="15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009" w:type="dxa"/>
            <w:vMerge/>
            <w:tcBorders>
              <w:left w:val="single" w:sz="4" w:space="0" w:color="000000"/>
              <w:bottom w:val="single" w:sz="4" w:space="0" w:color="000000"/>
              <w:right w:val="single" w:sz="4" w:space="0" w:color="000000"/>
            </w:tcBorders>
            <w:shd w:val="clear" w:color="auto" w:fill="D2D2D2"/>
          </w:tcPr>
          <w:p>
            <w:pPr/>
          </w:p>
        </w:tc>
        <w:tc>
          <w:tcPr>
            <w:tcW w:w="1013"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6"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5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10"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165,005,851.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19</w:t>
            </w:r>
          </w:p>
        </w:tc>
        <w:tc>
          <w:tcPr>
            <w:tcW w:w="1009"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446,600,008.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c>
          <w:tcPr>
            <w:tcW w:w="101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431,712,527.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1011" w:type="dxa"/>
            <w:vMerge w:val="restart"/>
            <w:tcBorders>
              <w:top w:val="single" w:sz="4" w:space="0" w:color="000000"/>
              <w:left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1,060,441,60</w:t>
            </w:r>
          </w:p>
          <w:p>
            <w:pPr>
              <w:pStyle w:val="TableParagraph"/>
              <w:spacing w:line="240" w:lineRule="auto" w:before="105"/>
              <w:ind w:left="665" w:right="0"/>
              <w:jc w:val="left"/>
              <w:rPr>
                <w:rFonts w:ascii="Times New Roman" w:hAnsi="Times New Roman" w:cs="Times New Roman" w:eastAsia="Times New Roman" w:hint="default"/>
                <w:sz w:val="18"/>
                <w:szCs w:val="18"/>
              </w:rPr>
            </w:pPr>
            <w:r>
              <w:rPr>
                <w:rFonts w:ascii="Times New Roman"/>
                <w:sz w:val="18"/>
              </w:rPr>
              <w:t>0.93</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144,295,679.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02</w:t>
            </w:r>
          </w:p>
        </w:tc>
        <w:tc>
          <w:tcPr>
            <w:tcW w:w="100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453,897,164.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100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443,749,752.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81</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889,055,784.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84</w:t>
            </w:r>
          </w:p>
        </w:tc>
      </w:tr>
      <w:tr>
        <w:trPr>
          <w:trHeight w:val="391" w:hRule="exact"/>
        </w:trPr>
        <w:tc>
          <w:tcPr>
            <w:tcW w:w="15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vMerge/>
            <w:tcBorders>
              <w:left w:val="single" w:sz="10" w:space="0" w:color="D2D2D2"/>
              <w:right w:val="single" w:sz="4" w:space="0" w:color="000000"/>
            </w:tcBorders>
          </w:tcPr>
          <w:p>
            <w:pPr/>
          </w:p>
        </w:tc>
        <w:tc>
          <w:tcPr>
            <w:tcW w:w="1009" w:type="dxa"/>
            <w:vMerge/>
            <w:tcBorders>
              <w:left w:val="single" w:sz="4" w:space="0" w:color="000000"/>
              <w:right w:val="single" w:sz="4" w:space="0" w:color="000000"/>
            </w:tcBorders>
          </w:tcPr>
          <w:p>
            <w:pPr/>
          </w:p>
        </w:tc>
        <w:tc>
          <w:tcPr>
            <w:tcW w:w="1013"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c>
          <w:tcPr>
            <w:tcW w:w="100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r>
      <w:tr>
        <w:trPr>
          <w:trHeight w:val="161" w:hRule="exact"/>
        </w:trPr>
        <w:tc>
          <w:tcPr>
            <w:tcW w:w="15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10" w:space="0" w:color="D2D2D2"/>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6"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r>
      <w:tr>
        <w:trPr>
          <w:trHeight w:val="715" w:hRule="exact"/>
        </w:trPr>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-79,214,430.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19</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-3,264,287.8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18,874,474.4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219,369,731.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92</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-85,683,115.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-7,551,920.4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19,772,814.8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193,666,735.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line="360" w:lineRule="auto" w:before="44"/>
        <w:ind w:left="513" w:right="1129" w:hanging="361"/>
        <w:jc w:val="left"/>
        <w:rPr>
          <w:rFonts w:ascii="宋体" w:hAnsi="宋体" w:cs="宋体" w:eastAsia="宋体" w:hint="default"/>
          <w:sz w:val="18"/>
          <w:szCs w:val="18"/>
        </w:rPr>
      </w:pPr>
      <w:r>
        <w:rPr>
          <w:rFonts w:ascii="宋体" w:hAnsi="宋体" w:cs="宋体" w:eastAsia="宋体" w:hint="default"/>
          <w:sz w:val="18"/>
          <w:szCs w:val="18"/>
        </w:rPr>
        <w:t>说明经营季节性（或周期性）发生的原因及波动风险 </w:t>
      </w:r>
      <w:r>
        <w:rPr>
          <w:rFonts w:ascii="宋体" w:hAnsi="宋体" w:cs="宋体" w:eastAsia="宋体" w:hint="default"/>
          <w:spacing w:val="-2"/>
          <w:sz w:val="18"/>
          <w:szCs w:val="18"/>
        </w:rPr>
        <w:t>由于公司目前的主要客户，包括政府机构、银行、国有大型企业等，这些客户大宗设备采购采取集中采购制度和预算管</w:t>
      </w:r>
    </w:p>
    <w:p>
      <w:pPr>
        <w:spacing w:line="222" w:lineRule="exact"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理制度，一般为下半年制定次年年度预算和固定资产投资计划，其审批通常在次年上半年，而设备采购招标一般则安排在次</w:t>
      </w:r>
    </w:p>
    <w:p>
      <w:pPr>
        <w:spacing w:line="309" w:lineRule="auto" w:before="76"/>
        <w:ind w:left="152" w:right="1028" w:firstLine="0"/>
        <w:jc w:val="left"/>
        <w:rPr>
          <w:rFonts w:ascii="宋体" w:hAnsi="宋体" w:cs="宋体" w:eastAsia="宋体" w:hint="default"/>
          <w:sz w:val="18"/>
          <w:szCs w:val="18"/>
        </w:rPr>
      </w:pPr>
      <w:r>
        <w:rPr>
          <w:rFonts w:ascii="宋体" w:hAnsi="宋体" w:cs="宋体" w:eastAsia="宋体" w:hint="default"/>
          <w:spacing w:val="-4"/>
          <w:sz w:val="18"/>
          <w:szCs w:val="18"/>
        </w:rPr>
        <w:t>年年中或下半年。因此，本公司在每年上半年销售较少，至年中（一般从</w:t>
      </w:r>
      <w:r>
        <w:rPr>
          <w:rFonts w:ascii="Times New Roman" w:hAnsi="Times New Roman" w:cs="Times New Roman" w:eastAsia="Times New Roman" w:hint="default"/>
          <w:spacing w:val="-4"/>
          <w:sz w:val="18"/>
          <w:szCs w:val="18"/>
        </w:rPr>
        <w:t>7</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8</w:t>
      </w:r>
      <w:r>
        <w:rPr>
          <w:rFonts w:ascii="宋体" w:hAnsi="宋体" w:cs="宋体" w:eastAsia="宋体" w:hint="default"/>
          <w:spacing w:val="-4"/>
          <w:sz w:val="18"/>
          <w:szCs w:val="18"/>
        </w:rPr>
        <w:t>月份开始）销售订单开始明显增加，设备交货、</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2"/>
          <w:sz w:val="18"/>
          <w:szCs w:val="18"/>
        </w:rPr>
        <w:t>安装、调试和验收则集中在下半年尤其是第四季度。该特点使得公司的销售具有较强的季节性变化特征，存在季节性波动的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风险。</w:t>
      </w:r>
    </w:p>
    <w:p>
      <w:pPr>
        <w:spacing w:line="240" w:lineRule="auto" w:before="0"/>
        <w:rPr>
          <w:rFonts w:ascii="宋体" w:hAnsi="宋体" w:cs="宋体" w:eastAsia="宋体" w:hint="default"/>
          <w:sz w:val="23"/>
          <w:szCs w:val="23"/>
        </w:rPr>
      </w:pPr>
    </w:p>
    <w:p>
      <w:pPr>
        <w:pStyle w:val="Heading4"/>
        <w:spacing w:line="240" w:lineRule="auto"/>
        <w:ind w:right="1133"/>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152" w:right="-1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066" w:space="40"/>
            <w:col w:w="1824"/>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信息安全行业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2,103,759,987.90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1,419,198,764.60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单机和系统产品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863,768,204.62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377,847,920.95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安全服务与集成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1,239,991,783.28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1,041,350,843.65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630,820,267.98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442,932,683.99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225,165,713.87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148,949,153.80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775,650,488.08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494,319,394.22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18.23%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3"/>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1"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4" w:right="120"/>
              <w:jc w:val="left"/>
              <w:rPr>
                <w:rFonts w:ascii="宋体" w:hAnsi="宋体" w:cs="宋体" w:eastAsia="宋体" w:hint="default"/>
                <w:sz w:val="18"/>
                <w:szCs w:val="18"/>
              </w:rPr>
            </w:pPr>
            <w:r>
              <w:rPr>
                <w:rFonts w:ascii="宋体" w:hAnsi="宋体" w:cs="宋体" w:eastAsia="宋体" w:hint="default"/>
                <w:sz w:val="18"/>
                <w:szCs w:val="18"/>
              </w:rPr>
              <w:t>软件与信息技术服 务业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863,768,204.62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922,576,104.96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-6.37%</w:t>
            </w:r>
          </w:p>
        </w:tc>
      </w:tr>
      <w:tr>
        <w:trPr>
          <w:trHeight w:val="401"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805,954,661.51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997,438,162.1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-19.20%</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99,444,709.81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157,258,252.92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-36.76%</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40" w:lineRule="auto" w:before="101"/>
        <w:ind w:left="513" w:right="1147" w:hanging="36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由于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年为</w:t>
      </w:r>
      <w:r>
        <w:rPr>
          <w:rFonts w:ascii="Times New Roman" w:hAnsi="Times New Roman" w:cs="Times New Roman" w:eastAsia="Times New Roman" w:hint="default"/>
          <w:sz w:val="18"/>
          <w:szCs w:val="18"/>
        </w:rPr>
        <w:t>2019</w:t>
      </w:r>
      <w:r>
        <w:rPr>
          <w:rFonts w:ascii="宋体" w:hAnsi="宋体" w:cs="宋体" w:eastAsia="宋体" w:hint="default"/>
          <w:sz w:val="18"/>
          <w:szCs w:val="18"/>
        </w:rPr>
        <w:t>年相关业务的备货在</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年实现销售，公司库存商品量较去年有较大幅度的减少。（注</w:t>
      </w:r>
      <w:r>
        <w:rPr>
          <w:rFonts w:ascii="宋体" w:hAnsi="宋体" w:cs="宋体" w:eastAsia="宋体" w:hint="default"/>
          <w:spacing w:val="-24"/>
          <w:sz w:val="18"/>
          <w:szCs w:val="18"/>
        </w:rPr>
        <w:t> </w:t>
      </w:r>
      <w:r>
        <w:rPr>
          <w:rFonts w:ascii="宋体" w:hAnsi="宋体" w:cs="宋体" w:eastAsia="宋体" w:hint="default"/>
          <w:sz w:val="18"/>
          <w:szCs w:val="18"/>
        </w:rPr>
        <w:t>：公司按照</w:t>
      </w:r>
    </w:p>
    <w:p>
      <w:pPr>
        <w:spacing w:line="215" w:lineRule="exact"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销售金额而不是销售数量进行对比，主要原因为：公司产品类型既有单机产品又有系统产品，两类产品价格差异很大；公司</w:t>
      </w:r>
    </w:p>
    <w:p>
      <w:pPr>
        <w:spacing w:before="76"/>
        <w:ind w:left="152" w:right="1133" w:firstLine="0"/>
        <w:jc w:val="left"/>
        <w:rPr>
          <w:rFonts w:ascii="宋体" w:hAnsi="宋体" w:cs="宋体" w:eastAsia="宋体" w:hint="default"/>
          <w:sz w:val="18"/>
          <w:szCs w:val="18"/>
        </w:rPr>
      </w:pPr>
      <w:r>
        <w:rPr>
          <w:rFonts w:ascii="宋体" w:hAnsi="宋体" w:cs="宋体" w:eastAsia="宋体" w:hint="default"/>
          <w:sz w:val="18"/>
          <w:szCs w:val="18"/>
        </w:rPr>
        <w:t>销售方式既有单产品销售又有多产品之间的任意组合销售，两种销售方式金额差异很大。）</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5"/>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信息安全行业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1,316,820,625.90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92.79%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1,109,349,335.21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88.40%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18.70%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信息安全行业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人力成本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37,062,167.41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33,089,098.78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12.01%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信息安全行业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1,567,818.67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0.11%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2,651,165.90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-40.86%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信息安全行业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63,748,152.62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109,853,684.05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-41.97%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before="49"/>
        <w:ind w:left="152" w:right="-17"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340" w:lineRule="auto" w:before="115"/>
        <w:ind w:left="152" w:right="-1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0"/>
        <w:ind w:left="-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1,316,820,625.90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92.79%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1,109,349,335.21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88.40%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18.70%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人力成本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37,062,167.41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33,089,098.78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12.01%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1,567,818.67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2,651,165.90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-40.86%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63,748,152.62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109,853,684.05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-41.97%</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5"/>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677"/>
        <w:gridCol w:w="4892"/>
      </w:tblGrid>
      <w:tr>
        <w:trPr>
          <w:trHeight w:val="403"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713,118,040.56</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33.90%</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27.05%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417,398,072.23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19.84%</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94,804,050.59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4.51%</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85,103,703.46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4.05%</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58,973,451.33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56,838,762.95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713,118,040.56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33.90%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48" w:lineRule="auto" w:before="117"/>
        <w:ind w:left="152" w:right="12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第一名与公司受同一控股股东中国网安控制，第二名、第五名与公司受同一实际控制人中国电科控制，是公司的关联方。 公司主要供应商情况</w:t>
      </w:r>
    </w:p>
    <w:p>
      <w:pPr>
        <w:spacing w:line="240" w:lineRule="auto" w:before="2"/>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677"/>
        <w:gridCol w:w="4892"/>
      </w:tblGrid>
      <w:tr>
        <w:trPr>
          <w:trHeight w:val="401"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229,504,595.05</w:t>
            </w:r>
          </w:p>
        </w:tc>
      </w:tr>
      <w:tr>
        <w:trPr>
          <w:trHeight w:val="403"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14.78%</w:t>
            </w:r>
          </w:p>
        </w:tc>
      </w:tr>
      <w:tr>
        <w:trPr>
          <w:trHeight w:val="401"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6.75%</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74,808,879.23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4.82%</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49,216,436.70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3.17%</w:t>
            </w:r>
          </w:p>
        </w:tc>
      </w:tr>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44,662,500.00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30,895,865.02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29,920,914.11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229,504,595.05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14.78%</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line="328" w:lineRule="auto" w:before="117"/>
        <w:ind w:left="152" w:right="11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第一名与公司受同一控股股东中国网安控制，是公司的关联方；第五名与公司受同一实际控制人中国电科控制，是公司的关</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联方。</w:t>
      </w:r>
    </w:p>
    <w:p>
      <w:pPr>
        <w:spacing w:line="240" w:lineRule="auto" w:before="1"/>
        <w:rPr>
          <w:rFonts w:ascii="宋体" w:hAnsi="宋体" w:cs="宋体" w:eastAsia="宋体" w:hint="default"/>
          <w:sz w:val="22"/>
          <w:szCs w:val="22"/>
        </w:rPr>
      </w:pPr>
    </w:p>
    <w:p>
      <w:pPr>
        <w:pStyle w:val="Heading4"/>
        <w:spacing w:line="240" w:lineRule="auto"/>
        <w:ind w:right="1133"/>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12"/>
        <w:gridCol w:w="1428"/>
        <w:gridCol w:w="1419"/>
        <w:gridCol w:w="1183"/>
        <w:gridCol w:w="4417"/>
      </w:tblGrid>
      <w:tr>
        <w:trPr>
          <w:trHeight w:val="401"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4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248,574,586.24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231,582,582.64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7.34%</w:t>
            </w:r>
          </w:p>
        </w:tc>
        <w:tc>
          <w:tcPr>
            <w:tcW w:w="44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141,128,649.83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143,212,445.96</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w:t>
            </w:r>
          </w:p>
        </w:tc>
        <w:tc>
          <w:tcPr>
            <w:tcW w:w="441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34"/>
        <w:gridCol w:w="1416"/>
        <w:gridCol w:w="1419"/>
        <w:gridCol w:w="1183"/>
        <w:gridCol w:w="4417"/>
      </w:tblGrid>
      <w:tr>
        <w:trPr>
          <w:trHeight w:val="1337"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-29,104,487.95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-43,028,184.98</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32.36%</w:t>
            </w:r>
          </w:p>
        </w:tc>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2"/>
              <w:jc w:val="both"/>
              <w:rPr>
                <w:rFonts w:ascii="宋体" w:hAnsi="宋体" w:cs="宋体" w:eastAsia="宋体" w:hint="default"/>
                <w:sz w:val="18"/>
                <w:szCs w:val="18"/>
              </w:rPr>
            </w:pPr>
            <w:r>
              <w:rPr>
                <w:rFonts w:ascii="宋体" w:hAnsi="宋体" w:cs="宋体" w:eastAsia="宋体" w:hint="default"/>
                <w:sz w:val="18"/>
                <w:szCs w:val="18"/>
              </w:rPr>
              <w:t>主要系北京网安募投资金的陆续使用，募投资金余额逐 渐减少，公司可用于购买结构性存款的闲置募集资金较 上年同期减少，同时市场利率也有所下滑，导致利息收 入同比减少。</w:t>
            </w:r>
          </w:p>
        </w:tc>
      </w:tr>
      <w:tr>
        <w:trPr>
          <w:trHeight w:val="403"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191,595,542.22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192,665,350.81</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-0.56%</w:t>
            </w:r>
          </w:p>
        </w:tc>
        <w:tc>
          <w:tcPr>
            <w:tcW w:w="44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307" w:lineRule="auto" w:before="101"/>
        <w:ind w:left="152" w:right="0" w:firstLine="36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年，公司积极响应市场需求，开拓新产品，大力发展基础平台、高端安全芯片和整机产品，同时开展安全运营服务。</w:t>
      </w:r>
      <w:r>
        <w:rPr>
          <w:rFonts w:ascii="宋体" w:hAnsi="宋体" w:cs="宋体" w:eastAsia="宋体" w:hint="default"/>
          <w:sz w:val="18"/>
          <w:szCs w:val="18"/>
        </w:rPr>
        <w:t> </w:t>
      </w:r>
      <w:r>
        <w:rPr>
          <w:rFonts w:ascii="宋体" w:hAnsi="宋体" w:cs="宋体" w:eastAsia="宋体" w:hint="default"/>
          <w:spacing w:val="-2"/>
          <w:sz w:val="18"/>
          <w:szCs w:val="18"/>
        </w:rPr>
        <w:t>全年共开展产品研发项目</w:t>
      </w:r>
      <w:r>
        <w:rPr>
          <w:rFonts w:ascii="Times New Roman" w:hAnsi="Times New Roman" w:cs="Times New Roman" w:eastAsia="Times New Roman" w:hint="default"/>
          <w:spacing w:val="-2"/>
          <w:sz w:val="18"/>
          <w:szCs w:val="18"/>
        </w:rPr>
        <w:t>67</w:t>
      </w:r>
      <w:r>
        <w:rPr>
          <w:rFonts w:ascii="宋体" w:hAnsi="宋体" w:cs="宋体" w:eastAsia="宋体" w:hint="default"/>
          <w:spacing w:val="-2"/>
          <w:sz w:val="18"/>
          <w:szCs w:val="18"/>
        </w:rPr>
        <w:t>个，包括安全芯片、密码产品（含云密码产品）、信任服务产品、网络安全产品、安全态势感知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产品、移动互联网安全产品、安全通信产品、安全保密产品、安全应用产品等，为提升公司市场竞争力、形成新的经济增长</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点，做出了积极贡献。</w:t>
      </w:r>
    </w:p>
    <w:p>
      <w:pPr>
        <w:spacing w:before="67"/>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813"/>
        <w:gridCol w:w="2279"/>
        <w:gridCol w:w="2268"/>
        <w:gridCol w:w="2199"/>
      </w:tblGrid>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853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871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41.39%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41.92%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-0.53%</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246,707,980.63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240,663,931.93</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2.51%</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11.73%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12.46%</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-0.73%</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55,112,438.41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47,998,581.12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14.82%</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22.34%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19.94%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before="49"/>
        <w:ind w:left="152" w:right="-17"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before="117"/>
        <w:ind w:left="152"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152" w:right="-1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32" w:right="0" w:firstLine="0"/>
        <w:jc w:val="left"/>
        <w:rPr>
          <w:rFonts w:ascii="宋体" w:hAnsi="宋体" w:cs="宋体" w:eastAsia="宋体" w:hint="default"/>
          <w:sz w:val="18"/>
          <w:szCs w:val="18"/>
        </w:rPr>
      </w:pPr>
      <w:r>
        <w:rPr/>
        <w:pict>
          <v:group style="position:absolute;margin-left:384.190002pt;margin-top:106.751732pt;width:149.550pt;height:15.6pt;mso-position-horizontal-relative:page;mso-position-vertical-relative:paragraph;z-index:-1076848" coordorigin="7684,2135" coordsize="2991,312">
            <v:shape style="position:absolute;left:7684;top:2135;width:2991;height:312" coordorigin="7684,2135" coordsize="2991,312" path="m7684,2447l10675,2447,10675,2135,7684,2135,7684,2447xe" filled="true" fillcolor="#ffffff" stroked="false">
              <v:path arrowok="t"/>
              <v:fill type="solid"/>
            </v:shape>
            <w10:wrap type="none"/>
          </v:group>
        </w:pict>
      </w: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066" w:space="40"/>
            <w:col w:w="1824"/>
          </w:cols>
        </w:sectPr>
      </w:pPr>
    </w:p>
    <w:p>
      <w:pPr>
        <w:spacing w:line="240" w:lineRule="auto" w:before="4"/>
        <w:rPr>
          <w:rFonts w:ascii="宋体" w:hAnsi="宋体" w:cs="宋体" w:eastAsia="宋体" w:hint="default"/>
          <w:sz w:val="8"/>
          <w:szCs w:val="8"/>
        </w:rPr>
      </w:pPr>
      <w:r>
        <w:rPr/>
        <w:pict>
          <v:group style="position:absolute;margin-left:384.190002pt;margin-top:654.820007pt;width:149.550pt;height:17.55pt;mso-position-horizontal-relative:page;mso-position-vertical-relative:page;z-index:-1076824" coordorigin="7684,13096" coordsize="2991,351">
            <v:shape style="position:absolute;left:7684;top:13096;width:2991;height:351" coordorigin="7684,13096" coordsize="2991,351" path="m7684,13447l10675,13447,10675,13096,7684,13096,7684,13447xe" filled="true" fillcolor="#ffffff" stroked="false">
              <v:path arrowok="t"/>
              <v:fill type="solid"/>
            </v:shape>
            <w10:wrap type="none"/>
          </v:group>
        </w:pict>
      </w:r>
      <w:r>
        <w:rPr/>
        <w:pict>
          <v:group style="position:absolute;margin-left:383.109985pt;margin-top:680.079956pt;width:151.85pt;height:43.65pt;mso-position-horizontal-relative:page;mso-position-vertical-relative:page;z-index:-1076800" coordorigin="7662,13602" coordsize="3037,873">
            <v:group style="position:absolute;left:7673;top:13612;width:2;height:706" coordorigin="7673,13612" coordsize="2,706">
              <v:shape style="position:absolute;left:7673;top:13612;width:2;height:706" coordorigin="7673,13612" coordsize="0,706" path="m7673,13612l7673,14318e" filled="false" stroked="true" strokeweight="1.08pt" strokecolor="#ffffff">
                <v:path arrowok="t"/>
              </v:shape>
            </v:group>
            <v:group style="position:absolute;left:7662;top:14318;width:3037;height:156" coordorigin="7662,14318" coordsize="3037,156">
              <v:shape style="position:absolute;left:7662;top:14318;width:3037;height:156" coordorigin="7662,14318" coordsize="3037,156" path="m7662,14474l10699,14474,10699,14318,7662,14318,7662,14474xe" filled="true" fillcolor="#ffffff" stroked="false">
                <v:path arrowok="t"/>
                <v:fill type="solid"/>
              </v:shape>
            </v:group>
            <v:group style="position:absolute;left:7684;top:13612;width:2991;height:353" coordorigin="7684,13612" coordsize="2991,353">
              <v:shape style="position:absolute;left:7684;top:13612;width:2991;height:353" coordorigin="7684,13612" coordsize="2991,353" path="m7684,13965l10675,13965,10675,13612,7684,13612,7684,13965xe" filled="true" fillcolor="#ffffff" stroked="false">
                <v:path arrowok="t"/>
                <v:fill type="solid"/>
              </v:shape>
            </v:group>
            <v:group style="position:absolute;left:7684;top:13965;width:2991;height:353" coordorigin="7684,13965" coordsize="2991,353">
              <v:shape style="position:absolute;left:7684;top:13965;width:2991;height:353" coordorigin="7684,13965" coordsize="2991,353" path="m7684,14318l10675,14318,10675,13965,7684,13965,7684,14318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1419"/>
        <w:gridCol w:w="1558"/>
        <w:gridCol w:w="3545"/>
        <w:gridCol w:w="3049"/>
      </w:tblGrid>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10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新一代</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VPN</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8,150,768.85</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14"/>
              <w:jc w:val="both"/>
              <w:rPr>
                <w:rFonts w:ascii="宋体" w:hAnsi="宋体" w:cs="宋体" w:eastAsia="宋体" w:hint="default"/>
                <w:sz w:val="18"/>
                <w:szCs w:val="18"/>
              </w:rPr>
            </w:pPr>
            <w:r>
              <w:rPr>
                <w:rFonts w:ascii="宋体" w:hAnsi="宋体" w:cs="宋体" w:eastAsia="宋体" w:hint="default"/>
                <w:sz w:val="18"/>
                <w:szCs w:val="18"/>
              </w:rPr>
              <w:t>项目以</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WVNP</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平台为基础的新一代综合安全 </w:t>
            </w:r>
            <w:r>
              <w:rPr>
                <w:rFonts w:ascii="宋体" w:hAnsi="宋体" w:cs="宋体" w:eastAsia="宋体" w:hint="default"/>
                <w:spacing w:val="-3"/>
                <w:sz w:val="18"/>
                <w:szCs w:val="18"/>
              </w:rPr>
              <w:t>网关，提供具有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IPSec</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VPN </w:t>
            </w:r>
            <w:r>
              <w:rPr>
                <w:rFonts w:ascii="宋体" w:hAnsi="宋体" w:cs="宋体" w:eastAsia="宋体" w:hint="default"/>
                <w:sz w:val="18"/>
                <w:szCs w:val="18"/>
              </w:rPr>
              <w:t>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SSL</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VPN </w:t>
            </w:r>
            <w:r>
              <w:rPr>
                <w:rFonts w:ascii="宋体" w:hAnsi="宋体" w:cs="宋体" w:eastAsia="宋体" w:hint="default"/>
                <w:sz w:val="18"/>
                <w:szCs w:val="18"/>
              </w:rPr>
              <w:t>二合 一功能。</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年完成了综合安全网关基于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OS</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版本的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WVNP </w:t>
            </w:r>
            <w:r>
              <w:rPr>
                <w:rFonts w:ascii="宋体" w:hAnsi="宋体" w:cs="宋体" w:eastAsia="宋体" w:hint="default"/>
                <w:sz w:val="18"/>
                <w:szCs w:val="18"/>
              </w:rPr>
              <w:t>功能验证。目前切换到 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DPDK</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为基础的转发平台的版本。</w:t>
            </w:r>
          </w:p>
        </w:tc>
      </w:tr>
      <w:tr>
        <w:trPr>
          <w:trHeight w:val="164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统一认证平台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6,605,323.66</w:t>
            </w:r>
          </w:p>
        </w:tc>
        <w:tc>
          <w:tcPr>
            <w:tcW w:w="3545"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49"/>
              <w:ind w:left="26" w:right="-46"/>
              <w:jc w:val="left"/>
              <w:rPr>
                <w:rFonts w:ascii="宋体" w:hAnsi="宋体" w:cs="宋体" w:eastAsia="宋体" w:hint="default"/>
                <w:sz w:val="18"/>
                <w:szCs w:val="18"/>
              </w:rPr>
            </w:pPr>
            <w:r>
              <w:rPr>
                <w:rFonts w:ascii="宋体" w:hAnsi="宋体" w:cs="宋体" w:eastAsia="宋体" w:hint="default"/>
                <w:sz w:val="18"/>
                <w:szCs w:val="18"/>
              </w:rPr>
              <w:t>统一身份认证系统主要面向用户提供统一的 </w:t>
            </w:r>
            <w:r>
              <w:rPr>
                <w:rFonts w:ascii="宋体" w:hAnsi="宋体" w:cs="宋体" w:eastAsia="宋体" w:hint="default"/>
                <w:spacing w:val="-3"/>
                <w:sz w:val="18"/>
                <w:szCs w:val="18"/>
              </w:rPr>
              <w:t>身份管理、身份认证、单点登录、访问控制、</w:t>
            </w:r>
            <w:r>
              <w:rPr>
                <w:rFonts w:ascii="宋体" w:hAnsi="宋体" w:cs="宋体" w:eastAsia="宋体" w:hint="default"/>
                <w:spacing w:val="-36"/>
                <w:sz w:val="18"/>
                <w:szCs w:val="18"/>
              </w:rPr>
              <w:t> </w:t>
            </w:r>
            <w:r>
              <w:rPr>
                <w:rFonts w:ascii="宋体" w:hAnsi="宋体" w:cs="宋体" w:eastAsia="宋体" w:hint="default"/>
                <w:sz w:val="18"/>
                <w:szCs w:val="18"/>
              </w:rPr>
              <w:t>行为审计等服务，解决应用身份系统用户分</w:t>
            </w:r>
            <w:r>
              <w:rPr>
                <w:rFonts w:ascii="宋体" w:hAnsi="宋体" w:cs="宋体" w:eastAsia="宋体" w:hint="default"/>
                <w:sz w:val="18"/>
                <w:szCs w:val="18"/>
              </w:rPr>
              <w:t> 散管理、独立认证、多次登录等问题，实现 </w:t>
            </w:r>
            <w:r>
              <w:rPr>
                <w:rFonts w:ascii="宋体" w:hAnsi="宋体" w:cs="宋体" w:eastAsia="宋体" w:hint="default"/>
                <w:spacing w:val="-3"/>
                <w:sz w:val="18"/>
                <w:szCs w:val="18"/>
              </w:rPr>
              <w:t>身份可靠、业务可控、数据可信和行为可溯。</w:t>
            </w:r>
            <w:r>
              <w:rPr>
                <w:rFonts w:ascii="宋体" w:hAnsi="宋体" w:cs="宋体" w:eastAsia="宋体" w:hint="default"/>
                <w:sz w:val="18"/>
                <w:szCs w:val="18"/>
              </w:rPr>
            </w:r>
          </w:p>
        </w:tc>
        <w:tc>
          <w:tcPr>
            <w:tcW w:w="3049" w:type="dxa"/>
            <w:tcBorders>
              <w:top w:val="single" w:sz="4" w:space="0" w:color="000000"/>
              <w:left w:val="single" w:sz="13" w:space="0" w:color="FFFFFF"/>
              <w:bottom w:val="single" w:sz="4" w:space="0" w:color="000000"/>
              <w:right w:val="single" w:sz="4" w:space="0" w:color="000000"/>
            </w:tcBorders>
          </w:tcPr>
          <w:p>
            <w:pPr>
              <w:pStyle w:val="TableParagraph"/>
              <w:spacing w:line="314" w:lineRule="auto" w:before="49"/>
              <w:ind w:left="11" w:right="0"/>
              <w:jc w:val="both"/>
              <w:rPr>
                <w:rFonts w:ascii="宋体" w:hAnsi="宋体" w:cs="宋体" w:eastAsia="宋体" w:hint="default"/>
                <w:sz w:val="18"/>
                <w:szCs w:val="18"/>
              </w:rPr>
            </w:pPr>
            <w:r>
              <w:rPr>
                <w:rFonts w:ascii="宋体" w:hAnsi="宋体" w:cs="宋体" w:eastAsia="宋体" w:hint="default"/>
                <w:sz w:val="18"/>
                <w:szCs w:val="18"/>
              </w:rPr>
              <w:t>已完成</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版本的研制，并提供试用， </w:t>
            </w:r>
            <w:r>
              <w:rPr>
                <w:rFonts w:ascii="宋体" w:hAnsi="宋体" w:cs="宋体" w:eastAsia="宋体" w:hint="default"/>
                <w:spacing w:val="-4"/>
                <w:sz w:val="18"/>
                <w:szCs w:val="18"/>
              </w:rPr>
              <w:t>同时新增多因子认证、一键登录、数据</w:t>
            </w:r>
            <w:r>
              <w:rPr>
                <w:rFonts w:ascii="宋体" w:hAnsi="宋体" w:cs="宋体" w:eastAsia="宋体" w:hint="default"/>
                <w:sz w:val="18"/>
                <w:szCs w:val="18"/>
              </w:rPr>
              <w:t> </w:t>
            </w:r>
            <w:r>
              <w:rPr>
                <w:rFonts w:ascii="宋体" w:hAnsi="宋体" w:cs="宋体" w:eastAsia="宋体" w:hint="default"/>
                <w:spacing w:val="-5"/>
                <w:sz w:val="18"/>
                <w:szCs w:val="18"/>
              </w:rPr>
              <w:t>汇聚、人脸识别、指经脉认证、提供移</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动客户端支持，支持集群部署模式等需</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求做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版本的研制。</w:t>
            </w:r>
          </w:p>
        </w:tc>
      </w:tr>
      <w:tr>
        <w:trPr>
          <w:trHeight w:val="10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23"/>
              <w:jc w:val="left"/>
              <w:rPr>
                <w:rFonts w:ascii="宋体" w:hAnsi="宋体" w:cs="宋体" w:eastAsia="宋体" w:hint="default"/>
                <w:sz w:val="18"/>
                <w:szCs w:val="18"/>
              </w:rPr>
            </w:pPr>
            <w:r>
              <w:rPr>
                <w:rFonts w:ascii="宋体" w:hAnsi="宋体" w:cs="宋体" w:eastAsia="宋体" w:hint="default"/>
                <w:sz w:val="18"/>
                <w:szCs w:val="18"/>
              </w:rPr>
              <w:t>跨网跨域综合服 务平台信任系统</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7,152,832.89</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87"/>
              <w:jc w:val="both"/>
              <w:rPr>
                <w:rFonts w:ascii="宋体" w:hAnsi="宋体" w:cs="宋体" w:eastAsia="宋体" w:hint="default"/>
                <w:sz w:val="18"/>
                <w:szCs w:val="18"/>
              </w:rPr>
            </w:pPr>
            <w:r>
              <w:rPr>
                <w:rFonts w:ascii="宋体" w:hAnsi="宋体" w:cs="宋体" w:eastAsia="宋体" w:hint="default"/>
                <w:sz w:val="18"/>
                <w:szCs w:val="18"/>
              </w:rPr>
              <w:t>根据融合跨网数据交换场景，完成对跨网数 据交换系统的跨网身份管理、跨网身份认证 跨网信任传递，主要用于融合先导平台建设</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已完成</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版本的研制工作，并按总</w:t>
            </w:r>
          </w:p>
          <w:p>
            <w:pPr>
              <w:pStyle w:val="TableParagraph"/>
              <w:spacing w:line="149" w:lineRule="exact"/>
              <w:ind w:left="-12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56" w:lineRule="exact"/>
              <w:ind w:left="23" w:right="-46"/>
              <w:jc w:val="left"/>
              <w:rPr>
                <w:rFonts w:ascii="宋体" w:hAnsi="宋体" w:cs="宋体" w:eastAsia="宋体" w:hint="default"/>
                <w:sz w:val="18"/>
                <w:szCs w:val="18"/>
              </w:rPr>
            </w:pPr>
            <w:r>
              <w:rPr>
                <w:rFonts w:ascii="宋体" w:hAnsi="宋体" w:cs="宋体" w:eastAsia="宋体" w:hint="default"/>
                <w:sz w:val="18"/>
                <w:szCs w:val="18"/>
              </w:rPr>
              <w:t>体单位进度要求开展下阶段工作准备。</w:t>
            </w:r>
          </w:p>
          <w:p>
            <w:pPr>
              <w:pStyle w:val="TableParagraph"/>
              <w:spacing w:line="196" w:lineRule="exact"/>
              <w:ind w:left="-121"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after="0" w:line="196" w:lineRule="exact"/>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19"/>
        <w:gridCol w:w="1558"/>
        <w:gridCol w:w="3545"/>
        <w:gridCol w:w="3049"/>
      </w:tblGrid>
      <w:tr>
        <w:trPr>
          <w:trHeight w:val="164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出口型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HSM</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6,162,290.63</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项目产品完成密钥管理，支持通用算法，支 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SM2/3/4 </w:t>
            </w:r>
            <w:r>
              <w:rPr>
                <w:rFonts w:ascii="宋体" w:hAnsi="宋体" w:cs="宋体" w:eastAsia="宋体" w:hint="default"/>
                <w:sz w:val="18"/>
                <w:szCs w:val="18"/>
              </w:rPr>
              <w:t>算法，完成相应的接口开发，研 发符合国际标准的出口型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HSM</w:t>
            </w:r>
            <w:r>
              <w:rPr>
                <w:rFonts w:ascii="宋体" w:hAnsi="宋体" w:cs="宋体" w:eastAsia="宋体" w:hint="default"/>
                <w:sz w:val="18"/>
                <w:szCs w:val="18"/>
              </w:rPr>
              <w:t>，该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HSM </w:t>
            </w:r>
            <w:r>
              <w:rPr>
                <w:rFonts w:ascii="宋体" w:hAnsi="宋体" w:cs="宋体" w:eastAsia="宋体" w:hint="default"/>
                <w:sz w:val="18"/>
                <w:szCs w:val="18"/>
              </w:rPr>
              <w:t>在 满足国内相关标准的同时，需通过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NIST</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FIPSPUB140-2</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级检测，完成</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FIPS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认证。</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0" w:lineRule="auto"/>
              <w:ind w:left="23" w:right="221"/>
              <w:jc w:val="left"/>
              <w:rPr>
                <w:rFonts w:ascii="宋体" w:hAnsi="宋体" w:cs="宋体" w:eastAsia="宋体" w:hint="default"/>
                <w:sz w:val="18"/>
                <w:szCs w:val="18"/>
              </w:rPr>
            </w:pPr>
            <w:r>
              <w:rPr>
                <w:rFonts w:ascii="宋体" w:hAnsi="宋体" w:cs="宋体" w:eastAsia="宋体" w:hint="default"/>
                <w:sz w:val="18"/>
                <w:szCs w:val="18"/>
              </w:rPr>
              <w:t>完成产品测试版本并完成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FIPS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预评 审。</w:t>
            </w:r>
          </w:p>
        </w:tc>
      </w:tr>
      <w:tr>
        <w:trPr>
          <w:trHeight w:val="133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123"/>
              <w:jc w:val="left"/>
              <w:rPr>
                <w:rFonts w:ascii="宋体" w:hAnsi="宋体" w:cs="宋体" w:eastAsia="宋体" w:hint="default"/>
                <w:sz w:val="18"/>
                <w:szCs w:val="18"/>
              </w:rPr>
            </w:pPr>
            <w:r>
              <w:rPr>
                <w:rFonts w:ascii="宋体" w:hAnsi="宋体" w:cs="宋体" w:eastAsia="宋体" w:hint="default"/>
                <w:sz w:val="18"/>
                <w:szCs w:val="18"/>
              </w:rPr>
              <w:t>网络安全监测装 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3,808,500.24</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87"/>
              <w:jc w:val="both"/>
              <w:rPr>
                <w:rFonts w:ascii="宋体" w:hAnsi="宋体" w:cs="宋体" w:eastAsia="宋体" w:hint="default"/>
                <w:sz w:val="18"/>
                <w:szCs w:val="18"/>
              </w:rPr>
            </w:pPr>
            <w:r>
              <w:rPr>
                <w:rFonts w:ascii="宋体" w:hAnsi="宋体" w:cs="宋体" w:eastAsia="宋体" w:hint="default"/>
                <w:sz w:val="18"/>
                <w:szCs w:val="18"/>
              </w:rPr>
              <w:t>网络安全监测装置部署于电力监控系统局域 网网络中，用以对监测对象的网络安全信息 采集，为网络安全管理平台上传事件并提供 服务代理功能。</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22"/>
              <w:jc w:val="left"/>
              <w:rPr>
                <w:rFonts w:ascii="宋体" w:hAnsi="宋体" w:cs="宋体" w:eastAsia="宋体" w:hint="default"/>
                <w:sz w:val="18"/>
                <w:szCs w:val="18"/>
              </w:rPr>
            </w:pPr>
            <w:r>
              <w:rPr>
                <w:rFonts w:ascii="宋体" w:hAnsi="宋体" w:cs="宋体" w:eastAsia="宋体" w:hint="default"/>
                <w:spacing w:val="-5"/>
                <w:sz w:val="18"/>
                <w:szCs w:val="18"/>
              </w:rPr>
              <w:t>项目已完成阶段目标，后续根据需求进</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行升级开发。</w:t>
            </w:r>
          </w:p>
        </w:tc>
      </w:tr>
      <w:tr>
        <w:trPr>
          <w:trHeight w:val="164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4" w:right="123"/>
              <w:jc w:val="left"/>
              <w:rPr>
                <w:rFonts w:ascii="宋体" w:hAnsi="宋体" w:cs="宋体" w:eastAsia="宋体" w:hint="default"/>
                <w:sz w:val="18"/>
                <w:szCs w:val="18"/>
              </w:rPr>
            </w:pPr>
            <w:r>
              <w:rPr>
                <w:rFonts w:ascii="宋体" w:hAnsi="宋体" w:cs="宋体" w:eastAsia="宋体" w:hint="default"/>
                <w:sz w:val="18"/>
                <w:szCs w:val="18"/>
              </w:rPr>
              <w:t>密信通安全即时 通信系统</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4,070,930.68</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安全即时通信系统，除了具备常见的文本、 图片、语音、表情、文件传输、企业通讯录 </w:t>
            </w:r>
            <w:r>
              <w:rPr>
                <w:rFonts w:ascii="宋体" w:hAnsi="宋体" w:cs="宋体" w:eastAsia="宋体" w:hint="default"/>
                <w:spacing w:val="-6"/>
                <w:sz w:val="18"/>
                <w:szCs w:val="18"/>
              </w:rPr>
              <w:t>等功能外，还具备消息追踪、密级标识、</w:t>
            </w:r>
            <w:r>
              <w:rPr>
                <w:rFonts w:ascii="Times New Roman" w:hAnsi="Times New Roman" w:cs="Times New Roman" w:eastAsia="Times New Roman" w:hint="default"/>
                <w:spacing w:val="-6"/>
                <w:sz w:val="18"/>
                <w:szCs w:val="18"/>
              </w:rPr>
              <w:t>KEY</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认证登录、文件流向控制和审批、管理三员 分立等安全特色功能。</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完成多平台适配和功能完善。</w:t>
            </w:r>
          </w:p>
        </w:tc>
      </w:tr>
      <w:tr>
        <w:trPr>
          <w:trHeight w:val="133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123"/>
              <w:jc w:val="left"/>
              <w:rPr>
                <w:rFonts w:ascii="宋体" w:hAnsi="宋体" w:cs="宋体" w:eastAsia="宋体" w:hint="default"/>
                <w:sz w:val="18"/>
                <w:szCs w:val="18"/>
              </w:rPr>
            </w:pPr>
            <w:r>
              <w:rPr>
                <w:rFonts w:ascii="宋体" w:hAnsi="宋体" w:cs="宋体" w:eastAsia="宋体" w:hint="default"/>
                <w:sz w:val="18"/>
                <w:szCs w:val="18"/>
              </w:rPr>
              <w:t>卫士通网安安全 管理系统</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2,969,396.01</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87"/>
              <w:jc w:val="both"/>
              <w:rPr>
                <w:rFonts w:ascii="宋体" w:hAnsi="宋体" w:cs="宋体" w:eastAsia="宋体" w:hint="default"/>
                <w:sz w:val="18"/>
                <w:szCs w:val="18"/>
              </w:rPr>
            </w:pPr>
            <w:r>
              <w:rPr>
                <w:rFonts w:ascii="宋体" w:hAnsi="宋体" w:cs="宋体" w:eastAsia="宋体" w:hint="default"/>
                <w:sz w:val="18"/>
                <w:szCs w:val="18"/>
              </w:rPr>
              <w:t>专注于保障网络整体安全，对各种安全要素 的不同来源、不同类型的数据进行综合处理 和分析，对各种网络安全设施进行监视、管 理和控制。</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22"/>
              <w:jc w:val="left"/>
              <w:rPr>
                <w:rFonts w:ascii="宋体" w:hAnsi="宋体" w:cs="宋体" w:eastAsia="宋体" w:hint="default"/>
                <w:sz w:val="18"/>
                <w:szCs w:val="18"/>
              </w:rPr>
            </w:pPr>
            <w:r>
              <w:rPr>
                <w:rFonts w:ascii="宋体" w:hAnsi="宋体" w:cs="宋体" w:eastAsia="宋体" w:hint="default"/>
                <w:spacing w:val="-5"/>
                <w:sz w:val="18"/>
                <w:szCs w:val="18"/>
              </w:rPr>
              <w:t>完成基础版本开发，后续将适配更多平</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台及功能完善。</w:t>
            </w: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23"/>
              <w:jc w:val="left"/>
              <w:rPr>
                <w:rFonts w:ascii="宋体" w:hAnsi="宋体" w:cs="宋体" w:eastAsia="宋体" w:hint="default"/>
                <w:sz w:val="18"/>
                <w:szCs w:val="18"/>
              </w:rPr>
            </w:pPr>
            <w:r>
              <w:rPr>
                <w:rFonts w:ascii="宋体" w:hAnsi="宋体" w:cs="宋体" w:eastAsia="宋体" w:hint="default"/>
                <w:sz w:val="18"/>
                <w:szCs w:val="18"/>
              </w:rPr>
              <w:t>一兆型纵向加密 认证装置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2,499,749.83</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87"/>
              <w:jc w:val="both"/>
              <w:rPr>
                <w:rFonts w:ascii="宋体" w:hAnsi="宋体" w:cs="宋体" w:eastAsia="宋体" w:hint="default"/>
                <w:sz w:val="18"/>
                <w:szCs w:val="18"/>
              </w:rPr>
            </w:pPr>
            <w:r>
              <w:rPr>
                <w:rFonts w:ascii="宋体" w:hAnsi="宋体" w:cs="宋体" w:eastAsia="宋体" w:hint="default"/>
                <w:sz w:val="18"/>
                <w:szCs w:val="18"/>
              </w:rPr>
              <w:t>项目针对新能源场站就地终端及配电自动化 系统的终端安全进行防护，实现就地终端侧 与控制侧通信安全。</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年取得了商密产品型号证书，并 已完成产品归档。</w:t>
            </w:r>
          </w:p>
        </w:tc>
      </w:tr>
      <w:tr>
        <w:trPr>
          <w:trHeight w:val="102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24" w:right="62"/>
              <w:jc w:val="left"/>
              <w:rPr>
                <w:rFonts w:ascii="宋体" w:hAnsi="宋体" w:cs="宋体" w:eastAsia="宋体" w:hint="default"/>
                <w:sz w:val="18"/>
                <w:szCs w:val="18"/>
              </w:rPr>
            </w:pPr>
            <w:r>
              <w:rPr>
                <w:rFonts w:ascii="宋体" w:hAnsi="宋体" w:cs="宋体" w:eastAsia="宋体" w:hint="default"/>
                <w:sz w:val="18"/>
                <w:szCs w:val="18"/>
              </w:rPr>
              <w:t>密钥管理产品</w:t>
            </w:r>
            <w:r>
              <w:rPr>
                <w:rFonts w:ascii="Times New Roman" w:hAnsi="Times New Roman" w:cs="Times New Roman" w:eastAsia="Times New Roman" w:hint="default"/>
                <w:sz w:val="18"/>
                <w:szCs w:val="18"/>
              </w:rPr>
              <w:t>-</w:t>
            </w:r>
            <w:r>
              <w:rPr>
                <w:rFonts w:ascii="宋体" w:hAnsi="宋体" w:cs="宋体" w:eastAsia="宋体" w:hint="default"/>
                <w:sz w:val="18"/>
                <w:szCs w:val="18"/>
              </w:rPr>
              <w:t>密 钥管理系统</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1,672,553.44</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提供安全、可靠的密钥管理系统平台。</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48"/>
              <w:jc w:val="both"/>
              <w:rPr>
                <w:rFonts w:ascii="宋体" w:hAnsi="宋体" w:cs="宋体" w:eastAsia="宋体" w:hint="default"/>
                <w:sz w:val="18"/>
                <w:szCs w:val="18"/>
              </w:rPr>
            </w:pPr>
            <w:r>
              <w:rPr>
                <w:rFonts w:ascii="宋体" w:hAnsi="宋体" w:cs="宋体" w:eastAsia="宋体" w:hint="default"/>
                <w:sz w:val="18"/>
                <w:szCs w:val="18"/>
              </w:rPr>
              <w:t>已完成</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版本的研制，后续进行平 台移植和适配，开展</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版本的研制 工作。</w:t>
            </w:r>
          </w:p>
        </w:tc>
      </w:tr>
      <w:tr>
        <w:trPr>
          <w:trHeight w:val="196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00" w:lineRule="auto"/>
              <w:ind w:left="24" w:right="19"/>
              <w:jc w:val="left"/>
              <w:rPr>
                <w:rFonts w:ascii="宋体" w:hAnsi="宋体" w:cs="宋体" w:eastAsia="宋体" w:hint="default"/>
                <w:sz w:val="18"/>
                <w:szCs w:val="18"/>
              </w:rPr>
            </w:pPr>
            <w:r>
              <w:rPr>
                <w:rFonts w:ascii="宋体" w:hAnsi="宋体" w:cs="宋体" w:eastAsia="宋体" w:hint="default"/>
                <w:sz w:val="18"/>
                <w:szCs w:val="18"/>
              </w:rPr>
              <w:t>基于安全</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SE</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产品 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1,122,547.03</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36"/>
              <w:jc w:val="both"/>
              <w:rPr>
                <w:rFonts w:ascii="宋体" w:hAnsi="宋体" w:cs="宋体" w:eastAsia="宋体" w:hint="default"/>
                <w:sz w:val="18"/>
                <w:szCs w:val="18"/>
              </w:rPr>
            </w:pPr>
            <w:r>
              <w:rPr>
                <w:rFonts w:ascii="宋体" w:hAnsi="宋体" w:cs="宋体" w:eastAsia="宋体" w:hint="default"/>
                <w:sz w:val="18"/>
                <w:szCs w:val="18"/>
              </w:rPr>
              <w:t>项目基于密码与通用计算的一体化融合，提 供硬件级密码运算能力、可信计算能力和芯 片级安全防护能力，实现从处理器、</w:t>
            </w:r>
            <w:r>
              <w:rPr>
                <w:rFonts w:ascii="Times New Roman" w:hAnsi="Times New Roman" w:cs="Times New Roman" w:eastAsia="Times New Roman" w:hint="default"/>
                <w:sz w:val="18"/>
                <w:szCs w:val="18"/>
              </w:rPr>
              <w:t>BIOS</w:t>
            </w:r>
            <w:r>
              <w:rPr>
                <w:rFonts w:ascii="宋体" w:hAnsi="宋体" w:cs="宋体" w:eastAsia="宋体" w:hint="default"/>
                <w:sz w:val="18"/>
                <w:szCs w:val="18"/>
              </w:rPr>
              <w:t>、 操作系统到应用的真正安全与可信，为用户 及应用提供高安全、强合规、易使用的全新 的密码与安全解决方案。</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年完成基础版本研发</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10,897,545.15</w:t>
            </w:r>
          </w:p>
        </w:tc>
        <w:tc>
          <w:tcPr>
            <w:tcW w:w="354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8" w:lineRule="auto" w:before="0"/>
        <w:ind w:right="1133" w:firstLine="420"/>
        <w:jc w:val="left"/>
      </w:pPr>
      <w:r>
        <w:rPr/>
        <w:t>公司规定研究开发项目的支出应当区分研究阶段支出与开发阶段支出。研究阶段成果因存在不确定</w:t>
      </w:r>
      <w:r>
        <w:rPr>
          <w:w w:val="100"/>
        </w:rPr>
        <w:t> </w:t>
      </w:r>
      <w:r>
        <w:rPr>
          <w:spacing w:val="-2"/>
        </w:rPr>
        <w:t>性，无法证明未来是否有经济效益，研究阶段的内部相关支出，于发生时计入当期损益，即发生时计入公</w:t>
      </w:r>
      <w:r>
        <w:rPr>
          <w:spacing w:val="-50"/>
        </w:rPr>
        <w:t> </w:t>
      </w:r>
      <w:r>
        <w:rPr>
          <w:spacing w:val="-50"/>
        </w:rPr>
      </w:r>
      <w:r>
        <w:rPr>
          <w:spacing w:val="-4"/>
        </w:rPr>
        <w:t>司</w:t>
      </w:r>
      <w:r>
        <w:rPr>
          <w:rFonts w:ascii="Times New Roman" w:hAnsi="Times New Roman" w:cs="Times New Roman" w:eastAsia="Times New Roman" w:hint="default"/>
          <w:spacing w:val="-4"/>
        </w:rPr>
        <w:t>“</w:t>
      </w:r>
      <w:r>
        <w:rPr>
          <w:spacing w:val="-4"/>
        </w:rPr>
        <w:t>研发支出</w:t>
      </w:r>
      <w:r>
        <w:rPr>
          <w:rFonts w:ascii="Times New Roman" w:hAnsi="Times New Roman" w:cs="Times New Roman" w:eastAsia="Times New Roman" w:hint="default"/>
          <w:spacing w:val="-4"/>
        </w:rPr>
        <w:t>—</w:t>
      </w:r>
      <w:r>
        <w:rPr>
          <w:spacing w:val="-4"/>
        </w:rPr>
        <w:t>费用化支出</w:t>
      </w:r>
      <w:r>
        <w:rPr>
          <w:rFonts w:ascii="Times New Roman" w:hAnsi="Times New Roman" w:cs="Times New Roman" w:eastAsia="Times New Roman" w:hint="default"/>
          <w:spacing w:val="-4"/>
        </w:rPr>
        <w:t>”</w:t>
      </w:r>
      <w:r>
        <w:rPr>
          <w:spacing w:val="-4"/>
        </w:rPr>
        <w:t>，于期末转入管理费用。开发阶段符合资本化条件的，费用发生时计入公司</w:t>
      </w:r>
      <w:r>
        <w:rPr>
          <w:rFonts w:ascii="Times New Roman" w:hAnsi="Times New Roman" w:cs="Times New Roman" w:eastAsia="Times New Roman" w:hint="default"/>
          <w:spacing w:val="-4"/>
        </w:rPr>
        <w:t>“</w:t>
      </w:r>
      <w:r>
        <w:rPr>
          <w:spacing w:val="-4"/>
        </w:rPr>
        <w:t>研</w:t>
      </w:r>
      <w:r>
        <w:rPr>
          <w:spacing w:val="-19"/>
        </w:rPr>
        <w:t> </w:t>
      </w:r>
      <w:r>
        <w:rPr/>
        <w:t>发支出</w:t>
      </w:r>
      <w:r>
        <w:rPr>
          <w:rFonts w:ascii="Times New Roman" w:hAnsi="Times New Roman" w:cs="Times New Roman" w:eastAsia="Times New Roman" w:hint="default"/>
        </w:rPr>
        <w:t>—</w:t>
      </w:r>
      <w:r>
        <w:rPr/>
        <w:t>资本化支出</w:t>
      </w:r>
      <w:r>
        <w:rPr>
          <w:rFonts w:ascii="Times New Roman" w:hAnsi="Times New Roman" w:cs="Times New Roman" w:eastAsia="Times New Roman" w:hint="default"/>
        </w:rPr>
        <w:t>”</w:t>
      </w:r>
      <w:r>
        <w:rPr/>
        <w:t>，于期末转入资产类科目</w:t>
      </w:r>
      <w:r>
        <w:rPr>
          <w:rFonts w:ascii="Times New Roman" w:hAnsi="Times New Roman" w:cs="Times New Roman" w:eastAsia="Times New Roman" w:hint="default"/>
        </w:rPr>
        <w:t>“</w:t>
      </w:r>
      <w:r>
        <w:rPr/>
        <w:t>开发支出</w:t>
      </w:r>
      <w:r>
        <w:rPr>
          <w:rFonts w:ascii="Times New Roman" w:hAnsi="Times New Roman" w:cs="Times New Roman" w:eastAsia="Times New Roman" w:hint="default"/>
        </w:rPr>
        <w:t>”</w:t>
      </w:r>
      <w:r>
        <w:rPr/>
        <w:t>；否则，应计入当期损益。</w:t>
      </w:r>
    </w:p>
    <w:p>
      <w:pPr>
        <w:pStyle w:val="BodyText"/>
        <w:spacing w:line="273" w:lineRule="auto" w:before="0"/>
        <w:ind w:right="1126" w:firstLine="420"/>
        <w:jc w:val="both"/>
      </w:pPr>
      <w:r>
        <w:rPr>
          <w:spacing w:val="-2"/>
        </w:rPr>
        <w:t>研发费用资本化的条件包括：①完成该无形资产以使其能够使用或出售在技术上具有可行性。②具有</w:t>
      </w:r>
      <w:r>
        <w:rPr>
          <w:w w:val="100"/>
        </w:rPr>
        <w:t> </w:t>
      </w:r>
      <w:r>
        <w:rPr>
          <w:spacing w:val="-2"/>
        </w:rPr>
        <w:t>完成该无形资产并使用或出售的意图。③无形资产产生经济利益的方式，包括能够证明运用该无形资产生</w:t>
      </w:r>
      <w:r>
        <w:rPr>
          <w:spacing w:val="-44"/>
        </w:rPr>
        <w:t> </w:t>
      </w:r>
      <w:r>
        <w:rPr>
          <w:spacing w:val="-44"/>
        </w:rPr>
      </w:r>
      <w:r>
        <w:rPr>
          <w:spacing w:val="-2"/>
        </w:rPr>
        <w:t>产的产品存在市场或无形资产自身存在市场；无形资产将在内部使用的，应当证明其有用性。无形资产是</w:t>
      </w:r>
      <w:r>
        <w:rPr>
          <w:spacing w:val="-44"/>
        </w:rPr>
        <w:t> </w:t>
      </w:r>
      <w:r>
        <w:rPr>
          <w:spacing w:val="-44"/>
        </w:rPr>
      </w:r>
      <w:r>
        <w:rPr>
          <w:spacing w:val="-2"/>
        </w:rPr>
        <w:t>否能够为企业带来经济利益，应当对运用该无形资产生产产品的市场情况进行可靠预计，以证明所生产的</w:t>
      </w:r>
      <w:r>
        <w:rPr>
          <w:spacing w:val="-44"/>
        </w:rPr>
        <w:t> </w:t>
      </w:r>
      <w:r>
        <w:rPr>
          <w:spacing w:val="-44"/>
        </w:rPr>
      </w:r>
      <w:r>
        <w:rPr>
          <w:spacing w:val="-2"/>
        </w:rPr>
        <w:t>产品存在市场并能够带来经济利益，或能够证明市场上存在对该无形资产的需求。④有足够的技术、财务</w:t>
      </w:r>
      <w:r>
        <w:rPr>
          <w:spacing w:val="-44"/>
        </w:rPr>
        <w:t> </w:t>
      </w:r>
      <w:r>
        <w:rPr>
          <w:spacing w:val="-44"/>
        </w:rPr>
      </w:r>
      <w:r>
        <w:rPr>
          <w:spacing w:val="-2"/>
        </w:rPr>
        <w:t>资源和其他资源支持，以完成该无形资产的开发，并有能力使用或出售该无形资产。⑤资本化项目阶段应</w:t>
      </w:r>
      <w:r>
        <w:rPr>
          <w:spacing w:val="-42"/>
        </w:rPr>
        <w:t> </w:t>
      </w:r>
      <w:r>
        <w:rPr>
          <w:spacing w:val="-42"/>
        </w:rPr>
      </w:r>
      <w:r>
        <w:rPr/>
        <w:t>选择新的、投入较大的研发项目，具有较为确定的收益期间，有较长的生命周期。</w:t>
      </w:r>
    </w:p>
    <w:p>
      <w:pPr>
        <w:spacing w:after="0" w:line="273"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04" w:firstLine="420"/>
        <w:jc w:val="both"/>
      </w:pPr>
      <w:r>
        <w:rPr>
          <w:spacing w:val="-2"/>
        </w:rPr>
        <w:t>公司研发管理部门根据上述要求，将符合研发费用资本化的项目通知财务部门开始资本化账务处理，</w:t>
      </w:r>
      <w:r>
        <w:rPr>
          <w:w w:val="100"/>
        </w:rPr>
        <w:t> </w:t>
      </w:r>
      <w:r>
        <w:rPr>
          <w:spacing w:val="-2"/>
        </w:rPr>
        <w:t>项目开发阶段结束，形成产品，且形成的产品存在市场或内部可使用，能够为企业带来经济效益时，财务</w:t>
      </w:r>
      <w:r>
        <w:rPr>
          <w:spacing w:val="-50"/>
        </w:rPr>
        <w:t> </w:t>
      </w:r>
      <w:r>
        <w:rPr>
          <w:spacing w:val="-50"/>
        </w:rPr>
      </w:r>
      <w:r>
        <w:rPr/>
        <w:t>部将其开发支出转入无形资产，并对无形资产需要提供的材料齐套性进行确认。</w:t>
      </w:r>
    </w:p>
    <w:p>
      <w:pPr>
        <w:spacing w:line="240" w:lineRule="auto" w:before="6"/>
        <w:rPr>
          <w:rFonts w:ascii="宋体" w:hAnsi="宋体" w:cs="宋体" w:eastAsia="宋体" w:hint="default"/>
          <w:sz w:val="25"/>
          <w:szCs w:val="25"/>
        </w:rPr>
      </w:pPr>
    </w:p>
    <w:p>
      <w:pPr>
        <w:pStyle w:val="Heading3"/>
        <w:spacing w:line="240" w:lineRule="auto"/>
        <w:ind w:right="1133"/>
        <w:jc w:val="left"/>
      </w:pPr>
      <w:r>
        <w:rPr/>
        <w:t>研发投入资本化率大幅变动的原因及其合理性说明</w:t>
      </w:r>
    </w:p>
    <w:p>
      <w:pPr>
        <w:spacing w:before="87"/>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29"/>
        <w:gridCol w:w="2423"/>
        <w:gridCol w:w="2408"/>
        <w:gridCol w:w="2199"/>
      </w:tblGrid>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2,310,379,524.54</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2,127,530,560.06</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8.59%</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2,408,265,561.87</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2,094,661,602.57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14.97%</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-97,886,037.33</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32,868,957.49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-397.81%</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3,838.00</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202,535.56</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-98.11%</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83,769,127.77</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162,205,012.36</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-48.36%</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-83,765,289.77</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-162,002,476.80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48.29%</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1,050,000.00</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-99.58%</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262,773,033.10</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57,625,057.11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356.00%</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-261,723,033.10</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192,374,942.89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-236.05%</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-443,374,360.20</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63,241,423.58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-801.08%</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7"/>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经营活动产生的现金流量净额比上年减少</w:t>
      </w:r>
      <w:r>
        <w:rPr>
          <w:rFonts w:ascii="Times New Roman" w:hAnsi="Times New Roman" w:cs="Times New Roman" w:eastAsia="Times New Roman" w:hint="default"/>
          <w:sz w:val="18"/>
          <w:szCs w:val="18"/>
        </w:rPr>
        <w:t>397.81%</w:t>
      </w:r>
      <w:r>
        <w:rPr>
          <w:rFonts w:ascii="宋体" w:hAnsi="宋体" w:cs="宋体" w:eastAsia="宋体" w:hint="default"/>
          <w:sz w:val="18"/>
          <w:szCs w:val="18"/>
        </w:rPr>
        <w:t>，主要系报告期支付供应商的采购结算款增加所致。</w:t>
      </w:r>
    </w:p>
    <w:p>
      <w:pPr>
        <w:spacing w:before="63"/>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投资活动产生的现金流量净额比上年增加</w:t>
      </w:r>
      <w:r>
        <w:rPr>
          <w:rFonts w:ascii="Times New Roman" w:hAnsi="Times New Roman" w:cs="Times New Roman" w:eastAsia="Times New Roman" w:hint="default"/>
          <w:sz w:val="18"/>
          <w:szCs w:val="18"/>
        </w:rPr>
        <w:t>48.29%</w:t>
      </w:r>
      <w:r>
        <w:rPr>
          <w:rFonts w:ascii="宋体" w:hAnsi="宋体" w:cs="宋体" w:eastAsia="宋体" w:hint="default"/>
          <w:sz w:val="18"/>
          <w:szCs w:val="18"/>
        </w:rPr>
        <w:t>，主要系募投项目相关设备购建资金支出减少所致。</w:t>
      </w:r>
    </w:p>
    <w:p>
      <w:pPr>
        <w:spacing w:line="340" w:lineRule="auto" w:before="63"/>
        <w:ind w:left="152" w:right="290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筹资活动产生的现金流量净额比上年减少</w:t>
      </w:r>
      <w:r>
        <w:rPr>
          <w:rFonts w:ascii="Times New Roman" w:hAnsi="Times New Roman" w:cs="Times New Roman" w:eastAsia="Times New Roman" w:hint="default"/>
          <w:sz w:val="18"/>
          <w:szCs w:val="18"/>
        </w:rPr>
        <w:t>236.05%</w:t>
      </w:r>
      <w:r>
        <w:rPr>
          <w:rFonts w:ascii="宋体" w:hAnsi="宋体" w:cs="宋体" w:eastAsia="宋体" w:hint="default"/>
          <w:sz w:val="18"/>
          <w:szCs w:val="18"/>
        </w:rPr>
        <w:t>，主要系报告期偿还年初</w:t>
      </w:r>
      <w:r>
        <w:rPr>
          <w:rFonts w:ascii="Times New Roman" w:hAnsi="Times New Roman" w:cs="Times New Roman" w:eastAsia="Times New Roman" w:hint="default"/>
          <w:sz w:val="18"/>
          <w:szCs w:val="18"/>
        </w:rPr>
        <w:t>2.5</w:t>
      </w:r>
      <w:r>
        <w:rPr>
          <w:rFonts w:ascii="宋体" w:hAnsi="宋体" w:cs="宋体" w:eastAsia="宋体" w:hint="default"/>
          <w:sz w:val="18"/>
          <w:szCs w:val="18"/>
        </w:rPr>
        <w:t>亿借款及利息所致。 报告期内公司经营活动产生的现金净流量与本年度净利润存在重大差异的原因说明</w:t>
      </w:r>
    </w:p>
    <w:p>
      <w:pPr>
        <w:spacing w:line="338" w:lineRule="auto" w:before="41"/>
        <w:ind w:left="152" w:right="15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本年度经营活动产生的现金净流量与净利润存在较大差异，主要系公司大量采购备货，对应销售项目尚未回款所致。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39"/>
        <w:ind w:right="1133"/>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24"/>
        <w:gridCol w:w="1561"/>
        <w:gridCol w:w="1558"/>
        <w:gridCol w:w="3546"/>
        <w:gridCol w:w="1771"/>
      </w:tblGrid>
      <w:tr>
        <w:trPr>
          <w:trHeight w:val="401" w:hRule="exact"/>
        </w:trPr>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1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1"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5" w:right="0"/>
              <w:jc w:val="left"/>
              <w:rPr>
                <w:rFonts w:ascii="Times New Roman" w:hAnsi="Times New Roman" w:cs="Times New Roman" w:eastAsia="Times New Roman" w:hint="default"/>
                <w:sz w:val="18"/>
                <w:szCs w:val="18"/>
              </w:rPr>
            </w:pPr>
            <w:r>
              <w:rPr>
                <w:rFonts w:ascii="Times New Roman"/>
                <w:sz w:val="18"/>
              </w:rPr>
              <w:t>-2,622,462.15</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0" w:right="0"/>
              <w:jc w:val="left"/>
              <w:rPr>
                <w:rFonts w:ascii="Times New Roman" w:hAnsi="Times New Roman" w:cs="Times New Roman" w:eastAsia="Times New Roman" w:hint="default"/>
                <w:sz w:val="18"/>
                <w:szCs w:val="18"/>
              </w:rPr>
            </w:pPr>
            <w:r>
              <w:rPr>
                <w:rFonts w:ascii="Times New Roman"/>
                <w:sz w:val="18"/>
              </w:rPr>
              <w:t>-1.72%</w:t>
            </w:r>
          </w:p>
        </w:tc>
        <w:tc>
          <w:tcPr>
            <w:tcW w:w="3546"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90"/>
              <w:jc w:val="left"/>
              <w:rPr>
                <w:rFonts w:ascii="宋体" w:hAnsi="宋体" w:cs="宋体" w:eastAsia="宋体" w:hint="default"/>
                <w:sz w:val="18"/>
                <w:szCs w:val="18"/>
              </w:rPr>
            </w:pPr>
            <w:r>
              <w:rPr>
                <w:rFonts w:ascii="宋体" w:hAnsi="宋体" w:cs="宋体" w:eastAsia="宋体" w:hint="default"/>
                <w:sz w:val="18"/>
                <w:szCs w:val="18"/>
              </w:rPr>
              <w:t>主要系对成都摩宝网络科技有限公司的长期 股权投资按权益法确认的投资收益</w:t>
            </w:r>
          </w:p>
        </w:tc>
        <w:tc>
          <w:tcPr>
            <w:tcW w:w="177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4" w:hRule="exact"/>
        </w:trPr>
        <w:tc>
          <w:tcPr>
            <w:tcW w:w="11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561" w:type="dxa"/>
            <w:vMerge/>
            <w:tcBorders>
              <w:left w:val="single" w:sz="10" w:space="0" w:color="D2D2D2"/>
              <w:right w:val="single" w:sz="4" w:space="0" w:color="000000"/>
            </w:tcBorders>
          </w:tcPr>
          <w:p>
            <w:pPr/>
          </w:p>
        </w:tc>
        <w:tc>
          <w:tcPr>
            <w:tcW w:w="1558" w:type="dxa"/>
            <w:vMerge/>
            <w:tcBorders>
              <w:left w:val="single" w:sz="4" w:space="0" w:color="000000"/>
              <w:right w:val="single" w:sz="4" w:space="0" w:color="000000"/>
            </w:tcBorders>
          </w:tcPr>
          <w:p>
            <w:pPr/>
          </w:p>
        </w:tc>
        <w:tc>
          <w:tcPr>
            <w:tcW w:w="3546" w:type="dxa"/>
            <w:vMerge/>
            <w:tcBorders>
              <w:left w:val="single" w:sz="4" w:space="0" w:color="000000"/>
              <w:right w:val="single" w:sz="4" w:space="0" w:color="000000"/>
            </w:tcBorders>
          </w:tcPr>
          <w:p>
            <w:pPr/>
          </w:p>
        </w:tc>
        <w:tc>
          <w:tcPr>
            <w:tcW w:w="1771" w:type="dxa"/>
            <w:vMerge/>
            <w:tcBorders>
              <w:left w:val="single" w:sz="4" w:space="0" w:color="000000"/>
              <w:right w:val="single" w:sz="4" w:space="0" w:color="000000"/>
            </w:tcBorders>
          </w:tcPr>
          <w:p>
            <w:pPr/>
          </w:p>
        </w:tc>
      </w:tr>
      <w:tr>
        <w:trPr>
          <w:trHeight w:val="161" w:hRule="exact"/>
        </w:trPr>
        <w:tc>
          <w:tcPr>
            <w:tcW w:w="11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1" w:type="dxa"/>
            <w:vMerge/>
            <w:tcBorders>
              <w:left w:val="single" w:sz="10" w:space="0" w:color="D2D2D2"/>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3546" w:type="dxa"/>
            <w:vMerge/>
            <w:tcBorders>
              <w:left w:val="single" w:sz="4" w:space="0" w:color="000000"/>
              <w:bottom w:val="single" w:sz="4" w:space="0" w:color="000000"/>
              <w:right w:val="single" w:sz="4" w:space="0" w:color="000000"/>
            </w:tcBorders>
          </w:tcPr>
          <w:p>
            <w:pPr/>
          </w:p>
        </w:tc>
        <w:tc>
          <w:tcPr>
            <w:tcW w:w="177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34"/>
        <w:gridCol w:w="1561"/>
        <w:gridCol w:w="1558"/>
        <w:gridCol w:w="3546"/>
        <w:gridCol w:w="1771"/>
      </w:tblGrid>
      <w:tr>
        <w:trPr>
          <w:trHeight w:val="713"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40,476,131.69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26.52%</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0"/>
              <w:jc w:val="left"/>
              <w:rPr>
                <w:rFonts w:ascii="宋体" w:hAnsi="宋体" w:cs="宋体" w:eastAsia="宋体" w:hint="default"/>
                <w:sz w:val="18"/>
                <w:szCs w:val="18"/>
              </w:rPr>
            </w:pPr>
            <w:r>
              <w:rPr>
                <w:rFonts w:ascii="宋体" w:hAnsi="宋体" w:cs="宋体" w:eastAsia="宋体" w:hint="default"/>
                <w:sz w:val="18"/>
                <w:szCs w:val="18"/>
              </w:rPr>
              <w:t>系公司根据会计准则对应收款项、存货计提 的减值及坏账准备</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6,337,939.61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4.15%</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主要系政策性市场政府补助收入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1,535,936.89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主要系对外捐赠及低耗品报废损失</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17" w:firstLine="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年起首次执行新金融工具准则、新收入准则或新租赁准则且调整执行当年年初财务报表相关项目</w:t>
      </w:r>
    </w:p>
    <w:p>
      <w:pPr>
        <w:spacing w:before="101"/>
        <w:ind w:left="152"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525" w:space="395"/>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39"/>
        <w:gridCol w:w="1274"/>
        <w:gridCol w:w="1419"/>
        <w:gridCol w:w="1274"/>
        <w:gridCol w:w="850"/>
        <w:gridCol w:w="205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26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6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205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2613" w:type="dxa"/>
            <w:gridSpan w:val="2"/>
            <w:vMerge/>
            <w:tcBorders>
              <w:left w:val="single" w:sz="4" w:space="0" w:color="000000"/>
              <w:bottom w:val="single" w:sz="4" w:space="0" w:color="000000"/>
              <w:right w:val="single" w:sz="4" w:space="0" w:color="000000"/>
            </w:tcBorders>
            <w:shd w:val="clear" w:color="auto" w:fill="D2D2D2"/>
          </w:tcPr>
          <w:p>
            <w:pPr/>
          </w:p>
        </w:tc>
        <w:tc>
          <w:tcPr>
            <w:tcW w:w="2693" w:type="dxa"/>
            <w:gridSpan w:val="2"/>
            <w:vMerge/>
            <w:tcBorders>
              <w:left w:val="single" w:sz="4" w:space="0" w:color="000000"/>
              <w:bottom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0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850" w:type="dxa"/>
            <w:vMerge/>
            <w:tcBorders>
              <w:left w:val="single" w:sz="4" w:space="0" w:color="000000"/>
              <w:bottom w:val="nil" w:sz="6" w:space="0" w:color="auto"/>
              <w:right w:val="single" w:sz="4" w:space="0" w:color="000000"/>
            </w:tcBorders>
            <w:shd w:val="clear" w:color="auto" w:fill="D2D2D2"/>
          </w:tcPr>
          <w:p>
            <w:pPr/>
          </w:p>
        </w:tc>
        <w:tc>
          <w:tcPr>
            <w:tcW w:w="205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9"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205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1,499,545,065.00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25.17%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1,945,556,008.67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-6.11%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1,519,745,709.28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25.51%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1,722,557,405.12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27.69%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290,513,173.37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309,816,827.24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28,795,629.56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31,418,091.71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309,875,547.72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263,195,958.75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1,176,786,119.27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19.76%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1,174,009,876.86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18.87%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9" w:type="dxa"/>
            <w:vMerge w:val="restart"/>
            <w:tcBorders>
              <w:top w:val="single" w:sz="4" w:space="0" w:color="000000"/>
              <w:left w:val="single" w:sz="9" w:space="0" w:color="D2D2D2"/>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250,000,000.00</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7" w:right="0"/>
              <w:jc w:val="left"/>
              <w:rPr>
                <w:rFonts w:ascii="Times New Roman" w:hAnsi="Times New Roman" w:cs="Times New Roman" w:eastAsia="Times New Roman" w:hint="default"/>
                <w:sz w:val="18"/>
                <w:szCs w:val="18"/>
              </w:rPr>
            </w:pPr>
            <w:r>
              <w:rPr>
                <w:rFonts w:ascii="Times New Roman"/>
                <w:sz w:val="18"/>
              </w:rPr>
              <w:t>4.02%</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-4.02%</w:t>
            </w:r>
          </w:p>
        </w:tc>
        <w:tc>
          <w:tcPr>
            <w:tcW w:w="2057" w:type="dxa"/>
            <w:vMerge w:val="restart"/>
            <w:tcBorders>
              <w:top w:val="single" w:sz="4" w:space="0" w:color="000000"/>
              <w:left w:val="single" w:sz="4" w:space="0" w:color="000000"/>
              <w:right w:val="single" w:sz="4" w:space="0" w:color="000000"/>
            </w:tcBorders>
          </w:tcPr>
          <w:p>
            <w:pPr>
              <w:pStyle w:val="TableParagraph"/>
              <w:spacing w:line="316" w:lineRule="auto" w:before="49"/>
              <w:ind w:left="26" w:right="39"/>
              <w:jc w:val="left"/>
              <w:rPr>
                <w:rFonts w:ascii="宋体" w:hAnsi="宋体" w:cs="宋体" w:eastAsia="宋体" w:hint="default"/>
                <w:sz w:val="18"/>
                <w:szCs w:val="18"/>
              </w:rPr>
            </w:pPr>
            <w:r>
              <w:rPr>
                <w:rFonts w:ascii="宋体" w:hAnsi="宋体" w:cs="宋体" w:eastAsia="宋体" w:hint="default"/>
                <w:sz w:val="18"/>
                <w:szCs w:val="18"/>
              </w:rPr>
              <w:t>系公司归还到期的中电科 财务公司贷款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亿元</w:t>
            </w: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39" w:type="dxa"/>
            <w:vMerge/>
            <w:tcBorders>
              <w:left w:val="single" w:sz="9" w:space="0" w:color="D2D2D2"/>
              <w:right w:val="single" w:sz="4" w:space="0" w:color="000000"/>
            </w:tcBorders>
          </w:tcPr>
          <w:p>
            <w:pPr/>
          </w:p>
        </w:tc>
        <w:tc>
          <w:tcPr>
            <w:tcW w:w="1274"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057"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9" w:type="dxa"/>
            <w:vMerge/>
            <w:tcBorders>
              <w:left w:val="single" w:sz="9" w:space="0" w:color="D2D2D2"/>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2057"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79"/>
        <w:gridCol w:w="1292"/>
        <w:gridCol w:w="988"/>
        <w:gridCol w:w="1418"/>
        <w:gridCol w:w="850"/>
        <w:gridCol w:w="708"/>
        <w:gridCol w:w="688"/>
        <w:gridCol w:w="872"/>
        <w:gridCol w:w="1063"/>
      </w:tblGrid>
      <w:tr>
        <w:trPr>
          <w:trHeight w:val="161" w:hRule="exact"/>
        </w:trPr>
        <w:tc>
          <w:tcPr>
            <w:tcW w:w="1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65" w:right="72" w:hanging="92"/>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51" w:right="58" w:hanging="92"/>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8" w:right="77"/>
              <w:jc w:val="left"/>
              <w:rPr>
                <w:rFonts w:ascii="宋体" w:hAnsi="宋体" w:cs="宋体" w:eastAsia="宋体" w:hint="default"/>
                <w:sz w:val="18"/>
                <w:szCs w:val="18"/>
              </w:rPr>
            </w:pPr>
            <w:r>
              <w:rPr>
                <w:rFonts w:ascii="宋体" w:hAnsi="宋体" w:cs="宋体" w:eastAsia="宋体" w:hint="default"/>
                <w:sz w:val="18"/>
                <w:szCs w:val="18"/>
              </w:rPr>
              <w:t>本期购 买金额</w:t>
            </w:r>
          </w:p>
        </w:tc>
        <w:tc>
          <w:tcPr>
            <w:tcW w:w="6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64"/>
              <w:jc w:val="left"/>
              <w:rPr>
                <w:rFonts w:ascii="宋体" w:hAnsi="宋体" w:cs="宋体" w:eastAsia="宋体" w:hint="default"/>
                <w:sz w:val="18"/>
                <w:szCs w:val="18"/>
              </w:rPr>
            </w:pPr>
            <w:r>
              <w:rPr>
                <w:rFonts w:ascii="宋体" w:hAnsi="宋体" w:cs="宋体" w:eastAsia="宋体" w:hint="default"/>
                <w:sz w:val="18"/>
                <w:szCs w:val="18"/>
              </w:rPr>
              <w:t>本期出 售金额</w:t>
            </w:r>
          </w:p>
        </w:tc>
        <w:tc>
          <w:tcPr>
            <w:tcW w:w="87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6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98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688" w:type="dxa"/>
            <w:vMerge/>
            <w:tcBorders>
              <w:left w:val="single" w:sz="4" w:space="0" w:color="000000"/>
              <w:right w:val="single" w:sz="4" w:space="0" w:color="000000"/>
            </w:tcBorders>
            <w:shd w:val="clear" w:color="auto" w:fill="D2D2D2"/>
          </w:tcPr>
          <w:p>
            <w:pPr/>
          </w:p>
        </w:tc>
        <w:tc>
          <w:tcPr>
            <w:tcW w:w="8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3"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6"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61" w:hRule="exact"/>
        </w:trPr>
        <w:tc>
          <w:tcPr>
            <w:tcW w:w="1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88"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688" w:type="dxa"/>
            <w:vMerge/>
            <w:tcBorders>
              <w:left w:val="single" w:sz="4" w:space="0" w:color="000000"/>
              <w:bottom w:val="single" w:sz="4" w:space="0" w:color="000000"/>
              <w:right w:val="single" w:sz="4" w:space="0" w:color="000000"/>
            </w:tcBorders>
            <w:shd w:val="clear" w:color="auto" w:fill="D2D2D2"/>
          </w:tcPr>
          <w:p>
            <w:pPr/>
          </w:p>
        </w:tc>
        <w:tc>
          <w:tcPr>
            <w:tcW w:w="8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7880" w:type="dxa"/>
            <w:gridSpan w:val="8"/>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其他权益工具投资</w:t>
            </w:r>
          </w:p>
        </w:tc>
        <w:tc>
          <w:tcPr>
            <w:tcW w:w="12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2,000,000.00</w:t>
            </w:r>
          </w:p>
        </w:tc>
        <w:tc>
          <w:tcPr>
            <w:tcW w:w="98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-271,626.52</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2,528,373.48</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2,000,000.00</w:t>
            </w:r>
          </w:p>
        </w:tc>
        <w:tc>
          <w:tcPr>
            <w:tcW w:w="98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-271,626.52</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2,528,373.48</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2,000,000.00</w:t>
            </w:r>
          </w:p>
        </w:tc>
        <w:tc>
          <w:tcPr>
            <w:tcW w:w="98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-271,626.52</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2,528,373.48</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0.00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1" w:right="0"/>
              <w:jc w:val="lef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360" w:lineRule="auto" w:before="49"/>
        <w:ind w:left="152" w:right="9494" w:firstLine="0"/>
        <w:jc w:val="left"/>
        <w:rPr>
          <w:rFonts w:ascii="宋体" w:hAnsi="宋体" w:cs="宋体" w:eastAsia="宋体" w:hint="default"/>
          <w:sz w:val="18"/>
          <w:szCs w:val="18"/>
        </w:rPr>
      </w:pPr>
      <w:r>
        <w:rPr>
          <w:rFonts w:ascii="宋体" w:hAnsi="宋体" w:cs="宋体" w:eastAsia="宋体" w:hint="default"/>
          <w:sz w:val="18"/>
          <w:szCs w:val="18"/>
        </w:rPr>
        <w:t>其他变动的内容 无</w:t>
      </w:r>
    </w:p>
    <w:p>
      <w:pPr>
        <w:spacing w:before="27"/>
        <w:ind w:left="152" w:right="1133"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3219"/>
        <w:gridCol w:w="3219"/>
        <w:gridCol w:w="3221"/>
      </w:tblGrid>
      <w:tr>
        <w:trPr>
          <w:trHeight w:val="341"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424"/>
              <w:jc w:val="right"/>
              <w:rPr>
                <w:rFonts w:ascii="宋体" w:hAnsi="宋体" w:cs="宋体" w:eastAsia="宋体" w:hint="default"/>
                <w:sz w:val="18"/>
                <w:szCs w:val="18"/>
              </w:rPr>
            </w:pPr>
            <w:r>
              <w:rPr>
                <w:rFonts w:ascii="宋体" w:hAnsi="宋体" w:cs="宋体" w:eastAsia="宋体" w:hint="default"/>
                <w:sz w:val="18"/>
                <w:szCs w:val="18"/>
              </w:rPr>
              <w:t>项目</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43"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11,620,834.83</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银行保函、汇票存出保证金</w:t>
            </w:r>
          </w:p>
        </w:tc>
      </w:tr>
      <w:tr>
        <w:trPr>
          <w:trHeight w:val="341"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1,163,097,398.37</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因涉诉被法院查封</w:t>
            </w:r>
          </w:p>
        </w:tc>
      </w:tr>
      <w:tr>
        <w:trPr>
          <w:trHeight w:val="343"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424"/>
              <w:jc w:val="right"/>
              <w:rPr>
                <w:rFonts w:ascii="宋体" w:hAnsi="宋体" w:cs="宋体" w:eastAsia="宋体" w:hint="default"/>
                <w:sz w:val="18"/>
                <w:szCs w:val="18"/>
              </w:rPr>
            </w:pPr>
            <w:r>
              <w:rPr>
                <w:rFonts w:ascii="宋体" w:hAnsi="宋体" w:cs="宋体" w:eastAsia="宋体" w:hint="default"/>
                <w:sz w:val="18"/>
                <w:szCs w:val="18"/>
              </w:rPr>
              <w:t>合计</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1,174,718,233.20</w:t>
            </w:r>
          </w:p>
        </w:tc>
        <w:tc>
          <w:tcPr>
            <w:tcW w:w="32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五、投资状况分析" w:id="45"/>
      <w:bookmarkEnd w:id="45"/>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36"/>
        <w:gridCol w:w="1147"/>
        <w:gridCol w:w="1090"/>
        <w:gridCol w:w="1447"/>
        <w:gridCol w:w="924"/>
        <w:gridCol w:w="958"/>
        <w:gridCol w:w="955"/>
        <w:gridCol w:w="1133"/>
        <w:gridCol w:w="780"/>
      </w:tblGrid>
      <w:tr>
        <w:trPr>
          <w:trHeight w:val="713"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1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初始投资成本</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79" w:right="86" w:hanging="92"/>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8" w:right="94"/>
              <w:jc w:val="left"/>
              <w:rPr>
                <w:rFonts w:ascii="宋体" w:hAnsi="宋体" w:cs="宋体" w:eastAsia="宋体" w:hint="default"/>
                <w:sz w:val="18"/>
                <w:szCs w:val="18"/>
              </w:rPr>
            </w:pPr>
            <w:r>
              <w:rPr>
                <w:rFonts w:ascii="宋体" w:hAnsi="宋体" w:cs="宋体" w:eastAsia="宋体" w:hint="default"/>
                <w:sz w:val="18"/>
                <w:szCs w:val="18"/>
              </w:rPr>
              <w:t>报告期内 购入金额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03" w:right="23"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83" w:right="19" w:hanging="360"/>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center"/>
              <w:rPr>
                <w:rFonts w:ascii="Times New Roman" w:hAnsi="Times New Roman" w:cs="Times New Roman" w:eastAsia="Times New Roman" w:hint="default"/>
                <w:sz w:val="18"/>
                <w:szCs w:val="18"/>
              </w:rPr>
            </w:pPr>
            <w:r>
              <w:rPr>
                <w:rFonts w:ascii="Times New Roman"/>
                <w:sz w:val="18"/>
              </w:rPr>
              <w:t>2,800,000.00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-271,626.52</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left"/>
              <w:rPr>
                <w:rFonts w:ascii="Times New Roman" w:hAnsi="Times New Roman" w:cs="Times New Roman" w:eastAsia="Times New Roman" w:hint="default"/>
                <w:sz w:val="18"/>
                <w:szCs w:val="18"/>
              </w:rPr>
            </w:pPr>
            <w:r>
              <w:rPr>
                <w:rFonts w:ascii="Times New Roman"/>
                <w:sz w:val="18"/>
              </w:rPr>
              <w:t>2,528,373.48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center"/>
              <w:rPr>
                <w:rFonts w:ascii="Times New Roman" w:hAnsi="Times New Roman" w:cs="Times New Roman" w:eastAsia="Times New Roman" w:hint="default"/>
                <w:sz w:val="18"/>
                <w:szCs w:val="18"/>
              </w:rPr>
            </w:pPr>
            <w:r>
              <w:rPr>
                <w:rFonts w:ascii="Times New Roman"/>
                <w:sz w:val="18"/>
              </w:rPr>
              <w:t>2,800,000.00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-271,626.52</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left"/>
              <w:rPr>
                <w:rFonts w:ascii="Times New Roman" w:hAnsi="Times New Roman" w:cs="Times New Roman" w:eastAsia="Times New Roman" w:hint="default"/>
                <w:sz w:val="18"/>
                <w:szCs w:val="18"/>
              </w:rPr>
            </w:pPr>
            <w:r>
              <w:rPr>
                <w:rFonts w:ascii="Times New Roman"/>
                <w:sz w:val="18"/>
              </w:rPr>
              <w:t>2,528,373.48</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5"/>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7"/>
        <w:gridCol w:w="862"/>
        <w:gridCol w:w="878"/>
        <w:gridCol w:w="869"/>
        <w:gridCol w:w="871"/>
        <w:gridCol w:w="869"/>
        <w:gridCol w:w="869"/>
        <w:gridCol w:w="871"/>
        <w:gridCol w:w="869"/>
        <w:gridCol w:w="1106"/>
        <w:gridCol w:w="634"/>
      </w:tblGrid>
      <w:tr>
        <w:trPr>
          <w:trHeight w:val="1337"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56" w:right="7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0"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1"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0" w:right="95"/>
              <w:jc w:val="center"/>
              <w:rPr>
                <w:rFonts w:ascii="宋体" w:hAnsi="宋体" w:cs="宋体" w:eastAsia="宋体" w:hint="default"/>
                <w:sz w:val="18"/>
                <w:szCs w:val="18"/>
              </w:rPr>
            </w:pPr>
            <w:r>
              <w:rPr>
                <w:rFonts w:ascii="宋体" w:hAnsi="宋体" w:cs="宋体" w:eastAsia="宋体" w:hint="default"/>
                <w:sz w:val="18"/>
                <w:szCs w:val="18"/>
              </w:rPr>
              <w:t>尚未使用募 集资金用途 及去向</w:t>
            </w:r>
          </w:p>
        </w:tc>
        <w:tc>
          <w:tcPr>
            <w:tcW w:w="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0" w:right="41"/>
              <w:jc w:val="both"/>
              <w:rPr>
                <w:rFonts w:ascii="宋体" w:hAnsi="宋体" w:cs="宋体" w:eastAsia="宋体" w:hint="default"/>
                <w:sz w:val="18"/>
                <w:szCs w:val="18"/>
              </w:rPr>
            </w:pPr>
            <w:r>
              <w:rPr>
                <w:rFonts w:ascii="宋体" w:hAnsi="宋体" w:cs="宋体" w:eastAsia="宋体" w:hint="default"/>
                <w:sz w:val="18"/>
                <w:szCs w:val="18"/>
              </w:rPr>
              <w:t>闲置两 年以上 募集资 金金额</w:t>
            </w:r>
          </w:p>
        </w:tc>
      </w:tr>
      <w:tr>
        <w:trPr>
          <w:trHeight w:val="2275"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2017</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23" w:right="107"/>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266,233.17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13,965.94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197,509.87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68,723.3</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0"/>
              <w:jc w:val="left"/>
              <w:rPr>
                <w:rFonts w:ascii="宋体" w:hAnsi="宋体" w:cs="宋体" w:eastAsia="宋体" w:hint="default"/>
                <w:sz w:val="18"/>
                <w:szCs w:val="18"/>
              </w:rPr>
            </w:pPr>
            <w:r>
              <w:rPr>
                <w:rFonts w:ascii="宋体" w:hAnsi="宋体" w:cs="宋体" w:eastAsia="宋体" w:hint="default"/>
                <w:sz w:val="18"/>
                <w:szCs w:val="18"/>
              </w:rPr>
              <w:t>购买结构性 </w:t>
            </w:r>
            <w:r>
              <w:rPr>
                <w:rFonts w:ascii="宋体" w:hAnsi="宋体" w:cs="宋体" w:eastAsia="宋体" w:hint="default"/>
                <w:spacing w:val="-6"/>
                <w:sz w:val="18"/>
                <w:szCs w:val="18"/>
              </w:rPr>
              <w:t>存款、暂时补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充流动资金， 剩余未使用 部分存放于 募集资金专</w:t>
            </w:r>
          </w:p>
          <w:p>
            <w:pPr>
              <w:pStyle w:val="TableParagraph"/>
              <w:spacing w:line="240" w:lineRule="auto" w:before="19"/>
              <w:ind w:left="26" w:right="0"/>
              <w:jc w:val="left"/>
              <w:rPr>
                <w:rFonts w:ascii="宋体" w:hAnsi="宋体" w:cs="宋体" w:eastAsia="宋体" w:hint="default"/>
                <w:sz w:val="18"/>
                <w:szCs w:val="18"/>
              </w:rPr>
            </w:pPr>
            <w:r>
              <w:rPr>
                <w:rFonts w:ascii="宋体" w:hAnsi="宋体" w:cs="宋体" w:eastAsia="宋体" w:hint="default"/>
                <w:sz w:val="18"/>
                <w:szCs w:val="18"/>
              </w:rPr>
              <w:t>户</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266,233.17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13,965.94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197,509.87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68,723.3</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6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339"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本报告期</w:t>
            </w:r>
            <w:r>
              <w:rPr>
                <w:rFonts w:ascii="宋体" w:hAnsi="宋体" w:cs="宋体" w:eastAsia="宋体" w:hint="default"/>
                <w:spacing w:val="-101"/>
                <w:sz w:val="18"/>
                <w:szCs w:val="18"/>
              </w:rPr>
              <w:t>，</w:t>
            </w:r>
            <w:r>
              <w:rPr>
                <w:rFonts w:ascii="宋体" w:hAnsi="宋体" w:cs="宋体" w:eastAsia="宋体" w:hint="default"/>
                <w:sz w:val="18"/>
                <w:szCs w:val="18"/>
              </w:rPr>
              <w:t>“承诺投资项目</w:t>
            </w:r>
            <w:r>
              <w:rPr>
                <w:rFonts w:ascii="宋体" w:hAnsi="宋体" w:cs="宋体" w:eastAsia="宋体" w:hint="default"/>
                <w:spacing w:val="-10"/>
                <w:sz w:val="18"/>
                <w:szCs w:val="18"/>
              </w:rPr>
              <w:t>”</w:t>
            </w:r>
            <w:r>
              <w:rPr>
                <w:rFonts w:ascii="宋体" w:hAnsi="宋体" w:cs="宋体" w:eastAsia="宋体" w:hint="default"/>
                <w:sz w:val="18"/>
                <w:szCs w:val="18"/>
              </w:rPr>
              <w:t>共使用募集资金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pacing w:val="-13"/>
                <w:sz w:val="18"/>
                <w:szCs w:val="18"/>
              </w:rPr>
              <w:t>，</w:t>
            </w:r>
            <w:r>
              <w:rPr>
                <w:rFonts w:ascii="宋体" w:hAnsi="宋体" w:cs="宋体" w:eastAsia="宋体" w:hint="default"/>
                <w:sz w:val="18"/>
                <w:szCs w:val="18"/>
              </w:rPr>
              <w:t>本报告期募集资金专用账户取得利息收入净额为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8"/>
                <w:sz w:val="18"/>
                <w:szCs w:val="18"/>
              </w:rPr>
              <w:t>元</w:t>
            </w:r>
            <w:r>
              <w:rPr>
                <w:rFonts w:ascii="宋体" w:hAnsi="宋体" w:cs="宋体" w:eastAsia="宋体" w:hint="default"/>
                <w:sz w:val="18"/>
                <w:szCs w:val="18"/>
              </w:rPr>
              <w:t>（包含结构性存款利息收入</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截止</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
                <w:sz w:val="18"/>
                <w:szCs w:val="18"/>
              </w:rPr>
              <w:t>，</w:t>
            </w:r>
            <w:r>
              <w:rPr>
                <w:rFonts w:ascii="宋体" w:hAnsi="宋体" w:cs="宋体" w:eastAsia="宋体" w:hint="default"/>
                <w:spacing w:val="-3"/>
                <w:sz w:val="18"/>
                <w:szCs w:val="18"/>
              </w:rPr>
              <w:t>募</w:t>
            </w:r>
            <w:r>
              <w:rPr>
                <w:rFonts w:ascii="宋体" w:hAnsi="宋体" w:cs="宋体" w:eastAsia="宋体" w:hint="default"/>
                <w:sz w:val="18"/>
                <w:szCs w:val="18"/>
              </w:rPr>
              <w:t>集资金累计直接投入募投项目</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19</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09</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宋体" w:hAnsi="宋体" w:cs="宋体" w:eastAsia="宋体" w:hint="default"/>
                <w:spacing w:val="-8"/>
                <w:sz w:val="18"/>
                <w:szCs w:val="18"/>
              </w:rPr>
              <w:t>，</w:t>
            </w:r>
            <w:r>
              <w:rPr>
                <w:rFonts w:ascii="宋体" w:hAnsi="宋体" w:cs="宋体" w:eastAsia="宋体" w:hint="default"/>
                <w:sz w:val="18"/>
                <w:szCs w:val="18"/>
              </w:rPr>
              <w:t>募集资金专</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用账户累积取得利息收入净额为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万元（包含结构</w:t>
            </w:r>
            <w:r>
              <w:rPr>
                <w:rFonts w:ascii="宋体" w:hAnsi="宋体" w:cs="宋体" w:eastAsia="宋体" w:hint="default"/>
                <w:spacing w:val="-3"/>
                <w:sz w:val="18"/>
                <w:szCs w:val="18"/>
              </w:rPr>
              <w:t>性</w:t>
            </w:r>
            <w:r>
              <w:rPr>
                <w:rFonts w:ascii="宋体" w:hAnsi="宋体" w:cs="宋体" w:eastAsia="宋体" w:hint="default"/>
                <w:sz w:val="18"/>
                <w:szCs w:val="18"/>
              </w:rPr>
              <w:t>存款利息收入</w:t>
            </w:r>
            <w:r>
              <w:rPr>
                <w:rFonts w:ascii="宋体" w:hAnsi="宋体" w:cs="宋体" w:eastAsia="宋体" w:hint="default"/>
                <w:spacing w:val="-92"/>
                <w:sz w:val="18"/>
                <w:szCs w:val="18"/>
              </w:rPr>
              <w:t>）</w:t>
            </w:r>
            <w:r>
              <w:rPr>
                <w:rFonts w:ascii="宋体" w:hAnsi="宋体" w:cs="宋体" w:eastAsia="宋体" w:hint="default"/>
                <w:sz w:val="18"/>
                <w:szCs w:val="18"/>
              </w:rPr>
              <w:t>，以募集资金</w:t>
            </w:r>
            <w:r>
              <w:rPr>
                <w:rFonts w:ascii="宋体" w:hAnsi="宋体" w:cs="宋体" w:eastAsia="宋体" w:hint="default"/>
                <w:spacing w:val="2"/>
                <w:sz w:val="18"/>
                <w:szCs w:val="18"/>
              </w:rPr>
              <w:t>暂</w:t>
            </w:r>
            <w:r>
              <w:rPr>
                <w:rFonts w:ascii="宋体" w:hAnsi="宋体" w:cs="宋体" w:eastAsia="宋体" w:hint="default"/>
                <w:sz w:val="18"/>
                <w:szCs w:val="18"/>
              </w:rPr>
              <w:t>时补充流动资金占用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万元，转存理财专户计划</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日购买结构性存款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万元，募集资金余额为人民币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3,895.95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0"/>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133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49"/>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3"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新型商用密码系列产 品产业化及国际化项 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65,580.17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65,580.17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4,891.93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57,211.55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87.24%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安全智能移动终端及 应用服务产业化项目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59,350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59,350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46,992.86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79.18%</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国产自主高安全专用 终端项目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32,228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32,228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6,363.42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29,423.58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91.30%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面向工业控制系统和 物联网的系列安全芯 片项目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51,250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51,250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19,839.14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38.71%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行业安全解决方案创 新中心项目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57,825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57,825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1,285.89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44,042.74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76.17%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r>
        <w:rPr/>
        <w:pict>
          <v:shape style="position:absolute;margin-left:56.400002pt;margin-top:71.999985pt;width:479.3pt;height:683.4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161"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266,233.1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266,233.1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13,965.94</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197,509.8</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7</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10" w:space="0" w:color="D2D2D2"/>
                          <w:right w:val="single" w:sz="10" w:space="0" w:color="D2D2D2"/>
                        </w:tcBorders>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vMerge/>
                        <w:tcBorders>
                          <w:left w:val="single" w:sz="10" w:space="0" w:color="D2D2D2"/>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68"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10" w:space="0" w:color="D2D2D2"/>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9"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266,233.1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266,233.1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13,965.94</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197,509.8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1"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6"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4"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
                    </w:tc>
                  </w:tr>
                  <w:tr>
                    <w:trPr>
                      <w:trHeight w:val="252"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49" w:hRule="exact"/>
                    </w:trPr>
                    <w:tc>
                      <w:tcPr>
                        <w:tcW w:w="177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gridSpan w:val="10"/>
                        <w:vMerge/>
                        <w:tcBorders>
                          <w:left w:val="single" w:sz="10" w:space="0" w:color="D2D2D2"/>
                          <w:bottom w:val="single" w:sz="4" w:space="0" w:color="000000"/>
                          <w:right w:val="single" w:sz="4" w:space="0" w:color="000000"/>
                        </w:tcBorders>
                      </w:tcPr>
                      <w:p>
                        <w:pPr/>
                      </w:p>
                    </w:tc>
                  </w:tr>
                  <w:tr>
                    <w:trPr>
                      <w:trHeight w:val="403" w:hRule="exact"/>
                    </w:trPr>
                    <w:tc>
                      <w:tcPr>
                        <w:tcW w:w="1772" w:type="dxa"/>
                        <w:vMerge/>
                        <w:tcBorders>
                          <w:left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
                    </w:tc>
                  </w:tr>
                  <w:tr>
                    <w:trPr>
                      <w:trHeight w:val="151"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
                    </w:tc>
                  </w:tr>
                  <w:tr>
                    <w:trPr>
                      <w:trHeight w:val="250"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252"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gridSpan w:val="10"/>
                        <w:vMerge/>
                        <w:tcBorders>
                          <w:left w:val="single" w:sz="10" w:space="0" w:color="D2D2D2"/>
                          <w:bottom w:val="single" w:sz="4" w:space="0" w:color="000000"/>
                          <w:right w:val="single" w:sz="4" w:space="0" w:color="000000"/>
                        </w:tcBorders>
                      </w:tcPr>
                      <w:p>
                        <w:pPr/>
                      </w:p>
                    </w:tc>
                  </w:tr>
                  <w:tr>
                    <w:trPr>
                      <w:trHeight w:val="401" w:hRule="exact"/>
                    </w:trPr>
                    <w:tc>
                      <w:tcPr>
                        <w:tcW w:w="1772" w:type="dxa"/>
                        <w:vMerge/>
                        <w:tcBorders>
                          <w:left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
                    </w:tc>
                  </w:tr>
                  <w:tr>
                    <w:trPr>
                      <w:trHeight w:val="151"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
                    </w:tc>
                  </w:tr>
                  <w:tr>
                    <w:trPr>
                      <w:trHeight w:val="252"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401" w:hRule="exact"/>
                    </w:trPr>
                    <w:tc>
                      <w:tcPr>
                        <w:tcW w:w="1772" w:type="dxa"/>
                        <w:vMerge w:val="restart"/>
                        <w:tcBorders>
                          <w:top w:val="single" w:sz="4" w:space="0" w:color="000000"/>
                          <w:left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30"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314" w:lineRule="auto" w:before="51"/>
                          <w:ind w:left="16" w:right="27"/>
                          <w:jc w:val="left"/>
                          <w:rPr>
                            <w:rFonts w:ascii="宋体" w:hAnsi="宋体" w:cs="宋体" w:eastAsia="宋体" w:hint="default"/>
                            <w:sz w:val="18"/>
                            <w:szCs w:val="18"/>
                          </w:rPr>
                        </w:pPr>
                        <w:r>
                          <w:rPr>
                            <w:rFonts w:ascii="宋体" w:hAnsi="宋体" w:cs="宋体" w:eastAsia="宋体" w:hint="default"/>
                            <w:spacing w:val="-7"/>
                            <w:sz w:val="18"/>
                            <w:szCs w:val="18"/>
                          </w:rPr>
                          <w:t>根据《非公开发行股票预案（修订稿）》，为了确保五个募投项目的顺利实施，公司募集资金到位前</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以自筹资金实际预先投入</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114,230.29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万元，在本次非公开发行股票募集资金到位后，以募集资金置</w:t>
                        </w:r>
                      </w:p>
                      <w:p>
                        <w:pPr>
                          <w:pStyle w:val="TableParagraph"/>
                          <w:spacing w:line="307" w:lineRule="auto" w:before="1"/>
                          <w:ind w:left="16" w:right="17"/>
                          <w:jc w:val="left"/>
                          <w:rPr>
                            <w:rFonts w:ascii="宋体" w:hAnsi="宋体" w:cs="宋体" w:eastAsia="宋体" w:hint="default"/>
                            <w:sz w:val="18"/>
                            <w:szCs w:val="18"/>
                          </w:rPr>
                        </w:pPr>
                        <w:r>
                          <w:rPr>
                            <w:rFonts w:ascii="宋体" w:hAnsi="宋体" w:cs="宋体" w:eastAsia="宋体" w:hint="default"/>
                            <w:sz w:val="18"/>
                            <w:szCs w:val="18"/>
                          </w:rPr>
                          <w:t>换预先投入自筹资金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114,230.29</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日，公司召开第六届董事会第二十五次会议 第六届监事会第二十二次会议审议通过了《关于使用募集资金置换预先投入募投项目自筹资金的议 </w:t>
                        </w:r>
                        <w:r>
                          <w:rPr>
                            <w:rFonts w:ascii="宋体" w:hAnsi="宋体" w:cs="宋体" w:eastAsia="宋体" w:hint="default"/>
                            <w:spacing w:val="-5"/>
                            <w:sz w:val="18"/>
                            <w:szCs w:val="18"/>
                          </w:rPr>
                          <w:t>案》，同意公司以募集资金置换预先已投入募投项目自筹资金</w:t>
                        </w:r>
                        <w:r>
                          <w:rPr>
                            <w:rFonts w:ascii="宋体" w:hAnsi="宋体" w:cs="宋体" w:eastAsia="宋体" w:hint="default"/>
                            <w:spacing w:val="-37"/>
                            <w:sz w:val="18"/>
                            <w:szCs w:val="18"/>
                          </w:rPr>
                          <w:t> </w:t>
                        </w:r>
                        <w:r>
                          <w:rPr>
                            <w:rFonts w:ascii="Times New Roman" w:hAnsi="Times New Roman" w:cs="Times New Roman" w:eastAsia="Times New Roman" w:hint="default"/>
                            <w:spacing w:val="-2"/>
                            <w:sz w:val="18"/>
                            <w:szCs w:val="18"/>
                          </w:rPr>
                          <w:t>114,230.29</w:t>
                        </w:r>
                        <w:r>
                          <w:rPr>
                            <w:rFonts w:ascii="Times New Roman" w:hAnsi="Times New Roman" w:cs="Times New Roman" w:eastAsia="Times New Roman" w:hint="default"/>
                            <w:spacing w:val="9"/>
                            <w:sz w:val="18"/>
                            <w:szCs w:val="18"/>
                          </w:rPr>
                          <w:t> </w:t>
                        </w:r>
                        <w:r>
                          <w:rPr>
                            <w:rFonts w:ascii="宋体" w:hAnsi="宋体" w:cs="宋体" w:eastAsia="宋体" w:hint="default"/>
                            <w:spacing w:val="-4"/>
                            <w:sz w:val="18"/>
                            <w:szCs w:val="18"/>
                          </w:rPr>
                          <w:t>万元。独立董事对该议案发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表了同意的独立意见。</w:t>
                        </w:r>
                      </w:p>
                    </w:tc>
                  </w:tr>
                  <w:tr>
                    <w:trPr>
                      <w:trHeight w:val="703"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gridSpan w:val="10"/>
                        <w:vMerge/>
                        <w:tcBorders>
                          <w:left w:val="single" w:sz="10" w:space="0" w:color="D2D2D2"/>
                          <w:right w:val="single" w:sz="4" w:space="0" w:color="000000"/>
                        </w:tcBorders>
                      </w:tcPr>
                      <w:p>
                        <w:pPr/>
                      </w:p>
                    </w:tc>
                  </w:tr>
                  <w:tr>
                    <w:trPr>
                      <w:trHeight w:val="830"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401" w:hRule="exact"/>
                    </w:trPr>
                    <w:tc>
                      <w:tcPr>
                        <w:tcW w:w="1772" w:type="dxa"/>
                        <w:vMerge w:val="restart"/>
                        <w:tcBorders>
                          <w:top w:val="single" w:sz="4" w:space="0" w:color="000000"/>
                          <w:left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898"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314" w:lineRule="auto" w:before="51"/>
                          <w:ind w:left="16" w:right="23"/>
                          <w:jc w:val="both"/>
                          <w:rPr>
                            <w:rFonts w:ascii="宋体" w:hAnsi="宋体" w:cs="宋体" w:eastAsia="宋体" w:hint="default"/>
                            <w:sz w:val="18"/>
                            <w:szCs w:val="18"/>
                          </w:rPr>
                        </w:pPr>
                        <w:r>
                          <w:rPr>
                            <w:rFonts w:ascii="宋体" w:hAnsi="宋体" w:cs="宋体" w:eastAsia="宋体" w:hint="default"/>
                            <w:sz w:val="18"/>
                            <w:szCs w:val="18"/>
                          </w:rPr>
                          <w:t>在确保不影响募集资金投资项目正常实施进度的前提下，公司为降低财务费用，提高经营效益，使 用了部分闲置资金暂时补充流动资金，总额不超过人民币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万元，使用期限为自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p>
                      <w:p>
                        <w:pPr>
                          <w:pStyle w:val="TableParagraph"/>
                          <w:spacing w:line="240" w:lineRule="auto" w:before="1"/>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日起</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个月内。相关事项已经经第七届董事会第二次会议、第七届监事会第二次会议审议通过</w:t>
                        </w:r>
                      </w:p>
                      <w:p>
                        <w:pPr>
                          <w:pStyle w:val="TableParagraph"/>
                          <w:spacing w:line="240" w:lineRule="auto" w:before="63"/>
                          <w:ind w:left="16"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并按要求进行了公告。独立董事及保荐机构均对该议案发表了同意意见。具体内容详见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日公司在指定信息披露</w:t>
                        </w:r>
                        <w:r>
                          <w:rPr>
                            <w:rFonts w:ascii="宋体" w:hAnsi="宋体" w:cs="宋体" w:eastAsia="宋体" w:hint="default"/>
                            <w:spacing w:val="-3"/>
                            <w:sz w:val="18"/>
                            <w:szCs w:val="18"/>
                          </w:rPr>
                          <w:t>媒</w:t>
                        </w:r>
                        <w:r>
                          <w:rPr>
                            <w:rFonts w:ascii="宋体" w:hAnsi="宋体" w:cs="宋体" w:eastAsia="宋体" w:hint="default"/>
                            <w:sz w:val="18"/>
                            <w:szCs w:val="18"/>
                          </w:rPr>
                          <w:t>体《证券时报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z w:val="18"/>
                            <w:szCs w:val="18"/>
                          </w:rPr>
                          <w:t>》和巨潮资讯网</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h</w:t>
                        </w:r>
                        <w:r>
                          <w:rPr>
                            <w:rFonts w:ascii="Times New Roman" w:hAnsi="Times New Roman" w:cs="Times New Roman" w:eastAsia="Times New Roman" w:hint="default"/>
                            <w:sz w:val="18"/>
                            <w:szCs w:val="18"/>
                          </w:rPr>
                          <w:t>tt</w:t>
                        </w:r>
                        <w:r>
                          <w:rPr>
                            <w:rFonts w:ascii="Times New Roman" w:hAnsi="Times New Roman" w:cs="Times New Roman" w:eastAsia="Times New Roman" w:hint="default"/>
                            <w:spacing w:val="1"/>
                            <w:sz w:val="18"/>
                            <w:szCs w:val="18"/>
                          </w:rPr>
                          <w:t>p</w:t>
                        </w:r>
                        <w:r>
                          <w:rPr>
                            <w:rFonts w:ascii="宋体" w:hAnsi="宋体" w:cs="宋体" w:eastAsia="宋体" w:hint="default"/>
                            <w:sz w:val="18"/>
                            <w:szCs w:val="18"/>
                          </w:rPr>
                          <w:t>：</w:t>
                        </w:r>
                      </w:p>
                      <w:p>
                        <w:pPr>
                          <w:pStyle w:val="TableParagraph"/>
                          <w:spacing w:line="300" w:lineRule="auto" w:before="63"/>
                          <w:ind w:left="16"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hyperlink r:id="rId12">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3"/>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3"/>
                              <w:sz w:val="18"/>
                              <w:szCs w:val="18"/>
                            </w:rPr>
                            <w:t>n</w:t>
                          </w:r>
                        </w:hyperlink>
                        <w:r>
                          <w:rPr>
                            <w:rFonts w:ascii="宋体" w:hAnsi="宋体" w:cs="宋体" w:eastAsia="宋体" w:hint="default"/>
                            <w:sz w:val="18"/>
                            <w:szCs w:val="18"/>
                          </w:rPr>
                          <w:t>）披露的《第七届董事会第二次会议决议公告</w:t>
                        </w:r>
                        <w:r>
                          <w:rPr>
                            <w:rFonts w:ascii="宋体" w:hAnsi="宋体" w:cs="宋体" w:eastAsia="宋体" w:hint="default"/>
                            <w:spacing w:val="-92"/>
                            <w:sz w:val="18"/>
                            <w:szCs w:val="18"/>
                          </w:rPr>
                          <w:t>》</w:t>
                        </w:r>
                        <w:r>
                          <w:rPr>
                            <w:rFonts w:ascii="宋体" w:hAnsi="宋体" w:cs="宋体" w:eastAsia="宋体" w:hint="default"/>
                            <w:sz w:val="18"/>
                            <w:szCs w:val="18"/>
                          </w:rPr>
                          <w:t>（公告编号</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2019</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7</w:t>
                        </w:r>
                        <w:r>
                          <w:rPr>
                            <w:rFonts w:ascii="宋体" w:hAnsi="宋体" w:cs="宋体" w:eastAsia="宋体" w:hint="default"/>
                            <w:spacing w:val="-92"/>
                            <w:sz w:val="18"/>
                            <w:szCs w:val="18"/>
                          </w:rPr>
                          <w:t>）、</w:t>
                        </w:r>
                        <w:r>
                          <w:rPr>
                            <w:rFonts w:ascii="宋体" w:hAnsi="宋体" w:cs="宋体" w:eastAsia="宋体" w:hint="default"/>
                            <w:sz w:val="18"/>
                            <w:szCs w:val="18"/>
                          </w:rPr>
                          <w:t>《第七</w:t>
                        </w:r>
                        <w:r>
                          <w:rPr>
                            <w:rFonts w:ascii="宋体" w:hAnsi="宋体" w:cs="宋体" w:eastAsia="宋体" w:hint="default"/>
                            <w:sz w:val="18"/>
                            <w:szCs w:val="18"/>
                          </w:rPr>
                          <w:t> 届监事会第二次会议决议公告</w:t>
                        </w:r>
                        <w:r>
                          <w:rPr>
                            <w:rFonts w:ascii="宋体" w:hAnsi="宋体" w:cs="宋体" w:eastAsia="宋体" w:hint="default"/>
                            <w:spacing w:val="-108"/>
                            <w:sz w:val="18"/>
                            <w:szCs w:val="18"/>
                          </w:rPr>
                          <w:t>》</w:t>
                        </w:r>
                        <w:r>
                          <w:rPr>
                            <w:rFonts w:ascii="宋体" w:hAnsi="宋体" w:cs="宋体" w:eastAsia="宋体" w:hint="default"/>
                            <w:sz w:val="18"/>
                            <w:szCs w:val="18"/>
                          </w:rPr>
                          <w:t>（公告编号</w:t>
                        </w:r>
                        <w:r>
                          <w:rPr>
                            <w:rFonts w:ascii="宋体" w:hAnsi="宋体" w:cs="宋体" w:eastAsia="宋体" w:hint="default"/>
                            <w:spacing w:val="-19"/>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19</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9</w:t>
                        </w:r>
                        <w:r>
                          <w:rPr>
                            <w:rFonts w:ascii="宋体" w:hAnsi="宋体" w:cs="宋体" w:eastAsia="宋体" w:hint="default"/>
                            <w:spacing w:val="-92"/>
                            <w:sz w:val="18"/>
                            <w:szCs w:val="18"/>
                          </w:rPr>
                          <w:t>）</w:t>
                        </w:r>
                        <w:r>
                          <w:rPr>
                            <w:rFonts w:ascii="宋体" w:hAnsi="宋体" w:cs="宋体" w:eastAsia="宋体" w:hint="default"/>
                            <w:spacing w:val="-111"/>
                            <w:sz w:val="18"/>
                            <w:szCs w:val="18"/>
                          </w:rPr>
                          <w:t>、</w:t>
                        </w:r>
                        <w:r>
                          <w:rPr>
                            <w:rFonts w:ascii="宋体" w:hAnsi="宋体" w:cs="宋体" w:eastAsia="宋体" w:hint="default"/>
                            <w:sz w:val="18"/>
                            <w:szCs w:val="18"/>
                          </w:rPr>
                          <w:t>《关于使用部分闲置募集资金暂时补充流动</w:t>
                        </w:r>
                        <w:r>
                          <w:rPr>
                            <w:rFonts w:ascii="宋体" w:hAnsi="宋体" w:cs="宋体" w:eastAsia="宋体" w:hint="default"/>
                            <w:sz w:val="18"/>
                            <w:szCs w:val="18"/>
                          </w:rPr>
                          <w:t> 资金的公告</w:t>
                        </w:r>
                        <w:r>
                          <w:rPr>
                            <w:rFonts w:ascii="宋体" w:hAnsi="宋体" w:cs="宋体" w:eastAsia="宋体" w:hint="default"/>
                            <w:spacing w:val="-142"/>
                            <w:sz w:val="18"/>
                            <w:szCs w:val="18"/>
                          </w:rPr>
                          <w:t>》</w:t>
                        </w:r>
                        <w:r>
                          <w:rPr>
                            <w:rFonts w:ascii="宋体" w:hAnsi="宋体" w:cs="宋体" w:eastAsia="宋体" w:hint="default"/>
                            <w:sz w:val="18"/>
                            <w:szCs w:val="18"/>
                          </w:rPr>
                          <w:t>（公告编号</w:t>
                        </w:r>
                        <w:r>
                          <w:rPr>
                            <w:rFonts w:ascii="宋体" w:hAnsi="宋体" w:cs="宋体" w:eastAsia="宋体" w:hint="default"/>
                            <w:spacing w:val="-50"/>
                            <w:sz w:val="18"/>
                            <w:szCs w:val="18"/>
                          </w:rPr>
                          <w:t>：</w:t>
                        </w:r>
                        <w:r>
                          <w:rPr>
                            <w:rFonts w:ascii="Times New Roman" w:hAnsi="Times New Roman" w:cs="Times New Roman" w:eastAsia="Times New Roman" w:hint="default"/>
                            <w:spacing w:val="1"/>
                            <w:sz w:val="18"/>
                            <w:szCs w:val="18"/>
                          </w:rPr>
                          <w:t>2019</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036</w:t>
                        </w:r>
                        <w:r>
                          <w:rPr>
                            <w:rFonts w:ascii="宋体" w:hAnsi="宋体" w:cs="宋体" w:eastAsia="宋体" w:hint="default"/>
                            <w:spacing w:val="-92"/>
                            <w:sz w:val="18"/>
                            <w:szCs w:val="18"/>
                          </w:rPr>
                          <w:t>）</w:t>
                        </w:r>
                        <w:r>
                          <w:rPr>
                            <w:rFonts w:ascii="宋体" w:hAnsi="宋体" w:cs="宋体" w:eastAsia="宋体" w:hint="default"/>
                            <w:spacing w:val="-51"/>
                            <w:sz w:val="18"/>
                            <w:szCs w:val="18"/>
                          </w:rPr>
                          <w:t>。</w:t>
                        </w:r>
                        <w:r>
                          <w:rPr>
                            <w:rFonts w:ascii="宋体" w:hAnsi="宋体" w:cs="宋体" w:eastAsia="宋体" w:hint="default"/>
                            <w:sz w:val="18"/>
                            <w:szCs w:val="18"/>
                          </w:rPr>
                          <w:t>公司实际使用闲置募集资金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万元用于暂时补充</w:t>
                        </w:r>
                        <w:r>
                          <w:rPr>
                            <w:rFonts w:ascii="宋体" w:hAnsi="宋体" w:cs="宋体" w:eastAsia="宋体" w:hint="default"/>
                            <w:spacing w:val="-3"/>
                            <w:sz w:val="18"/>
                            <w:szCs w:val="18"/>
                          </w:rPr>
                          <w:t>流</w:t>
                        </w:r>
                        <w:r>
                          <w:rPr>
                            <w:rFonts w:ascii="宋体" w:hAnsi="宋体" w:cs="宋体" w:eastAsia="宋体" w:hint="default"/>
                            <w:sz w:val="18"/>
                            <w:szCs w:val="18"/>
                          </w:rPr>
                          <w:t>动资金</w:t>
                        </w:r>
                      </w:p>
                      <w:p>
                        <w:pPr>
                          <w:pStyle w:val="TableParagraph"/>
                          <w:spacing w:line="240" w:lineRule="auto" w:before="13"/>
                          <w:ind w:left="16" w:right="0"/>
                          <w:jc w:val="both"/>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日尚未到期归还。</w:t>
                        </w:r>
                      </w:p>
                    </w:tc>
                  </w:tr>
                  <w:tr>
                    <w:trPr>
                      <w:trHeight w:val="704"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gridSpan w:val="10"/>
                        <w:vMerge/>
                        <w:tcBorders>
                          <w:left w:val="single" w:sz="10" w:space="0" w:color="D2D2D2"/>
                          <w:right w:val="single" w:sz="4" w:space="0" w:color="000000"/>
                        </w:tcBorders>
                      </w:tcPr>
                      <w:p>
                        <w:pPr/>
                      </w:p>
                    </w:tc>
                  </w:tr>
                  <w:tr>
                    <w:trPr>
                      <w:trHeight w:val="1298"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401"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4"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spacing w:before="44"/>
        <w:ind w:left="0" w:right="113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1"/>
        <w:rPr>
          <w:rFonts w:ascii="宋体" w:hAnsi="宋体" w:cs="宋体" w:eastAsia="宋体" w:hint="default"/>
          <w:sz w:val="26"/>
          <w:szCs w:val="26"/>
        </w:rPr>
      </w:pPr>
    </w:p>
    <w:p>
      <w:pPr>
        <w:spacing w:before="44"/>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before="44"/>
        <w:ind w:left="0" w:right="113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9"/>
      </w:tblGrid>
      <w:tr>
        <w:trPr>
          <w:trHeight w:val="102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年非公开发行股票暂时闲置募集资金转存理财专户计划</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日购买银行结</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构性存款</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65,000.00</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万元，暂时补充流动资金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8,000.00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万元，剩余未使用部分存放于标的公司募集资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金专户中；截止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日，募集资金账户余额为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3,895.95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02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7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公司报告期不存在募集资金变更项目情况。</w:t>
      </w:r>
    </w:p>
    <w:p>
      <w:pPr>
        <w:spacing w:line="240" w:lineRule="auto" w:before="9"/>
        <w:rPr>
          <w:rFonts w:ascii="宋体" w:hAnsi="宋体" w:cs="宋体" w:eastAsia="宋体" w:hint="default"/>
          <w:sz w:val="19"/>
          <w:szCs w:val="19"/>
        </w:rPr>
      </w:pPr>
    </w:p>
    <w:p>
      <w:pPr>
        <w:pStyle w:val="Heading2"/>
        <w:spacing w:line="240" w:lineRule="auto"/>
        <w:ind w:right="1133"/>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公司报告期未出售重大资产。</w:t>
      </w:r>
    </w:p>
    <w:p>
      <w:pPr>
        <w:spacing w:line="240" w:lineRule="auto" w:before="5"/>
        <w:rPr>
          <w:rFonts w:ascii="宋体" w:hAnsi="宋体" w:cs="宋体" w:eastAsia="宋体" w:hint="default"/>
          <w:sz w:val="21"/>
          <w:szCs w:val="21"/>
        </w:rPr>
      </w:pPr>
    </w:p>
    <w:p>
      <w:pPr>
        <w:pStyle w:val="Heading4"/>
        <w:spacing w:line="240" w:lineRule="auto"/>
        <w:ind w:right="1133"/>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1133"/>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0" w:top="1060" w:bottom="1160" w:left="980" w:right="0"/>
        </w:sectPr>
      </w:pPr>
    </w:p>
    <w:p>
      <w:pPr>
        <w:spacing w:before="44"/>
        <w:ind w:left="15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152" w:right="-18"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51" w:space="4069"/>
            <w:col w:w="201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994"/>
        <w:gridCol w:w="1699"/>
        <w:gridCol w:w="994"/>
        <w:gridCol w:w="850"/>
        <w:gridCol w:w="850"/>
        <w:gridCol w:w="853"/>
        <w:gridCol w:w="850"/>
        <w:gridCol w:w="778"/>
      </w:tblGrid>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1"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成都卫士通信息安全 技术有限公司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3"/>
              <w:jc w:val="left"/>
              <w:rPr>
                <w:rFonts w:ascii="宋体" w:hAnsi="宋体" w:cs="宋体" w:eastAsia="宋体" w:hint="default"/>
                <w:sz w:val="18"/>
                <w:szCs w:val="18"/>
              </w:rPr>
            </w:pPr>
            <w:r>
              <w:rPr>
                <w:rFonts w:ascii="宋体" w:hAnsi="宋体" w:cs="宋体" w:eastAsia="宋体" w:hint="default"/>
                <w:sz w:val="18"/>
                <w:szCs w:val="18"/>
              </w:rPr>
              <w:t>信息安全产品开发、 销售、集成及服务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1,489,530,</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571.18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314,279,6</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95.42</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1,296,494,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184.14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59,815,73</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8.79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53,794,57</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1.07</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四川卫士通信息安全 平台技术有限公司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3"/>
              <w:jc w:val="left"/>
              <w:rPr>
                <w:rFonts w:ascii="宋体" w:hAnsi="宋体" w:cs="宋体" w:eastAsia="宋体" w:hint="default"/>
                <w:sz w:val="18"/>
                <w:szCs w:val="18"/>
              </w:rPr>
            </w:pPr>
            <w:r>
              <w:rPr>
                <w:rFonts w:ascii="宋体" w:hAnsi="宋体" w:cs="宋体" w:eastAsia="宋体" w:hint="default"/>
                <w:sz w:val="18"/>
                <w:szCs w:val="18"/>
              </w:rPr>
              <w:t>信息安全产品开发、 销售、集成及服务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526,437,2</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19.06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344,435,5</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83.61</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332,500,9</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35.86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46,030,58</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5.52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47,343,34</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5.95</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成都三零盛安信息系 统有限公司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3"/>
              <w:jc w:val="left"/>
              <w:rPr>
                <w:rFonts w:ascii="宋体" w:hAnsi="宋体" w:cs="宋体" w:eastAsia="宋体" w:hint="default"/>
                <w:sz w:val="18"/>
                <w:szCs w:val="18"/>
              </w:rPr>
            </w:pPr>
            <w:r>
              <w:rPr>
                <w:rFonts w:ascii="宋体" w:hAnsi="宋体" w:cs="宋体" w:eastAsia="宋体" w:hint="default"/>
                <w:sz w:val="18"/>
                <w:szCs w:val="18"/>
              </w:rPr>
              <w:t>信息安全产品开发、 销售、集成及服务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98,120,000.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498,012,1</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94.55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240,220,5</w:t>
            </w:r>
          </w:p>
          <w:p>
            <w:pPr>
              <w:pStyle w:val="TableParagraph"/>
              <w:spacing w:line="240" w:lineRule="auto" w:before="105"/>
              <w:ind w:left="419" w:right="0"/>
              <w:jc w:val="left"/>
              <w:rPr>
                <w:rFonts w:ascii="Times New Roman" w:hAnsi="Times New Roman" w:cs="Times New Roman" w:eastAsia="Times New Roman" w:hint="default"/>
                <w:sz w:val="18"/>
                <w:szCs w:val="18"/>
              </w:rPr>
            </w:pPr>
            <w:r>
              <w:rPr>
                <w:rFonts w:ascii="Times New Roman"/>
                <w:sz w:val="18"/>
              </w:rPr>
              <w:t>11.06</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132,212,8</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55.62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-54,608,77</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1.00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-44,270,3</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45.77</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成都三零瑞通移动通 信有限公司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3"/>
              <w:jc w:val="left"/>
              <w:rPr>
                <w:rFonts w:ascii="宋体" w:hAnsi="宋体" w:cs="宋体" w:eastAsia="宋体" w:hint="default"/>
                <w:sz w:val="18"/>
                <w:szCs w:val="18"/>
              </w:rPr>
            </w:pPr>
            <w:r>
              <w:rPr>
                <w:rFonts w:ascii="宋体" w:hAnsi="宋体" w:cs="宋体" w:eastAsia="宋体" w:hint="default"/>
                <w:sz w:val="18"/>
                <w:szCs w:val="18"/>
              </w:rPr>
              <w:t>信息安全产品开发、 销售、集成及服务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915,369,7</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63.65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308,040,5</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58.20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392,570,4</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15.42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-1,712,124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3,557,678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.72</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成都三零嘉微电子有 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3"/>
              <w:jc w:val="left"/>
              <w:rPr>
                <w:rFonts w:ascii="宋体" w:hAnsi="宋体" w:cs="宋体" w:eastAsia="宋体" w:hint="default"/>
                <w:sz w:val="18"/>
                <w:szCs w:val="18"/>
              </w:rPr>
            </w:pPr>
            <w:r>
              <w:rPr>
                <w:rFonts w:ascii="宋体" w:hAnsi="宋体" w:cs="宋体" w:eastAsia="宋体" w:hint="default"/>
                <w:sz w:val="18"/>
                <w:szCs w:val="18"/>
              </w:rPr>
              <w:t>信息安全产品开发、 销售、集成及服务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25,458,000.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367,625,7</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00.24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278,372,2</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05.51</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139,218,7</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19.89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38,828,18</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2.39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38,828,52</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9.82</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中电科（北京）网络 信息安全有限公司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3"/>
              <w:jc w:val="left"/>
              <w:rPr>
                <w:rFonts w:ascii="宋体" w:hAnsi="宋体" w:cs="宋体" w:eastAsia="宋体" w:hint="default"/>
                <w:sz w:val="18"/>
                <w:szCs w:val="18"/>
              </w:rPr>
            </w:pPr>
            <w:r>
              <w:rPr>
                <w:rFonts w:ascii="宋体" w:hAnsi="宋体" w:cs="宋体" w:eastAsia="宋体" w:hint="default"/>
                <w:sz w:val="18"/>
                <w:szCs w:val="18"/>
              </w:rPr>
              <w:t>信息安全产品开发、 销售、集成及服务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2,856,413,</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417.18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2,738,662,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252.52</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301,989,4</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32.56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24,111,97</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7.10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23,004,27</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1.13</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702"/>
        <w:gridCol w:w="994"/>
        <w:gridCol w:w="1699"/>
        <w:gridCol w:w="994"/>
        <w:gridCol w:w="850"/>
        <w:gridCol w:w="850"/>
        <w:gridCol w:w="853"/>
        <w:gridCol w:w="850"/>
        <w:gridCol w:w="778"/>
      </w:tblGrid>
      <w:tr>
        <w:trPr>
          <w:trHeight w:val="71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中电科（天津）网络 信息安全有限公司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3"/>
              <w:jc w:val="left"/>
              <w:rPr>
                <w:rFonts w:ascii="宋体" w:hAnsi="宋体" w:cs="宋体" w:eastAsia="宋体" w:hint="default"/>
                <w:sz w:val="18"/>
                <w:szCs w:val="18"/>
              </w:rPr>
            </w:pPr>
            <w:r>
              <w:rPr>
                <w:rFonts w:ascii="宋体" w:hAnsi="宋体" w:cs="宋体" w:eastAsia="宋体" w:hint="default"/>
                <w:sz w:val="18"/>
                <w:szCs w:val="18"/>
              </w:rPr>
              <w:t>信息安全产品开发、 销售、集成及服务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7,374,404.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-11,830,99</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4.01</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19,559,38</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8.41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7,845.01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322,738.9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上海卫士通网络安全有限公司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公司注销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成都三零豪赛网络安全技术有限公司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公司注销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bl>
    <w:p>
      <w:pPr>
        <w:spacing w:line="240" w:lineRule="auto" w:before="1"/>
        <w:rPr>
          <w:rFonts w:ascii="宋体" w:hAnsi="宋体" w:cs="宋体" w:eastAsia="宋体" w:hint="default"/>
          <w:sz w:val="18"/>
          <w:szCs w:val="18"/>
        </w:rPr>
      </w:pPr>
    </w:p>
    <w:p>
      <w:pPr>
        <w:pStyle w:val="Heading2"/>
        <w:spacing w:line="240" w:lineRule="auto" w:before="26"/>
        <w:ind w:right="0"/>
        <w:jc w:val="both"/>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4"/>
        <w:rPr>
          <w:rFonts w:ascii="宋体" w:hAnsi="宋体" w:cs="宋体" w:eastAsia="宋体" w:hint="default"/>
          <w:b/>
          <w:bCs/>
          <w:sz w:val="26"/>
          <w:szCs w:val="26"/>
        </w:rPr>
      </w:pPr>
    </w:p>
    <w:p>
      <w:pPr>
        <w:spacing w:line="316" w:lineRule="auto" w:before="0"/>
        <w:ind w:left="513" w:right="1129" w:hanging="89"/>
        <w:jc w:val="left"/>
        <w:rPr>
          <w:rFonts w:ascii="宋体" w:hAnsi="宋体" w:cs="宋体" w:eastAsia="宋体" w:hint="default"/>
          <w:sz w:val="18"/>
          <w:szCs w:val="18"/>
        </w:rPr>
      </w:pPr>
      <w:r>
        <w:rPr>
          <w:rFonts w:ascii="宋体" w:hAnsi="宋体" w:cs="宋体" w:eastAsia="宋体" w:hint="default"/>
          <w:sz w:val="18"/>
          <w:szCs w:val="18"/>
        </w:rPr>
        <w:t>（一）行业格局和趋势 </w:t>
      </w:r>
      <w:r>
        <w:rPr>
          <w:rFonts w:ascii="宋体" w:hAnsi="宋体" w:cs="宋体" w:eastAsia="宋体" w:hint="default"/>
          <w:spacing w:val="-2"/>
          <w:sz w:val="18"/>
          <w:szCs w:val="18"/>
        </w:rPr>
        <w:t>展望</w:t>
      </w:r>
      <w:r>
        <w:rPr>
          <w:rFonts w:ascii="Times New Roman" w:hAnsi="Times New Roman" w:cs="Times New Roman" w:eastAsia="Times New Roman" w:hint="default"/>
          <w:spacing w:val="-2"/>
          <w:sz w:val="18"/>
          <w:szCs w:val="18"/>
        </w:rPr>
        <w:t>2020</w:t>
      </w:r>
      <w:r>
        <w:rPr>
          <w:rFonts w:ascii="宋体" w:hAnsi="宋体" w:cs="宋体" w:eastAsia="宋体" w:hint="default"/>
          <w:spacing w:val="-2"/>
          <w:sz w:val="18"/>
          <w:szCs w:val="18"/>
        </w:rPr>
        <w:t>年，一批重大网络安全政策和制度安排将有突破性进展。网络安全领域，《关键信息基础设施保护条例》有望</w:t>
      </w:r>
    </w:p>
    <w:p>
      <w:pPr>
        <w:spacing w:line="316" w:lineRule="auto" w:before="0"/>
        <w:ind w:left="152" w:right="1130" w:firstLine="0"/>
        <w:jc w:val="both"/>
        <w:rPr>
          <w:rFonts w:ascii="宋体" w:hAnsi="宋体" w:cs="宋体" w:eastAsia="宋体" w:hint="default"/>
          <w:sz w:val="18"/>
          <w:szCs w:val="18"/>
        </w:rPr>
      </w:pPr>
      <w:r>
        <w:rPr>
          <w:rFonts w:ascii="宋体" w:hAnsi="宋体" w:cs="宋体" w:eastAsia="宋体" w:hint="default"/>
          <w:spacing w:val="-2"/>
          <w:sz w:val="18"/>
          <w:szCs w:val="18"/>
        </w:rPr>
        <w:t>出台、《个人信息保护法》将正式进入立法进程；密码领域，《密码法》正式实施，密码服务、密码评测等一系列配套政策</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法规和标准将不断落地。放眼更大的产业背景，在新兴技术和数字经济赋能引领下，行业融合创新将为网络安全打开新发展</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空间，网络安全在新一轮产业数字化转型中的重要性凸显，政府、电信、金融、能源、制造、交通等行业的网络安全投资规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模将持续扩大，</w:t>
      </w:r>
      <w:r>
        <w:rPr>
          <w:rFonts w:ascii="Times New Roman" w:hAnsi="Times New Roman" w:cs="Times New Roman" w:eastAsia="Times New Roman" w:hint="default"/>
          <w:sz w:val="18"/>
          <w:szCs w:val="18"/>
        </w:rPr>
        <w:t>5G</w:t>
      </w:r>
      <w:r>
        <w:rPr>
          <w:rFonts w:ascii="宋体" w:hAnsi="宋体" w:cs="宋体" w:eastAsia="宋体" w:hint="default"/>
          <w:sz w:val="18"/>
          <w:szCs w:val="18"/>
        </w:rPr>
        <w:t>、人工智能、物联网、区块链等新技术新应用将加速新市场的培育和成长。</w:t>
      </w:r>
    </w:p>
    <w:p>
      <w:pPr>
        <w:spacing w:line="312" w:lineRule="auto" w:before="0"/>
        <w:ind w:left="152" w:right="1129" w:firstLine="288"/>
        <w:jc w:val="both"/>
        <w:rPr>
          <w:rFonts w:ascii="宋体" w:hAnsi="宋体" w:cs="宋体" w:eastAsia="宋体" w:hint="default"/>
          <w:sz w:val="18"/>
          <w:szCs w:val="18"/>
        </w:rPr>
      </w:pPr>
      <w:r>
        <w:rPr>
          <w:rFonts w:ascii="宋体" w:hAnsi="宋体" w:cs="宋体" w:eastAsia="宋体" w:hint="default"/>
          <w:spacing w:val="-1"/>
          <w:sz w:val="18"/>
          <w:szCs w:val="18"/>
        </w:rPr>
        <w:t>未来政策趋势将给网络安全产业注入新的发展驱动力，同时也提出更高的发展要求。总体来说，政策驱动作用正在超越</w:t>
      </w:r>
      <w:r>
        <w:rPr>
          <w:rFonts w:ascii="宋体" w:hAnsi="宋体" w:cs="宋体" w:eastAsia="宋体" w:hint="default"/>
          <w:sz w:val="18"/>
          <w:szCs w:val="18"/>
        </w:rPr>
        <w:t> </w:t>
      </w:r>
      <w:r>
        <w:rPr>
          <w:rFonts w:ascii="宋体" w:hAnsi="宋体" w:cs="宋体" w:eastAsia="宋体" w:hint="default"/>
          <w:spacing w:val="-2"/>
          <w:sz w:val="18"/>
          <w:szCs w:val="18"/>
        </w:rPr>
        <w:t>传统</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合规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要求，更加聚焦于安全实际效能，趋于价值导向。这一新趋势将触发网络安全产业产生新变化。一是网络安全以</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2"/>
          <w:sz w:val="18"/>
          <w:szCs w:val="18"/>
        </w:rPr>
        <w:t>关键信息基础设施保护为重要牵引，将与新型信息基础设施建设产生共鸣与合力。基础设施运营者责任义务将不断落实，重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点行业领域的网络安全制度和技术要求将不断明确和落地，行业用户对安全和密码的需求将不断释放，行业市场有望迎来新</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一轮网络安全投资高潮。二是</w:t>
      </w:r>
      <w:r>
        <w:rPr>
          <w:rFonts w:ascii="Times New Roman" w:hAnsi="Times New Roman" w:cs="Times New Roman" w:eastAsia="Times New Roman" w:hint="default"/>
          <w:sz w:val="18"/>
          <w:szCs w:val="18"/>
        </w:rPr>
        <w:t>5G</w:t>
      </w:r>
      <w:r>
        <w:rPr>
          <w:rFonts w:ascii="宋体" w:hAnsi="宋体" w:cs="宋体" w:eastAsia="宋体" w:hint="default"/>
          <w:sz w:val="18"/>
          <w:szCs w:val="18"/>
        </w:rPr>
        <w:t>、人工智能、物联网、工业互联网、区块链等新兴技术与数字经济交融发展，新场景和新 </w:t>
      </w:r>
      <w:r>
        <w:rPr>
          <w:rFonts w:ascii="宋体" w:hAnsi="宋体" w:cs="宋体" w:eastAsia="宋体" w:hint="default"/>
          <w:spacing w:val="-2"/>
          <w:sz w:val="18"/>
          <w:szCs w:val="18"/>
        </w:rPr>
        <w:t>应用加速发展和成熟，云安全、工业互联网安全、物联网安全等新安全领域将更加受到重视。三是网络安全向服务化转型升</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级。</w:t>
      </w:r>
      <w:r>
        <w:rPr>
          <w:rFonts w:ascii="Times New Roman" w:hAnsi="Times New Roman" w:cs="Times New Roman" w:eastAsia="Times New Roman" w:hint="default"/>
          <w:spacing w:val="-2"/>
          <w:sz w:val="18"/>
          <w:szCs w:val="18"/>
        </w:rPr>
        <w:t>IT</w:t>
      </w:r>
      <w:r>
        <w:rPr>
          <w:rFonts w:ascii="宋体" w:hAnsi="宋体" w:cs="宋体" w:eastAsia="宋体" w:hint="default"/>
          <w:spacing w:val="-2"/>
          <w:sz w:val="18"/>
          <w:szCs w:val="18"/>
        </w:rPr>
        <w:t>基础设施将全面云化，安全也将与信息基础设施和业务一致，向在线化、数据化、智能化方向发展，数据安全将成为</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2"/>
          <w:sz w:val="18"/>
          <w:szCs w:val="18"/>
        </w:rPr>
        <w:t>用户的重要需求，安全服务将成为网络安全价值交付的主要模式，网络安全厂商将通过安全咨询、安全集成和安全运营等多</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种方式为客户提供整体、动态的产品、解决方案和服务。</w:t>
      </w:r>
    </w:p>
    <w:p>
      <w:pPr>
        <w:spacing w:line="316" w:lineRule="auto" w:before="22"/>
        <w:ind w:left="441" w:right="1125" w:firstLine="0"/>
        <w:jc w:val="left"/>
        <w:rPr>
          <w:rFonts w:ascii="宋体" w:hAnsi="宋体" w:cs="宋体" w:eastAsia="宋体" w:hint="default"/>
          <w:sz w:val="18"/>
          <w:szCs w:val="18"/>
        </w:rPr>
      </w:pPr>
      <w:r>
        <w:rPr>
          <w:rFonts w:ascii="宋体" w:hAnsi="宋体" w:cs="宋体" w:eastAsia="宋体" w:hint="default"/>
          <w:sz w:val="18"/>
          <w:szCs w:val="18"/>
        </w:rPr>
        <w:t>（二）公司发展战略 以习近平新时代特色社会主义思想为指导，践行习近平</w:t>
      </w:r>
      <w:r>
        <w:rPr>
          <w:rFonts w:ascii="Times New Roman" w:hAnsi="Times New Roman" w:cs="Times New Roman" w:eastAsia="Times New Roman" w:hint="default"/>
          <w:sz w:val="18"/>
          <w:szCs w:val="18"/>
        </w:rPr>
        <w:t>“</w:t>
      </w:r>
      <w:r>
        <w:rPr>
          <w:rFonts w:ascii="宋体" w:hAnsi="宋体" w:cs="宋体" w:eastAsia="宋体" w:hint="default"/>
          <w:sz w:val="18"/>
          <w:szCs w:val="18"/>
        </w:rPr>
        <w:t>整体、动态、开放、相对、共同</w:t>
      </w:r>
      <w:r>
        <w:rPr>
          <w:rFonts w:ascii="Times New Roman" w:hAnsi="Times New Roman" w:cs="Times New Roman" w:eastAsia="Times New Roman" w:hint="default"/>
          <w:sz w:val="18"/>
          <w:szCs w:val="18"/>
        </w:rPr>
        <w:t>”</w:t>
      </w:r>
      <w:r>
        <w:rPr>
          <w:rFonts w:ascii="宋体" w:hAnsi="宋体" w:cs="宋体" w:eastAsia="宋体" w:hint="default"/>
          <w:sz w:val="18"/>
          <w:szCs w:val="18"/>
        </w:rPr>
        <w:t>的网络安全观，积极落实网络</w:t>
      </w:r>
    </w:p>
    <w:p>
      <w:pPr>
        <w:spacing w:line="309" w:lineRule="auto" w:before="0"/>
        <w:ind w:left="152" w:right="1130" w:firstLine="0"/>
        <w:jc w:val="both"/>
        <w:rPr>
          <w:rFonts w:ascii="宋体" w:hAnsi="宋体" w:cs="宋体" w:eastAsia="宋体" w:hint="default"/>
          <w:sz w:val="18"/>
          <w:szCs w:val="18"/>
        </w:rPr>
      </w:pPr>
      <w:r>
        <w:rPr>
          <w:rFonts w:ascii="宋体" w:hAnsi="宋体" w:cs="宋体" w:eastAsia="宋体" w:hint="default"/>
          <w:spacing w:val="-2"/>
          <w:sz w:val="18"/>
          <w:szCs w:val="18"/>
        </w:rPr>
        <w:t>强国战略，坚持党的领导、改革开放、依法治企，坚持创新驱动、使命引领，在中国电科和中国网安战略规划引领下，持续</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推进</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三个转变</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，聚焦网络空间安全主业，牢牢把握安全即服务的发展趋势，充分发挥并不断强化可依赖企业形象、深厚密</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码基因等核心优势，把公司打造成为国内领先、国际知名的开放生态、高度智能的平台型安全运营服务提供商。</w:t>
      </w:r>
    </w:p>
    <w:p>
      <w:pPr>
        <w:spacing w:line="316" w:lineRule="auto" w:before="25"/>
        <w:ind w:left="152" w:right="1130" w:firstLine="288"/>
        <w:jc w:val="both"/>
        <w:rPr>
          <w:rFonts w:ascii="宋体" w:hAnsi="宋体" w:cs="宋体" w:eastAsia="宋体" w:hint="default"/>
          <w:sz w:val="18"/>
          <w:szCs w:val="18"/>
        </w:rPr>
      </w:pPr>
      <w:r>
        <w:rPr>
          <w:rFonts w:ascii="宋体" w:hAnsi="宋体" w:cs="宋体" w:eastAsia="宋体" w:hint="default"/>
          <w:spacing w:val="-1"/>
          <w:sz w:val="18"/>
          <w:szCs w:val="18"/>
        </w:rPr>
        <w:t>公司本着强化能力、优化业务、深化管理、创新发展的总体思路，以创新驱动、打造平台、融合发展为发展战略，继续</w:t>
      </w:r>
      <w:r>
        <w:rPr>
          <w:rFonts w:ascii="宋体" w:hAnsi="宋体" w:cs="宋体" w:eastAsia="宋体" w:hint="default"/>
          <w:sz w:val="18"/>
          <w:szCs w:val="18"/>
        </w:rPr>
        <w:t> </w:t>
      </w:r>
      <w:r>
        <w:rPr>
          <w:rFonts w:ascii="宋体" w:hAnsi="宋体" w:cs="宋体" w:eastAsia="宋体" w:hint="default"/>
          <w:spacing w:val="-2"/>
          <w:sz w:val="18"/>
          <w:szCs w:val="18"/>
        </w:rPr>
        <w:t>坚持以网络信息安全为核心领域，持续构建以密码技术为核心的网络安全技术能力，进一步强化以业务为中心，建设主业突</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出、管理高效、适应市场化运作需求、可持续发展的现代化企业，全力推动公司从网络安全产品提供商、高安全信息系统集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成商向网络安全运营服务提供商转型。</w:t>
      </w:r>
    </w:p>
    <w:p>
      <w:pPr>
        <w:spacing w:line="300" w:lineRule="auto" w:before="19"/>
        <w:ind w:left="441"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、市场牵引，把握发展新机遇 </w:t>
      </w:r>
      <w:r>
        <w:rPr>
          <w:rFonts w:ascii="宋体" w:hAnsi="宋体" w:cs="宋体" w:eastAsia="宋体" w:hint="default"/>
          <w:spacing w:val="-1"/>
          <w:sz w:val="18"/>
          <w:szCs w:val="18"/>
        </w:rPr>
        <w:t>深耕重点行业、拓展区域市场、布局国际市场，打造标杆项目，塑造灯塔客户。大力发展党政、财税、政法、军工、金</w:t>
      </w:r>
    </w:p>
    <w:p>
      <w:pPr>
        <w:spacing w:line="316" w:lineRule="auto" w:before="31"/>
        <w:ind w:left="152" w:right="1133" w:firstLine="0"/>
        <w:jc w:val="both"/>
        <w:rPr>
          <w:rFonts w:ascii="宋体" w:hAnsi="宋体" w:cs="宋体" w:eastAsia="宋体" w:hint="default"/>
          <w:sz w:val="18"/>
          <w:szCs w:val="18"/>
        </w:rPr>
      </w:pPr>
      <w:r>
        <w:rPr>
          <w:rFonts w:ascii="宋体" w:hAnsi="宋体" w:cs="宋体" w:eastAsia="宋体" w:hint="default"/>
          <w:spacing w:val="-2"/>
          <w:sz w:val="18"/>
          <w:szCs w:val="18"/>
        </w:rPr>
        <w:t>融、能源、交通等行业，打造公司全业务区域营销平台典范，并向全国推广。在做好传统产品销售、高安全系统集成业务的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同时，积极引导用户需求，在适合采取安全运营服务模式的项目中向用户大力推荐购买安全服务，并在全行业及其他地区推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广复制。</w:t>
      </w:r>
    </w:p>
    <w:p>
      <w:pPr>
        <w:spacing w:after="0" w:line="316"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line="300" w:lineRule="auto" w:before="44"/>
        <w:ind w:left="441"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、方案赋能，探索发展新转型 </w:t>
      </w:r>
      <w:r>
        <w:rPr>
          <w:rFonts w:ascii="宋体" w:hAnsi="宋体" w:cs="宋体" w:eastAsia="宋体" w:hint="default"/>
          <w:spacing w:val="-1"/>
          <w:sz w:val="18"/>
          <w:szCs w:val="18"/>
        </w:rPr>
        <w:t>深入研究不同场景、不同行业的安全需求，牵引公司产品研发、生态构建，形成可落地、可实施的通用解决方案，支撑</w:t>
      </w:r>
    </w:p>
    <w:p>
      <w:pPr>
        <w:spacing w:line="316" w:lineRule="auto" w:before="31"/>
        <w:ind w:left="152" w:right="1034" w:firstLine="0"/>
        <w:jc w:val="left"/>
        <w:rPr>
          <w:rFonts w:ascii="宋体" w:hAnsi="宋体" w:cs="宋体" w:eastAsia="宋体" w:hint="default"/>
          <w:sz w:val="18"/>
          <w:szCs w:val="18"/>
        </w:rPr>
      </w:pPr>
      <w:r>
        <w:rPr>
          <w:rFonts w:ascii="宋体" w:hAnsi="宋体" w:cs="宋体" w:eastAsia="宋体" w:hint="default"/>
          <w:sz w:val="18"/>
          <w:szCs w:val="18"/>
        </w:rPr>
        <w:t>不同层面客户级个性化应用方案。具体而言，深入研究不同应用场景的安全需求，形成面向信息系统、云计算、数据安全、 </w:t>
      </w:r>
      <w:r>
        <w:rPr>
          <w:rFonts w:ascii="宋体" w:hAnsi="宋体" w:cs="宋体" w:eastAsia="宋体" w:hint="default"/>
          <w:spacing w:val="-2"/>
          <w:sz w:val="18"/>
          <w:szCs w:val="18"/>
        </w:rPr>
        <w:t>移动互联网、工业互联网、智慧城市等应用场景的通用安全解决方案；深入分析党政、国防科技工业、金融、能源等重点行</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业应用安全需求，以面向场景的通用安全解决方案为基础，组合形成行业应用安全解决方案；构建安全解决方案体系，形成</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解决方案库。</w:t>
      </w:r>
    </w:p>
    <w:p>
      <w:pPr>
        <w:spacing w:line="300" w:lineRule="auto" w:before="19"/>
        <w:ind w:left="441"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、技术创新驱动，铸造发展新基石 </w:t>
      </w:r>
      <w:r>
        <w:rPr>
          <w:rFonts w:ascii="宋体" w:hAnsi="宋体" w:cs="宋体" w:eastAsia="宋体" w:hint="default"/>
          <w:spacing w:val="-1"/>
          <w:sz w:val="18"/>
          <w:szCs w:val="18"/>
        </w:rPr>
        <w:t>加强技术创新，加大网络安全关键技术、密码基础理论和通用基础软硬件投入，加强密码技术和网络安全核心技术创新</w:t>
      </w:r>
    </w:p>
    <w:p>
      <w:pPr>
        <w:spacing w:line="300" w:lineRule="auto" w:before="31"/>
        <w:ind w:left="152" w:right="1174" w:firstLine="0"/>
        <w:jc w:val="left"/>
        <w:rPr>
          <w:rFonts w:ascii="宋体" w:hAnsi="宋体" w:cs="宋体" w:eastAsia="宋体" w:hint="default"/>
          <w:sz w:val="18"/>
          <w:szCs w:val="18"/>
        </w:rPr>
      </w:pPr>
      <w:r>
        <w:rPr>
          <w:rFonts w:ascii="宋体" w:hAnsi="宋体" w:cs="宋体" w:eastAsia="宋体" w:hint="default"/>
          <w:sz w:val="18"/>
          <w:szCs w:val="18"/>
        </w:rPr>
        <w:t>能力，重点关注云计算、大数据、移动互联网、物联网、</w:t>
      </w:r>
      <w:r>
        <w:rPr>
          <w:rFonts w:ascii="Times New Roman" w:hAnsi="Times New Roman" w:cs="Times New Roman" w:eastAsia="Times New Roman" w:hint="default"/>
          <w:sz w:val="18"/>
          <w:szCs w:val="18"/>
        </w:rPr>
        <w:t>5G</w:t>
      </w:r>
      <w:r>
        <w:rPr>
          <w:rFonts w:ascii="宋体" w:hAnsi="宋体" w:cs="宋体" w:eastAsia="宋体" w:hint="default"/>
          <w:sz w:val="18"/>
          <w:szCs w:val="18"/>
        </w:rPr>
        <w:t>、人工智能、区块链等新技术应用场景，加强密码、安全与应 用融合技术研究和整体方案规划，提升公司产品和系统核心竞争力。</w:t>
      </w:r>
    </w:p>
    <w:p>
      <w:pPr>
        <w:spacing w:line="316" w:lineRule="auto" w:before="31"/>
        <w:ind w:left="152" w:right="1106" w:firstLine="288"/>
        <w:jc w:val="left"/>
        <w:rPr>
          <w:rFonts w:ascii="宋体" w:hAnsi="宋体" w:cs="宋体" w:eastAsia="宋体" w:hint="default"/>
          <w:sz w:val="18"/>
          <w:szCs w:val="18"/>
        </w:rPr>
      </w:pPr>
      <w:r>
        <w:rPr>
          <w:rFonts w:ascii="宋体" w:hAnsi="宋体" w:cs="宋体" w:eastAsia="宋体" w:hint="default"/>
          <w:sz w:val="18"/>
          <w:szCs w:val="18"/>
        </w:rPr>
        <w:t>着力聚焦资源，打造精品。聚焦产品化能力提升，构建不断迭代的产品研制体系，优化产品研发管理模式和产品谱系； 加快重点产品开发，打造芯片、</w:t>
      </w:r>
      <w:r>
        <w:rPr>
          <w:rFonts w:ascii="Times New Roman" w:hAnsi="Times New Roman" w:cs="Times New Roman" w:eastAsia="Times New Roman" w:hint="default"/>
          <w:sz w:val="18"/>
          <w:szCs w:val="18"/>
        </w:rPr>
        <w:t>VPN</w:t>
      </w:r>
      <w:r>
        <w:rPr>
          <w:rFonts w:ascii="宋体" w:hAnsi="宋体" w:cs="宋体" w:eastAsia="宋体" w:hint="default"/>
          <w:sz w:val="18"/>
          <w:szCs w:val="18"/>
        </w:rPr>
        <w:t>、安全网关、信任服务、身份认证等精品，提升产品应用能力和服务支撑能力。</w:t>
      </w:r>
    </w:p>
    <w:p>
      <w:pPr>
        <w:spacing w:line="300" w:lineRule="auto" w:before="0"/>
        <w:ind w:left="441" w:right="11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、服务转型，创新发展新模式 创新发展安全运营服务新模式。践行</w:t>
      </w:r>
      <w:r>
        <w:rPr>
          <w:rFonts w:ascii="Times New Roman" w:hAnsi="Times New Roman" w:cs="Times New Roman" w:eastAsia="Times New Roman" w:hint="default"/>
          <w:sz w:val="18"/>
          <w:szCs w:val="18"/>
        </w:rPr>
        <w:t>“</w:t>
      </w:r>
      <w:r>
        <w:rPr>
          <w:rFonts w:ascii="宋体" w:hAnsi="宋体" w:cs="宋体" w:eastAsia="宋体" w:hint="default"/>
          <w:sz w:val="18"/>
          <w:szCs w:val="18"/>
        </w:rPr>
        <w:t>安全即服务</w:t>
      </w:r>
      <w:r>
        <w:rPr>
          <w:rFonts w:ascii="Times New Roman" w:hAnsi="Times New Roman" w:cs="Times New Roman" w:eastAsia="Times New Roman" w:hint="default"/>
          <w:sz w:val="18"/>
          <w:szCs w:val="18"/>
        </w:rPr>
        <w:t>”</w:t>
      </w:r>
      <w:r>
        <w:rPr>
          <w:rFonts w:ascii="宋体" w:hAnsi="宋体" w:cs="宋体" w:eastAsia="宋体" w:hint="default"/>
          <w:sz w:val="18"/>
          <w:szCs w:val="18"/>
        </w:rPr>
        <w:t>理念，抓住网络安全产业服务化转型升级的新趋势、新机遇，加快安</w:t>
      </w:r>
    </w:p>
    <w:p>
      <w:pPr>
        <w:spacing w:line="316" w:lineRule="auto" w:before="13"/>
        <w:ind w:left="152" w:right="0" w:firstLine="0"/>
        <w:jc w:val="left"/>
        <w:rPr>
          <w:rFonts w:ascii="宋体" w:hAnsi="宋体" w:cs="宋体" w:eastAsia="宋体" w:hint="default"/>
          <w:sz w:val="18"/>
          <w:szCs w:val="18"/>
        </w:rPr>
      </w:pPr>
      <w:r>
        <w:rPr>
          <w:rFonts w:ascii="宋体" w:hAnsi="宋体" w:cs="宋体" w:eastAsia="宋体" w:hint="default"/>
          <w:spacing w:val="-4"/>
          <w:sz w:val="18"/>
          <w:szCs w:val="18"/>
        </w:rPr>
        <w:t>全运营服务业务布局。全力打造服务运营平台，融合公司自身产品和生态伙伴安全服务能力，构建安全资源池、密码资源池，</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2"/>
          <w:sz w:val="18"/>
          <w:szCs w:val="18"/>
        </w:rPr>
        <w:t>强化智能化大数据分析能力，形成运营服务规范和流程，实现安全配置在线处理、安全能力在线赋能、专家团队在线支持等</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多层次、可配置、可组合的安全运营服务模式。</w:t>
      </w:r>
    </w:p>
    <w:p>
      <w:pPr>
        <w:spacing w:line="316" w:lineRule="auto" w:before="19"/>
        <w:ind w:left="152" w:right="1129" w:firstLine="288"/>
        <w:jc w:val="both"/>
        <w:rPr>
          <w:rFonts w:ascii="宋体" w:hAnsi="宋体" w:cs="宋体" w:eastAsia="宋体" w:hint="default"/>
          <w:sz w:val="18"/>
          <w:szCs w:val="18"/>
        </w:rPr>
      </w:pPr>
      <w:r>
        <w:rPr>
          <w:rFonts w:ascii="宋体" w:hAnsi="宋体" w:cs="宋体" w:eastAsia="宋体" w:hint="default"/>
          <w:spacing w:val="-1"/>
          <w:sz w:val="18"/>
          <w:szCs w:val="18"/>
        </w:rPr>
        <w:t>大力拓展安全运营服务市场。利用市场资源优势，发展面向电子政务、企业信息化、智慧城市建设等领域的网络安全一</w:t>
      </w:r>
      <w:r>
        <w:rPr>
          <w:rFonts w:ascii="宋体" w:hAnsi="宋体" w:cs="宋体" w:eastAsia="宋体" w:hint="default"/>
          <w:sz w:val="18"/>
          <w:szCs w:val="18"/>
        </w:rPr>
        <w:t> </w:t>
      </w:r>
      <w:r>
        <w:rPr>
          <w:rFonts w:ascii="宋体" w:hAnsi="宋体" w:cs="宋体" w:eastAsia="宋体" w:hint="default"/>
          <w:spacing w:val="-2"/>
          <w:sz w:val="18"/>
          <w:szCs w:val="18"/>
        </w:rPr>
        <w:t>体化运营服务；与具备网络资源、用户资源优势的运营商和云服务商紧密合作，借力发展第三方网络安全运营服务；探索网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络安全保险等新模式，助推网络安全运营服务发展。</w:t>
      </w:r>
    </w:p>
    <w:p>
      <w:pPr>
        <w:spacing w:line="316" w:lineRule="auto" w:before="19"/>
        <w:ind w:left="152" w:right="1034" w:firstLine="288"/>
        <w:jc w:val="left"/>
        <w:rPr>
          <w:rFonts w:ascii="宋体" w:hAnsi="宋体" w:cs="宋体" w:eastAsia="宋体" w:hint="default"/>
          <w:sz w:val="18"/>
          <w:szCs w:val="18"/>
        </w:rPr>
      </w:pPr>
      <w:r>
        <w:rPr>
          <w:rFonts w:ascii="宋体" w:hAnsi="宋体" w:cs="宋体" w:eastAsia="宋体" w:hint="default"/>
          <w:sz w:val="18"/>
          <w:szCs w:val="18"/>
        </w:rPr>
        <w:t>统筹推进网络安全运营服务和整体保障服务。采用线上线下相结合的服务交付模式，面向党政、央企等客户安全需求， 提供一站式专业解决方案，以网络安全运营服务为重要组成部分，构建先进可靠、持续有效的网络安全整体保障服务体系。 引导安全运营服务客户需求，将大型重点客户升级为网络安全整体保障服务对象。</w:t>
      </w:r>
    </w:p>
    <w:p>
      <w:pPr>
        <w:spacing w:before="19"/>
        <w:ind w:left="441" w:right="1133" w:firstLine="0"/>
        <w:jc w:val="left"/>
        <w:rPr>
          <w:rFonts w:ascii="宋体" w:hAnsi="宋体" w:cs="宋体" w:eastAsia="宋体" w:hint="default"/>
          <w:sz w:val="18"/>
          <w:szCs w:val="18"/>
        </w:rPr>
      </w:pPr>
      <w:r>
        <w:rPr>
          <w:rFonts w:ascii="宋体" w:hAnsi="宋体" w:cs="宋体" w:eastAsia="宋体" w:hint="default"/>
          <w:sz w:val="18"/>
          <w:szCs w:val="18"/>
        </w:rPr>
        <w:t>（三）经营计划</w:t>
      </w:r>
    </w:p>
    <w:p>
      <w:pPr>
        <w:spacing w:line="309" w:lineRule="auto" w:before="77"/>
        <w:ind w:left="152" w:right="1129" w:firstLine="398"/>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年，公司将积极落实网络强国战略，聚焦网络空间安全主业，把握</w:t>
      </w:r>
      <w:r>
        <w:rPr>
          <w:rFonts w:ascii="Times New Roman" w:hAnsi="Times New Roman" w:cs="Times New Roman" w:eastAsia="Times New Roman" w:hint="default"/>
          <w:sz w:val="18"/>
          <w:szCs w:val="18"/>
        </w:rPr>
        <w:t>“</w:t>
      </w:r>
      <w:r>
        <w:rPr>
          <w:rFonts w:ascii="宋体" w:hAnsi="宋体" w:cs="宋体" w:eastAsia="宋体" w:hint="default"/>
          <w:sz w:val="18"/>
          <w:szCs w:val="18"/>
        </w:rPr>
        <w:t>安全即服务</w:t>
      </w:r>
      <w:r>
        <w:rPr>
          <w:rFonts w:ascii="Times New Roman" w:hAnsi="Times New Roman" w:cs="Times New Roman" w:eastAsia="Times New Roman" w:hint="default"/>
          <w:sz w:val="18"/>
          <w:szCs w:val="18"/>
        </w:rPr>
        <w:t>”</w:t>
      </w:r>
      <w:r>
        <w:rPr>
          <w:rFonts w:ascii="宋体" w:hAnsi="宋体" w:cs="宋体" w:eastAsia="宋体" w:hint="default"/>
          <w:sz w:val="18"/>
          <w:szCs w:val="18"/>
        </w:rPr>
        <w:t>的发展趋势，充分发挥并强化可 </w:t>
      </w:r>
      <w:r>
        <w:rPr>
          <w:rFonts w:ascii="宋体" w:hAnsi="宋体" w:cs="宋体" w:eastAsia="宋体" w:hint="default"/>
          <w:spacing w:val="-2"/>
          <w:sz w:val="18"/>
          <w:szCs w:val="18"/>
        </w:rPr>
        <w:t>依赖企业形象、深厚密码基因等核心优势，提升核心技术能力和市场竞争力，在保证公司在传统优势行业地位的同时，全力</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推动公司向网络安全服务运营商转型。</w:t>
      </w:r>
    </w:p>
    <w:p>
      <w:pPr>
        <w:spacing w:before="24"/>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、加大规划牵引力度，推进公司战略转型</w:t>
      </w:r>
    </w:p>
    <w:p>
      <w:pPr>
        <w:spacing w:line="300" w:lineRule="auto" w:before="63"/>
        <w:ind w:left="152" w:right="0"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2020</w:t>
      </w:r>
      <w:r>
        <w:rPr>
          <w:rFonts w:ascii="宋体" w:hAnsi="宋体" w:cs="宋体" w:eastAsia="宋体" w:hint="default"/>
          <w:spacing w:val="-3"/>
          <w:sz w:val="18"/>
          <w:szCs w:val="18"/>
        </w:rPr>
        <w:t>年，公司将正式发布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中期发展规划纲要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，以落实公司中期规划目标，牵引各项目标的制定和工作的开展，明确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安</w:t>
      </w:r>
      <w:r>
        <w:rPr>
          <w:rFonts w:ascii="宋体" w:hAnsi="宋体" w:cs="宋体" w:eastAsia="宋体" w:hint="default"/>
          <w:sz w:val="18"/>
          <w:szCs w:val="18"/>
        </w:rPr>
        <w:t> </w:t>
      </w:r>
      <w:r>
        <w:rPr>
          <w:rFonts w:ascii="宋体" w:hAnsi="宋体" w:cs="宋体" w:eastAsia="宋体" w:hint="default"/>
          <w:spacing w:val="-2"/>
          <w:sz w:val="18"/>
          <w:szCs w:val="18"/>
        </w:rPr>
        <w:t>全服务化、密码泛在化、攻防智能化、基础国产化</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的战略思想，配合转型目标匹配资源，从市场、方案、技术产品、服务、</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生态、品牌、资本等方统筹推进重点任务。</w:t>
      </w:r>
    </w:p>
    <w:p>
      <w:pPr>
        <w:spacing w:line="300" w:lineRule="auto" w:before="31"/>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、深耕行业，构建行业与区域联动的市场营销体系 </w:t>
      </w:r>
      <w:r>
        <w:rPr>
          <w:rFonts w:ascii="宋体" w:hAnsi="宋体" w:cs="宋体" w:eastAsia="宋体" w:hint="default"/>
          <w:spacing w:val="-2"/>
          <w:sz w:val="18"/>
          <w:szCs w:val="18"/>
        </w:rPr>
        <w:t>加大力度完善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行业纵向贯通、区域横向覆盖</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的市场营销体系，提升市场顶层策划和整体运作能力。市场布局方面，加</w:t>
      </w:r>
    </w:p>
    <w:p>
      <w:pPr>
        <w:spacing w:line="300" w:lineRule="auto" w:before="13"/>
        <w:ind w:left="152" w:right="1133" w:firstLine="0"/>
        <w:jc w:val="left"/>
        <w:rPr>
          <w:rFonts w:ascii="宋体" w:hAnsi="宋体" w:cs="宋体" w:eastAsia="宋体" w:hint="default"/>
          <w:sz w:val="18"/>
          <w:szCs w:val="18"/>
        </w:rPr>
      </w:pPr>
      <w:r>
        <w:rPr>
          <w:rFonts w:ascii="宋体" w:hAnsi="宋体" w:cs="宋体" w:eastAsia="宋体" w:hint="default"/>
          <w:spacing w:val="-2"/>
          <w:sz w:val="18"/>
          <w:szCs w:val="18"/>
        </w:rPr>
        <w:t>强党政、金融、能源等传统优势行业的拓展力度；业务创新方面，把握</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安全即服务</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趋势，积极布局安全运营服务业务，统</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筹推进网络安全运营服务和整体保障服务。</w:t>
      </w:r>
    </w:p>
    <w:p>
      <w:pPr>
        <w:spacing w:line="300" w:lineRule="auto" w:before="32"/>
        <w:ind w:left="513" w:right="112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、方案赋能，探索发展新转型 </w:t>
      </w:r>
      <w:r>
        <w:rPr>
          <w:rFonts w:ascii="宋体" w:hAnsi="宋体" w:cs="宋体" w:eastAsia="宋体" w:hint="default"/>
          <w:spacing w:val="-2"/>
          <w:sz w:val="18"/>
          <w:szCs w:val="18"/>
        </w:rPr>
        <w:t>深入研究不同行业应用及信息系统特有的安全需求，整合产品技术能力，着力打造通用解决方案，研究推广行业解决方</w:t>
      </w:r>
    </w:p>
    <w:p>
      <w:pPr>
        <w:spacing w:line="300" w:lineRule="auto" w:before="31"/>
        <w:ind w:left="152" w:right="1134" w:firstLine="0"/>
        <w:jc w:val="left"/>
        <w:rPr>
          <w:rFonts w:ascii="宋体" w:hAnsi="宋体" w:cs="宋体" w:eastAsia="宋体" w:hint="default"/>
          <w:sz w:val="18"/>
          <w:szCs w:val="18"/>
        </w:rPr>
      </w:pPr>
      <w:r>
        <w:rPr>
          <w:rFonts w:ascii="宋体" w:hAnsi="宋体" w:cs="宋体" w:eastAsia="宋体" w:hint="default"/>
          <w:sz w:val="18"/>
          <w:szCs w:val="18"/>
        </w:rPr>
        <w:t>案，积极落地安全运营服务解决方案。凝练产品需求、牵引产品研发、构建产业生态，推动公司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以场景带产品，以业务携 资源</w:t>
      </w:r>
      <w:r>
        <w:rPr>
          <w:rFonts w:ascii="Times New Roman" w:hAnsi="Times New Roman" w:cs="Times New Roman" w:eastAsia="Times New Roman" w:hint="default"/>
          <w:sz w:val="18"/>
          <w:szCs w:val="18"/>
        </w:rPr>
        <w:t>”</w:t>
      </w:r>
      <w:r>
        <w:rPr>
          <w:rFonts w:ascii="宋体" w:hAnsi="宋体" w:cs="宋体" w:eastAsia="宋体" w:hint="default"/>
          <w:sz w:val="18"/>
          <w:szCs w:val="18"/>
        </w:rPr>
        <w:t>的新一代通用解决方案体系建设。</w:t>
      </w:r>
    </w:p>
    <w:p>
      <w:pPr>
        <w:spacing w:line="300" w:lineRule="auto" w:before="13"/>
        <w:ind w:left="513" w:right="112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、加强技术创新，提升研发与产品化能力 </w:t>
      </w:r>
      <w:r>
        <w:rPr>
          <w:rFonts w:ascii="宋体" w:hAnsi="宋体" w:cs="宋体" w:eastAsia="宋体" w:hint="default"/>
          <w:spacing w:val="-2"/>
          <w:sz w:val="18"/>
          <w:szCs w:val="18"/>
        </w:rPr>
        <w:t>加大密码基础理论、密码和网络安全关键技术研究投入，加强密码和网络安全核心技术创新和应用创新，加强产品安全</w:t>
      </w:r>
    </w:p>
    <w:p>
      <w:pPr>
        <w:spacing w:line="316" w:lineRule="auto" w:before="31"/>
        <w:ind w:left="152" w:right="1133" w:firstLine="0"/>
        <w:jc w:val="left"/>
        <w:rPr>
          <w:rFonts w:ascii="宋体" w:hAnsi="宋体" w:cs="宋体" w:eastAsia="宋体" w:hint="default"/>
          <w:sz w:val="18"/>
          <w:szCs w:val="18"/>
        </w:rPr>
      </w:pPr>
      <w:r>
        <w:rPr>
          <w:rFonts w:ascii="宋体" w:hAnsi="宋体" w:cs="宋体" w:eastAsia="宋体" w:hint="default"/>
          <w:spacing w:val="-2"/>
          <w:sz w:val="18"/>
          <w:szCs w:val="18"/>
        </w:rPr>
        <w:t>性和可靠性等基础技术的研究和积累，聚焦打造精品，大力提升产品质量；重点关注云计算、大数据、移动互联网等新技术</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应用场景，提升公司产品核心竞争力，支撑公司战略落地与业务发展。</w:t>
      </w:r>
    </w:p>
    <w:p>
      <w:pPr>
        <w:spacing w:before="18"/>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、大力发展安全服务业务，助推公司战略转型</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line="300" w:lineRule="auto" w:before="44"/>
        <w:ind w:left="152" w:right="1133" w:firstLine="360"/>
        <w:jc w:val="left"/>
        <w:rPr>
          <w:rFonts w:ascii="宋体" w:hAnsi="宋体" w:cs="宋体" w:eastAsia="宋体" w:hint="default"/>
          <w:sz w:val="18"/>
          <w:szCs w:val="18"/>
        </w:rPr>
      </w:pPr>
      <w:r>
        <w:rPr>
          <w:rFonts w:ascii="宋体" w:hAnsi="宋体" w:cs="宋体" w:eastAsia="宋体" w:hint="default"/>
          <w:spacing w:val="-2"/>
          <w:sz w:val="18"/>
          <w:szCs w:val="18"/>
        </w:rPr>
        <w:t>践行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安全即服务</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理念，抓住网络安全产业服务化转型升级的新趋势、新机遇，加快安全运营服务业务布局。全力打造</w:t>
      </w:r>
      <w:r>
        <w:rPr>
          <w:rFonts w:ascii="宋体" w:hAnsi="宋体" w:cs="宋体" w:eastAsia="宋体" w:hint="default"/>
          <w:sz w:val="18"/>
          <w:szCs w:val="18"/>
        </w:rPr>
        <w:t> 服务运营平台，组建安全服务核心支撑团队，面向政务、央企等行业领域发展网络安全一体化运营服务。</w:t>
      </w:r>
    </w:p>
    <w:p>
      <w:pPr>
        <w:spacing w:line="300" w:lineRule="auto" w:before="31"/>
        <w:ind w:left="513" w:right="112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、聚合内外资源，积极构建生态圈 </w:t>
      </w:r>
      <w:r>
        <w:rPr>
          <w:rFonts w:ascii="宋体" w:hAnsi="宋体" w:cs="宋体" w:eastAsia="宋体" w:hint="default"/>
          <w:spacing w:val="-2"/>
          <w:sz w:val="18"/>
          <w:szCs w:val="18"/>
        </w:rPr>
        <w:t>主动融入自主可控等具有传统优势的产业生态圈，积极推动密码泛在化应用；在新兴及有潜力的行业中积极参与、融入</w:t>
      </w:r>
    </w:p>
    <w:p>
      <w:pPr>
        <w:spacing w:before="31"/>
        <w:ind w:left="152" w:right="1133" w:firstLine="0"/>
        <w:jc w:val="left"/>
        <w:rPr>
          <w:rFonts w:ascii="宋体" w:hAnsi="宋体" w:cs="宋体" w:eastAsia="宋体" w:hint="default"/>
          <w:sz w:val="18"/>
          <w:szCs w:val="18"/>
        </w:rPr>
      </w:pPr>
      <w:r>
        <w:rPr>
          <w:rFonts w:ascii="宋体" w:hAnsi="宋体" w:cs="宋体" w:eastAsia="宋体" w:hint="default"/>
          <w:sz w:val="18"/>
          <w:szCs w:val="18"/>
        </w:rPr>
        <w:t>生态，与产业链伙伴广泛合作，实现良性合作及协同发展。</w:t>
      </w:r>
    </w:p>
    <w:p>
      <w:pPr>
        <w:spacing w:line="309" w:lineRule="auto" w:before="76"/>
        <w:ind w:left="513" w:right="103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、升级品牌文化，塑造公司新形象 </w:t>
      </w:r>
      <w:r>
        <w:rPr>
          <w:rFonts w:ascii="宋体" w:hAnsi="宋体" w:cs="宋体" w:eastAsia="宋体" w:hint="default"/>
          <w:spacing w:val="-4"/>
          <w:sz w:val="18"/>
          <w:szCs w:val="18"/>
        </w:rPr>
        <w:t>加强党建引领，以成立公司党委为契机，构建党建一体化推进的工作格局，形成纵深结合、覆盖全面的基层党组织体系。</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3"/>
          <w:sz w:val="18"/>
          <w:szCs w:val="18"/>
        </w:rPr>
        <w:t>启动企业文化升级，形成</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忠诚担当、诚信共享、团队尊重、专业进取、创值创业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的企业文化理念，提升员工的责任感、</w:t>
      </w:r>
    </w:p>
    <w:p>
      <w:pPr>
        <w:spacing w:line="316" w:lineRule="auto" w:before="5"/>
        <w:ind w:left="513" w:right="1133" w:hanging="361"/>
        <w:jc w:val="left"/>
        <w:rPr>
          <w:rFonts w:ascii="宋体" w:hAnsi="宋体" w:cs="宋体" w:eastAsia="宋体" w:hint="default"/>
          <w:sz w:val="18"/>
          <w:szCs w:val="18"/>
        </w:rPr>
      </w:pPr>
      <w:r>
        <w:rPr>
          <w:rFonts w:ascii="宋体" w:hAnsi="宋体" w:cs="宋体" w:eastAsia="宋体" w:hint="default"/>
          <w:sz w:val="18"/>
          <w:szCs w:val="18"/>
        </w:rPr>
        <w:t>归属感和自豪感。 </w:t>
      </w:r>
      <w:r>
        <w:rPr>
          <w:rFonts w:ascii="宋体" w:hAnsi="宋体" w:cs="宋体" w:eastAsia="宋体" w:hint="default"/>
          <w:spacing w:val="-2"/>
          <w:sz w:val="18"/>
          <w:szCs w:val="18"/>
        </w:rPr>
        <w:t>结合公司战略转型，体系化开展品牌建设、管理与传播，利用公司企业自媒体及外部媒体渠道，加大对公司品牌、成功</w:t>
      </w:r>
    </w:p>
    <w:p>
      <w:pPr>
        <w:spacing w:before="19"/>
        <w:ind w:left="152" w:right="1133" w:firstLine="0"/>
        <w:jc w:val="left"/>
        <w:rPr>
          <w:rFonts w:ascii="宋体" w:hAnsi="宋体" w:cs="宋体" w:eastAsia="宋体" w:hint="default"/>
          <w:sz w:val="18"/>
          <w:szCs w:val="18"/>
        </w:rPr>
      </w:pPr>
      <w:r>
        <w:rPr>
          <w:rFonts w:ascii="宋体" w:hAnsi="宋体" w:cs="宋体" w:eastAsia="宋体" w:hint="default"/>
          <w:sz w:val="18"/>
          <w:szCs w:val="18"/>
        </w:rPr>
        <w:t>案例、技术专家、解决方案、核心产品的宣传力度。</w:t>
      </w:r>
    </w:p>
    <w:p>
      <w:pPr>
        <w:spacing w:line="300" w:lineRule="auto" w:before="76"/>
        <w:ind w:left="513" w:right="112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、聚合人才，提升队伍建设能力 </w:t>
      </w:r>
      <w:r>
        <w:rPr>
          <w:rFonts w:ascii="宋体" w:hAnsi="宋体" w:cs="宋体" w:eastAsia="宋体" w:hint="default"/>
          <w:spacing w:val="-2"/>
          <w:sz w:val="18"/>
          <w:szCs w:val="18"/>
        </w:rPr>
        <w:t>打造适配公司业务发展和转型需要的人才体系，重点加强高水平的市场营销、总体方案、安全运营服务、产品经理等专</w:t>
      </w:r>
    </w:p>
    <w:p>
      <w:pPr>
        <w:spacing w:line="309" w:lineRule="auto" w:before="31"/>
        <w:ind w:left="513" w:right="1133" w:hanging="361"/>
        <w:jc w:val="left"/>
        <w:rPr>
          <w:rFonts w:ascii="宋体" w:hAnsi="宋体" w:cs="宋体" w:eastAsia="宋体" w:hint="default"/>
          <w:sz w:val="18"/>
          <w:szCs w:val="18"/>
        </w:rPr>
      </w:pPr>
      <w:r>
        <w:rPr>
          <w:rFonts w:ascii="宋体" w:hAnsi="宋体" w:cs="宋体" w:eastAsia="宋体" w:hint="default"/>
          <w:sz w:val="18"/>
          <w:szCs w:val="18"/>
        </w:rPr>
        <w:t>家队伍建设，提升人才专业度，加强青年人才培养。完善公司五元薪酬制度，优化员工薪酬、激励、考核体系。 </w:t>
      </w:r>
      <w:r>
        <w:rPr>
          <w:rFonts w:ascii="Times New Roman" w:hAnsi="Times New Roman" w:cs="Times New Roman" w:eastAsia="Times New Roman" w:hint="default"/>
          <w:sz w:val="18"/>
          <w:szCs w:val="18"/>
        </w:rPr>
        <w:t>9</w:t>
      </w:r>
      <w:r>
        <w:rPr>
          <w:rFonts w:ascii="宋体" w:hAnsi="宋体" w:cs="宋体" w:eastAsia="宋体" w:hint="default"/>
          <w:sz w:val="18"/>
          <w:szCs w:val="18"/>
        </w:rPr>
        <w:t>、提升基础管理水平，提高运营效率 </w:t>
      </w:r>
      <w:r>
        <w:rPr>
          <w:rFonts w:ascii="宋体" w:hAnsi="宋体" w:cs="宋体" w:eastAsia="宋体" w:hint="default"/>
          <w:spacing w:val="-2"/>
          <w:sz w:val="18"/>
          <w:szCs w:val="18"/>
        </w:rPr>
        <w:t>深入梳理优化公司制度体系，通过制度牵引公司规范化管理；优化业务审批流程，减少审批环节，提升工作效率；深化</w:t>
      </w:r>
    </w:p>
    <w:p>
      <w:pPr>
        <w:spacing w:line="316" w:lineRule="auto" w:before="24"/>
        <w:ind w:left="152" w:right="1133" w:firstLine="0"/>
        <w:jc w:val="both"/>
        <w:rPr>
          <w:rFonts w:ascii="宋体" w:hAnsi="宋体" w:cs="宋体" w:eastAsia="宋体" w:hint="default"/>
          <w:sz w:val="18"/>
          <w:szCs w:val="18"/>
        </w:rPr>
      </w:pPr>
      <w:r>
        <w:rPr>
          <w:rFonts w:ascii="宋体" w:hAnsi="宋体" w:cs="宋体" w:eastAsia="宋体" w:hint="default"/>
          <w:spacing w:val="-2"/>
          <w:sz w:val="18"/>
          <w:szCs w:val="18"/>
        </w:rPr>
        <w:t>打造数字企业，促进公司信息化转型；健全公司质量管理体系，大力提升产品质量和工作质量；完善全面风险管理体系，加</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强法律审查、内部审计、纪检监察力度，建立廉洁从业制度，营造廉洁文化氛围，强化公司合法合规运行；牢固树立保密红</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线意识，坚守安全保密工作时刻不松懈。</w:t>
      </w:r>
    </w:p>
    <w:p>
      <w:pPr>
        <w:spacing w:before="19"/>
        <w:ind w:left="441" w:right="1133" w:firstLine="0"/>
        <w:jc w:val="left"/>
        <w:rPr>
          <w:rFonts w:ascii="宋体" w:hAnsi="宋体" w:cs="宋体" w:eastAsia="宋体" w:hint="default"/>
          <w:sz w:val="18"/>
          <w:szCs w:val="18"/>
        </w:rPr>
      </w:pPr>
      <w:r>
        <w:rPr>
          <w:rFonts w:ascii="宋体" w:hAnsi="宋体" w:cs="宋体" w:eastAsia="宋体" w:hint="default"/>
          <w:sz w:val="18"/>
          <w:szCs w:val="18"/>
        </w:rPr>
        <w:t>（四）可能面对的风险</w:t>
      </w:r>
    </w:p>
    <w:p>
      <w:pPr>
        <w:spacing w:line="300" w:lineRule="auto" w:before="76"/>
        <w:ind w:left="441" w:right="11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、市场风险 随着网络安全威胁的日益加剧，网络安全热度不断升温，传统的安全企业持续深耕、发展势头不减，互联网及</w:t>
      </w:r>
      <w:r>
        <w:rPr>
          <w:rFonts w:ascii="Times New Roman" w:hAnsi="Times New Roman" w:cs="Times New Roman" w:eastAsia="Times New Roman" w:hint="default"/>
          <w:sz w:val="18"/>
          <w:szCs w:val="18"/>
        </w:rPr>
        <w:t>IT</w:t>
      </w:r>
      <w:r>
        <w:rPr>
          <w:rFonts w:ascii="宋体" w:hAnsi="宋体" w:cs="宋体" w:eastAsia="宋体" w:hint="default"/>
          <w:sz w:val="18"/>
          <w:szCs w:val="18"/>
        </w:rPr>
        <w:t>企业陆</w:t>
      </w:r>
    </w:p>
    <w:p>
      <w:pPr>
        <w:spacing w:line="316" w:lineRule="auto" w:before="13"/>
        <w:ind w:left="152" w:right="1129" w:firstLine="0"/>
        <w:jc w:val="left"/>
        <w:rPr>
          <w:rFonts w:ascii="宋体" w:hAnsi="宋体" w:cs="宋体" w:eastAsia="宋体" w:hint="default"/>
          <w:sz w:val="18"/>
          <w:szCs w:val="18"/>
        </w:rPr>
      </w:pPr>
      <w:r>
        <w:rPr>
          <w:rFonts w:ascii="宋体" w:hAnsi="宋体" w:cs="宋体" w:eastAsia="宋体" w:hint="default"/>
          <w:spacing w:val="-2"/>
          <w:sz w:val="18"/>
          <w:szCs w:val="18"/>
        </w:rPr>
        <w:t>续向安全领域渗透，初创型企业不断在细分领域寻找突破点，市场竞争将更加激烈。公司将在不断提升自身核心竞争力的同</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时，加强技术交流与产品合作，以提升创新能力，增强市场竞争力。</w:t>
      </w:r>
    </w:p>
    <w:p>
      <w:pPr>
        <w:spacing w:line="300" w:lineRule="auto" w:before="19"/>
        <w:ind w:left="441"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、技术风险 </w:t>
      </w:r>
      <w:r>
        <w:rPr>
          <w:rFonts w:ascii="宋体" w:hAnsi="宋体" w:cs="宋体" w:eastAsia="宋体" w:hint="default"/>
          <w:spacing w:val="-1"/>
          <w:sz w:val="18"/>
          <w:szCs w:val="18"/>
        </w:rPr>
        <w:t>随着互联网在各领域各行业的渗透，网络安全也在不断扩大应用领域，物联网、云计算、大数据、人工智能等领域对网</w:t>
      </w:r>
    </w:p>
    <w:p>
      <w:pPr>
        <w:spacing w:line="309" w:lineRule="auto" w:before="31"/>
        <w:ind w:left="152" w:right="1135" w:firstLine="0"/>
        <w:jc w:val="both"/>
        <w:rPr>
          <w:rFonts w:ascii="宋体" w:hAnsi="宋体" w:cs="宋体" w:eastAsia="宋体" w:hint="default"/>
          <w:sz w:val="18"/>
          <w:szCs w:val="18"/>
        </w:rPr>
      </w:pPr>
      <w:r>
        <w:rPr>
          <w:rFonts w:ascii="宋体" w:hAnsi="宋体" w:cs="宋体" w:eastAsia="宋体" w:hint="default"/>
          <w:spacing w:val="-2"/>
          <w:sz w:val="18"/>
          <w:szCs w:val="18"/>
        </w:rPr>
        <w:t>络安全提出了更多、更高的要求，倒逼网络安全企业不断创新。如果未来公司无法满足新技术、新应用、新模式的安全保障</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需求，将对公司业务发展造成不利影响。公司将把创新作为发展的核心理念和长期性要求，加强</w:t>
      </w:r>
      <w:r>
        <w:rPr>
          <w:rFonts w:ascii="Times New Roman" w:hAnsi="Times New Roman" w:cs="Times New Roman" w:eastAsia="Times New Roman" w:hint="default"/>
          <w:sz w:val="18"/>
          <w:szCs w:val="18"/>
        </w:rPr>
        <w:t>5G</w:t>
      </w:r>
      <w:r>
        <w:rPr>
          <w:rFonts w:ascii="宋体" w:hAnsi="宋体" w:cs="宋体" w:eastAsia="宋体" w:hint="default"/>
          <w:sz w:val="18"/>
          <w:szCs w:val="18"/>
        </w:rPr>
        <w:t>安全、区块链、后量子 密码、物联网安全等的前瞻性研究，以保障公司的可持续发展。</w:t>
      </w:r>
    </w:p>
    <w:p>
      <w:pPr>
        <w:spacing w:line="300" w:lineRule="auto" w:before="24"/>
        <w:ind w:left="441"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、财务风险 </w:t>
      </w:r>
      <w:r>
        <w:rPr>
          <w:rFonts w:ascii="宋体" w:hAnsi="宋体" w:cs="宋体" w:eastAsia="宋体" w:hint="default"/>
          <w:spacing w:val="-1"/>
          <w:sz w:val="18"/>
          <w:szCs w:val="18"/>
        </w:rPr>
        <w:t>在应收账款方面，公司的主要客户虽然集中在信誉较好的党政、金融、电力等行业客户，客户有很强的履约能力，应收</w:t>
      </w:r>
    </w:p>
    <w:p>
      <w:pPr>
        <w:spacing w:line="316" w:lineRule="auto" w:before="31"/>
        <w:ind w:left="152" w:right="1034" w:firstLine="0"/>
        <w:jc w:val="left"/>
        <w:rPr>
          <w:rFonts w:ascii="宋体" w:hAnsi="宋体" w:cs="宋体" w:eastAsia="宋体" w:hint="default"/>
          <w:sz w:val="18"/>
          <w:szCs w:val="18"/>
        </w:rPr>
      </w:pPr>
      <w:r>
        <w:rPr>
          <w:rFonts w:ascii="宋体" w:hAnsi="宋体" w:cs="宋体" w:eastAsia="宋体" w:hint="default"/>
          <w:spacing w:val="-2"/>
          <w:sz w:val="18"/>
          <w:szCs w:val="18"/>
        </w:rPr>
        <w:t>账款总体质量较好，整体违约概率较低，但是，报告期末应收账款规模仍然较大，影响了公司的现金流状况、降低了资金使</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用效率。公司将严格执行应收账款相关管理办法，通过加强对销售人员销售回款的考核、积极推进项目实施及验收等措施， 降低应收账款规模，提高应收账款周转率。</w:t>
      </w:r>
    </w:p>
    <w:p>
      <w:pPr>
        <w:spacing w:line="300" w:lineRule="auto" w:before="19"/>
        <w:ind w:left="441"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、人才风险 </w:t>
      </w:r>
      <w:r>
        <w:rPr>
          <w:rFonts w:ascii="宋体" w:hAnsi="宋体" w:cs="宋体" w:eastAsia="宋体" w:hint="default"/>
          <w:spacing w:val="-1"/>
          <w:sz w:val="18"/>
          <w:szCs w:val="18"/>
        </w:rPr>
        <w:t>公司的快速成长依赖于技术、营销和管理等各类高素质人才。随着公司业务领域的不断拓展，公司对多样化人才的需求</w:t>
      </w:r>
    </w:p>
    <w:p>
      <w:pPr>
        <w:spacing w:line="316" w:lineRule="auto" w:before="31"/>
        <w:ind w:left="152" w:right="1129" w:firstLine="0"/>
        <w:jc w:val="left"/>
        <w:rPr>
          <w:rFonts w:ascii="宋体" w:hAnsi="宋体" w:cs="宋体" w:eastAsia="宋体" w:hint="default"/>
          <w:sz w:val="18"/>
          <w:szCs w:val="18"/>
        </w:rPr>
      </w:pPr>
      <w:r>
        <w:rPr>
          <w:rFonts w:ascii="宋体" w:hAnsi="宋体" w:cs="宋体" w:eastAsia="宋体" w:hint="default"/>
          <w:spacing w:val="-2"/>
          <w:sz w:val="18"/>
          <w:szCs w:val="18"/>
        </w:rPr>
        <w:t>也与日俱增，高级专业技术人才、市场营销领军人才以及高素质管理人才不能满足日益发展的业务需要。公司将持续完善长</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效激励机制，保持现有管理团队及核心员工稳定的同时，吸引更多的高端人才加入，以保持和提升公司竞争力。</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bookmarkStart w:name="十、接待调研、沟通、采访等活动" w:id="60"/>
      <w:bookmarkEnd w:id="60"/>
      <w:r>
        <w:rPr>
          <w:b w:val="0"/>
          <w:bCs w:val="0"/>
        </w:rPr>
      </w:r>
      <w:r>
        <w:rPr/>
        <w:t>十、接待调研、沟通、采访等活动</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2"/>
        <w:gridCol w:w="1419"/>
        <w:gridCol w:w="1416"/>
        <w:gridCol w:w="5034"/>
      </w:tblGrid>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5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详见公司于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日在巨潮资讯网上披露的投资者关系 </w:t>
            </w:r>
            <w:r>
              <w:rPr>
                <w:rFonts w:ascii="宋体" w:hAnsi="宋体" w:cs="宋体" w:eastAsia="宋体" w:hint="default"/>
                <w:spacing w:val="-5"/>
                <w:w w:val="99"/>
                <w:sz w:val="18"/>
                <w:szCs w:val="18"/>
              </w:rPr>
              <w:t>活动记录表。（</w:t>
            </w:r>
            <w:r>
              <w:rPr>
                <w:rFonts w:ascii="Times New Roman" w:hAnsi="Times New Roman" w:cs="Times New Roman" w:eastAsia="Times New Roman" w:hint="default"/>
                <w:spacing w:val="-5"/>
                <w:w w:val="99"/>
                <w:sz w:val="18"/>
                <w:szCs w:val="18"/>
              </w:rPr>
              <w:t>www.cninfo.com.cn)</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9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年度接待投资者电话数百次，了解公司经营、业务、诉讼 等情况。</w:t>
            </w:r>
          </w:p>
        </w:tc>
      </w:tr>
    </w:tbl>
    <w:p>
      <w:pPr>
        <w:spacing w:after="0" w:line="30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3217"/>
        <w:jc w:val="center"/>
        <w:rPr>
          <w:b w:val="0"/>
          <w:bCs w:val="0"/>
        </w:rPr>
      </w:pPr>
      <w:bookmarkStart w:name="第五节 重要事项" w:id="62"/>
      <w:bookmarkEnd w:id="62"/>
      <w:r>
        <w:rPr>
          <w:b w:val="0"/>
          <w:bCs w:val="0"/>
        </w:rPr>
      </w:r>
      <w:bookmarkStart w:name="_bookmark4" w:id="63"/>
      <w:bookmarkEnd w:id="63"/>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line="319" w:lineRule="auto" w:before="117"/>
        <w:ind w:left="152" w:right="112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报告期内，公司严格执行利润分配相关政策，通过并实施了</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年度利润分配方案；</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年未对利润分配政策进行调整或变</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更。</w:t>
      </w:r>
    </w:p>
    <w:tbl>
      <w:tblPr>
        <w:tblW w:w="0" w:type="auto"/>
        <w:jc w:val="left"/>
        <w:tblInd w:w="160" w:type="dxa"/>
        <w:tblLayout w:type="fixed"/>
        <w:tblCellMar>
          <w:top w:w="0" w:type="dxa"/>
          <w:left w:w="0" w:type="dxa"/>
          <w:bottom w:w="0" w:type="dxa"/>
          <w:right w:w="0" w:type="dxa"/>
        </w:tblCellMar>
        <w:tblLook w:val="01E0"/>
      </w:tblPr>
      <w:tblGrid>
        <w:gridCol w:w="6358"/>
        <w:gridCol w:w="3201"/>
      </w:tblGrid>
      <w:tr>
        <w:trPr>
          <w:trHeight w:val="40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338" w:lineRule="auto" w:before="59"/>
        <w:ind w:left="513" w:right="1133" w:hanging="361"/>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年（包括本报告期）的普通股股利分配方案（预案）、资本公积金转增股本方案（预案）情况</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公司</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年度利润分配和资本公积金转增股本方案：以董事会召开日总股本</w:t>
      </w:r>
      <w:r>
        <w:rPr>
          <w:rFonts w:ascii="Times New Roman" w:hAnsi="Times New Roman" w:cs="Times New Roman" w:eastAsia="Times New Roman" w:hint="default"/>
          <w:spacing w:val="-2"/>
          <w:sz w:val="18"/>
          <w:szCs w:val="18"/>
        </w:rPr>
        <w:t>838,336,028</w:t>
      </w:r>
      <w:r>
        <w:rPr>
          <w:rFonts w:ascii="宋体" w:hAnsi="宋体" w:cs="宋体" w:eastAsia="宋体" w:hint="default"/>
          <w:spacing w:val="-2"/>
          <w:sz w:val="18"/>
          <w:szCs w:val="18"/>
        </w:rPr>
        <w:t>股为基数，向全体股东每</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股派</w:t>
      </w:r>
    </w:p>
    <w:p>
      <w:pPr>
        <w:spacing w:line="230" w:lineRule="exact"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发现金红利</w:t>
      </w:r>
      <w:r>
        <w:rPr>
          <w:rFonts w:ascii="Times New Roman" w:hAnsi="Times New Roman" w:cs="Times New Roman" w:eastAsia="Times New Roman" w:hint="default"/>
          <w:sz w:val="18"/>
          <w:szCs w:val="18"/>
        </w:rPr>
        <w:t>0.19</w:t>
      </w:r>
      <w:r>
        <w:rPr>
          <w:rFonts w:ascii="宋体" w:hAnsi="宋体" w:cs="宋体" w:eastAsia="宋体" w:hint="default"/>
          <w:sz w:val="18"/>
          <w:szCs w:val="18"/>
        </w:rPr>
        <w:t>元（含税），不以公积金转增股本。</w:t>
      </w:r>
    </w:p>
    <w:p>
      <w:pPr>
        <w:spacing w:line="300" w:lineRule="auto" w:before="63"/>
        <w:ind w:left="152" w:right="1133" w:firstLine="360"/>
        <w:jc w:val="left"/>
        <w:rPr>
          <w:rFonts w:ascii="宋体" w:hAnsi="宋体" w:cs="宋体" w:eastAsia="宋体" w:hint="default"/>
          <w:sz w:val="18"/>
          <w:szCs w:val="18"/>
        </w:rPr>
      </w:pPr>
      <w:r>
        <w:rPr>
          <w:rFonts w:ascii="宋体" w:hAnsi="宋体" w:cs="宋体" w:eastAsia="宋体" w:hint="default"/>
          <w:spacing w:val="-2"/>
          <w:sz w:val="18"/>
          <w:szCs w:val="18"/>
        </w:rPr>
        <w:t>公司</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年度利润分配和资本公积金转增股本方案：以董事会召开日总股本</w:t>
      </w:r>
      <w:r>
        <w:rPr>
          <w:rFonts w:ascii="Times New Roman" w:hAnsi="Times New Roman" w:cs="Times New Roman" w:eastAsia="Times New Roman" w:hint="default"/>
          <w:spacing w:val="-2"/>
          <w:sz w:val="18"/>
          <w:szCs w:val="18"/>
        </w:rPr>
        <w:t>838,336,028</w:t>
      </w:r>
      <w:r>
        <w:rPr>
          <w:rFonts w:ascii="宋体" w:hAnsi="宋体" w:cs="宋体" w:eastAsia="宋体" w:hint="default"/>
          <w:spacing w:val="-2"/>
          <w:sz w:val="18"/>
          <w:szCs w:val="18"/>
        </w:rPr>
        <w:t>股为基数，向全体股东每</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股派</w:t>
      </w:r>
      <w:r>
        <w:rPr>
          <w:rFonts w:ascii="宋体" w:hAnsi="宋体" w:cs="宋体" w:eastAsia="宋体" w:hint="default"/>
          <w:sz w:val="18"/>
          <w:szCs w:val="18"/>
        </w:rPr>
        <w:t> 发现金红利</w:t>
      </w:r>
      <w:r>
        <w:rPr>
          <w:rFonts w:ascii="Times New Roman" w:hAnsi="Times New Roman" w:cs="Times New Roman" w:eastAsia="Times New Roman" w:hint="default"/>
          <w:sz w:val="18"/>
          <w:szCs w:val="18"/>
        </w:rPr>
        <w:t>0.15</w:t>
      </w:r>
      <w:r>
        <w:rPr>
          <w:rFonts w:ascii="宋体" w:hAnsi="宋体" w:cs="宋体" w:eastAsia="宋体" w:hint="default"/>
          <w:sz w:val="18"/>
          <w:szCs w:val="18"/>
        </w:rPr>
        <w:t>元（含税），不以公积金转增股本。</w:t>
      </w:r>
    </w:p>
    <w:p>
      <w:pPr>
        <w:spacing w:line="300" w:lineRule="auto" w:before="13"/>
        <w:ind w:left="152" w:right="1133" w:firstLine="360"/>
        <w:jc w:val="left"/>
        <w:rPr>
          <w:rFonts w:ascii="宋体" w:hAnsi="宋体" w:cs="宋体" w:eastAsia="宋体" w:hint="default"/>
          <w:sz w:val="18"/>
          <w:szCs w:val="18"/>
        </w:rPr>
      </w:pPr>
      <w:r>
        <w:rPr>
          <w:rFonts w:ascii="宋体" w:hAnsi="宋体" w:cs="宋体" w:eastAsia="宋体" w:hint="default"/>
          <w:spacing w:val="-2"/>
          <w:sz w:val="18"/>
          <w:szCs w:val="18"/>
        </w:rPr>
        <w:t>公司</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年度利润分配和资本公积金转增股本方案：以董事会召开日总股本</w:t>
      </w:r>
      <w:r>
        <w:rPr>
          <w:rFonts w:ascii="Times New Roman" w:hAnsi="Times New Roman" w:cs="Times New Roman" w:eastAsia="Times New Roman" w:hint="default"/>
          <w:spacing w:val="-2"/>
          <w:sz w:val="18"/>
          <w:szCs w:val="18"/>
        </w:rPr>
        <w:t>838,336,028</w:t>
      </w:r>
      <w:r>
        <w:rPr>
          <w:rFonts w:ascii="宋体" w:hAnsi="宋体" w:cs="宋体" w:eastAsia="宋体" w:hint="default"/>
          <w:spacing w:val="-2"/>
          <w:sz w:val="18"/>
          <w:szCs w:val="18"/>
        </w:rPr>
        <w:t>股为基数，向全体股东每</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股派</w:t>
      </w:r>
      <w:r>
        <w:rPr>
          <w:rFonts w:ascii="宋体" w:hAnsi="宋体" w:cs="宋体" w:eastAsia="宋体" w:hint="default"/>
          <w:sz w:val="18"/>
          <w:szCs w:val="18"/>
        </w:rPr>
        <w:t> 发现金红利</w:t>
      </w:r>
      <w:r>
        <w:rPr>
          <w:rFonts w:ascii="Times New Roman" w:hAnsi="Times New Roman" w:cs="Times New Roman" w:eastAsia="Times New Roman" w:hint="default"/>
          <w:sz w:val="18"/>
          <w:szCs w:val="18"/>
        </w:rPr>
        <w:t>0.5</w:t>
      </w:r>
      <w:r>
        <w:rPr>
          <w:rFonts w:ascii="宋体" w:hAnsi="宋体" w:cs="宋体" w:eastAsia="宋体" w:hint="default"/>
          <w:sz w:val="18"/>
          <w:szCs w:val="18"/>
        </w:rPr>
        <w:t>元（含税），不以公积金转增股本。</w:t>
      </w:r>
    </w:p>
    <w:p>
      <w:pPr>
        <w:spacing w:before="53"/>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6"/>
        <w:gridCol w:w="1195"/>
        <w:gridCol w:w="1196"/>
        <w:gridCol w:w="1196"/>
        <w:gridCol w:w="1197"/>
        <w:gridCol w:w="1195"/>
        <w:gridCol w:w="1197"/>
        <w:gridCol w:w="1184"/>
      </w:tblGrid>
      <w:tr>
        <w:trPr>
          <w:trHeight w:val="163" w:hRule="exact"/>
        </w:trPr>
        <w:tc>
          <w:tcPr>
            <w:tcW w:w="1186"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4"/>
              <w:ind w:left="51"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3"/>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7"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4"/>
              <w:ind w:left="51"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412" w:right="141"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1" w:hRule="exact"/>
        </w:trPr>
        <w:tc>
          <w:tcPr>
            <w:tcW w:w="11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7"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8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15,928,384.53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155,765,488.34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10.23%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15,928,384.53</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10.23%</w:t>
            </w: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12,575,040.42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120,204,513.73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10.46%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12,575,040.42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z w:val="18"/>
              </w:rPr>
              <w:t>10.46%</w:t>
            </w: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41,916,801.40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169,054,901.59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24.79%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41,916,801.40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24.79%</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二、本报告期利润分配及资本公积金转增股本情况" w:id="65"/>
      <w:bookmarkEnd w:id="65"/>
      <w:r>
        <w:rPr>
          <w:b w:val="0"/>
          <w:bCs w:val="0"/>
        </w:rPr>
      </w:r>
      <w:r>
        <w:rPr/>
        <w:t>二、本报告期利润分配及资本公积金转增股本情况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231"/>
        <w:gridCol w:w="5328"/>
      </w:tblGrid>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0.19</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838,336,028</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15,928,384.53</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15,928,384.53</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160,257,035.39</w:t>
            </w:r>
          </w:p>
        </w:tc>
      </w:tr>
      <w:tr>
        <w:trPr>
          <w:trHeight w:val="408"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现金分红总额（含其他方式）占利润分配总额的比例</w:t>
            </w:r>
          </w:p>
        </w:tc>
        <w:tc>
          <w:tcPr>
            <w:tcW w:w="5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r>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bl>
    <w:p>
      <w:pPr>
        <w:spacing w:before="49"/>
        <w:ind w:left="152" w:right="0" w:firstLine="0"/>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经大华会计师事务所（特殊普通合伙）审计，</w:t>
      </w:r>
      <w:r>
        <w:rPr>
          <w:rFonts w:ascii="Times New Roman" w:hAnsi="Times New Roman" w:cs="Times New Roman" w:eastAsia="Times New Roman" w:hint="default"/>
          <w:spacing w:val="-9"/>
          <w:sz w:val="18"/>
          <w:szCs w:val="18"/>
        </w:rPr>
        <w:t>2019 </w:t>
      </w:r>
      <w:r>
        <w:rPr>
          <w:rFonts w:ascii="宋体" w:hAnsi="宋体" w:cs="宋体" w:eastAsia="宋体" w:hint="default"/>
          <w:sz w:val="18"/>
          <w:szCs w:val="18"/>
        </w:rPr>
        <w:t>年度母公司实现净利润 </w:t>
      </w:r>
      <w:r>
        <w:rPr>
          <w:rFonts w:ascii="Times New Roman" w:hAnsi="Times New Roman" w:cs="Times New Roman" w:eastAsia="Times New Roman" w:hint="default"/>
          <w:sz w:val="18"/>
          <w:szCs w:val="18"/>
        </w:rPr>
        <w:t>17,122,382.06 </w:t>
      </w:r>
      <w:r>
        <w:rPr>
          <w:rFonts w:ascii="宋体" w:hAnsi="宋体" w:cs="宋体" w:eastAsia="宋体" w:hint="default"/>
          <w:spacing w:val="-7"/>
          <w:sz w:val="18"/>
          <w:szCs w:val="18"/>
        </w:rPr>
        <w:t>元，提取的法定盈余公积</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1,712,238.21</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元后，加上上年度未分配利润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144,846,891.54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元，本年度可供分配的利润为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160,257,035.39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p>
      <w:pPr>
        <w:spacing w:before="103"/>
        <w:ind w:left="152" w:right="1133" w:firstLine="0"/>
        <w:jc w:val="left"/>
        <w:rPr>
          <w:rFonts w:ascii="宋体" w:hAnsi="宋体" w:cs="宋体" w:eastAsia="宋体" w:hint="default"/>
          <w:sz w:val="18"/>
          <w:szCs w:val="18"/>
        </w:rPr>
      </w:pPr>
      <w:r>
        <w:rPr>
          <w:rFonts w:ascii="宋体" w:hAnsi="宋体" w:cs="宋体" w:eastAsia="宋体" w:hint="default"/>
          <w:sz w:val="18"/>
          <w:szCs w:val="18"/>
        </w:rPr>
        <w:t>根据公司实际情况，现就</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年度的利润分配提出如下方案：</w:t>
      </w:r>
    </w:p>
    <w:p>
      <w:pPr>
        <w:spacing w:line="240" w:lineRule="auto" w:before="6"/>
        <w:rPr>
          <w:rFonts w:ascii="宋体" w:hAnsi="宋体" w:cs="宋体" w:eastAsia="宋体" w:hint="default"/>
          <w:sz w:val="7"/>
          <w:szCs w:val="7"/>
        </w:rPr>
      </w:pPr>
    </w:p>
    <w:p>
      <w:pPr>
        <w:spacing w:line="715" w:lineRule="exact"/>
        <w:ind w:left="152" w:right="0" w:firstLine="0"/>
        <w:rPr>
          <w:rFonts w:ascii="宋体" w:hAnsi="宋体" w:cs="宋体" w:eastAsia="宋体" w:hint="default"/>
          <w:sz w:val="20"/>
          <w:szCs w:val="20"/>
        </w:rPr>
      </w:pPr>
      <w:r>
        <w:rPr>
          <w:rFonts w:ascii="宋体" w:hAnsi="宋体" w:cs="宋体" w:eastAsia="宋体" w:hint="default"/>
          <w:position w:val="-13"/>
          <w:sz w:val="20"/>
          <w:szCs w:val="20"/>
        </w:rPr>
        <w:pict>
          <v:shape style="width:478.55pt;height:35.8pt;mso-position-horizontal-relative:char;mso-position-vertical-relative:line" type="#_x0000_t202" filled="false" stroked="true" strokeweight=".47998pt" strokecolor="#000000">
            <w10:anchorlock/>
            <v:textbox inset="0,0,0,0">
              <w:txbxContent>
                <w:p>
                  <w:pPr>
                    <w:spacing w:before="51"/>
                    <w:ind w:left="24" w:right="0" w:firstLine="0"/>
                    <w:jc w:val="left"/>
                    <w:rPr>
                      <w:rFonts w:ascii="宋体" w:hAnsi="宋体" w:cs="宋体" w:eastAsia="宋体" w:hint="default"/>
                      <w:sz w:val="18"/>
                      <w:szCs w:val="18"/>
                    </w:rPr>
                  </w:pPr>
                  <w:r>
                    <w:rPr>
                      <w:rFonts w:ascii="宋体" w:hAnsi="宋体" w:cs="宋体" w:eastAsia="宋体" w:hint="default"/>
                      <w:sz w:val="18"/>
                      <w:szCs w:val="18"/>
                    </w:rPr>
                    <w:t>以董事会召开日总股本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股派发现金红利</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3"/>
                      <w:sz w:val="18"/>
                      <w:szCs w:val="18"/>
                    </w:rPr>
                    <w:t>含</w:t>
                  </w:r>
                  <w:r>
                    <w:rPr>
                      <w:rFonts w:ascii="宋体" w:hAnsi="宋体" w:cs="宋体" w:eastAsia="宋体" w:hint="default"/>
                      <w:sz w:val="18"/>
                      <w:szCs w:val="18"/>
                    </w:rPr>
                    <w:t>税</w:t>
                  </w:r>
                  <w:r>
                    <w:rPr>
                      <w:rFonts w:ascii="宋体" w:hAnsi="宋体" w:cs="宋体" w:eastAsia="宋体" w:hint="default"/>
                      <w:spacing w:val="-92"/>
                      <w:sz w:val="18"/>
                      <w:szCs w:val="18"/>
                    </w:rPr>
                    <w:t>）</w:t>
                  </w:r>
                  <w:r>
                    <w:rPr>
                      <w:rFonts w:ascii="宋体" w:hAnsi="宋体" w:cs="宋体" w:eastAsia="宋体" w:hint="default"/>
                      <w:sz w:val="18"/>
                      <w:szCs w:val="18"/>
                    </w:rPr>
                    <w:t>，共计派发现金红利</w:t>
                  </w:r>
                </w:p>
                <w:p>
                  <w:pPr>
                    <w:spacing w:before="60"/>
                    <w:ind w:left="2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15,928,384.53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xbxContent>
            </v:textbox>
          </v:shape>
        </w:pict>
      </w:r>
      <w:r>
        <w:rPr>
          <w:rFonts w:ascii="宋体" w:hAnsi="宋体" w:cs="宋体" w:eastAsia="宋体" w:hint="default"/>
          <w:position w:val="-13"/>
          <w:sz w:val="20"/>
          <w:szCs w:val="20"/>
        </w:rPr>
      </w:r>
    </w:p>
    <w:p>
      <w:pPr>
        <w:spacing w:line="240" w:lineRule="auto" w:before="6"/>
        <w:rPr>
          <w:rFonts w:ascii="宋体" w:hAnsi="宋体" w:cs="宋体" w:eastAsia="宋体" w:hint="default"/>
          <w:sz w:val="18"/>
          <w:szCs w:val="18"/>
        </w:rPr>
      </w:pPr>
    </w:p>
    <w:p>
      <w:pPr>
        <w:pStyle w:val="Heading2"/>
        <w:spacing w:line="240" w:lineRule="auto" w:before="26"/>
        <w:ind w:right="1133"/>
        <w:jc w:val="left"/>
        <w:rPr>
          <w:b w:val="0"/>
          <w:bCs w:val="0"/>
        </w:rPr>
      </w:pPr>
      <w:bookmarkStart w:name="三、承诺事项履行情况" w:id="66"/>
      <w:bookmarkEnd w:id="66"/>
      <w:r>
        <w:rPr>
          <w:b w:val="0"/>
          <w:bCs w:val="0"/>
        </w:rPr>
      </w:r>
      <w:r>
        <w:rPr/>
        <w:t>三、承诺事项履行情况</w:t>
      </w:r>
      <w:r>
        <w:rPr>
          <w:b w:val="0"/>
          <w:bCs w:val="0"/>
        </w:rPr>
      </w:r>
    </w:p>
    <w:p>
      <w:pPr>
        <w:spacing w:line="240" w:lineRule="auto" w:before="12"/>
        <w:rPr>
          <w:rFonts w:ascii="宋体" w:hAnsi="宋体" w:cs="宋体" w:eastAsia="宋体" w:hint="default"/>
          <w:b/>
          <w:bCs/>
          <w:sz w:val="24"/>
          <w:szCs w:val="24"/>
        </w:rPr>
      </w:pPr>
    </w:p>
    <w:p>
      <w:pPr>
        <w:pStyle w:val="Heading4"/>
        <w:spacing w:line="256" w:lineRule="auto"/>
        <w:ind w:right="1133"/>
        <w:jc w:val="left"/>
        <w:rPr>
          <w:b w:val="0"/>
          <w:bCs w:val="0"/>
        </w:rPr>
      </w:pPr>
      <w:bookmarkStart w:name="1、公司实际控制人、股东、关联方、收购人以及公司等承诺相关方在报告期内履行完毕及" w:id="67"/>
      <w:bookmarkEnd w:id="67"/>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2"/>
        </w:rPr>
        <w:t> </w:t>
      </w:r>
      <w:r>
        <w:rPr>
          <w:spacing w:val="-62"/>
        </w:rPr>
      </w:r>
      <w:r>
        <w:rPr/>
        <w:t>尚未履行完毕的承诺事项</w:t>
      </w:r>
      <w:r>
        <w:rPr>
          <w:b w:val="0"/>
          <w:bCs w:val="0"/>
        </w:rPr>
      </w:r>
    </w:p>
    <w:p>
      <w:pPr>
        <w:spacing w:line="240" w:lineRule="auto" w:before="5"/>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93"/>
        <w:gridCol w:w="1274"/>
        <w:gridCol w:w="853"/>
        <w:gridCol w:w="3968"/>
        <w:gridCol w:w="853"/>
        <w:gridCol w:w="850"/>
        <w:gridCol w:w="778"/>
      </w:tblGrid>
      <w:tr>
        <w:trPr>
          <w:trHeight w:val="403"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390" w:hRule="exact"/>
        </w:trPr>
        <w:tc>
          <w:tcPr>
            <w:tcW w:w="9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vMerge w:val="restart"/>
            <w:tcBorders>
              <w:top w:val="single" w:sz="4" w:space="0" w:color="000000"/>
              <w:left w:val="single" w:sz="9" w:space="0" w:color="D2D2D2"/>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18" w:right="-26"/>
              <w:jc w:val="left"/>
              <w:rPr>
                <w:rFonts w:ascii="宋体" w:hAnsi="宋体" w:cs="宋体" w:eastAsia="宋体" w:hint="default"/>
                <w:sz w:val="18"/>
                <w:szCs w:val="18"/>
              </w:rPr>
            </w:pPr>
            <w:r>
              <w:rPr>
                <w:rFonts w:ascii="宋体" w:hAnsi="宋体" w:cs="宋体" w:eastAsia="宋体" w:hint="default"/>
                <w:sz w:val="18"/>
                <w:szCs w:val="18"/>
              </w:rPr>
              <w:t>中国电子科技 集团有限公司、 中国电子科技 网络信息安全 </w:t>
            </w:r>
            <w:r>
              <w:rPr>
                <w:rFonts w:ascii="宋体" w:hAnsi="宋体" w:cs="宋体" w:eastAsia="宋体" w:hint="default"/>
                <w:spacing w:val="-6"/>
                <w:sz w:val="18"/>
                <w:szCs w:val="18"/>
              </w:rPr>
              <w:t>有限公司、四川</w:t>
            </w:r>
            <w:r>
              <w:rPr>
                <w:rFonts w:ascii="宋体" w:hAnsi="宋体" w:cs="宋体" w:eastAsia="宋体" w:hint="default"/>
                <w:sz w:val="18"/>
                <w:szCs w:val="18"/>
              </w:rPr>
              <w:t> 发展投资有限 公司（蜀祥创 投）</w:t>
            </w:r>
          </w:p>
        </w:tc>
        <w:tc>
          <w:tcPr>
            <w:tcW w:w="853"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16" w:lineRule="auto"/>
              <w:ind w:left="17" w:right="98"/>
              <w:jc w:val="both"/>
              <w:rPr>
                <w:rFonts w:ascii="宋体" w:hAnsi="宋体" w:cs="宋体" w:eastAsia="宋体" w:hint="default"/>
                <w:sz w:val="18"/>
                <w:szCs w:val="18"/>
              </w:rPr>
            </w:pPr>
            <w:r>
              <w:rPr>
                <w:rFonts w:ascii="宋体" w:hAnsi="宋体" w:cs="宋体" w:eastAsia="宋体" w:hint="default"/>
                <w:sz w:val="18"/>
                <w:szCs w:val="18"/>
              </w:rPr>
              <w:t>关于避免 同业竞争 和规范关 联交易的 承诺</w:t>
            </w:r>
          </w:p>
        </w:tc>
        <w:tc>
          <w:tcPr>
            <w:tcW w:w="3968"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蜀祥创投承 </w:t>
            </w:r>
            <w:r>
              <w:rPr>
                <w:rFonts w:ascii="宋体" w:hAnsi="宋体" w:cs="宋体" w:eastAsia="宋体" w:hint="default"/>
                <w:spacing w:val="-3"/>
                <w:sz w:val="18"/>
                <w:szCs w:val="18"/>
              </w:rPr>
              <w:t>诺：本公司保证本次卫士通重大资产重组后，除持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有卫士通的股份外，本公司不直接或间接地从事任</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何与卫士通及其下属子公司营业执照上所列明经 </w:t>
            </w:r>
            <w:r>
              <w:rPr>
                <w:rFonts w:ascii="宋体" w:hAnsi="宋体" w:cs="宋体" w:eastAsia="宋体" w:hint="default"/>
                <w:spacing w:val="-3"/>
                <w:sz w:val="18"/>
                <w:szCs w:val="18"/>
              </w:rPr>
              <w:t>营范围内的业务存在竞争的业务活动。本公司作为</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卫士通股东的事实改变之前，除持有卫士通的股份</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外，本公司将不会直接或间接地以任何方式</w:t>
            </w:r>
            <w:r>
              <w:rPr>
                <w:rFonts w:ascii="Times New Roman" w:hAnsi="Times New Roman" w:cs="Times New Roman" w:eastAsia="Times New Roman" w:hint="default"/>
                <w:sz w:val="18"/>
                <w:szCs w:val="18"/>
              </w:rPr>
              <w:t>(</w:t>
            </w:r>
            <w:r>
              <w:rPr>
                <w:rFonts w:ascii="宋体" w:hAnsi="宋体" w:cs="宋体" w:eastAsia="宋体" w:hint="default"/>
                <w:sz w:val="18"/>
                <w:szCs w:val="18"/>
              </w:rPr>
              <w:t>包括 </w:t>
            </w:r>
            <w:r>
              <w:rPr>
                <w:rFonts w:ascii="宋体" w:hAnsi="宋体" w:cs="宋体" w:eastAsia="宋体" w:hint="default"/>
                <w:spacing w:val="-3"/>
                <w:sz w:val="18"/>
                <w:szCs w:val="18"/>
              </w:rPr>
              <w:t>但不限于独自经营，合资经营或拥有其他公司或企</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业的股票或权益〉从事与卫士通及其下属子公司的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业务有竞争或可能构成竞争的业务或活动。</w:t>
            </w:r>
            <w:r>
              <w:rPr>
                <w:rFonts w:ascii="宋体" w:hAnsi="宋体" w:cs="宋体" w:eastAsia="宋体" w:hint="default"/>
                <w:spacing w:val="1"/>
                <w:sz w:val="18"/>
                <w:szCs w:val="18"/>
              </w:rPr>
              <w:t> </w:t>
            </w:r>
            <w:r>
              <w:rPr>
                <w:rFonts w:ascii="宋体" w:hAnsi="宋体" w:cs="宋体" w:eastAsia="宋体" w:hint="default"/>
                <w:sz w:val="18"/>
                <w:szCs w:val="18"/>
              </w:rPr>
              <w:t>中国</w:t>
            </w:r>
            <w:r>
              <w:rPr>
                <w:rFonts w:ascii="宋体" w:hAnsi="宋体" w:cs="宋体" w:eastAsia="宋体" w:hint="default"/>
                <w:sz w:val="18"/>
                <w:szCs w:val="18"/>
              </w:rPr>
              <w:t> </w:t>
            </w:r>
            <w:r>
              <w:rPr>
                <w:rFonts w:ascii="宋体" w:hAnsi="宋体" w:cs="宋体" w:eastAsia="宋体" w:hint="default"/>
                <w:spacing w:val="-3"/>
                <w:sz w:val="18"/>
                <w:szCs w:val="18"/>
              </w:rPr>
              <w:t>网安：本公司保证尽量避免和减少目前和将来与卫</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截止本报 告出具 日，承诺 人严格履 行了上述 承诺。</w:t>
            </w:r>
          </w:p>
        </w:tc>
      </w:tr>
      <w:tr>
        <w:trPr>
          <w:trHeight w:val="703" w:hRule="exact"/>
        </w:trPr>
        <w:tc>
          <w:tcPr>
            <w:tcW w:w="9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2" w:right="58"/>
              <w:jc w:val="left"/>
              <w:rPr>
                <w:rFonts w:ascii="宋体" w:hAnsi="宋体" w:cs="宋体" w:eastAsia="宋体" w:hint="default"/>
                <w:sz w:val="18"/>
                <w:szCs w:val="18"/>
              </w:rPr>
            </w:pPr>
            <w:r>
              <w:rPr>
                <w:rFonts w:ascii="宋体" w:hAnsi="宋体" w:cs="宋体" w:eastAsia="宋体" w:hint="default"/>
                <w:sz w:val="18"/>
                <w:szCs w:val="18"/>
              </w:rPr>
              <w:t>资产重组时 所作承诺</w:t>
            </w:r>
          </w:p>
        </w:tc>
        <w:tc>
          <w:tcPr>
            <w:tcW w:w="1274" w:type="dxa"/>
            <w:vMerge/>
            <w:tcBorders>
              <w:left w:val="single" w:sz="9" w:space="0" w:color="D2D2D2"/>
              <w:right w:val="single" w:sz="9" w:space="0" w:color="FFFFFF"/>
            </w:tcBorders>
          </w:tcPr>
          <w:p>
            <w:pPr/>
          </w:p>
        </w:tc>
        <w:tc>
          <w:tcPr>
            <w:tcW w:w="853" w:type="dxa"/>
            <w:vMerge/>
            <w:tcBorders>
              <w:left w:val="single" w:sz="9" w:space="0" w:color="FFFFFF"/>
              <w:right w:val="single" w:sz="4" w:space="0" w:color="000000"/>
            </w:tcBorders>
          </w:tcPr>
          <w:p>
            <w:pPr/>
          </w:p>
        </w:tc>
        <w:tc>
          <w:tcPr>
            <w:tcW w:w="3968"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1390" w:hRule="exact"/>
        </w:trPr>
        <w:tc>
          <w:tcPr>
            <w:tcW w:w="9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9" w:space="0" w:color="D2D2D2"/>
              <w:bottom w:val="single" w:sz="4" w:space="0" w:color="000000"/>
              <w:right w:val="single" w:sz="9" w:space="0" w:color="FFFFFF"/>
            </w:tcBorders>
          </w:tcPr>
          <w:p>
            <w:pPr/>
          </w:p>
        </w:tc>
        <w:tc>
          <w:tcPr>
            <w:tcW w:w="853" w:type="dxa"/>
            <w:vMerge/>
            <w:tcBorders>
              <w:left w:val="single" w:sz="9" w:space="0" w:color="FFFFFF"/>
              <w:bottom w:val="single" w:sz="4" w:space="0" w:color="000000"/>
              <w:right w:val="single" w:sz="4" w:space="0" w:color="000000"/>
            </w:tcBorders>
          </w:tcPr>
          <w:p>
            <w:pPr/>
          </w:p>
        </w:tc>
        <w:tc>
          <w:tcPr>
            <w:tcW w:w="3968"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1274"/>
        <w:gridCol w:w="853"/>
        <w:gridCol w:w="3968"/>
        <w:gridCol w:w="853"/>
        <w:gridCol w:w="850"/>
        <w:gridCol w:w="778"/>
      </w:tblGrid>
      <w:tr>
        <w:trPr>
          <w:trHeight w:val="315"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
        </w:tc>
        <w:tc>
          <w:tcPr>
            <w:tcW w:w="39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pacing w:val="-3"/>
                <w:sz w:val="18"/>
                <w:szCs w:val="18"/>
              </w:rPr>
              <w:t>士通之间发生不必要的关联交易。对于无法避免或</w:t>
            </w:r>
          </w:p>
        </w:tc>
        <w:tc>
          <w:tcPr>
            <w:tcW w:w="853"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者有合理原因而发生的关联交易，将与卫士通签订</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书面协议，遵循公正、公开、公平的原则，关联交</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易的定价原则上应遵循市场化原则，不偏离独立第</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三方的标准，对于难以比较市场价格或定价受到限</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制的关联交易，应通过合同明确有关成本和利润的</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标准，并按照有关法律法规、规范性文件以及卫士</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通《公司章程》的规定，履行卫士通股东大会或董</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事会批准决策程序和信息披露义务，保证不通过关</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联交易损害卫士通及其他股东的合法权益。中国电</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子科技网络信息安全有限公司有关规范关联交易</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的承诺，将同样适用于中国电子科技网络信息安全</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有限公司控制的下属单位。中国电子科技网络信息</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安全有限公司将在合法权限范围内促成中国电子</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科技网络信息安全有限公司控制的下属单位履行</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规范与卫士通之间已经存在或可能发生的关联交</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易的义务。中国电子科技网络信息安全有限公司在</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本次交易完成后，将维护卫士通的独立性，保证卫</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27"/>
              <w:jc w:val="left"/>
              <w:rPr>
                <w:rFonts w:ascii="宋体" w:hAnsi="宋体" w:cs="宋体" w:eastAsia="宋体" w:hint="default"/>
                <w:sz w:val="18"/>
                <w:szCs w:val="18"/>
              </w:rPr>
            </w:pPr>
            <w:r>
              <w:rPr>
                <w:rFonts w:ascii="宋体" w:hAnsi="宋体" w:cs="宋体" w:eastAsia="宋体" w:hint="default"/>
                <w:sz w:val="18"/>
                <w:szCs w:val="18"/>
              </w:rPr>
              <w:t>士通人员独立、资产独立、财务独立、机构独立、</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业务独立。中国电科承诺：本集团是中中国电子科</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技网络信息安全有限公司、成都卫士通信息产业股</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份有限公司、成都三零盛安信息系统有限公司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下简称</w:t>
            </w:r>
            <w:r>
              <w:rPr>
                <w:rFonts w:ascii="Times New Roman" w:hAnsi="Times New Roman" w:cs="Times New Roman" w:eastAsia="Times New Roman" w:hint="default"/>
                <w:spacing w:val="-2"/>
                <w:w w:val="99"/>
                <w:sz w:val="18"/>
                <w:szCs w:val="18"/>
              </w:rPr>
              <w:t>"</w:t>
            </w:r>
            <w:r>
              <w:rPr>
                <w:rFonts w:ascii="宋体" w:hAnsi="宋体" w:cs="宋体" w:eastAsia="宋体" w:hint="default"/>
                <w:sz w:val="18"/>
                <w:szCs w:val="18"/>
              </w:rPr>
              <w:t>三零盛安</w:t>
            </w:r>
            <w:r>
              <w:rPr>
                <w:rFonts w:ascii="Times New Roman" w:hAnsi="Times New Roman" w:cs="Times New Roman" w:eastAsia="Times New Roman" w:hint="default"/>
                <w:spacing w:val="-2"/>
                <w:w w:val="99"/>
                <w:sz w:val="18"/>
                <w:szCs w:val="18"/>
              </w:rPr>
              <w:t>"</w:t>
            </w:r>
            <w:r>
              <w:rPr>
                <w:rFonts w:ascii="Times New Roman" w:hAnsi="Times New Roman" w:cs="Times New Roman" w:eastAsia="Times New Roman" w:hint="default"/>
                <w:w w:val="99"/>
                <w:sz w:val="18"/>
                <w:szCs w:val="18"/>
              </w:rPr>
              <w:t>)</w:t>
            </w:r>
            <w:r>
              <w:rPr>
                <w:rFonts w:ascii="宋体" w:hAnsi="宋体" w:cs="宋体" w:eastAsia="宋体" w:hint="default"/>
                <w:spacing w:val="-75"/>
                <w:sz w:val="18"/>
                <w:szCs w:val="18"/>
              </w:rPr>
              <w:t>、</w:t>
            </w:r>
            <w:r>
              <w:rPr>
                <w:rFonts w:ascii="宋体" w:hAnsi="宋体" w:cs="宋体" w:eastAsia="宋体" w:hint="default"/>
                <w:sz w:val="18"/>
                <w:szCs w:val="18"/>
              </w:rPr>
              <w:t>成都三</w:t>
            </w:r>
            <w:r>
              <w:rPr>
                <w:rFonts w:ascii="宋体" w:hAnsi="宋体" w:cs="宋体" w:eastAsia="宋体" w:hint="default"/>
                <w:spacing w:val="2"/>
                <w:sz w:val="18"/>
                <w:szCs w:val="18"/>
              </w:rPr>
              <w:t>零</w:t>
            </w:r>
            <w:r>
              <w:rPr>
                <w:rFonts w:ascii="宋体" w:hAnsi="宋体" w:cs="宋体" w:eastAsia="宋体" w:hint="default"/>
                <w:sz w:val="18"/>
                <w:szCs w:val="18"/>
              </w:rPr>
              <w:t>瑞通移动通信有限公</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三零瑞通</w:t>
            </w:r>
            <w:r>
              <w:rPr>
                <w:rFonts w:ascii="Times New Roman" w:hAnsi="Times New Roman" w:cs="Times New Roman" w:eastAsia="Times New Roman" w:hint="default"/>
                <w:sz w:val="18"/>
                <w:szCs w:val="18"/>
              </w:rPr>
              <w:t>")</w:t>
            </w:r>
            <w:r>
              <w:rPr>
                <w:rFonts w:ascii="宋体" w:hAnsi="宋体" w:cs="宋体" w:eastAsia="宋体" w:hint="default"/>
                <w:sz w:val="18"/>
                <w:szCs w:val="18"/>
              </w:rPr>
              <w:t>及成都三零嘉微电子有限</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三零嘉微</w:t>
            </w:r>
            <w:r>
              <w:rPr>
                <w:rFonts w:ascii="Times New Roman" w:hAnsi="Times New Roman" w:cs="Times New Roman" w:eastAsia="Times New Roman" w:hint="default"/>
                <w:sz w:val="18"/>
                <w:szCs w:val="18"/>
              </w:rPr>
              <w:t>")</w:t>
            </w:r>
            <w:r>
              <w:rPr>
                <w:rFonts w:ascii="宋体" w:hAnsi="宋体" w:cs="宋体" w:eastAsia="宋体" w:hint="default"/>
                <w:sz w:val="18"/>
                <w:szCs w:val="18"/>
              </w:rPr>
              <w:t>的实际控制人，本集团</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直接或间接持有的上述五家法人单位的产权权属</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27"/>
              <w:jc w:val="left"/>
              <w:rPr>
                <w:rFonts w:ascii="宋体" w:hAnsi="宋体" w:cs="宋体" w:eastAsia="宋体" w:hint="default"/>
                <w:sz w:val="18"/>
                <w:szCs w:val="18"/>
              </w:rPr>
            </w:pPr>
            <w:r>
              <w:rPr>
                <w:rFonts w:ascii="宋体" w:hAnsi="宋体" w:cs="宋体" w:eastAsia="宋体" w:hint="default"/>
                <w:sz w:val="18"/>
                <w:szCs w:val="18"/>
              </w:rPr>
              <w:t>合法清晰。为维护卫士通及其他股东的合法权益，</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本集团出具此承诺。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、本着保护卫士通全体股东</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利益的原则，将公允地对待各被投资企业</w:t>
            </w:r>
            <w:r>
              <w:rPr>
                <w:rFonts w:ascii="Times New Roman" w:hAnsi="Times New Roman" w:cs="Times New Roman" w:eastAsia="Times New Roman" w:hint="default"/>
                <w:sz w:val="18"/>
                <w:szCs w:val="18"/>
              </w:rPr>
              <w:t>/</w:t>
            </w:r>
            <w:r>
              <w:rPr>
                <w:rFonts w:ascii="宋体" w:hAnsi="宋体" w:cs="宋体" w:eastAsia="宋体" w:hint="default"/>
                <w:sz w:val="18"/>
                <w:szCs w:val="18"/>
              </w:rPr>
              <w:t>单位，</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不会利用国有资产管理者地位，做出不利于卫士通</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而有利于其它企业</w:t>
            </w:r>
            <w:r>
              <w:rPr>
                <w:rFonts w:ascii="Times New Roman" w:hAnsi="Times New Roman" w:cs="Times New Roman" w:eastAsia="Times New Roman" w:hint="default"/>
                <w:sz w:val="18"/>
                <w:szCs w:val="18"/>
              </w:rPr>
              <w:t>/</w:t>
            </w:r>
            <w:r>
              <w:rPr>
                <w:rFonts w:ascii="宋体" w:hAnsi="宋体" w:cs="宋体" w:eastAsia="宋体" w:hint="default"/>
                <w:sz w:val="18"/>
                <w:szCs w:val="18"/>
              </w:rPr>
              <w:t>单位的业务安排或决定</w:t>
            </w:r>
            <w:r>
              <w:rPr>
                <w:rFonts w:ascii="Times New Roman" w:hAnsi="Times New Roman" w:cs="Times New Roman" w:eastAsia="Times New Roman" w:hint="default"/>
                <w:sz w:val="18"/>
                <w:szCs w:val="18"/>
              </w:rPr>
              <w:t>;</w:t>
            </w:r>
            <w:r>
              <w:rPr>
                <w:rFonts w:ascii="宋体" w:hAnsi="宋体" w:cs="宋体" w:eastAsia="宋体" w:hint="default"/>
                <w:sz w:val="18"/>
                <w:szCs w:val="18"/>
              </w:rPr>
              <w:t>如因直</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接干预有关下属单位的具体生产经营活动而导致</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同业竞争，并致使卫士通受到损失的，将承担相关</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责任。</w:t>
            </w:r>
            <w:r>
              <w:rPr>
                <w:rFonts w:ascii="Times New Roman" w:hAnsi="Times New Roman" w:cs="Times New Roman" w:eastAsia="Times New Roman" w:hint="default"/>
                <w:sz w:val="18"/>
                <w:szCs w:val="18"/>
              </w:rPr>
              <w:t>2</w:t>
            </w:r>
            <w:r>
              <w:rPr>
                <w:rFonts w:ascii="宋体" w:hAnsi="宋体" w:cs="宋体" w:eastAsia="宋体" w:hint="default"/>
                <w:sz w:val="18"/>
                <w:szCs w:val="18"/>
              </w:rPr>
              <w:t>、尽量避免和减少目前和将来与卫士通之</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间发生不必要的关联交易。对于无法避免或者有合</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理原因而发生的关联交易，将与卫士通签订书面协</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议，遵循公正、公开、公平的原则，关联交易的定</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价原则上应遵循市场化原则，不偏离独立第三方的</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标准，对于难以比较市场价格或定价受到限制的关</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27"/>
              <w:jc w:val="left"/>
              <w:rPr>
                <w:rFonts w:ascii="宋体" w:hAnsi="宋体" w:cs="宋体" w:eastAsia="宋体" w:hint="default"/>
                <w:sz w:val="18"/>
                <w:szCs w:val="18"/>
              </w:rPr>
            </w:pPr>
            <w:r>
              <w:rPr>
                <w:rFonts w:ascii="宋体" w:hAnsi="宋体" w:cs="宋体" w:eastAsia="宋体" w:hint="default"/>
                <w:sz w:val="18"/>
                <w:szCs w:val="18"/>
              </w:rPr>
              <w:t>联交易，应通过合同明确有关成本和利润的标准，</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并按照有关法律法规、规范性文件以及卫士通《公</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司章程》的规定，履行卫士通股东大会或董事会批</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准决策程序和信息披露义务，保证不通过关联交易</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9"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39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损害卫士通及其他股东的合法权益。本集团有关规</w:t>
            </w:r>
          </w:p>
        </w:tc>
        <w:tc>
          <w:tcPr>
            <w:tcW w:w="85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87.272003pt;margin-top:525.320007pt;width:66.2pt;height:100.5pt;mso-position-horizontal-relative:page;mso-position-vertical-relative:page;z-index:-10767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57"/>
                    <w:ind w:left="0" w:right="0" w:firstLine="0"/>
                    <w:jc w:val="left"/>
                    <w:rPr>
                      <w:rFonts w:ascii="宋体" w:hAnsi="宋体" w:cs="宋体" w:eastAsia="宋体" w:hint="default"/>
                      <w:sz w:val="18"/>
                      <w:szCs w:val="18"/>
                    </w:rPr>
                  </w:pPr>
                  <w:r>
                    <w:rPr>
                      <w:rFonts w:ascii="宋体" w:hAnsi="宋体" w:cs="宋体" w:eastAsia="宋体" w:hint="default"/>
                      <w:sz w:val="18"/>
                      <w:szCs w:val="18"/>
                    </w:rPr>
                    <w:t>完整、</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1274"/>
        <w:gridCol w:w="853"/>
        <w:gridCol w:w="3968"/>
        <w:gridCol w:w="853"/>
        <w:gridCol w:w="850"/>
        <w:gridCol w:w="778"/>
      </w:tblGrid>
      <w:tr>
        <w:trPr>
          <w:trHeight w:val="2859"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7"/>
              <w:jc w:val="left"/>
              <w:rPr>
                <w:rFonts w:ascii="宋体" w:hAnsi="宋体" w:cs="宋体" w:eastAsia="宋体" w:hint="default"/>
                <w:sz w:val="18"/>
                <w:szCs w:val="18"/>
              </w:rPr>
            </w:pPr>
            <w:r>
              <w:rPr>
                <w:rFonts w:ascii="宋体" w:hAnsi="宋体" w:cs="宋体" w:eastAsia="宋体" w:hint="default"/>
                <w:spacing w:val="-3"/>
                <w:sz w:val="18"/>
                <w:szCs w:val="18"/>
              </w:rPr>
              <w:t>范关联交易的承诺，将同样适用于本集团控制的下</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属单位。本集团将在合法权限范围内促成本集团控</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制的下属单位履行规范与卫士通之间已经存在或 </w:t>
            </w:r>
            <w:r>
              <w:rPr>
                <w:rFonts w:ascii="宋体" w:hAnsi="宋体" w:cs="宋体" w:eastAsia="宋体" w:hint="default"/>
                <w:spacing w:val="-3"/>
                <w:sz w:val="18"/>
                <w:szCs w:val="18"/>
              </w:rPr>
              <w:t>可能发生的关联交易的义务。本集团在本次交易完</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成后，将维护卫士通的独立性，保证卫士通人员独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立、资产独立、财务独立、机构独立、业务独立。 </w:t>
            </w:r>
            <w:r>
              <w:rPr>
                <w:rFonts w:ascii="Times New Roman" w:hAnsi="Times New Roman" w:cs="Times New Roman" w:eastAsia="Times New Roman" w:hint="default"/>
                <w:sz w:val="18"/>
                <w:szCs w:val="18"/>
              </w:rPr>
              <w:t>3</w:t>
            </w:r>
            <w:r>
              <w:rPr>
                <w:rFonts w:ascii="宋体" w:hAnsi="宋体" w:cs="宋体" w:eastAsia="宋体" w:hint="default"/>
                <w:sz w:val="18"/>
                <w:szCs w:val="18"/>
              </w:rPr>
              <w:t>、自本说明出具之日起，赔偿卫士通因本集团违 反本说明任何条款而遭受或产生的任何损失或开 支。</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6" w:lineRule="auto"/>
              <w:ind w:left="22" w:right="58"/>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23" w:right="158"/>
              <w:jc w:val="left"/>
              <w:rPr>
                <w:rFonts w:ascii="宋体" w:hAnsi="宋体" w:cs="宋体" w:eastAsia="宋体" w:hint="default"/>
                <w:sz w:val="18"/>
                <w:szCs w:val="18"/>
              </w:rPr>
            </w:pPr>
            <w:r>
              <w:rPr>
                <w:rFonts w:ascii="宋体" w:hAnsi="宋体" w:cs="宋体" w:eastAsia="宋体" w:hint="default"/>
                <w:sz w:val="18"/>
                <w:szCs w:val="18"/>
              </w:rPr>
              <w:t>中国电子科技 集团有限公司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3" w:right="98"/>
              <w:jc w:val="both"/>
              <w:rPr>
                <w:rFonts w:ascii="宋体" w:hAnsi="宋体" w:cs="宋体" w:eastAsia="宋体" w:hint="default"/>
                <w:sz w:val="18"/>
                <w:szCs w:val="18"/>
              </w:rPr>
            </w:pPr>
            <w:r>
              <w:rPr>
                <w:rFonts w:ascii="宋体" w:hAnsi="宋体" w:cs="宋体" w:eastAsia="宋体" w:hint="default"/>
                <w:sz w:val="18"/>
                <w:szCs w:val="18"/>
              </w:rPr>
              <w:t>避免同行 业竞争的 承诺</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pacing w:val="-3"/>
                <w:sz w:val="18"/>
                <w:szCs w:val="18"/>
              </w:rPr>
              <w:t>中国电科承诺将公允地对待各被投资企业，不会利</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用管理地位获得的信息，作出任何不利于卫士通而</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有利于其他企业的决定或判断；若因中国电子科技</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集团有限公司直接干预有关企业的具体生产经营 </w:t>
            </w:r>
            <w:r>
              <w:rPr>
                <w:rFonts w:ascii="宋体" w:hAnsi="宋体" w:cs="宋体" w:eastAsia="宋体" w:hint="default"/>
                <w:spacing w:val="-3"/>
                <w:sz w:val="18"/>
                <w:szCs w:val="18"/>
              </w:rPr>
              <w:t>活动而导致同业竞争，并使卫士通受到损失的，将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承担相关责任。</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3" w:right="95"/>
              <w:jc w:val="both"/>
              <w:rPr>
                <w:rFonts w:ascii="宋体" w:hAnsi="宋体" w:cs="宋体" w:eastAsia="宋体" w:hint="default"/>
                <w:sz w:val="18"/>
                <w:szCs w:val="18"/>
              </w:rPr>
            </w:pPr>
            <w:r>
              <w:rPr>
                <w:rFonts w:ascii="宋体" w:hAnsi="宋体" w:cs="宋体" w:eastAsia="宋体" w:hint="default"/>
                <w:sz w:val="18"/>
                <w:szCs w:val="18"/>
              </w:rPr>
              <w:t>作为卫士 通实际控 制人期间</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截止本报 告出具 日，承诺 人严格履 行了上述 承诺。</w:t>
            </w:r>
          </w:p>
        </w:tc>
      </w:tr>
      <w:tr>
        <w:trPr>
          <w:trHeight w:val="2275" w:hRule="exact"/>
        </w:trPr>
        <w:tc>
          <w:tcPr>
            <w:tcW w:w="993"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32"/>
              <w:jc w:val="left"/>
              <w:rPr>
                <w:rFonts w:ascii="宋体" w:hAnsi="宋体" w:cs="宋体" w:eastAsia="宋体" w:hint="default"/>
                <w:sz w:val="18"/>
                <w:szCs w:val="18"/>
              </w:rPr>
            </w:pPr>
            <w:r>
              <w:rPr>
                <w:rFonts w:ascii="宋体" w:hAnsi="宋体" w:cs="宋体" w:eastAsia="宋体" w:hint="default"/>
                <w:sz w:val="18"/>
                <w:szCs w:val="18"/>
              </w:rPr>
              <w:t>公司全体董事、 监事及高级管 理人员</w:t>
            </w:r>
          </w:p>
        </w:tc>
        <w:tc>
          <w:tcPr>
            <w:tcW w:w="85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1" w:right="98"/>
              <w:jc w:val="both"/>
              <w:rPr>
                <w:rFonts w:ascii="宋体" w:hAnsi="宋体" w:cs="宋体" w:eastAsia="宋体" w:hint="default"/>
                <w:sz w:val="18"/>
                <w:szCs w:val="18"/>
              </w:rPr>
            </w:pPr>
            <w:r>
              <w:rPr>
                <w:rFonts w:ascii="宋体" w:hAnsi="宋体" w:cs="宋体" w:eastAsia="宋体" w:hint="default"/>
                <w:sz w:val="18"/>
                <w:szCs w:val="18"/>
              </w:rPr>
              <w:t>董事、监 事及高级 管理人员 股份限售 的承诺</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3"/>
                <w:sz w:val="18"/>
                <w:szCs w:val="18"/>
              </w:rPr>
              <w:t>公司全体董事、监事及高级管理人员承诺，在任职</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期间每年转让的股份不超过其所持有本公司股份 </w:t>
            </w:r>
            <w:r>
              <w:rPr>
                <w:rFonts w:ascii="宋体" w:hAnsi="宋体" w:cs="宋体" w:eastAsia="宋体" w:hint="default"/>
                <w:spacing w:val="-3"/>
                <w:sz w:val="18"/>
                <w:szCs w:val="18"/>
              </w:rPr>
              <w:t>总数的百分之二十五；离任后六个月内，不转让其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所持有的本公司股份；</w:t>
            </w:r>
            <w:r>
              <w:rPr>
                <w:rFonts w:ascii="宋体" w:hAnsi="宋体" w:cs="宋体" w:eastAsia="宋体" w:hint="default"/>
                <w:spacing w:val="1"/>
                <w:sz w:val="18"/>
                <w:szCs w:val="18"/>
              </w:rPr>
              <w:t> </w:t>
            </w:r>
            <w:r>
              <w:rPr>
                <w:rFonts w:ascii="宋体" w:hAnsi="宋体" w:cs="宋体" w:eastAsia="宋体" w:hint="default"/>
                <w:sz w:val="18"/>
                <w:szCs w:val="18"/>
              </w:rPr>
              <w:t>离任六个月后的十二个月</w:t>
            </w:r>
            <w:r>
              <w:rPr>
                <w:rFonts w:ascii="宋体" w:hAnsi="宋体" w:cs="宋体" w:eastAsia="宋体" w:hint="default"/>
                <w:sz w:val="18"/>
                <w:szCs w:val="18"/>
              </w:rPr>
              <w:t> 内通过证券交易所挂牌交易出售本公司股票数量 </w:t>
            </w:r>
            <w:r>
              <w:rPr>
                <w:rFonts w:ascii="宋体" w:hAnsi="宋体" w:cs="宋体" w:eastAsia="宋体" w:hint="default"/>
                <w:spacing w:val="-3"/>
                <w:sz w:val="18"/>
                <w:szCs w:val="18"/>
              </w:rPr>
              <w:t>占其所持有本公司股票总数（包括限售条件和无限</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售条件的股份）的比例不超过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截止本报 告出具 日，承诺 人严格履 行了上述 承诺。</w:t>
            </w:r>
          </w:p>
        </w:tc>
      </w:tr>
      <w:tr>
        <w:trPr>
          <w:trHeight w:val="1961" w:hRule="exact"/>
        </w:trPr>
        <w:tc>
          <w:tcPr>
            <w:tcW w:w="993"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4" w:lineRule="auto"/>
              <w:ind w:left="23" w:right="108"/>
              <w:jc w:val="both"/>
              <w:rPr>
                <w:rFonts w:ascii="宋体" w:hAnsi="宋体" w:cs="宋体" w:eastAsia="宋体" w:hint="default"/>
                <w:sz w:val="18"/>
                <w:szCs w:val="18"/>
              </w:rPr>
            </w:pPr>
            <w:r>
              <w:rPr>
                <w:rFonts w:ascii="宋体" w:hAnsi="宋体" w:cs="宋体" w:eastAsia="宋体" w:hint="default"/>
                <w:sz w:val="18"/>
                <w:szCs w:val="18"/>
              </w:rPr>
              <w:t>中电科投资控 股有限公司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中 国电子科技网 络信息安全有 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20"/>
              <w:jc w:val="both"/>
              <w:rPr>
                <w:rFonts w:ascii="宋体" w:hAnsi="宋体" w:cs="宋体" w:eastAsia="宋体" w:hint="default"/>
                <w:sz w:val="18"/>
                <w:szCs w:val="18"/>
              </w:rPr>
            </w:pPr>
            <w:r>
              <w:rPr>
                <w:rFonts w:ascii="宋体" w:hAnsi="宋体" w:cs="宋体" w:eastAsia="宋体" w:hint="default"/>
                <w:spacing w:val="-3"/>
                <w:sz w:val="18"/>
                <w:szCs w:val="18"/>
              </w:rPr>
              <w:t>中国电子科技网络信息安全有限公司、中电科投资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控股有限公司承诺，认购的本次非公开发行的股票</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自发行结束之日起三十六个月内不得转让。</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2017-03-2</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2020-03-2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截止本报 告出具 日，承诺 人严格履 行了上述 承诺。</w:t>
            </w:r>
          </w:p>
        </w:tc>
      </w:tr>
      <w:tr>
        <w:trPr>
          <w:trHeight w:val="4731"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6" w:lineRule="auto"/>
              <w:ind w:left="23" w:right="158"/>
              <w:jc w:val="both"/>
              <w:rPr>
                <w:rFonts w:ascii="宋体" w:hAnsi="宋体" w:cs="宋体" w:eastAsia="宋体" w:hint="default"/>
                <w:sz w:val="18"/>
                <w:szCs w:val="18"/>
              </w:rPr>
            </w:pPr>
            <w:r>
              <w:rPr>
                <w:rFonts w:ascii="宋体" w:hAnsi="宋体" w:cs="宋体" w:eastAsia="宋体" w:hint="default"/>
                <w:sz w:val="18"/>
                <w:szCs w:val="18"/>
              </w:rPr>
              <w:t>成都卫士通信 息产业股份有 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9" w:lineRule="auto"/>
              <w:ind w:left="23" w:right="98"/>
              <w:jc w:val="both"/>
              <w:rPr>
                <w:rFonts w:ascii="宋体" w:hAnsi="宋体" w:cs="宋体" w:eastAsia="宋体" w:hint="default"/>
                <w:sz w:val="18"/>
                <w:szCs w:val="18"/>
              </w:rPr>
            </w:pPr>
            <w:r>
              <w:rPr>
                <w:rFonts w:ascii="宋体" w:hAnsi="宋体" w:cs="宋体" w:eastAsia="宋体" w:hint="default"/>
                <w:sz w:val="18"/>
                <w:szCs w:val="18"/>
              </w:rPr>
              <w:t>公司董事 会关于信 息披露等 的承诺</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8"/>
                <w:sz w:val="18"/>
                <w:szCs w:val="18"/>
              </w:rPr>
              <w:t>公司董事会将严格遵守《公司法》、《证券法》、《上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市公司证券发行管理办法》等法律、法规和中国证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监会的有关规定，承诺自本公司非公开发行股票新</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7"/>
                <w:sz w:val="18"/>
                <w:szCs w:val="18"/>
              </w:rPr>
              <w:t>增股份上市之日起：（一）承诺真实、准确、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公平和及时地公布定期报告、披露所有对投资者有</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重大影响的信息，并接受中国证监会和深圳证券交</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5"/>
                <w:sz w:val="18"/>
                <w:szCs w:val="18"/>
              </w:rPr>
              <w:t>易所的监督管理。（二）承诺本公司在知悉可能对</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股票价格产生误导性影响的任何公共传播媒体出 </w:t>
            </w:r>
            <w:r>
              <w:rPr>
                <w:rFonts w:ascii="宋体" w:hAnsi="宋体" w:cs="宋体" w:eastAsia="宋体" w:hint="default"/>
                <w:spacing w:val="-5"/>
                <w:sz w:val="18"/>
                <w:szCs w:val="18"/>
              </w:rPr>
              <w:t>现的消息后，将及时予以公开澄清。（三）承诺本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公司董事、监事、高级管理人员和核心技术人员将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认真听取社会公众的意见和批评，不利用已获得的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内幕消息和其他不正当手段直接或间接从事本公 </w:t>
            </w:r>
            <w:r>
              <w:rPr>
                <w:rFonts w:ascii="宋体" w:hAnsi="宋体" w:cs="宋体" w:eastAsia="宋体" w:hint="default"/>
                <w:spacing w:val="-3"/>
                <w:sz w:val="18"/>
                <w:szCs w:val="18"/>
              </w:rPr>
              <w:t>司股票的买卖活动。公司保证向深圳证券交易所提</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交的文件没有虚假陈述或者重大遗漏，并在提出上</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市申请期间，未经深圳证券交易所同意，不擅自披</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09"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9"/>
                <w:sz w:val="20"/>
                <w:szCs w:val="20"/>
              </w:rPr>
              <w:pict>
                <v:group style="width:42.05pt;height:100.5pt;mso-position-horizontal-relative:char;mso-position-vertical-relative:line" coordorigin="0,0" coordsize="841,2010">
                  <v:group style="position:absolute;left:0;top:0;width:841;height:2010" coordorigin="0,0" coordsize="841,2010">
                    <v:shape style="position:absolute;left:0;top:0;width:841;height:2010" coordorigin="0,0" coordsize="841,2010" path="m0,2009l840,2009,840,0,0,0,0,2009xe" filled="true" fillcolor="#ffffff" stroked="false">
                      <v:path arrowok="t"/>
                      <v:fill type="solid"/>
                    </v:shape>
                  </v:group>
                </v:group>
              </w:pict>
            </w:r>
            <w:r>
              <w:rPr>
                <w:rFonts w:ascii="Times New Roman" w:hAnsi="Times New Roman" w:cs="Times New Roman" w:eastAsia="Times New Roman" w:hint="default"/>
                <w:position w:val="-39"/>
                <w:sz w:val="20"/>
                <w:szCs w:val="20"/>
              </w:rPr>
            </w:r>
          </w:p>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9" w:lineRule="auto"/>
              <w:ind w:left="23" w:right="23"/>
              <w:jc w:val="left"/>
              <w:rPr>
                <w:rFonts w:ascii="宋体" w:hAnsi="宋体" w:cs="宋体" w:eastAsia="宋体" w:hint="default"/>
                <w:sz w:val="18"/>
                <w:szCs w:val="18"/>
              </w:rPr>
            </w:pPr>
            <w:r>
              <w:rPr>
                <w:rFonts w:ascii="宋体" w:hAnsi="宋体" w:cs="宋体" w:eastAsia="宋体" w:hint="default"/>
                <w:sz w:val="18"/>
                <w:szCs w:val="18"/>
              </w:rPr>
              <w:t>截止本报 告出具 日，承诺 人严格履 行了上述 承诺。</w:t>
            </w:r>
          </w:p>
        </w:tc>
      </w:tr>
    </w:tbl>
    <w:p>
      <w:pPr>
        <w:spacing w:after="0" w:line="319"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1274"/>
        <w:gridCol w:w="853"/>
        <w:gridCol w:w="3968"/>
        <w:gridCol w:w="853"/>
        <w:gridCol w:w="850"/>
        <w:gridCol w:w="778"/>
      </w:tblGrid>
      <w:tr>
        <w:trPr>
          <w:trHeight w:val="363"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露有关信息。</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8"/>
              <w:jc w:val="left"/>
              <w:rPr>
                <w:rFonts w:ascii="宋体" w:hAnsi="宋体" w:cs="宋体" w:eastAsia="宋体" w:hint="default"/>
                <w:sz w:val="18"/>
                <w:szCs w:val="18"/>
              </w:rPr>
            </w:pPr>
            <w:r>
              <w:rPr>
                <w:rFonts w:ascii="宋体" w:hAnsi="宋体" w:cs="宋体" w:eastAsia="宋体" w:hint="default"/>
                <w:sz w:val="18"/>
                <w:szCs w:val="18"/>
              </w:rPr>
              <w:t>承诺是否按 时履行</w:t>
            </w:r>
          </w:p>
        </w:tc>
        <w:tc>
          <w:tcPr>
            <w:tcW w:w="857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587"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8"/>
              <w:jc w:val="both"/>
              <w:rPr>
                <w:rFonts w:ascii="宋体" w:hAnsi="宋体" w:cs="宋体" w:eastAsia="宋体" w:hint="default"/>
                <w:sz w:val="18"/>
                <w:szCs w:val="18"/>
              </w:rPr>
            </w:pPr>
            <w:r>
              <w:rPr>
                <w:rFonts w:ascii="宋体" w:hAnsi="宋体" w:cs="宋体" w:eastAsia="宋体" w:hint="default"/>
                <w:sz w:val="18"/>
                <w:szCs w:val="18"/>
              </w:rPr>
              <w:t>如承诺超期 未履行完毕 的，应当详 细说明未完 成履行的具 体原因及下 一步的工作 计划</w:t>
            </w:r>
          </w:p>
        </w:tc>
        <w:tc>
          <w:tcPr>
            <w:tcW w:w="857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6"/>
        <w:ind w:right="1133"/>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4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0"/>
        <w:jc w:val="both"/>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152" w:right="0" w:firstLine="0"/>
        <w:jc w:val="both"/>
        <w:rPr>
          <w:rFonts w:ascii="宋体" w:hAnsi="宋体" w:cs="宋体" w:eastAsia="宋体" w:hint="default"/>
          <w:sz w:val="18"/>
          <w:szCs w:val="18"/>
        </w:rPr>
      </w:pPr>
      <w:r>
        <w:rPr>
          <w:rFonts w:ascii="宋体" w:hAnsi="宋体" w:cs="宋体" w:eastAsia="宋体" w:hint="default"/>
          <w:b/>
          <w:bCs/>
          <w:sz w:val="18"/>
          <w:szCs w:val="18"/>
        </w:rPr>
        <w:t>董事会关于公司</w:t>
      </w:r>
      <w:r>
        <w:rPr>
          <w:rFonts w:ascii="宋体" w:hAnsi="宋体" w:cs="宋体" w:eastAsia="宋体" w:hint="default"/>
          <w:b/>
          <w:bCs/>
          <w:spacing w:val="-48"/>
          <w:sz w:val="18"/>
          <w:szCs w:val="18"/>
        </w:rPr>
        <w:t> </w:t>
      </w: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年度带强调事项段的无保留意见审计报告涉及事项的专项说明</w:t>
      </w:r>
      <w:r>
        <w:rPr>
          <w:rFonts w:ascii="宋体" w:hAnsi="宋体" w:cs="宋体" w:eastAsia="宋体" w:hint="default"/>
          <w:sz w:val="18"/>
          <w:szCs w:val="18"/>
        </w:rPr>
      </w:r>
    </w:p>
    <w:p>
      <w:pPr>
        <w:spacing w:line="300" w:lineRule="auto" w:before="103"/>
        <w:ind w:left="152" w:right="1034" w:firstLine="360"/>
        <w:jc w:val="left"/>
        <w:rPr>
          <w:rFonts w:ascii="宋体" w:hAnsi="宋体" w:cs="宋体" w:eastAsia="宋体" w:hint="default"/>
          <w:sz w:val="18"/>
          <w:szCs w:val="18"/>
        </w:rPr>
      </w:pPr>
      <w:r>
        <w:rPr>
          <w:rFonts w:ascii="宋体" w:hAnsi="宋体" w:cs="宋体" w:eastAsia="宋体" w:hint="default"/>
          <w:sz w:val="18"/>
          <w:szCs w:val="18"/>
        </w:rPr>
        <w:t>大华会计师事务所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r>
        <w:rPr>
          <w:rFonts w:ascii="宋体" w:hAnsi="宋体" w:cs="宋体" w:eastAsia="宋体" w:hint="default"/>
          <w:sz w:val="18"/>
          <w:szCs w:val="18"/>
        </w:rPr>
        <w:t>对公司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年度财务报表出具了带强调事项段的无保留意见审计报告，该意见是根 据中国注册会计师审计准则要求，出于职业判断出具的，依据和理由符合有关规定。公司对强调事项段中涉及事项无异议。</w:t>
      </w:r>
    </w:p>
    <w:p>
      <w:pPr>
        <w:spacing w:before="72"/>
        <w:ind w:left="424" w:right="1133" w:firstLine="0"/>
        <w:jc w:val="left"/>
        <w:rPr>
          <w:rFonts w:ascii="宋体" w:hAnsi="宋体" w:cs="宋体" w:eastAsia="宋体" w:hint="default"/>
          <w:sz w:val="18"/>
          <w:szCs w:val="18"/>
        </w:rPr>
      </w:pPr>
      <w:r>
        <w:rPr>
          <w:rFonts w:ascii="宋体" w:hAnsi="宋体" w:cs="宋体" w:eastAsia="宋体" w:hint="default"/>
          <w:sz w:val="18"/>
          <w:szCs w:val="18"/>
        </w:rPr>
        <w:t>（一）案件最新进展</w:t>
      </w:r>
    </w:p>
    <w:p>
      <w:pPr>
        <w:spacing w:line="300" w:lineRule="auto" w:before="115"/>
        <w:ind w:left="152" w:right="1127"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北京网安于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日向北京市第二中级人民法院提交了民事诉讼状，就北京网安向金丰科华购买的北京市丰台</w:t>
      </w:r>
      <w:r>
        <w:rPr>
          <w:rFonts w:ascii="宋体" w:hAnsi="宋体" w:cs="宋体" w:eastAsia="宋体" w:hint="default"/>
          <w:sz w:val="18"/>
          <w:szCs w:val="18"/>
        </w:rPr>
        <w:t> 区花乡四合庄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1516-15 </w:t>
      </w:r>
      <w:r>
        <w:rPr>
          <w:rFonts w:ascii="宋体" w:hAnsi="宋体" w:cs="宋体" w:eastAsia="宋体" w:hint="default"/>
          <w:sz w:val="18"/>
          <w:szCs w:val="18"/>
        </w:rPr>
        <w:t>地块上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办公商业楼及该房屋对应土地使用权的查封事项提起执行异议诉讼，请求北京市第二中级 人民法院依法解除对丰台区花乡四合庄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1516-15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地块上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办公商业楼及该房屋对应的土地使用权的查封。北京网安于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p>
    <w:p>
      <w:pPr>
        <w:spacing w:before="13"/>
        <w:ind w:left="152" w:right="0" w:firstLine="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日收到北京市第二中级人民法院作出的一审判决，驳回北京网安的诉讼请求。本次诉讼判决为一审判决，尚未生效，</w:t>
      </w:r>
    </w:p>
    <w:p>
      <w:pPr>
        <w:spacing w:line="309" w:lineRule="auto" w:before="63"/>
        <w:ind w:left="152" w:right="1131"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日，北京网安通过北京市第二中级人民法院向北京市高级人民法院提起诉讼。</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日，北京市高级</w:t>
      </w:r>
      <w:r>
        <w:rPr>
          <w:rFonts w:ascii="宋体" w:hAnsi="宋体" w:cs="宋体" w:eastAsia="宋体" w:hint="default"/>
          <w:sz w:val="18"/>
          <w:szCs w:val="18"/>
        </w:rPr>
        <w:t> </w:t>
      </w:r>
      <w:r>
        <w:rPr>
          <w:rFonts w:ascii="宋体" w:hAnsi="宋体" w:cs="宋体" w:eastAsia="宋体" w:hint="default"/>
          <w:spacing w:val="-2"/>
          <w:sz w:val="18"/>
          <w:szCs w:val="18"/>
        </w:rPr>
        <w:t>人民法院二审公开开庭审理了本案。截至目前，暂未下达终审判决。目前还无法确定本诉讼案件对公司本期利润或期后利润</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的影响。</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日，北京市丰台区人民法院裁定受理了四川华西建筑装饰工程有限公司对金丰科华提起的破产清算</w:t>
      </w:r>
    </w:p>
    <w:p>
      <w:pPr>
        <w:spacing w:before="5"/>
        <w:ind w:left="152" w:right="0" w:firstLine="0"/>
        <w:jc w:val="both"/>
        <w:rPr>
          <w:rFonts w:ascii="宋体" w:hAnsi="宋体" w:cs="宋体" w:eastAsia="宋体" w:hint="default"/>
          <w:sz w:val="18"/>
          <w:szCs w:val="18"/>
        </w:rPr>
      </w:pPr>
      <w:r>
        <w:rPr>
          <w:rFonts w:ascii="宋体" w:hAnsi="宋体" w:cs="宋体" w:eastAsia="宋体" w:hint="default"/>
          <w:sz w:val="18"/>
          <w:szCs w:val="18"/>
        </w:rPr>
        <w:t>申请。</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日，丰台法院确定北京市东卫律师事务所为破产案件管理人。</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日，丰台法院发布《公</w:t>
      </w:r>
    </w:p>
    <w:p>
      <w:pPr>
        <w:spacing w:before="63"/>
        <w:ind w:left="152" w:right="0" w:firstLine="0"/>
        <w:jc w:val="both"/>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2"/>
          <w:sz w:val="18"/>
          <w:szCs w:val="18"/>
        </w:rPr>
        <w:t>》</w:t>
      </w:r>
      <w:r>
        <w:rPr>
          <w:rFonts w:ascii="宋体" w:hAnsi="宋体" w:cs="宋体" w:eastAsia="宋体" w:hint="default"/>
          <w:sz w:val="18"/>
          <w:szCs w:val="18"/>
        </w:rPr>
        <w:t>，明确债权申报截止日为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日，首次债权</w:t>
      </w:r>
      <w:r>
        <w:rPr>
          <w:rFonts w:ascii="宋体" w:hAnsi="宋体" w:cs="宋体" w:eastAsia="宋体" w:hint="default"/>
          <w:spacing w:val="-3"/>
          <w:sz w:val="18"/>
          <w:szCs w:val="18"/>
        </w:rPr>
        <w:t>人</w:t>
      </w:r>
      <w:r>
        <w:rPr>
          <w:rFonts w:ascii="宋体" w:hAnsi="宋体" w:cs="宋体" w:eastAsia="宋体" w:hint="default"/>
          <w:sz w:val="18"/>
          <w:szCs w:val="18"/>
        </w:rPr>
        <w:t>会议定于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w:t>
      </w:r>
      <w:r>
        <w:rPr>
          <w:rFonts w:ascii="宋体" w:hAnsi="宋体" w:cs="宋体" w:eastAsia="宋体" w:hint="default"/>
          <w:spacing w:val="-3"/>
          <w:sz w:val="18"/>
          <w:szCs w:val="18"/>
        </w:rPr>
        <w:t>开</w:t>
      </w:r>
      <w:r>
        <w:rPr>
          <w:rFonts w:ascii="宋体" w:hAnsi="宋体" w:cs="宋体" w:eastAsia="宋体" w:hint="default"/>
          <w:sz w:val="18"/>
          <w:szCs w:val="18"/>
        </w:rPr>
        <w:t>。</w:t>
      </w:r>
    </w:p>
    <w:p>
      <w:pPr>
        <w:spacing w:before="103"/>
        <w:ind w:left="426" w:right="1133" w:firstLine="0"/>
        <w:jc w:val="left"/>
        <w:rPr>
          <w:rFonts w:ascii="宋体" w:hAnsi="宋体" w:cs="宋体" w:eastAsia="宋体" w:hint="default"/>
          <w:sz w:val="18"/>
          <w:szCs w:val="18"/>
        </w:rPr>
      </w:pPr>
      <w:r>
        <w:rPr>
          <w:rFonts w:ascii="宋体" w:hAnsi="宋体" w:cs="宋体" w:eastAsia="宋体" w:hint="default"/>
          <w:sz w:val="18"/>
          <w:szCs w:val="18"/>
        </w:rPr>
        <w:t>（二）案件基本情况及公司公告情况</w:t>
      </w:r>
    </w:p>
    <w:p>
      <w:pPr>
        <w:spacing w:before="117"/>
        <w:ind w:left="424" w:right="0" w:firstLine="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pacing w:val="-2"/>
          <w:sz w:val="18"/>
          <w:szCs w:val="18"/>
        </w:rPr>
        <w:t>年开始筹划非公开发行股票事宜，北京网安作为非公开发行股票募集资金投资项目实施主体，使用募集资金</w:t>
      </w:r>
    </w:p>
    <w:p>
      <w:pPr>
        <w:spacing w:before="63"/>
        <w:ind w:left="152" w:right="0" w:firstLine="0"/>
        <w:jc w:val="both"/>
        <w:rPr>
          <w:rFonts w:ascii="宋体" w:hAnsi="宋体" w:cs="宋体" w:eastAsia="宋体" w:hint="default"/>
          <w:sz w:val="18"/>
          <w:szCs w:val="18"/>
        </w:rPr>
      </w:pPr>
      <w:r>
        <w:rPr>
          <w:rFonts w:ascii="宋体" w:hAnsi="宋体" w:cs="宋体" w:eastAsia="宋体" w:hint="default"/>
          <w:sz w:val="18"/>
          <w:szCs w:val="18"/>
        </w:rPr>
        <w:t>购买金丰科华开发的位于丰台区花乡四合庄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1516-15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地块的金丰能源中心项目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办公商业楼。</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日，北京网安</w:t>
      </w:r>
    </w:p>
    <w:p>
      <w:pPr>
        <w:spacing w:line="300" w:lineRule="auto" w:before="62"/>
        <w:ind w:left="152" w:right="1120" w:firstLine="0"/>
        <w:jc w:val="left"/>
        <w:rPr>
          <w:rFonts w:ascii="宋体" w:hAnsi="宋体" w:cs="宋体" w:eastAsia="宋体" w:hint="default"/>
          <w:sz w:val="18"/>
          <w:szCs w:val="18"/>
        </w:rPr>
      </w:pPr>
      <w:r>
        <w:rPr>
          <w:rFonts w:ascii="宋体" w:hAnsi="宋体" w:cs="宋体" w:eastAsia="宋体" w:hint="default"/>
          <w:sz w:val="18"/>
          <w:szCs w:val="18"/>
        </w:rPr>
        <w:t>与开发商签</w:t>
      </w:r>
      <w:r>
        <w:rPr>
          <w:rFonts w:ascii="宋体" w:hAnsi="宋体" w:cs="宋体" w:eastAsia="宋体" w:hint="default"/>
          <w:spacing w:val="-22"/>
          <w:sz w:val="18"/>
          <w:szCs w:val="18"/>
        </w:rPr>
        <w:t>署</w:t>
      </w:r>
      <w:r>
        <w:rPr>
          <w:rFonts w:ascii="宋体" w:hAnsi="宋体" w:cs="宋体" w:eastAsia="宋体" w:hint="default"/>
          <w:sz w:val="18"/>
          <w:szCs w:val="18"/>
        </w:rPr>
        <w:t>《房屋买卖意</w:t>
      </w:r>
      <w:r>
        <w:rPr>
          <w:rFonts w:ascii="宋体" w:hAnsi="宋体" w:cs="宋体" w:eastAsia="宋体" w:hint="default"/>
          <w:spacing w:val="2"/>
          <w:sz w:val="18"/>
          <w:szCs w:val="18"/>
        </w:rPr>
        <w:t>向</w:t>
      </w:r>
      <w:r>
        <w:rPr>
          <w:rFonts w:ascii="宋体" w:hAnsi="宋体" w:cs="宋体" w:eastAsia="宋体" w:hint="default"/>
          <w:sz w:val="18"/>
          <w:szCs w:val="18"/>
        </w:rPr>
        <w:t>协议</w:t>
      </w:r>
      <w:r>
        <w:rPr>
          <w:rFonts w:ascii="宋体" w:hAnsi="宋体" w:cs="宋体" w:eastAsia="宋体" w:hint="default"/>
          <w:spacing w:val="-92"/>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根据该协议向开发商</w:t>
      </w:r>
      <w:r>
        <w:rPr>
          <w:rFonts w:ascii="宋体" w:hAnsi="宋体" w:cs="宋体" w:eastAsia="宋体" w:hint="default"/>
          <w:spacing w:val="2"/>
          <w:sz w:val="18"/>
          <w:szCs w:val="18"/>
        </w:rPr>
        <w:t>支</w:t>
      </w:r>
      <w:r>
        <w:rPr>
          <w:rFonts w:ascii="宋体" w:hAnsi="宋体" w:cs="宋体" w:eastAsia="宋体" w:hint="default"/>
          <w:sz w:val="18"/>
          <w:szCs w:val="18"/>
        </w:rPr>
        <w:t>付购房意向金</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r>
        <w:rPr>
          <w:rFonts w:ascii="宋体" w:hAnsi="宋体" w:cs="宋体" w:eastAsia="宋体" w:hint="default"/>
          <w:spacing w:val="-2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22"/>
          <w:sz w:val="18"/>
          <w:szCs w:val="18"/>
        </w:rPr>
        <w:t>，</w:t>
      </w:r>
      <w:r>
        <w:rPr>
          <w:rFonts w:ascii="宋体" w:hAnsi="宋体" w:cs="宋体" w:eastAsia="宋体" w:hint="default"/>
          <w:sz w:val="18"/>
          <w:szCs w:val="18"/>
        </w:rPr>
        <w:t>北京网安与开</w:t>
      </w:r>
      <w:r>
        <w:rPr>
          <w:rFonts w:ascii="宋体" w:hAnsi="宋体" w:cs="宋体" w:eastAsia="宋体" w:hint="default"/>
          <w:spacing w:val="-3"/>
          <w:sz w:val="18"/>
          <w:szCs w:val="18"/>
        </w:rPr>
        <w:t>发</w:t>
      </w:r>
      <w:r>
        <w:rPr>
          <w:rFonts w:ascii="宋体" w:hAnsi="宋体" w:cs="宋体" w:eastAsia="宋体" w:hint="default"/>
          <w:sz w:val="18"/>
          <w:szCs w:val="18"/>
        </w:rPr>
        <w:t>商</w:t>
      </w:r>
      <w:r>
        <w:rPr>
          <w:rFonts w:ascii="宋体" w:hAnsi="宋体" w:cs="宋体" w:eastAsia="宋体" w:hint="default"/>
          <w:sz w:val="18"/>
          <w:szCs w:val="18"/>
        </w:rPr>
        <w:t> 签署《北京市商品房预售合同</w:t>
      </w:r>
      <w:r>
        <w:rPr>
          <w:rFonts w:ascii="宋体" w:hAnsi="宋体" w:cs="宋体" w:eastAsia="宋体" w:hint="default"/>
          <w:spacing w:val="-89"/>
          <w:sz w:val="18"/>
          <w:szCs w:val="18"/>
        </w:rPr>
        <w:t>》</w:t>
      </w:r>
      <w:r>
        <w:rPr>
          <w:rFonts w:ascii="宋体" w:hAnsi="宋体" w:cs="宋体" w:eastAsia="宋体" w:hint="default"/>
          <w:sz w:val="18"/>
          <w:szCs w:val="18"/>
        </w:rPr>
        <w:t>，并在北京市住房和城乡建设委员会网站办理了商品房预售合同网上联机备案；签订预售协</w:t>
      </w:r>
    </w:p>
    <w:p>
      <w:pPr>
        <w:spacing w:after="0" w:line="30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line="307" w:lineRule="auto" w:before="44"/>
        <w:ind w:left="152" w:right="1130" w:firstLine="0"/>
        <w:jc w:val="both"/>
        <w:rPr>
          <w:rFonts w:ascii="宋体" w:hAnsi="宋体" w:cs="宋体" w:eastAsia="宋体" w:hint="default"/>
          <w:sz w:val="18"/>
          <w:szCs w:val="18"/>
        </w:rPr>
      </w:pPr>
      <w:r>
        <w:rPr>
          <w:rFonts w:ascii="宋体" w:hAnsi="宋体" w:cs="宋体" w:eastAsia="宋体" w:hint="default"/>
          <w:spacing w:val="-2"/>
          <w:sz w:val="18"/>
          <w:szCs w:val="18"/>
        </w:rPr>
        <w:t>议时，</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办公商业楼所属土地使用权及在建工程已设置抵押，开发商取得了抵押权人出具的《抵押权人同意抵押房屋办理商</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8"/>
          <w:sz w:val="18"/>
          <w:szCs w:val="18"/>
        </w:rPr>
        <w:t>品房预售许可证的证明》；截至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月，北京网安向开发商足额支付了预售合同约定的全部购房款</w:t>
      </w:r>
      <w:r>
        <w:rPr>
          <w:rFonts w:ascii="宋体" w:hAnsi="宋体" w:cs="宋体" w:eastAsia="宋体" w:hint="default"/>
          <w:spacing w:val="-40"/>
          <w:sz w:val="18"/>
          <w:szCs w:val="18"/>
        </w:rPr>
        <w:t> </w:t>
      </w:r>
      <w:r>
        <w:rPr>
          <w:rFonts w:ascii="Times New Roman" w:hAnsi="Times New Roman" w:cs="Times New Roman" w:eastAsia="Times New Roman" w:hint="default"/>
          <w:spacing w:val="-2"/>
          <w:sz w:val="18"/>
          <w:szCs w:val="18"/>
        </w:rPr>
        <w:t>11.29</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亿元，购房资</w:t>
      </w:r>
      <w:r>
        <w:rPr>
          <w:rFonts w:ascii="宋体" w:hAnsi="宋体" w:cs="宋体" w:eastAsia="宋体" w:hint="default"/>
          <w:sz w:val="18"/>
          <w:szCs w:val="18"/>
        </w:rPr>
        <w:t> </w:t>
      </w:r>
      <w:r>
        <w:rPr>
          <w:rFonts w:ascii="宋体" w:hAnsi="宋体" w:cs="宋体" w:eastAsia="宋体" w:hint="default"/>
          <w:spacing w:val="-2"/>
          <w:sz w:val="18"/>
          <w:szCs w:val="18"/>
        </w:rPr>
        <w:t>金均来源于卫士通非公开发行股票募集资金。根据诉讼材料显示，此后北京中宏瑞德投资管理中心（有限合伙）（以下简称</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“中宏瑞德”）基于购买债权的方式取得部分抵押债权。</w:t>
      </w:r>
    </w:p>
    <w:p>
      <w:pPr>
        <w:spacing w:line="309" w:lineRule="auto" w:before="67"/>
        <w:ind w:left="152" w:right="1132" w:firstLine="360"/>
        <w:jc w:val="both"/>
        <w:rPr>
          <w:rFonts w:ascii="宋体" w:hAnsi="宋体" w:cs="宋体" w:eastAsia="宋体" w:hint="default"/>
          <w:sz w:val="18"/>
          <w:szCs w:val="18"/>
        </w:rPr>
      </w:pPr>
      <w:r>
        <w:rPr>
          <w:rFonts w:ascii="宋体" w:hAnsi="宋体" w:cs="宋体" w:eastAsia="宋体" w:hint="default"/>
          <w:spacing w:val="-2"/>
          <w:sz w:val="18"/>
          <w:szCs w:val="18"/>
        </w:rPr>
        <w:t>因金丰科华涉及与中宏瑞德的其他债务纠纷，中宏瑞德依据生效的法律文书向北京市第二中级人民法院申请执行，并对</w:t>
      </w:r>
      <w:r>
        <w:rPr>
          <w:rFonts w:ascii="宋体" w:hAnsi="宋体" w:cs="宋体" w:eastAsia="宋体" w:hint="default"/>
          <w:sz w:val="18"/>
          <w:szCs w:val="18"/>
        </w:rPr>
        <w:t> 开发商位于北京市丰台区花乡四合庄的金丰能源中心项目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1516-15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地块</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37,651.02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㎡的土地使用权及地上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225,484.78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㎡在建 工程采取查封措施。经公司向北京市丰台区不动产登记中心查询，目前标的房产处于查封状态。</w:t>
      </w:r>
    </w:p>
    <w:p>
      <w:pPr>
        <w:spacing w:before="62"/>
        <w:ind w:left="513" w:right="0" w:firstLine="0"/>
        <w:jc w:val="left"/>
        <w:rPr>
          <w:rFonts w:ascii="宋体" w:hAnsi="宋体" w:cs="宋体" w:eastAsia="宋体" w:hint="default"/>
          <w:sz w:val="18"/>
          <w:szCs w:val="18"/>
        </w:rPr>
      </w:pPr>
      <w:r>
        <w:rPr>
          <w:rFonts w:ascii="宋体" w:hAnsi="宋体" w:cs="宋体" w:eastAsia="宋体" w:hint="default"/>
          <w:sz w:val="18"/>
          <w:szCs w:val="18"/>
        </w:rPr>
        <w:t>北京网安对查封执行标的提出了书面执行异议</w:t>
      </w:r>
      <w:r>
        <w:rPr>
          <w:rFonts w:ascii="宋体" w:hAnsi="宋体" w:cs="宋体" w:eastAsia="宋体" w:hint="default"/>
          <w:spacing w:val="-82"/>
          <w:sz w:val="18"/>
          <w:szCs w:val="18"/>
        </w:rPr>
        <w:t>，</w:t>
      </w:r>
      <w:r>
        <w:rPr>
          <w:rFonts w:ascii="宋体" w:hAnsi="宋体" w:cs="宋体" w:eastAsia="宋体" w:hint="default"/>
          <w:sz w:val="18"/>
          <w:szCs w:val="18"/>
        </w:rPr>
        <w:t>并于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日收到北京市第二中</w:t>
      </w:r>
      <w:r>
        <w:rPr>
          <w:rFonts w:ascii="宋体" w:hAnsi="宋体" w:cs="宋体" w:eastAsia="宋体" w:hint="default"/>
          <w:spacing w:val="-3"/>
          <w:sz w:val="18"/>
          <w:szCs w:val="18"/>
        </w:rPr>
        <w:t>级</w:t>
      </w:r>
      <w:r>
        <w:rPr>
          <w:rFonts w:ascii="宋体" w:hAnsi="宋体" w:cs="宋体" w:eastAsia="宋体" w:hint="default"/>
          <w:sz w:val="18"/>
          <w:szCs w:val="18"/>
        </w:rPr>
        <w:t>人民法院驳回北京网安执行</w:t>
      </w:r>
    </w:p>
    <w:p>
      <w:pPr>
        <w:spacing w:line="300" w:lineRule="auto" w:before="63"/>
        <w:ind w:left="152" w:right="1120" w:firstLine="0"/>
        <w:jc w:val="left"/>
        <w:rPr>
          <w:rFonts w:ascii="宋体" w:hAnsi="宋体" w:cs="宋体" w:eastAsia="宋体" w:hint="default"/>
          <w:sz w:val="18"/>
          <w:szCs w:val="18"/>
        </w:rPr>
      </w:pPr>
      <w:r>
        <w:rPr>
          <w:rFonts w:ascii="宋体" w:hAnsi="宋体" w:cs="宋体" w:eastAsia="宋体" w:hint="default"/>
          <w:spacing w:val="-4"/>
          <w:sz w:val="18"/>
          <w:szCs w:val="18"/>
        </w:rPr>
        <w:t>异议的裁定。北京网安于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日向北京市第二中级人民法院提交了民事诉讼状，就北京网安向金丰科华购买的北 京市丰台区花乡四合庄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1516-15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地块上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办公商业楼及该房屋对应土地使用权的查封事项提起执行异议诉讼，请求北京市 第二中级人民法院依法解除对丰台区花乡四合庄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1516-15 </w:t>
      </w:r>
      <w:r>
        <w:rPr>
          <w:rFonts w:ascii="宋体" w:hAnsi="宋体" w:cs="宋体" w:eastAsia="宋体" w:hint="default"/>
          <w:sz w:val="18"/>
          <w:szCs w:val="18"/>
        </w:rPr>
        <w:t>地块上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办公商业楼及该房屋对应的土地使用权的查封。北京市 第二中级人民法院于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日出具《受理案件通知书》及《诉讼费交费通知书》，受理了本案。北京网安于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spacing w:before="13"/>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日收到北京市第二中级人民法院作出的一审判决，驳回北京网安的诉讼请求。公司已于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日提起上诉。</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spacing w:before="63"/>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日，北京市高级人民法院二审公开开庭审理了本案。截至目前，暂未下达终审判决。</w:t>
      </w:r>
    </w:p>
    <w:p>
      <w:pPr>
        <w:spacing w:before="10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日，北京市丰台区人民法院裁定受理了四川华西建筑装饰工程有限公司对金丰科华提起的破产清算申请。</w:t>
      </w:r>
    </w:p>
    <w:p>
      <w:pPr>
        <w:spacing w:before="63"/>
        <w:ind w:left="152" w:right="0" w:firstLine="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7"/>
          <w:sz w:val="18"/>
          <w:szCs w:val="18"/>
        </w:rPr>
        <w:t>，</w:t>
      </w:r>
      <w:r>
        <w:rPr>
          <w:rFonts w:ascii="宋体" w:hAnsi="宋体" w:cs="宋体" w:eastAsia="宋体" w:hint="default"/>
          <w:sz w:val="18"/>
          <w:szCs w:val="18"/>
        </w:rPr>
        <w:t>丰台法</w:t>
      </w:r>
      <w:r>
        <w:rPr>
          <w:rFonts w:ascii="宋体" w:hAnsi="宋体" w:cs="宋体" w:eastAsia="宋体" w:hint="default"/>
          <w:spacing w:val="-3"/>
          <w:sz w:val="18"/>
          <w:szCs w:val="18"/>
        </w:rPr>
        <w:t>院</w:t>
      </w:r>
      <w:r>
        <w:rPr>
          <w:rFonts w:ascii="宋体" w:hAnsi="宋体" w:cs="宋体" w:eastAsia="宋体" w:hint="default"/>
          <w:sz w:val="18"/>
          <w:szCs w:val="18"/>
        </w:rPr>
        <w:t>确定北京市东卫律师事务所为破产案件管理人</w:t>
      </w:r>
      <w:r>
        <w:rPr>
          <w:rFonts w:ascii="宋体" w:hAnsi="宋体" w:cs="宋体" w:eastAsia="宋体" w:hint="default"/>
          <w:spacing w:val="-16"/>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7"/>
          <w:sz w:val="18"/>
          <w:szCs w:val="18"/>
        </w:rPr>
        <w:t>，</w:t>
      </w:r>
      <w:r>
        <w:rPr>
          <w:rFonts w:ascii="宋体" w:hAnsi="宋体" w:cs="宋体" w:eastAsia="宋体" w:hint="default"/>
          <w:sz w:val="18"/>
          <w:szCs w:val="18"/>
        </w:rPr>
        <w:t>丰台法院发</w:t>
      </w:r>
      <w:r>
        <w:rPr>
          <w:rFonts w:ascii="宋体" w:hAnsi="宋体" w:cs="宋体" w:eastAsia="宋体" w:hint="default"/>
          <w:spacing w:val="-17"/>
          <w:sz w:val="18"/>
          <w:szCs w:val="18"/>
        </w:rPr>
        <w:t>布</w:t>
      </w:r>
      <w:r>
        <w:rPr>
          <w:rFonts w:ascii="宋体" w:hAnsi="宋体" w:cs="宋体" w:eastAsia="宋体" w:hint="default"/>
          <w:sz w:val="18"/>
          <w:szCs w:val="18"/>
        </w:rPr>
        <w:t>《公告</w:t>
      </w:r>
      <w:r>
        <w:rPr>
          <w:rFonts w:ascii="宋体" w:hAnsi="宋体" w:cs="宋体" w:eastAsia="宋体" w:hint="default"/>
          <w:spacing w:val="-92"/>
          <w:sz w:val="18"/>
          <w:szCs w:val="18"/>
        </w:rPr>
        <w:t>》</w:t>
      </w:r>
      <w:r>
        <w:rPr>
          <w:rFonts w:ascii="宋体" w:hAnsi="宋体" w:cs="宋体" w:eastAsia="宋体" w:hint="default"/>
          <w:spacing w:val="-17"/>
          <w:sz w:val="18"/>
          <w:szCs w:val="18"/>
        </w:rPr>
        <w:t>，</w:t>
      </w:r>
      <w:r>
        <w:rPr>
          <w:rFonts w:ascii="宋体" w:hAnsi="宋体" w:cs="宋体" w:eastAsia="宋体" w:hint="default"/>
          <w:sz w:val="18"/>
          <w:szCs w:val="18"/>
        </w:rPr>
        <w:t>明</w:t>
      </w:r>
    </w:p>
    <w:p>
      <w:pPr>
        <w:spacing w:before="63"/>
        <w:ind w:left="152" w:right="0" w:firstLine="0"/>
        <w:jc w:val="both"/>
        <w:rPr>
          <w:rFonts w:ascii="宋体" w:hAnsi="宋体" w:cs="宋体" w:eastAsia="宋体" w:hint="default"/>
          <w:sz w:val="18"/>
          <w:szCs w:val="18"/>
        </w:rPr>
      </w:pPr>
      <w:r>
        <w:rPr>
          <w:rFonts w:ascii="宋体" w:hAnsi="宋体" w:cs="宋体" w:eastAsia="宋体" w:hint="default"/>
          <w:sz w:val="18"/>
          <w:szCs w:val="18"/>
        </w:rPr>
        <w:t>确债权申报截止日为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日，首次债权人会议定于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日召开。</w:t>
      </w:r>
    </w:p>
    <w:p>
      <w:pPr>
        <w:spacing w:line="357" w:lineRule="auto" w:before="103"/>
        <w:ind w:left="513" w:right="1129" w:hanging="89"/>
        <w:jc w:val="left"/>
        <w:rPr>
          <w:rFonts w:ascii="宋体" w:hAnsi="宋体" w:cs="宋体" w:eastAsia="宋体" w:hint="default"/>
          <w:sz w:val="18"/>
          <w:szCs w:val="18"/>
        </w:rPr>
      </w:pPr>
      <w:r>
        <w:rPr>
          <w:rFonts w:ascii="宋体" w:hAnsi="宋体" w:cs="宋体" w:eastAsia="宋体" w:hint="default"/>
          <w:sz w:val="18"/>
          <w:szCs w:val="18"/>
        </w:rPr>
        <w:t>（三）对公司的影响及公司应对措施 </w:t>
      </w:r>
      <w:r>
        <w:rPr>
          <w:rFonts w:ascii="宋体" w:hAnsi="宋体" w:cs="宋体" w:eastAsia="宋体" w:hint="default"/>
          <w:spacing w:val="-2"/>
          <w:sz w:val="18"/>
          <w:szCs w:val="18"/>
        </w:rPr>
        <w:t>目前执行异议之诉案件尚未终审判决，同时金丰科华已进入破产程序，尚处于财产申报阶段，暂无法预估对公司本期利</w:t>
      </w:r>
    </w:p>
    <w:p>
      <w:pPr>
        <w:spacing w:line="224" w:lineRule="exact"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润或期后利润的影响以及消除强调事项影响的时间</w:t>
      </w:r>
      <w:r>
        <w:rPr>
          <w:rFonts w:ascii="宋体" w:hAnsi="宋体" w:cs="宋体" w:eastAsia="宋体" w:hint="default"/>
          <w:spacing w:val="-87"/>
          <w:sz w:val="18"/>
          <w:szCs w:val="18"/>
        </w:rPr>
        <w:t>。</w:t>
      </w:r>
      <w:r>
        <w:rPr>
          <w:rFonts w:ascii="宋体" w:hAnsi="宋体" w:cs="宋体" w:eastAsia="宋体" w:hint="default"/>
          <w:sz w:val="18"/>
          <w:szCs w:val="18"/>
        </w:rPr>
        <w:t>公司及公司董事会将密切关注上述事项的进展情况</w:t>
      </w:r>
      <w:r>
        <w:rPr>
          <w:rFonts w:ascii="宋体" w:hAnsi="宋体" w:cs="宋体" w:eastAsia="宋体" w:hint="default"/>
          <w:spacing w:val="-87"/>
          <w:sz w:val="18"/>
          <w:szCs w:val="18"/>
        </w:rPr>
        <w:t>，</w:t>
      </w:r>
      <w:r>
        <w:rPr>
          <w:rFonts w:ascii="宋体" w:hAnsi="宋体" w:cs="宋体" w:eastAsia="宋体" w:hint="default"/>
          <w:sz w:val="18"/>
          <w:szCs w:val="18"/>
        </w:rPr>
        <w:t>审慎研究评估案件，</w:t>
      </w:r>
    </w:p>
    <w:p>
      <w:pPr>
        <w:spacing w:line="360" w:lineRule="auto" w:before="76"/>
        <w:ind w:left="513" w:right="1997" w:hanging="361"/>
        <w:jc w:val="left"/>
        <w:rPr>
          <w:rFonts w:ascii="宋体" w:hAnsi="宋体" w:cs="宋体" w:eastAsia="宋体" w:hint="default"/>
          <w:sz w:val="18"/>
          <w:szCs w:val="18"/>
        </w:rPr>
      </w:pPr>
      <w:r>
        <w:rPr>
          <w:rFonts w:ascii="宋体" w:hAnsi="宋体" w:cs="宋体" w:eastAsia="宋体" w:hint="default"/>
          <w:sz w:val="18"/>
          <w:szCs w:val="18"/>
        </w:rPr>
        <w:t>适时申报相关债权，力争最大限度维护公司合法权益，并及时履行公司信息披露义务。 </w:t>
      </w:r>
      <w:r>
        <w:rPr>
          <w:rFonts w:ascii="宋体" w:hAnsi="宋体" w:cs="宋体" w:eastAsia="宋体" w:hint="default"/>
          <w:b/>
          <w:bCs/>
          <w:sz w:val="18"/>
          <w:szCs w:val="18"/>
        </w:rPr>
        <w:t>监事会关于《董事会关于公司</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年度带强调事项段的无保留意见审计报告涉及事项的专项说明》的意见</w:t>
      </w:r>
      <w:r>
        <w:rPr>
          <w:rFonts w:ascii="宋体" w:hAnsi="宋体" w:cs="宋体" w:eastAsia="宋体" w:hint="default"/>
          <w:sz w:val="18"/>
          <w:szCs w:val="18"/>
        </w:rPr>
      </w:r>
    </w:p>
    <w:p>
      <w:pPr>
        <w:spacing w:line="300" w:lineRule="auto" w:before="4"/>
        <w:ind w:left="152" w:right="1131" w:firstLine="360"/>
        <w:jc w:val="both"/>
        <w:rPr>
          <w:rFonts w:ascii="宋体" w:hAnsi="宋体" w:cs="宋体" w:eastAsia="宋体" w:hint="default"/>
          <w:sz w:val="18"/>
          <w:szCs w:val="18"/>
        </w:rPr>
      </w:pPr>
      <w:r>
        <w:rPr>
          <w:rFonts w:ascii="宋体" w:hAnsi="宋体" w:cs="宋体" w:eastAsia="宋体" w:hint="default"/>
          <w:spacing w:val="-2"/>
          <w:sz w:val="18"/>
          <w:szCs w:val="18"/>
        </w:rPr>
        <w:t>大华会计师事务所</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特殊普通合伙</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对成都卫士通信息产业股份有限公司（以下简称“公司”）</w:t>
      </w:r>
      <w:r>
        <w:rPr>
          <w:rFonts w:ascii="Times New Roman" w:hAnsi="Times New Roman" w:cs="Times New Roman" w:eastAsia="Times New Roman" w:hint="default"/>
          <w:spacing w:val="-2"/>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年度财务报表进行审 </w:t>
      </w:r>
      <w:r>
        <w:rPr>
          <w:rFonts w:ascii="宋体" w:hAnsi="宋体" w:cs="宋体" w:eastAsia="宋体" w:hint="default"/>
          <w:spacing w:val="-4"/>
          <w:sz w:val="18"/>
          <w:szCs w:val="18"/>
        </w:rPr>
        <w:t>计，出具了带强调事项段的无保留意见《审计报告》（大华审字</w:t>
      </w:r>
      <w:r>
        <w:rPr>
          <w:rFonts w:ascii="Times New Roman" w:hAnsi="Times New Roman" w:cs="Times New Roman" w:eastAsia="Times New Roman" w:hint="default"/>
          <w:spacing w:val="-4"/>
          <w:sz w:val="18"/>
          <w:szCs w:val="18"/>
        </w:rPr>
        <w:t>[2020]003538</w:t>
      </w:r>
      <w:r>
        <w:rPr>
          <w:rFonts w:ascii="Times New Roman" w:hAnsi="Times New Roman" w:cs="Times New Roman" w:eastAsia="Times New Roman" w:hint="default"/>
          <w:spacing w:val="28"/>
          <w:sz w:val="18"/>
          <w:szCs w:val="18"/>
        </w:rPr>
        <w:t> </w:t>
      </w:r>
      <w:r>
        <w:rPr>
          <w:rFonts w:ascii="宋体" w:hAnsi="宋体" w:cs="宋体" w:eastAsia="宋体" w:hint="default"/>
          <w:spacing w:val="-6"/>
          <w:sz w:val="18"/>
          <w:szCs w:val="18"/>
        </w:rPr>
        <w:t>号）。根据深圳证券交易所和中国证监会的相关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要求，公司董事会就上述审计报告涉及事项出具了专项说明，现公司监事会就董事会出具的专项说明发表如下意见：</w:t>
      </w:r>
    </w:p>
    <w:p>
      <w:pPr>
        <w:spacing w:line="300" w:lineRule="auto" w:before="70"/>
        <w:ind w:left="152" w:right="1121" w:firstLine="360"/>
        <w:jc w:val="both"/>
        <w:rPr>
          <w:rFonts w:ascii="宋体" w:hAnsi="宋体" w:cs="宋体" w:eastAsia="宋体" w:hint="default"/>
          <w:sz w:val="18"/>
          <w:szCs w:val="18"/>
        </w:rPr>
      </w:pPr>
      <w:r>
        <w:rPr>
          <w:rFonts w:ascii="宋体" w:hAnsi="宋体" w:cs="宋体" w:eastAsia="宋体" w:hint="default"/>
          <w:spacing w:val="-2"/>
          <w:sz w:val="18"/>
          <w:szCs w:val="18"/>
        </w:rPr>
        <w:t>大华会计师事务所</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特殊普通合伙</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对公司出具了带强调事项段的无保留意见《审计报告》（大华审字</w:t>
      </w:r>
      <w:r>
        <w:rPr>
          <w:rFonts w:ascii="Times New Roman" w:hAnsi="Times New Roman" w:cs="Times New Roman" w:eastAsia="Times New Roman" w:hint="default"/>
          <w:spacing w:val="-2"/>
          <w:sz w:val="18"/>
          <w:szCs w:val="18"/>
        </w:rPr>
        <w:t>[2020]003538</w:t>
      </w:r>
      <w:r>
        <w:rPr>
          <w:rFonts w:ascii="Times New Roman" w:hAnsi="Times New Roman" w:cs="Times New Roman" w:eastAsia="Times New Roman" w:hint="default"/>
          <w:spacing w:val="18"/>
          <w:sz w:val="18"/>
          <w:szCs w:val="18"/>
        </w:rPr>
        <w:t> </w:t>
      </w:r>
      <w:r>
        <w:rPr>
          <w:rFonts w:ascii="宋体" w:hAnsi="宋体" w:cs="宋体" w:eastAsia="宋体" w:hint="default"/>
          <w:spacing w:val="-31"/>
          <w:sz w:val="18"/>
          <w:szCs w:val="18"/>
        </w:rPr>
        <w:t>号）。</w:t>
      </w:r>
      <w:r>
        <w:rPr>
          <w:rFonts w:ascii="宋体" w:hAnsi="宋体" w:cs="宋体" w:eastAsia="宋体" w:hint="default"/>
          <w:sz w:val="18"/>
          <w:szCs w:val="18"/>
        </w:rPr>
        <w:t> 审计报告客观真实的反映了公司的实际情况，监事会对会计师事务所出具的公司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年度审计报告无异议，公司监事会同 意董事会出具的专项说明。</w:t>
      </w:r>
    </w:p>
    <w:p>
      <w:pPr>
        <w:spacing w:line="348" w:lineRule="auto" w:before="72"/>
        <w:ind w:left="513" w:right="0" w:firstLine="0"/>
        <w:jc w:val="left"/>
        <w:rPr>
          <w:rFonts w:ascii="宋体" w:hAnsi="宋体" w:cs="宋体" w:eastAsia="宋体" w:hint="default"/>
          <w:sz w:val="18"/>
          <w:szCs w:val="18"/>
        </w:rPr>
      </w:pPr>
      <w:r>
        <w:rPr>
          <w:rFonts w:ascii="宋体" w:hAnsi="宋体" w:cs="宋体" w:eastAsia="宋体" w:hint="default"/>
          <w:spacing w:val="-4"/>
          <w:sz w:val="18"/>
          <w:szCs w:val="18"/>
        </w:rPr>
        <w:t>监事会将积极配合董事会的各项工作，持续关注董事会和管理层相关工作的开展，切实维护公司及全体股东的合法权益。</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b/>
          <w:bCs/>
          <w:sz w:val="18"/>
          <w:szCs w:val="18"/>
        </w:rPr>
        <w:t>独立董事关于公司</w:t>
      </w:r>
      <w:r>
        <w:rPr>
          <w:rFonts w:ascii="宋体" w:hAnsi="宋体" w:cs="宋体" w:eastAsia="宋体" w:hint="default"/>
          <w:b/>
          <w:bCs/>
          <w:spacing w:val="-44"/>
          <w:sz w:val="18"/>
          <w:szCs w:val="18"/>
        </w:rPr>
        <w:t> </w:t>
      </w: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年度带强调事项段的无保留意见审计报告涉及事项的专项说明的独立意见</w:t>
      </w:r>
      <w:r>
        <w:rPr>
          <w:rFonts w:ascii="宋体" w:hAnsi="宋体" w:cs="宋体" w:eastAsia="宋体" w:hint="default"/>
          <w:b/>
          <w:bCs/>
          <w:w w:val="99"/>
          <w:sz w:val="18"/>
          <w:szCs w:val="18"/>
        </w:rPr>
        <w:t> </w:t>
      </w:r>
      <w:r>
        <w:rPr>
          <w:rFonts w:ascii="宋体" w:hAnsi="宋体" w:cs="宋体" w:eastAsia="宋体" w:hint="default"/>
          <w:spacing w:val="-9"/>
          <w:sz w:val="18"/>
          <w:szCs w:val="18"/>
        </w:rPr>
        <w:t>根据《关于在上市公司建立独立董事制度的指导意见》、《深圳证券交易所股票上市规则》、《深圳证券交易所上市公司规</w:t>
      </w:r>
    </w:p>
    <w:p>
      <w:pPr>
        <w:spacing w:line="300" w:lineRule="auto" w:before="0"/>
        <w:ind w:left="152" w:right="1130" w:firstLine="0"/>
        <w:jc w:val="both"/>
        <w:rPr>
          <w:rFonts w:ascii="宋体" w:hAnsi="宋体" w:cs="宋体" w:eastAsia="宋体" w:hint="default"/>
          <w:sz w:val="18"/>
          <w:szCs w:val="18"/>
        </w:rPr>
      </w:pPr>
      <w:r>
        <w:rPr>
          <w:rFonts w:ascii="宋体" w:hAnsi="宋体" w:cs="宋体" w:eastAsia="宋体" w:hint="default"/>
          <w:spacing w:val="-4"/>
          <w:sz w:val="18"/>
          <w:szCs w:val="18"/>
        </w:rPr>
        <w:t>范运作指引》、《公司章程》及《独立董事工作制度》等有关规定，现对大华会计师事务所</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特殊普通合伙</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对成都卫士通信息</w:t>
      </w:r>
      <w:r>
        <w:rPr>
          <w:rFonts w:ascii="宋体" w:hAnsi="宋体" w:cs="宋体" w:eastAsia="宋体" w:hint="default"/>
          <w:spacing w:val="-71"/>
          <w:sz w:val="18"/>
          <w:szCs w:val="18"/>
        </w:rPr>
        <w:t> </w:t>
      </w:r>
      <w:r>
        <w:rPr>
          <w:rFonts w:ascii="宋体" w:hAnsi="宋体" w:cs="宋体" w:eastAsia="宋体" w:hint="default"/>
          <w:spacing w:val="-16"/>
          <w:sz w:val="18"/>
          <w:szCs w:val="18"/>
        </w:rPr>
        <w:t>产业股份有限公司（以下简称“公司”）</w:t>
      </w:r>
      <w:r>
        <w:rPr>
          <w:rFonts w:ascii="Times New Roman" w:hAnsi="Times New Roman" w:cs="Times New Roman" w:eastAsia="Times New Roman" w:hint="default"/>
          <w:spacing w:val="-16"/>
          <w:sz w:val="18"/>
          <w:szCs w:val="18"/>
        </w:rPr>
        <w:t>2019</w:t>
      </w:r>
      <w:r>
        <w:rPr>
          <w:rFonts w:ascii="Times New Roman" w:hAnsi="Times New Roman" w:cs="Times New Roman" w:eastAsia="Times New Roman" w:hint="default"/>
          <w:spacing w:val="32"/>
          <w:sz w:val="18"/>
          <w:szCs w:val="18"/>
        </w:rPr>
        <w:t> </w:t>
      </w:r>
      <w:r>
        <w:rPr>
          <w:rFonts w:ascii="宋体" w:hAnsi="宋体" w:cs="宋体" w:eastAsia="宋体" w:hint="default"/>
          <w:spacing w:val="-3"/>
          <w:sz w:val="18"/>
          <w:szCs w:val="18"/>
        </w:rPr>
        <w:t>年度财务报表出具的带强调事项段的无保留意见审计报告（大华审字</w:t>
      </w:r>
      <w:r>
        <w:rPr>
          <w:rFonts w:ascii="Times New Roman" w:hAnsi="Times New Roman" w:cs="Times New Roman" w:eastAsia="Times New Roman" w:hint="default"/>
          <w:spacing w:val="-3"/>
          <w:sz w:val="18"/>
          <w:szCs w:val="18"/>
        </w:rPr>
        <w:t>[2020]003538</w:t>
      </w:r>
      <w:r>
        <w:rPr>
          <w:rFonts w:ascii="Times New Roman" w:hAnsi="Times New Roman" w:cs="Times New Roman" w:eastAsia="Times New Roman" w:hint="default"/>
          <w:spacing w:val="-34"/>
          <w:sz w:val="18"/>
          <w:szCs w:val="18"/>
        </w:rPr>
        <w:t> </w:t>
      </w:r>
      <w:r>
        <w:rPr>
          <w:rFonts w:ascii="Times New Roman" w:hAnsi="Times New Roman" w:cs="Times New Roman" w:eastAsia="Times New Roman" w:hint="default"/>
          <w:spacing w:val="-34"/>
          <w:sz w:val="18"/>
          <w:szCs w:val="18"/>
        </w:rPr>
      </w:r>
      <w:r>
        <w:rPr>
          <w:rFonts w:ascii="宋体" w:hAnsi="宋体" w:cs="宋体" w:eastAsia="宋体" w:hint="default"/>
          <w:sz w:val="18"/>
          <w:szCs w:val="18"/>
        </w:rPr>
        <w:t>号）发表如下独立意见：</w:t>
      </w:r>
    </w:p>
    <w:p>
      <w:pPr>
        <w:spacing w:line="300" w:lineRule="auto" w:before="73"/>
        <w:ind w:left="152" w:right="1124" w:firstLine="360"/>
        <w:jc w:val="left"/>
        <w:rPr>
          <w:rFonts w:ascii="宋体" w:hAnsi="宋体" w:cs="宋体" w:eastAsia="宋体" w:hint="default"/>
          <w:sz w:val="18"/>
          <w:szCs w:val="18"/>
        </w:rPr>
      </w:pPr>
      <w:r>
        <w:rPr>
          <w:rFonts w:ascii="宋体" w:hAnsi="宋体" w:cs="宋体" w:eastAsia="宋体" w:hint="default"/>
          <w:sz w:val="18"/>
          <w:szCs w:val="18"/>
        </w:rPr>
        <w:t>大华会计师事务所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r>
        <w:rPr>
          <w:rFonts w:ascii="宋体" w:hAnsi="宋体" w:cs="宋体" w:eastAsia="宋体" w:hint="default"/>
          <w:sz w:val="18"/>
          <w:szCs w:val="18"/>
        </w:rPr>
        <w:t>对公司出具的带强调事项段的无保留意见审计报告客观真实的反映了公司的实际情 </w:t>
      </w:r>
      <w:r>
        <w:rPr>
          <w:rFonts w:ascii="宋体" w:hAnsi="宋体" w:cs="宋体" w:eastAsia="宋体" w:hint="default"/>
          <w:spacing w:val="-4"/>
          <w:sz w:val="18"/>
          <w:szCs w:val="18"/>
        </w:rPr>
        <w:t>况，我们同意公司《董事会关于公司</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4"/>
          <w:sz w:val="18"/>
          <w:szCs w:val="18"/>
        </w:rPr>
        <w:t>年度带强调事项段的无保留意见审计报告涉及事项的专项说明》，我们将督促公司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董事会及管理层持续关注该事项，落实具体措施，积极维护公司及全体股东的权益。</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12"/>
          <w:szCs w:val="12"/>
        </w:rPr>
      </w:pPr>
    </w:p>
    <w:p>
      <w:pPr>
        <w:pStyle w:val="BodyText"/>
        <w:spacing w:line="240" w:lineRule="auto" w:before="0"/>
        <w:ind w:left="578" w:right="0"/>
        <w:jc w:val="left"/>
      </w:pPr>
      <w:r>
        <w:rPr>
          <w:w w:val="100"/>
        </w:rPr>
        <w:t>本公</w:t>
      </w:r>
      <w:r>
        <w:rPr>
          <w:spacing w:val="-3"/>
          <w:w w:val="100"/>
        </w:rPr>
        <w:t>司</w:t>
      </w:r>
      <w:r>
        <w:rPr>
          <w:spacing w:val="-1"/>
          <w:w w:val="100"/>
        </w:rPr>
        <w:t>自</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9</w:t>
      </w:r>
      <w:r>
        <w:rPr>
          <w:spacing w:val="-3"/>
          <w:w w:val="100"/>
        </w:rPr>
        <w:t>年</w:t>
      </w:r>
      <w:r>
        <w:rPr>
          <w:rFonts w:ascii="Times New Roman" w:hAnsi="Times New Roman" w:cs="Times New Roman" w:eastAsia="Times New Roman" w:hint="default"/>
          <w:w w:val="100"/>
        </w:rPr>
        <w:t>1</w:t>
      </w:r>
      <w:r>
        <w:rPr>
          <w:w w:val="100"/>
        </w:rPr>
        <w:t>月</w:t>
      </w:r>
      <w:r>
        <w:rPr>
          <w:rFonts w:ascii="Times New Roman" w:hAnsi="Times New Roman" w:cs="Times New Roman" w:eastAsia="Times New Roman" w:hint="default"/>
          <w:spacing w:val="-3"/>
          <w:w w:val="100"/>
        </w:rPr>
        <w:t>1</w:t>
      </w:r>
      <w:r>
        <w:rPr>
          <w:w w:val="100"/>
        </w:rPr>
        <w:t>日</w:t>
      </w:r>
      <w:r>
        <w:rPr>
          <w:spacing w:val="-3"/>
          <w:w w:val="100"/>
        </w:rPr>
        <w:t>起</w:t>
      </w:r>
      <w:r>
        <w:rPr>
          <w:w w:val="100"/>
        </w:rPr>
        <w:t>执行</w:t>
      </w:r>
      <w:r>
        <w:rPr>
          <w:spacing w:val="-3"/>
          <w:w w:val="100"/>
        </w:rPr>
        <w:t>财</w:t>
      </w:r>
      <w:r>
        <w:rPr>
          <w:w w:val="100"/>
        </w:rPr>
        <w:t>政</w:t>
      </w:r>
      <w:r>
        <w:rPr>
          <w:spacing w:val="-2"/>
          <w:w w:val="100"/>
        </w:rPr>
        <w:t>部</w:t>
      </w:r>
      <w:r>
        <w:rPr>
          <w:rFonts w:ascii="Times New Roman" w:hAnsi="Times New Roman" w:cs="Times New Roman" w:eastAsia="Times New Roman" w:hint="default"/>
          <w:w w:val="100"/>
        </w:rPr>
        <w:t>201</w:t>
      </w:r>
      <w:r>
        <w:rPr>
          <w:rFonts w:ascii="Times New Roman" w:hAnsi="Times New Roman" w:cs="Times New Roman" w:eastAsia="Times New Roman" w:hint="default"/>
          <w:spacing w:val="-3"/>
          <w:w w:val="100"/>
        </w:rPr>
        <w:t>7</w:t>
      </w:r>
      <w:r>
        <w:rPr>
          <w:w w:val="100"/>
        </w:rPr>
        <w:t>年</w:t>
      </w:r>
      <w:r>
        <w:rPr>
          <w:spacing w:val="-3"/>
          <w:w w:val="100"/>
        </w:rPr>
        <w:t>修</w:t>
      </w:r>
      <w:r>
        <w:rPr>
          <w:w w:val="100"/>
        </w:rPr>
        <w:t>订</w:t>
      </w:r>
      <w:r>
        <w:rPr>
          <w:spacing w:val="-80"/>
          <w:w w:val="100"/>
        </w:rPr>
        <w:t>的</w:t>
      </w:r>
      <w:r>
        <w:rPr>
          <w:spacing w:val="-3"/>
          <w:w w:val="100"/>
        </w:rPr>
        <w:t>《</w:t>
      </w:r>
      <w:r>
        <w:rPr>
          <w:w w:val="100"/>
        </w:rPr>
        <w:t>企业</w:t>
      </w:r>
      <w:r>
        <w:rPr>
          <w:spacing w:val="-3"/>
          <w:w w:val="100"/>
        </w:rPr>
        <w:t>会</w:t>
      </w:r>
      <w:r>
        <w:rPr>
          <w:w w:val="100"/>
        </w:rPr>
        <w:t>计</w:t>
      </w:r>
      <w:r>
        <w:rPr>
          <w:spacing w:val="-3"/>
          <w:w w:val="100"/>
        </w:rPr>
        <w:t>准</w:t>
      </w:r>
      <w:r>
        <w:rPr>
          <w:w w:val="100"/>
        </w:rPr>
        <w:t>则</w:t>
      </w:r>
      <w:r>
        <w:rPr>
          <w:spacing w:val="-3"/>
          <w:w w:val="100"/>
        </w:rPr>
        <w:t>第</w:t>
      </w:r>
      <w:r>
        <w:rPr>
          <w:rFonts w:ascii="Times New Roman" w:hAnsi="Times New Roman" w:cs="Times New Roman" w:eastAsia="Times New Roman" w:hint="default"/>
          <w:w w:val="100"/>
        </w:rPr>
        <w:t>22</w:t>
      </w:r>
      <w:r>
        <w:rPr>
          <w:w w:val="100"/>
        </w:rPr>
        <w:t>号</w:t>
      </w:r>
      <w:r>
        <w:rPr>
          <w:rFonts w:ascii="Times New Roman" w:hAnsi="Times New Roman" w:cs="Times New Roman" w:eastAsia="Times New Roman" w:hint="default"/>
          <w:spacing w:val="-4"/>
          <w:w w:val="100"/>
        </w:rPr>
        <w:t>-</w:t>
      </w:r>
      <w:r>
        <w:rPr>
          <w:w w:val="100"/>
        </w:rPr>
        <w:t>金</w:t>
      </w:r>
      <w:r>
        <w:rPr>
          <w:spacing w:val="-3"/>
          <w:w w:val="100"/>
        </w:rPr>
        <w:t>融</w:t>
      </w:r>
      <w:r>
        <w:rPr>
          <w:w w:val="100"/>
        </w:rPr>
        <w:t>工具</w:t>
      </w:r>
      <w:r>
        <w:rPr>
          <w:spacing w:val="-3"/>
          <w:w w:val="100"/>
        </w:rPr>
        <w:t>确</w:t>
      </w:r>
      <w:r>
        <w:rPr>
          <w:w w:val="100"/>
        </w:rPr>
        <w:t>认</w:t>
      </w:r>
      <w:r>
        <w:rPr>
          <w:spacing w:val="-3"/>
          <w:w w:val="100"/>
        </w:rPr>
        <w:t>和</w:t>
      </w:r>
      <w:r>
        <w:rPr>
          <w:w w:val="100"/>
        </w:rPr>
        <w:t>计</w:t>
      </w:r>
      <w:r>
        <w:rPr>
          <w:spacing w:val="-3"/>
          <w:w w:val="100"/>
        </w:rPr>
        <w:t>量</w:t>
      </w:r>
      <w:r>
        <w:rPr>
          <w:spacing w:val="-77"/>
          <w:w w:val="100"/>
        </w:rPr>
        <w:t>》</w:t>
      </w:r>
      <w:r>
        <w:rPr>
          <w:spacing w:val="-157"/>
          <w:w w:val="100"/>
        </w:rPr>
        <w:t>、</w:t>
      </w:r>
      <w:r>
        <w:rPr>
          <w:w w:val="100"/>
        </w:rPr>
        <w:t>《企</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56" w:lineRule="auto" w:before="36"/>
        <w:ind w:right="1128"/>
        <w:jc w:val="both"/>
      </w:pPr>
      <w:r>
        <w:rPr>
          <w:spacing w:val="-2"/>
        </w:rPr>
        <w:t>业会计准则第</w:t>
      </w:r>
      <w:r>
        <w:rPr>
          <w:rFonts w:ascii="Times New Roman" w:hAnsi="Times New Roman" w:cs="Times New Roman" w:eastAsia="Times New Roman" w:hint="default"/>
          <w:spacing w:val="-2"/>
        </w:rPr>
        <w:t>23</w:t>
      </w:r>
      <w:r>
        <w:rPr>
          <w:spacing w:val="-2"/>
        </w:rPr>
        <w:t>号</w:t>
      </w:r>
      <w:r>
        <w:rPr>
          <w:rFonts w:ascii="Times New Roman" w:hAnsi="Times New Roman" w:cs="Times New Roman" w:eastAsia="Times New Roman" w:hint="default"/>
          <w:spacing w:val="-2"/>
        </w:rPr>
        <w:t>-</w:t>
      </w:r>
      <w:r>
        <w:rPr>
          <w:spacing w:val="-2"/>
        </w:rPr>
        <w:t>金融资产转移》和《企业会计准则第</w:t>
      </w:r>
      <w:r>
        <w:rPr>
          <w:rFonts w:ascii="Times New Roman" w:hAnsi="Times New Roman" w:cs="Times New Roman" w:eastAsia="Times New Roman" w:hint="default"/>
          <w:spacing w:val="-2"/>
        </w:rPr>
        <w:t>24</w:t>
      </w:r>
      <w:r>
        <w:rPr>
          <w:spacing w:val="-2"/>
        </w:rPr>
        <w:t>号</w:t>
      </w:r>
      <w:r>
        <w:rPr>
          <w:rFonts w:ascii="Times New Roman" w:hAnsi="Times New Roman" w:cs="Times New Roman" w:eastAsia="Times New Roman" w:hint="default"/>
          <w:spacing w:val="-2"/>
        </w:rPr>
        <w:t>-</w:t>
      </w:r>
      <w:r>
        <w:rPr>
          <w:spacing w:val="-2"/>
        </w:rPr>
        <w:t>套期会计》、《企业会计准则第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w:t>
      </w:r>
      <w:r>
        <w:rPr>
          <w:spacing w:val="-34"/>
        </w:rPr>
        <w:t> </w:t>
      </w:r>
      <w:r>
        <w:rPr>
          <w:spacing w:val="-34"/>
        </w:rPr>
      </w:r>
      <w:r>
        <w:rPr/>
        <w:t>具列报》（以上四项统称</w:t>
      </w:r>
      <w:r>
        <w:rPr>
          <w:rFonts w:ascii="Times New Roman" w:hAnsi="Times New Roman" w:cs="Times New Roman" w:eastAsia="Times New Roman" w:hint="default"/>
        </w:rPr>
        <w:t>&lt;</w:t>
      </w:r>
      <w:r>
        <w:rPr/>
        <w:t>新金融工具准则</w:t>
      </w:r>
      <w:r>
        <w:rPr>
          <w:rFonts w:ascii="Times New Roman" w:hAnsi="Times New Roman" w:cs="Times New Roman" w:eastAsia="Times New Roman" w:hint="default"/>
        </w:rPr>
        <w:t>&gt;</w:t>
      </w:r>
      <w:r>
        <w:rPr/>
        <w:t>）。</w:t>
      </w:r>
    </w:p>
    <w:p>
      <w:pPr>
        <w:spacing w:line="273" w:lineRule="auto" w:before="125"/>
        <w:ind w:left="573" w:right="1133" w:firstLine="4"/>
        <w:jc w:val="left"/>
        <w:rPr>
          <w:rFonts w:ascii="宋体" w:hAnsi="宋体" w:cs="宋体" w:eastAsia="宋体" w:hint="default"/>
          <w:sz w:val="21"/>
          <w:szCs w:val="21"/>
        </w:rPr>
      </w:pPr>
      <w:r>
        <w:rPr>
          <w:rFonts w:ascii="宋体" w:hAnsi="宋体" w:cs="宋体" w:eastAsia="宋体" w:hint="default"/>
          <w:b/>
          <w:bCs/>
          <w:sz w:val="21"/>
          <w:szCs w:val="21"/>
        </w:rPr>
        <w:t>执行新金融工具准则对本公司的影响</w:t>
      </w:r>
      <w:r>
        <w:rPr>
          <w:rFonts w:ascii="宋体" w:hAnsi="宋体" w:cs="宋体" w:eastAsia="宋体" w:hint="default"/>
          <w:b/>
          <w:bCs/>
          <w:w w:val="100"/>
          <w:sz w:val="21"/>
          <w:szCs w:val="21"/>
        </w:rPr>
        <w:t> </w:t>
      </w:r>
      <w:r>
        <w:rPr>
          <w:rFonts w:ascii="宋体" w:hAnsi="宋体" w:cs="宋体" w:eastAsia="宋体" w:hint="default"/>
          <w:spacing w:val="-2"/>
          <w:sz w:val="21"/>
          <w:szCs w:val="21"/>
        </w:rPr>
        <w:t>与</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日之前的金融工具确认和计量与新金融工具准则要求不一致的，本公司按照新金融工具</w:t>
      </w:r>
    </w:p>
    <w:p>
      <w:pPr>
        <w:pStyle w:val="BodyText"/>
        <w:spacing w:line="264" w:lineRule="auto" w:before="0"/>
        <w:ind w:right="1126"/>
        <w:jc w:val="both"/>
      </w:pPr>
      <w:r>
        <w:rPr>
          <w:spacing w:val="-2"/>
        </w:rPr>
        <w:t>准则的要求进行衔接调整。涉及前期比较财务报表数据与新金融工具准则要求不一致的，本公司未调整可</w:t>
      </w:r>
      <w:r>
        <w:rPr>
          <w:spacing w:val="-44"/>
        </w:rPr>
        <w:t> </w:t>
      </w:r>
      <w:r>
        <w:rPr>
          <w:spacing w:val="-44"/>
        </w:rPr>
      </w:r>
      <w:r>
        <w:rPr>
          <w:spacing w:val="-2"/>
        </w:rPr>
        <w:t>比期间信息。金融工具原账面价值和新金融工具准则施行日的新账面价值之间的差额，计入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w:t>
      </w:r>
      <w:r>
        <w:rPr>
          <w:spacing w:val="-37"/>
        </w:rPr>
        <w:t> </w:t>
      </w:r>
      <w:r>
        <w:rPr/>
        <w:t>留存收益或其他综合收益。</w:t>
      </w:r>
    </w:p>
    <w:p>
      <w:pPr>
        <w:pStyle w:val="BodyText"/>
        <w:spacing w:line="240" w:lineRule="auto" w:before="16"/>
        <w:ind w:left="573" w:right="1133"/>
        <w:jc w:val="left"/>
      </w:pPr>
      <w:r>
        <w:rPr/>
        <w:t>执行新金融工具准则对本期期初资产负债表相关项目的影响列示如下：</w:t>
      </w:r>
    </w:p>
    <w:p>
      <w:pPr>
        <w:spacing w:line="240" w:lineRule="auto" w:before="10"/>
        <w:rPr>
          <w:rFonts w:ascii="宋体" w:hAnsi="宋体" w:cs="宋体" w:eastAsia="宋体" w:hint="default"/>
          <w:sz w:val="3"/>
          <w:szCs w:val="3"/>
        </w:rPr>
      </w:pPr>
    </w:p>
    <w:tbl>
      <w:tblPr>
        <w:tblW w:w="0" w:type="auto"/>
        <w:jc w:val="left"/>
        <w:tblInd w:w="138" w:type="dxa"/>
        <w:tblLayout w:type="fixed"/>
        <w:tblCellMar>
          <w:top w:w="0" w:type="dxa"/>
          <w:left w:w="0" w:type="dxa"/>
          <w:bottom w:w="0" w:type="dxa"/>
          <w:right w:w="0" w:type="dxa"/>
        </w:tblCellMar>
        <w:tblLook w:val="01E0"/>
      </w:tblPr>
      <w:tblGrid>
        <w:gridCol w:w="2069"/>
        <w:gridCol w:w="1345"/>
        <w:gridCol w:w="1822"/>
        <w:gridCol w:w="2006"/>
        <w:gridCol w:w="232"/>
        <w:gridCol w:w="904"/>
        <w:gridCol w:w="1282"/>
      </w:tblGrid>
      <w:tr>
        <w:trPr>
          <w:trHeight w:val="341" w:hRule="exact"/>
        </w:trPr>
        <w:tc>
          <w:tcPr>
            <w:tcW w:w="206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34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496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累计影响金额</w:t>
            </w:r>
          </w:p>
        </w:tc>
        <w:tc>
          <w:tcPr>
            <w:tcW w:w="128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343" w:hRule="exact"/>
        </w:trPr>
        <w:tc>
          <w:tcPr>
            <w:tcW w:w="2069" w:type="dxa"/>
            <w:vMerge/>
            <w:tcBorders>
              <w:left w:val="single" w:sz="4" w:space="0" w:color="000000"/>
              <w:bottom w:val="single" w:sz="4" w:space="0" w:color="000000"/>
              <w:right w:val="single" w:sz="4" w:space="0" w:color="000000"/>
            </w:tcBorders>
          </w:tcPr>
          <w:p>
            <w:pPr/>
          </w:p>
        </w:tc>
        <w:tc>
          <w:tcPr>
            <w:tcW w:w="1345"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5"/>
              <w:jc w:val="right"/>
              <w:rPr>
                <w:rFonts w:ascii="宋体" w:hAnsi="宋体" w:cs="宋体" w:eastAsia="宋体" w:hint="default"/>
                <w:sz w:val="18"/>
                <w:szCs w:val="18"/>
              </w:rPr>
            </w:pPr>
            <w:r>
              <w:rPr>
                <w:rFonts w:ascii="宋体" w:hAnsi="宋体" w:cs="宋体" w:eastAsia="宋体" w:hint="default"/>
                <w:sz w:val="18"/>
                <w:szCs w:val="18"/>
              </w:rPr>
              <w:t>分类和计量影响（注</w:t>
            </w:r>
            <w:r>
              <w:rPr>
                <w:rFonts w:ascii="Times New Roman" w:hAnsi="Times New Roman" w:cs="Times New Roman" w:eastAsia="Times New Roman" w:hint="default"/>
                <w:spacing w:val="1"/>
                <w:sz w:val="18"/>
                <w:szCs w:val="18"/>
              </w:rPr>
              <w:t>1</w:t>
            </w:r>
            <w:r>
              <w:rPr>
                <w:rFonts w:ascii="宋体" w:hAnsi="宋体" w:cs="宋体" w:eastAsia="宋体" w:hint="default"/>
                <w:spacing w:val="-72"/>
                <w:sz w:val="18"/>
                <w:szCs w:val="18"/>
              </w:rPr>
              <w:t>）</w:t>
            </w:r>
            <w:r>
              <w:rPr>
                <w:rFonts w:ascii="宋体" w:hAnsi="宋体" w:cs="宋体" w:eastAsia="宋体" w:hint="default"/>
                <w:sz w:val="18"/>
                <w:szCs w:val="18"/>
              </w:rPr>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金融资产减值影响（注</w:t>
            </w:r>
            <w:r>
              <w:rPr>
                <w:rFonts w:ascii="Times New Roman" w:hAnsi="Times New Roman" w:cs="Times New Roman" w:eastAsia="Times New Roman" w:hint="default"/>
                <w:sz w:val="18"/>
                <w:szCs w:val="18"/>
              </w:rPr>
              <w:t>2</w:t>
            </w:r>
          </w:p>
        </w:tc>
        <w:tc>
          <w:tcPr>
            <w:tcW w:w="2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111" w:right="0"/>
              <w:jc w:val="left"/>
              <w:rPr>
                <w:rFonts w:ascii="宋体" w:hAnsi="宋体" w:cs="宋体" w:eastAsia="宋体" w:hint="default"/>
                <w:sz w:val="18"/>
                <w:szCs w:val="18"/>
              </w:rPr>
            </w:pPr>
            <w:r>
              <w:rPr>
                <w:rFonts w:ascii="宋体" w:hAnsi="宋体" w:cs="宋体" w:eastAsia="宋体" w:hint="default"/>
                <w:sz w:val="18"/>
                <w:szCs w:val="18"/>
              </w:rPr>
              <w:t>）</w:t>
            </w:r>
          </w:p>
        </w:tc>
        <w:tc>
          <w:tcPr>
            <w:tcW w:w="9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5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82" w:type="dxa"/>
            <w:vMerge/>
            <w:tcBorders>
              <w:left w:val="single" w:sz="4" w:space="0" w:color="000000"/>
              <w:bottom w:val="single" w:sz="4" w:space="0" w:color="000000"/>
              <w:right w:val="single" w:sz="4" w:space="0" w:color="000000"/>
            </w:tcBorders>
          </w:tcPr>
          <w:p>
            <w:pPr/>
          </w:p>
        </w:tc>
      </w:tr>
      <w:tr>
        <w:trPr>
          <w:trHeight w:val="341"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2,000,000.00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-2,000,000.00</w:t>
            </w:r>
          </w:p>
        </w:tc>
        <w:tc>
          <w:tcPr>
            <w:tcW w:w="2006" w:type="dxa"/>
            <w:tcBorders>
              <w:top w:val="single" w:sz="4" w:space="0" w:color="000000"/>
              <w:left w:val="single" w:sz="4" w:space="0" w:color="000000"/>
              <w:bottom w:val="single" w:sz="4" w:space="0" w:color="000000"/>
              <w:right w:val="single" w:sz="4" w:space="0" w:color="000000"/>
            </w:tcBorders>
          </w:tcPr>
          <w:p>
            <w:pP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17" w:right="0"/>
              <w:jc w:val="left"/>
              <w:rPr>
                <w:rFonts w:ascii="Times New Roman" w:hAnsi="Times New Roman" w:cs="Times New Roman" w:eastAsia="Times New Roman" w:hint="default"/>
                <w:sz w:val="18"/>
                <w:szCs w:val="18"/>
              </w:rPr>
            </w:pPr>
            <w:r>
              <w:rPr>
                <w:rFonts w:ascii="Times New Roman"/>
                <w:sz w:val="18"/>
              </w:rPr>
              <w:t>-2,000,000.00</w:t>
            </w:r>
          </w:p>
        </w:tc>
        <w:tc>
          <w:tcPr>
            <w:tcW w:w="1282" w:type="dxa"/>
            <w:tcBorders>
              <w:top w:val="single" w:sz="4" w:space="0" w:color="000000"/>
              <w:left w:val="single" w:sz="4" w:space="0" w:color="000000"/>
              <w:bottom w:val="single" w:sz="4" w:space="0" w:color="000000"/>
              <w:right w:val="single" w:sz="4" w:space="0" w:color="000000"/>
            </w:tcBorders>
          </w:tcPr>
          <w:p>
            <w:pPr/>
          </w:p>
        </w:tc>
      </w:tr>
      <w:tr>
        <w:trPr>
          <w:trHeight w:val="344"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345"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2,000,000.00</w:t>
            </w:r>
          </w:p>
        </w:tc>
        <w:tc>
          <w:tcPr>
            <w:tcW w:w="2006" w:type="dxa"/>
            <w:tcBorders>
              <w:top w:val="single" w:sz="4" w:space="0" w:color="000000"/>
              <w:left w:val="single" w:sz="4" w:space="0" w:color="000000"/>
              <w:bottom w:val="single" w:sz="4" w:space="0" w:color="000000"/>
              <w:right w:val="single" w:sz="4" w:space="0" w:color="000000"/>
            </w:tcBorders>
          </w:tcPr>
          <w:p>
            <w:pP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77" w:right="0"/>
              <w:jc w:val="left"/>
              <w:rPr>
                <w:rFonts w:ascii="Times New Roman" w:hAnsi="Times New Roman" w:cs="Times New Roman" w:eastAsia="Times New Roman" w:hint="default"/>
                <w:sz w:val="18"/>
                <w:szCs w:val="18"/>
              </w:rPr>
            </w:pPr>
            <w:r>
              <w:rPr>
                <w:rFonts w:ascii="Times New Roman"/>
                <w:sz w:val="18"/>
              </w:rPr>
              <w:t>2,000,000.00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341"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923,461,339.03</w:t>
            </w:r>
          </w:p>
        </w:tc>
        <w:tc>
          <w:tcPr>
            <w:tcW w:w="1822"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800,000.00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09" w:right="0"/>
              <w:jc w:val="left"/>
              <w:rPr>
                <w:rFonts w:ascii="Times New Roman" w:hAnsi="Times New Roman" w:cs="Times New Roman" w:eastAsia="Times New Roman" w:hint="default"/>
                <w:sz w:val="18"/>
                <w:szCs w:val="18"/>
              </w:rPr>
            </w:pPr>
            <w:r>
              <w:rPr>
                <w:rFonts w:ascii="Times New Roman"/>
                <w:sz w:val="18"/>
              </w:rPr>
              <w:t>800,000.00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924,261,339.03</w:t>
            </w:r>
          </w:p>
        </w:tc>
      </w:tr>
      <w:tr>
        <w:trPr>
          <w:trHeight w:val="343"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345"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-800,000.00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52" w:right="0"/>
              <w:jc w:val="left"/>
              <w:rPr>
                <w:rFonts w:ascii="Times New Roman" w:hAnsi="Times New Roman" w:cs="Times New Roman" w:eastAsia="Times New Roman" w:hint="default"/>
                <w:sz w:val="18"/>
                <w:szCs w:val="18"/>
              </w:rPr>
            </w:pPr>
            <w:r>
              <w:rPr>
                <w:rFonts w:ascii="Times New Roman"/>
                <w:sz w:val="18"/>
              </w:rPr>
              <w:t>-800,000.00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-800,000.00</w:t>
            </w:r>
          </w:p>
        </w:tc>
      </w:tr>
    </w:tbl>
    <w:p>
      <w:pPr>
        <w:pStyle w:val="BodyText"/>
        <w:spacing w:line="264" w:lineRule="auto" w:before="0"/>
        <w:ind w:right="1126" w:firstLine="420"/>
        <w:jc w:val="both"/>
      </w:pPr>
      <w:r>
        <w:rPr>
          <w:spacing w:val="-8"/>
        </w:rPr>
        <w:t>注</w:t>
      </w:r>
      <w:r>
        <w:rPr>
          <w:rFonts w:ascii="Times New Roman" w:hAnsi="Times New Roman" w:cs="Times New Roman" w:eastAsia="Times New Roman" w:hint="default"/>
          <w:spacing w:val="-8"/>
        </w:rPr>
        <w:t>1</w:t>
      </w:r>
      <w:r>
        <w:rPr>
          <w:spacing w:val="-8"/>
        </w:rPr>
        <w:t>：于</w:t>
      </w:r>
      <w:r>
        <w:rPr>
          <w:spacing w:val="32"/>
        </w:rPr>
        <w:t> </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日，账面价值</w:t>
      </w:r>
      <w:r>
        <w:rPr>
          <w:rFonts w:ascii="Times New Roman" w:hAnsi="Times New Roman" w:cs="Times New Roman" w:eastAsia="Times New Roman" w:hint="default"/>
          <w:spacing w:val="-2"/>
        </w:rPr>
        <w:t>2,000,000.00</w:t>
      </w:r>
      <w:r>
        <w:rPr>
          <w:spacing w:val="-2"/>
        </w:rPr>
        <w:t>元的可供出售金融资产被重分类至其他权益工具投资项</w:t>
      </w:r>
      <w:r>
        <w:rPr>
          <w:w w:val="100"/>
        </w:rPr>
        <w:t> </w:t>
      </w:r>
      <w:r>
        <w:rPr>
          <w:spacing w:val="-2"/>
        </w:rPr>
        <w:t>目，该部分投资属于非交易性权益工具投资，并且本集团预计不会在可预见的未来出售。上述可供出售金</w:t>
      </w:r>
      <w:r>
        <w:rPr>
          <w:spacing w:val="-42"/>
        </w:rPr>
        <w:t> </w:t>
      </w:r>
      <w:r>
        <w:rPr>
          <w:spacing w:val="-42"/>
        </w:rPr>
      </w:r>
      <w:r>
        <w:rPr>
          <w:spacing w:val="-2"/>
        </w:rPr>
        <w:t>融资产为在活跃市场中没有报价且其公允价值不能可靠计量的权益工具投资，于以前期间根据原金融工具</w:t>
      </w:r>
      <w:r>
        <w:rPr>
          <w:spacing w:val="-43"/>
        </w:rPr>
        <w:t> </w:t>
      </w:r>
      <w:r>
        <w:rPr>
          <w:spacing w:val="-43"/>
        </w:rPr>
      </w:r>
      <w:r>
        <w:rPr>
          <w:spacing w:val="-2"/>
        </w:rPr>
        <w:t>准则按照成本计量。于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日对该部分股权投资采用公允价值计量，其他权益工具投资公允价值与</w:t>
      </w:r>
      <w:r>
        <w:rPr>
          <w:spacing w:val="-41"/>
        </w:rPr>
        <w:t> </w:t>
      </w:r>
      <w:r>
        <w:rPr>
          <w:spacing w:val="-41"/>
        </w:rPr>
      </w:r>
      <w:r>
        <w:rPr/>
        <w:t>账面价值一致。</w:t>
      </w:r>
    </w:p>
    <w:p>
      <w:pPr>
        <w:pStyle w:val="BodyText"/>
        <w:spacing w:line="256" w:lineRule="auto" w:before="16"/>
        <w:ind w:right="1188" w:firstLine="336"/>
        <w:jc w:val="both"/>
      </w:pPr>
      <w:r>
        <w:rPr>
          <w:spacing w:val="-2"/>
        </w:rPr>
        <w:t>注</w:t>
      </w:r>
      <w:r>
        <w:rPr>
          <w:rFonts w:ascii="Times New Roman" w:hAnsi="Times New Roman" w:cs="Times New Roman" w:eastAsia="Times New Roman" w:hint="default"/>
          <w:spacing w:val="-2"/>
        </w:rPr>
        <w:t>2</w:t>
      </w:r>
      <w:r>
        <w:rPr>
          <w:spacing w:val="-2"/>
        </w:rPr>
        <w:t>：以前期间确认的非交易性权益工具投资减值损失</w:t>
      </w:r>
      <w:r>
        <w:rPr>
          <w:rFonts w:ascii="Times New Roman" w:hAnsi="Times New Roman" w:cs="Times New Roman" w:eastAsia="Times New Roman" w:hint="default"/>
          <w:spacing w:val="-2"/>
        </w:rPr>
        <w:t>800,000.00</w:t>
      </w:r>
      <w:r>
        <w:rPr>
          <w:spacing w:val="-2"/>
        </w:rPr>
        <w:t>元于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日从留存收益转入其</w:t>
      </w:r>
      <w:r>
        <w:rPr>
          <w:w w:val="100"/>
        </w:rPr>
        <w:t> </w:t>
      </w:r>
      <w:r>
        <w:rPr/>
        <w:t>他综合收益（其他权益工具投资公允价值变动）。</w:t>
      </w:r>
    </w:p>
    <w:p>
      <w:pPr>
        <w:spacing w:line="240" w:lineRule="auto" w:before="9"/>
        <w:rPr>
          <w:rFonts w:ascii="宋体" w:hAnsi="宋体" w:cs="宋体" w:eastAsia="宋体" w:hint="default"/>
          <w:sz w:val="22"/>
          <w:szCs w:val="22"/>
        </w:rPr>
      </w:pPr>
    </w:p>
    <w:p>
      <w:pPr>
        <w:pStyle w:val="Heading2"/>
        <w:spacing w:line="240" w:lineRule="auto"/>
        <w:ind w:right="1133"/>
        <w:jc w:val="left"/>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spacing w:line="338" w:lineRule="auto" w:before="0"/>
        <w:ind w:left="152" w:right="6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4"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46</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钟平修、曹云华</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before="11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r>
        <w:rPr/>
        <w:pict>
          <v:shape style="position:absolute;margin-left:101.306999pt;margin-top:544.880005pt;width:104.1pt;height:164.8pt;mso-position-horizontal-relative:page;mso-position-vertical-relative:page;z-index:-107668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并提交相关证据。</w:t>
                  </w:r>
                </w:p>
              </w:txbxContent>
            </v:textbox>
            <w10:wrap type="none"/>
          </v:shape>
        </w:pict>
      </w:r>
      <w:r>
        <w:rPr/>
        <w:pict>
          <v:group style="position:absolute;margin-left:170.419998pt;margin-top:544.880005pt;width:34.950pt;height:164.8pt;mso-position-horizontal-relative:page;mso-position-vertical-relative:page;z-index:-1076656" coordorigin="3408,10898" coordsize="699,3296">
            <v:shape style="position:absolute;left:3408;top:10898;width:699;height:3296" coordorigin="3408,10898" coordsize="699,3296" path="m3408,14193l4107,14193,4107,10898,3408,10898,3408,14193xe" filled="true" fillcolor="#ffffff" stroked="false">
              <v:path arrowok="t"/>
              <v:fill type="solid"/>
            </v:shape>
            <w10:wrap type="none"/>
          </v:group>
        </w:pict>
      </w:r>
      <w:r>
        <w:rPr/>
        <w:pict>
          <v:group style="position:absolute;margin-left:313.25pt;margin-top:518.469971pt;width:75.3pt;height:15.6pt;mso-position-horizontal-relative:page;mso-position-vertical-relative:page;z-index:-1076632" coordorigin="6265,10369" coordsize="1506,312">
            <v:shape style="position:absolute;left:6265;top:10369;width:1506;height:312" coordorigin="6265,10369" coordsize="1506,312" path="m6265,10681l7770,10681,7770,10369,6265,10369,6265,10681xe" filled="true" fillcolor="#ffffff" stroked="false">
              <v:path arrowok="t"/>
              <v:fill type="solid"/>
            </v:shape>
            <w10:wrap type="none"/>
          </v:group>
        </w:pict>
      </w: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聘请内部控制审计会计师事务所、财务顾问或保荐人情况</w:t>
      </w:r>
    </w:p>
    <w:p>
      <w:pPr>
        <w:spacing w:before="117"/>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9"/>
        <w:rPr>
          <w:rFonts w:ascii="宋体" w:hAnsi="宋体" w:cs="宋体" w:eastAsia="宋体" w:hint="default"/>
          <w:sz w:val="19"/>
          <w:szCs w:val="19"/>
        </w:rPr>
      </w:pPr>
    </w:p>
    <w:p>
      <w:pPr>
        <w:pStyle w:val="Heading2"/>
        <w:spacing w:line="240" w:lineRule="auto"/>
        <w:ind w:right="1133"/>
        <w:jc w:val="left"/>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68"/>
        <w:gridCol w:w="709"/>
        <w:gridCol w:w="710"/>
        <w:gridCol w:w="1428"/>
        <w:gridCol w:w="1548"/>
        <w:gridCol w:w="850"/>
        <w:gridCol w:w="853"/>
        <w:gridCol w:w="1205"/>
      </w:tblGrid>
      <w:tr>
        <w:trPr>
          <w:trHeight w:val="1025"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50"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基本情况</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both"/>
              <w:rPr>
                <w:rFonts w:ascii="宋体" w:hAnsi="宋体" w:cs="宋体" w:eastAsia="宋体" w:hint="default"/>
                <w:sz w:val="18"/>
                <w:szCs w:val="18"/>
              </w:rPr>
            </w:pPr>
            <w:r>
              <w:rPr>
                <w:rFonts w:ascii="宋体" w:hAnsi="宋体" w:cs="宋体" w:eastAsia="宋体" w:hint="default"/>
                <w:sz w:val="18"/>
                <w:szCs w:val="18"/>
              </w:rPr>
              <w:t>涉案金 额（万 元）</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 w:right="77"/>
              <w:jc w:val="both"/>
              <w:rPr>
                <w:rFonts w:ascii="宋体" w:hAnsi="宋体" w:cs="宋体" w:eastAsia="宋体" w:hint="default"/>
                <w:sz w:val="18"/>
                <w:szCs w:val="18"/>
              </w:rPr>
            </w:pPr>
            <w:r>
              <w:rPr>
                <w:rFonts w:ascii="宋体" w:hAnsi="宋体" w:cs="宋体" w:eastAsia="宋体" w:hint="default"/>
                <w:sz w:val="18"/>
                <w:szCs w:val="18"/>
              </w:rPr>
              <w:t>是否形 成预计 负债</w:t>
            </w:r>
          </w:p>
        </w:tc>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403" w:right="83" w:hanging="329"/>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审理结 果及影响</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31" w:right="26" w:hanging="3"/>
              <w:jc w:val="center"/>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 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判决执 行情况</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699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pacing w:val="-41"/>
                <w:sz w:val="18"/>
                <w:szCs w:val="18"/>
              </w:rPr>
              <w:t> </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：卫士通全资子公司中</w:t>
            </w:r>
            <w:r>
              <w:rPr>
                <w:rFonts w:ascii="宋体" w:hAnsi="宋体" w:cs="宋体" w:eastAsia="宋体" w:hint="default"/>
                <w:sz w:val="18"/>
                <w:szCs w:val="18"/>
              </w:rPr>
              <w:t> 电科（北京）网络信息安全 </w:t>
            </w:r>
            <w:r>
              <w:rPr>
                <w:rFonts w:ascii="宋体" w:hAnsi="宋体" w:cs="宋体" w:eastAsia="宋体" w:hint="default"/>
                <w:spacing w:val="-2"/>
                <w:sz w:val="18"/>
                <w:szCs w:val="18"/>
              </w:rPr>
              <w:t>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北京网</w:t>
            </w:r>
            <w:r>
              <w:rPr>
                <w:rFonts w:ascii="宋体" w:hAnsi="宋体" w:cs="宋体" w:eastAsia="宋体" w:hint="default"/>
                <w:sz w:val="18"/>
                <w:szCs w:val="18"/>
              </w:rPr>
              <w:t> </w:t>
            </w:r>
            <w:r>
              <w:rPr>
                <w:rFonts w:ascii="宋体" w:hAnsi="宋体" w:cs="宋体" w:eastAsia="宋体" w:hint="default"/>
                <w:spacing w:val="-2"/>
                <w:sz w:val="18"/>
                <w:szCs w:val="18"/>
              </w:rPr>
              <w:t>安</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）向北京市第二中级人民</w:t>
            </w:r>
            <w:r>
              <w:rPr>
                <w:rFonts w:ascii="宋体" w:hAnsi="宋体" w:cs="宋体" w:eastAsia="宋体" w:hint="default"/>
                <w:sz w:val="18"/>
                <w:szCs w:val="18"/>
              </w:rPr>
              <w:t> 法院提交了民事诉讼状，就 北京网安向北京金丰科华房 地产开发有限公司（以下简 称</w:t>
            </w:r>
            <w:r>
              <w:rPr>
                <w:rFonts w:ascii="Times New Roman" w:hAnsi="Times New Roman" w:cs="Times New Roman" w:eastAsia="Times New Roman" w:hint="default"/>
                <w:sz w:val="18"/>
                <w:szCs w:val="18"/>
              </w:rPr>
              <w:t>"</w:t>
            </w:r>
            <w:r>
              <w:rPr>
                <w:rFonts w:ascii="宋体" w:hAnsi="宋体" w:cs="宋体" w:eastAsia="宋体" w:hint="default"/>
                <w:sz w:val="18"/>
                <w:szCs w:val="18"/>
              </w:rPr>
              <w:t>金丰科华</w:t>
            </w:r>
            <w:r>
              <w:rPr>
                <w:rFonts w:ascii="Times New Roman" w:hAnsi="Times New Roman" w:cs="Times New Roman" w:eastAsia="Times New Roman" w:hint="default"/>
                <w:sz w:val="18"/>
                <w:szCs w:val="18"/>
              </w:rPr>
              <w:t>"</w:t>
            </w:r>
            <w:r>
              <w:rPr>
                <w:rFonts w:ascii="宋体" w:hAnsi="宋体" w:cs="宋体" w:eastAsia="宋体" w:hint="default"/>
                <w:sz w:val="18"/>
                <w:szCs w:val="18"/>
              </w:rPr>
              <w:t>）购买的北京 市丰台区花乡四合庄</w:t>
            </w:r>
          </w:p>
          <w:p>
            <w:pPr>
              <w:pStyle w:val="TableParagraph"/>
              <w:spacing w:line="312" w:lineRule="auto" w:before="24"/>
              <w:ind w:left="24"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1516-15 </w:t>
            </w:r>
            <w:r>
              <w:rPr>
                <w:rFonts w:ascii="宋体" w:hAnsi="宋体" w:cs="宋体" w:eastAsia="宋体" w:hint="default"/>
                <w:sz w:val="18"/>
                <w:szCs w:val="18"/>
              </w:rPr>
              <w:t>地块上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办公商业 楼及该房屋对应土地使用权 的查封事项提起执行异议之 </w:t>
            </w:r>
            <w:r>
              <w:rPr>
                <w:rFonts w:ascii="宋体" w:hAnsi="宋体" w:cs="宋体" w:eastAsia="宋体" w:hint="default"/>
                <w:spacing w:val="-5"/>
                <w:sz w:val="18"/>
                <w:szCs w:val="18"/>
              </w:rPr>
              <w:t>诉。北京网安已经于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309" w:lineRule="auto" w:before="3"/>
              <w:ind w:left="24" w:right="24"/>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日向北京市第二中级 人民法院提起执行异议之诉 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122 </w:t>
            </w:r>
            <w:r>
              <w:rPr>
                <w:rFonts w:ascii="宋体" w:hAnsi="宋体" w:cs="宋体" w:eastAsia="宋体" w:hint="default"/>
                <w:sz w:val="18"/>
                <w:szCs w:val="18"/>
              </w:rPr>
              <w:t>案，</w:t>
            </w:r>
          </w:p>
          <w:p>
            <w:pPr>
              <w:pStyle w:val="TableParagraph"/>
              <w:spacing w:line="314" w:lineRule="auto" w:before="46"/>
              <w:ind w:left="24" w:right="19"/>
              <w:jc w:val="both"/>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pacing w:val="-41"/>
                <w:sz w:val="18"/>
                <w:szCs w:val="18"/>
              </w:rPr>
              <w:t> </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：北京中宏瑞德投资管</w:t>
            </w:r>
            <w:r>
              <w:rPr>
                <w:rFonts w:ascii="宋体" w:hAnsi="宋体" w:cs="宋体" w:eastAsia="宋体" w:hint="default"/>
                <w:sz w:val="18"/>
                <w:szCs w:val="18"/>
              </w:rPr>
              <w:t> 理中心（有限合伙）以排除 妨害为由起诉北京金丰科华 房地产开发有限公司、北京 网安及诺亚商业保理有限公 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1428"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25"/>
              <w:ind w:left="23" w:right="17"/>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：北京市第</w:t>
            </w:r>
            <w:r>
              <w:rPr>
                <w:rFonts w:ascii="宋体" w:hAnsi="宋体" w:cs="宋体" w:eastAsia="宋体" w:hint="default"/>
                <w:sz w:val="18"/>
                <w:szCs w:val="18"/>
              </w:rPr>
              <w:t> 二中级人民法院 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pacing w:val="-10"/>
                <w:sz w:val="18"/>
                <w:szCs w:val="18"/>
              </w:rPr>
              <w:t>日出具《受理案件</w:t>
            </w:r>
            <w:r>
              <w:rPr>
                <w:rFonts w:ascii="宋体" w:hAnsi="宋体" w:cs="宋体" w:eastAsia="宋体" w:hint="default"/>
                <w:sz w:val="18"/>
                <w:szCs w:val="18"/>
              </w:rPr>
              <w:t> </w:t>
            </w:r>
            <w:r>
              <w:rPr>
                <w:rFonts w:ascii="宋体" w:hAnsi="宋体" w:cs="宋体" w:eastAsia="宋体" w:hint="default"/>
                <w:spacing w:val="-10"/>
                <w:sz w:val="18"/>
                <w:szCs w:val="18"/>
              </w:rPr>
              <w:t>通知书》及《诉讼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2"/>
                <w:sz w:val="18"/>
                <w:szCs w:val="18"/>
              </w:rPr>
              <w:t>费交费通知书》，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受理了本案。</w:t>
            </w:r>
          </w:p>
          <w:p>
            <w:pPr>
              <w:pStyle w:val="TableParagraph"/>
              <w:spacing w:line="312" w:lineRule="auto" w:before="63"/>
              <w:ind w:left="23" w:right="-34"/>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：公司收到</w:t>
            </w:r>
            <w:r>
              <w:rPr>
                <w:rFonts w:ascii="宋体" w:hAnsi="宋体" w:cs="宋体" w:eastAsia="宋体" w:hint="default"/>
                <w:sz w:val="18"/>
                <w:szCs w:val="18"/>
              </w:rPr>
              <w:t> 了北京市丰台区 </w:t>
            </w:r>
            <w:r>
              <w:rPr>
                <w:rFonts w:ascii="宋体" w:hAnsi="宋体" w:cs="宋体" w:eastAsia="宋体" w:hint="default"/>
                <w:spacing w:val="-3"/>
                <w:sz w:val="18"/>
                <w:szCs w:val="18"/>
              </w:rPr>
              <w:t>人民法院（</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w:t>
            </w:r>
            <w:r>
              <w:rPr>
                <w:rFonts w:ascii="宋体" w:hAnsi="宋体" w:cs="宋体" w:eastAsia="宋体" w:hint="default"/>
                <w:spacing w:val="-86"/>
                <w:sz w:val="18"/>
                <w:szCs w:val="18"/>
              </w:rPr>
              <w:t> </w:t>
            </w:r>
            <w:r>
              <w:rPr>
                <w:rFonts w:ascii="宋体" w:hAnsi="宋体" w:cs="宋体" w:eastAsia="宋体" w:hint="default"/>
                <w:sz w:val="18"/>
                <w:szCs w:val="18"/>
              </w:rPr>
              <w:t>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民初 </w:t>
            </w:r>
            <w:r>
              <w:rPr>
                <w:rFonts w:ascii="Times New Roman" w:hAnsi="Times New Roman" w:cs="Times New Roman" w:eastAsia="Times New Roman" w:hint="default"/>
                <w:sz w:val="18"/>
                <w:szCs w:val="18"/>
              </w:rPr>
              <w:t>25387</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号《民事裁</w:t>
            </w:r>
            <w:r>
              <w:rPr>
                <w:rFonts w:ascii="宋体" w:hAnsi="宋体" w:cs="宋体" w:eastAsia="宋体" w:hint="default"/>
                <w:sz w:val="18"/>
                <w:szCs w:val="18"/>
              </w:rPr>
              <w:t> </w:t>
            </w:r>
            <w:r>
              <w:rPr>
                <w:rFonts w:ascii="宋体" w:hAnsi="宋体" w:cs="宋体" w:eastAsia="宋体" w:hint="default"/>
                <w:spacing w:val="-12"/>
                <w:sz w:val="18"/>
                <w:szCs w:val="18"/>
              </w:rPr>
              <w:t>定书》，裁定“中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电科（北京）网络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信息安全有限公 </w:t>
            </w:r>
            <w:r>
              <w:rPr>
                <w:rFonts w:ascii="宋体" w:hAnsi="宋体" w:cs="宋体" w:eastAsia="宋体" w:hint="default"/>
                <w:spacing w:val="-10"/>
                <w:sz w:val="18"/>
                <w:szCs w:val="18"/>
              </w:rPr>
              <w:t>司、诺亚商业保理</w:t>
            </w:r>
            <w:r>
              <w:rPr>
                <w:rFonts w:ascii="宋体" w:hAnsi="宋体" w:cs="宋体" w:eastAsia="宋体" w:hint="default"/>
                <w:sz w:val="18"/>
                <w:szCs w:val="18"/>
              </w:rPr>
              <w:t> 有限公司提出的 </w:t>
            </w:r>
            <w:r>
              <w:rPr>
                <w:rFonts w:ascii="宋体" w:hAnsi="宋体" w:cs="宋体" w:eastAsia="宋体" w:hint="default"/>
                <w:spacing w:val="-10"/>
                <w:sz w:val="18"/>
                <w:szCs w:val="18"/>
              </w:rPr>
              <w:t>异议成立，本案移</w:t>
            </w:r>
            <w:r>
              <w:rPr>
                <w:rFonts w:ascii="宋体" w:hAnsi="宋体" w:cs="宋体" w:eastAsia="宋体" w:hint="default"/>
                <w:sz w:val="18"/>
                <w:szCs w:val="18"/>
              </w:rPr>
              <w:t> 送北京市高级人 民法院处理。</w:t>
            </w:r>
          </w:p>
        </w:tc>
        <w:tc>
          <w:tcPr>
            <w:tcW w:w="154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right="19"/>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pacing w:val="-41"/>
                <w:sz w:val="18"/>
                <w:szCs w:val="18"/>
              </w:rPr>
              <w:t> </w:t>
            </w: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：北京市第二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中级人民法院作出 了一审判决，驳回 北京网安的诉讼请 求。公司依法向北 京市高级人民法院 提起上诉，上诉已 获立案受理。</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日，北京 市高级人民法院二 审公开开庭审理了 本案。截至目前， 暂未下达终审判 决。目前还无法确 定本诉讼案件对公 司本期利润或期后 利润的影响。</w:t>
            </w:r>
          </w:p>
          <w:p>
            <w:pPr>
              <w:pStyle w:val="TableParagraph"/>
              <w:spacing w:line="309" w:lineRule="auto" w:before="61"/>
              <w:ind w:right="19"/>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pacing w:val="-41"/>
                <w:sz w:val="18"/>
                <w:szCs w:val="18"/>
              </w:rPr>
              <w:t> </w:t>
            </w: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：本案移送北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京市高级人民法院 处理，尚未开庭。</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z w:val="18"/>
                <w:szCs w:val="18"/>
              </w:rPr>
              <w:t>详细情况请见 公司于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p>
            <w:pPr>
              <w:pStyle w:val="TableParagraph"/>
              <w:spacing w:line="316" w:lineRule="auto"/>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17"/>
                <w:sz w:val="18"/>
                <w:szCs w:val="18"/>
              </w:rPr>
              <w:t>日在《证</w:t>
            </w:r>
            <w:r>
              <w:rPr>
                <w:rFonts w:ascii="宋体" w:hAnsi="宋体" w:cs="宋体" w:eastAsia="宋体" w:hint="default"/>
                <w:sz w:val="18"/>
                <w:szCs w:val="18"/>
              </w:rPr>
              <w:t> </w:t>
            </w:r>
            <w:r>
              <w:rPr>
                <w:rFonts w:ascii="宋体" w:hAnsi="宋体" w:cs="宋体" w:eastAsia="宋体" w:hint="default"/>
                <w:spacing w:val="-27"/>
                <w:sz w:val="18"/>
                <w:szCs w:val="18"/>
              </w:rPr>
              <w:t>券时报》、《中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国证券报》及 巨潮资讯网披 露的《成都卫 士通信息产业 股份有限公司 关于重大诉讼 </w:t>
            </w:r>
            <w:r>
              <w:rPr>
                <w:rFonts w:ascii="宋体" w:hAnsi="宋体" w:cs="宋体" w:eastAsia="宋体" w:hint="default"/>
                <w:spacing w:val="-17"/>
                <w:sz w:val="18"/>
                <w:szCs w:val="18"/>
              </w:rPr>
              <w:t>的公告》（公告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编</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:2019-11)</w:t>
            </w:r>
            <w:r>
              <w:rPr>
                <w:rFonts w:ascii="宋体" w:hAnsi="宋体" w:cs="宋体" w:eastAsia="宋体" w:hint="default"/>
                <w:sz w:val="18"/>
                <w:szCs w:val="18"/>
              </w:rPr>
              <w:t>。</w:t>
            </w:r>
          </w:p>
        </w:tc>
      </w:tr>
      <w:tr>
        <w:trPr>
          <w:trHeight w:val="98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同上诉讼</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1"/>
              <w:jc w:val="both"/>
              <w:rPr>
                <w:rFonts w:ascii="宋体" w:hAnsi="宋体" w:cs="宋体" w:eastAsia="宋体" w:hint="default"/>
                <w:sz w:val="18"/>
                <w:szCs w:val="18"/>
              </w:rPr>
            </w:pPr>
            <w:r>
              <w:rPr>
                <w:rFonts w:ascii="宋体" w:hAnsi="宋体" w:cs="宋体" w:eastAsia="宋体" w:hint="default"/>
                <w:sz w:val="18"/>
                <w:szCs w:val="18"/>
              </w:rPr>
              <w:t>北京市第二中级 人民法院作出了 </w:t>
            </w:r>
            <w:r>
              <w:rPr>
                <w:rFonts w:ascii="宋体" w:hAnsi="宋体" w:cs="宋体" w:eastAsia="宋体" w:hint="default"/>
                <w:spacing w:val="-10"/>
                <w:sz w:val="18"/>
                <w:szCs w:val="18"/>
              </w:rPr>
              <w:t>一审判决，驳回北</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1" w:right="84"/>
              <w:jc w:val="both"/>
              <w:rPr>
                <w:rFonts w:ascii="宋体" w:hAnsi="宋体" w:cs="宋体" w:eastAsia="宋体" w:hint="default"/>
                <w:sz w:val="18"/>
                <w:szCs w:val="18"/>
              </w:rPr>
            </w:pPr>
            <w:r>
              <w:rPr>
                <w:rFonts w:ascii="宋体" w:hAnsi="宋体" w:cs="宋体" w:eastAsia="宋体" w:hint="default"/>
                <w:sz w:val="18"/>
                <w:szCs w:val="18"/>
              </w:rPr>
              <w:t>本次诉讼判决为一 审判决，尚未依法 生效。公司依法向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04</w:t>
            </w:r>
          </w:p>
          <w:p>
            <w:pPr>
              <w:pStyle w:val="TableParagraph"/>
              <w:spacing w:line="240" w:lineRule="auto" w:before="62"/>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详细情况请见 公司于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p>
            <w:pPr>
              <w:pStyle w:val="TableParagraph"/>
              <w:spacing w:line="248"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pacing w:val="-17"/>
                <w:sz w:val="18"/>
                <w:szCs w:val="18"/>
              </w:rPr>
              <w:t>日在《证</w:t>
            </w:r>
          </w:p>
        </w:tc>
      </w:tr>
    </w:tbl>
    <w:p>
      <w:pPr>
        <w:spacing w:after="0" w:line="248" w:lineRule="exact"/>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shape style="position:absolute;margin-left:74.163002pt;margin-top:262.219971pt;width:131.2pt;height:203.85pt;mso-position-horizontal-relative:page;mso-position-vertical-relative:page;z-index:-107660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7"/>
                      <w:szCs w:val="17"/>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北京网安等十五名被告，</w:t>
                  </w:r>
                </w:p>
              </w:txbxContent>
            </v:textbox>
            <w10:wrap type="none"/>
          </v:shape>
        </w:pict>
      </w:r>
      <w:r>
        <w:rPr/>
        <w:pict>
          <v:group style="position:absolute;margin-left:170.419998pt;margin-top:262.219971pt;width:34.950pt;height:203.85pt;mso-position-horizontal-relative:page;mso-position-vertical-relative:page;z-index:-1076584" coordorigin="3408,5244" coordsize="699,4077">
            <v:shape style="position:absolute;left:3408;top:5244;width:699;height:4077" coordorigin="3408,5244" coordsize="699,4077" path="m3408,9321l4107,9321,4107,5244,3408,5244,3408,9321xe" filled="true" fillcolor="#ffffff" stroked="false">
              <v:path arrowok="t"/>
              <v:fill type="solid"/>
            </v:shape>
            <w10:wrap type="none"/>
          </v:group>
        </w:pict>
      </w:r>
      <w:r>
        <w:rPr/>
        <w:pict>
          <v:group style="position:absolute;margin-left:313.25pt;margin-top:373.48999pt;width:75.3pt;height:15.6pt;mso-position-horizontal-relative:page;mso-position-vertical-relative:page;z-index:-1076560" coordorigin="6265,7470" coordsize="1506,312">
            <v:shape style="position:absolute;left:6265;top:7470;width:1506;height:312" coordorigin="6265,7470" coordsize="1506,312" path="m6265,7782l7770,7782,7770,7470,6265,7470,6265,7782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2268"/>
        <w:gridCol w:w="192"/>
        <w:gridCol w:w="517"/>
        <w:gridCol w:w="710"/>
        <w:gridCol w:w="1416"/>
        <w:gridCol w:w="1560"/>
        <w:gridCol w:w="850"/>
        <w:gridCol w:w="853"/>
        <w:gridCol w:w="1205"/>
      </w:tblGrid>
      <w:tr>
        <w:trPr>
          <w:trHeight w:val="3795" w:hRule="exact"/>
        </w:trPr>
        <w:tc>
          <w:tcPr>
            <w:tcW w:w="2268" w:type="dxa"/>
            <w:tcBorders>
              <w:top w:val="single" w:sz="4" w:space="0" w:color="000000"/>
              <w:left w:val="single" w:sz="4" w:space="0" w:color="000000"/>
              <w:bottom w:val="single" w:sz="4" w:space="0" w:color="000000"/>
              <w:right w:val="single" w:sz="4" w:space="0" w:color="000000"/>
            </w:tcBorders>
          </w:tcPr>
          <w:p>
            <w:pPr/>
          </w:p>
        </w:tc>
        <w:tc>
          <w:tcPr>
            <w:tcW w:w="709" w:type="dxa"/>
            <w:gridSpan w:val="2"/>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20"/>
              <w:jc w:val="left"/>
              <w:rPr>
                <w:rFonts w:ascii="宋体" w:hAnsi="宋体" w:cs="宋体" w:eastAsia="宋体" w:hint="default"/>
                <w:sz w:val="18"/>
                <w:szCs w:val="18"/>
              </w:rPr>
            </w:pPr>
            <w:r>
              <w:rPr>
                <w:rFonts w:ascii="宋体" w:hAnsi="宋体" w:cs="宋体" w:eastAsia="宋体" w:hint="default"/>
                <w:sz w:val="18"/>
                <w:szCs w:val="18"/>
              </w:rPr>
              <w:t>京网安的诉讼请 求。</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36"/>
              <w:jc w:val="left"/>
              <w:rPr>
                <w:rFonts w:ascii="宋体" w:hAnsi="宋体" w:cs="宋体" w:eastAsia="宋体" w:hint="default"/>
                <w:sz w:val="18"/>
                <w:szCs w:val="18"/>
              </w:rPr>
            </w:pPr>
            <w:r>
              <w:rPr>
                <w:rFonts w:ascii="宋体" w:hAnsi="宋体" w:cs="宋体" w:eastAsia="宋体" w:hint="default"/>
                <w:sz w:val="18"/>
                <w:szCs w:val="18"/>
              </w:rPr>
              <w:t>北京市高级人民法 院提起上诉，上诉 已获立案受理。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北京市高级人民法 院二审公开开庭审 理了本案。截至目 前，暂未下达终审 判决。目前还无法 确定本诉讼案件对 公司本期利润或期 后利润的影响。</w:t>
            </w: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89"/>
              <w:jc w:val="both"/>
              <w:rPr>
                <w:rFonts w:ascii="宋体" w:hAnsi="宋体" w:cs="宋体" w:eastAsia="宋体" w:hint="default"/>
                <w:sz w:val="18"/>
                <w:szCs w:val="18"/>
              </w:rPr>
            </w:pPr>
            <w:r>
              <w:rPr>
                <w:rFonts w:ascii="宋体" w:hAnsi="宋体" w:cs="宋体" w:eastAsia="宋体" w:hint="default"/>
                <w:spacing w:val="-27"/>
                <w:sz w:val="18"/>
                <w:szCs w:val="18"/>
              </w:rPr>
              <w:t>券时报》、《中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国证券报》及 巨潮资讯网披 露的《成都卫 士通信息产业 股份有限公司 关于重大诉讼 的进展公告》</w:t>
            </w:r>
          </w:p>
          <w:p>
            <w:pPr>
              <w:pStyle w:val="TableParagraph"/>
              <w:spacing w:line="316" w:lineRule="auto" w:before="19"/>
              <w:ind w:left="24" w:right="96"/>
              <w:jc w:val="both"/>
              <w:rPr>
                <w:rFonts w:ascii="宋体" w:hAnsi="宋体" w:cs="宋体" w:eastAsia="宋体" w:hint="default"/>
                <w:sz w:val="18"/>
                <w:szCs w:val="18"/>
              </w:rPr>
            </w:pPr>
            <w:r>
              <w:rPr>
                <w:rFonts w:ascii="宋体" w:hAnsi="宋体" w:cs="宋体" w:eastAsia="宋体" w:hint="default"/>
                <w:sz w:val="18"/>
                <w:szCs w:val="18"/>
              </w:rPr>
              <w:t>（公告编 号</w:t>
            </w:r>
            <w:r>
              <w:rPr>
                <w:rFonts w:ascii="Times New Roman" w:hAnsi="Times New Roman" w:cs="Times New Roman" w:eastAsia="Times New Roman" w:hint="default"/>
                <w:sz w:val="18"/>
                <w:szCs w:val="18"/>
              </w:rPr>
              <w:t>:2019-19)</w:t>
            </w:r>
            <w:r>
              <w:rPr>
                <w:rFonts w:ascii="宋体" w:hAnsi="宋体" w:cs="宋体" w:eastAsia="宋体" w:hint="default"/>
                <w:sz w:val="18"/>
                <w:szCs w:val="18"/>
              </w:rPr>
              <w:t>。</w:t>
            </w:r>
          </w:p>
        </w:tc>
      </w:tr>
      <w:tr>
        <w:trPr>
          <w:trHeight w:val="855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同上诉讼</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p>
            <w:pPr>
              <w:pStyle w:val="TableParagraph"/>
              <w:spacing w:line="316" w:lineRule="auto" w:before="101"/>
              <w:ind w:left="24"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诉讼</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：因金融借款合同纠 纷，北京中宏瑞德投资管理 </w:t>
            </w:r>
            <w:r>
              <w:rPr>
                <w:rFonts w:ascii="宋体" w:hAnsi="宋体" w:cs="宋体" w:eastAsia="宋体" w:hint="default"/>
                <w:spacing w:val="-11"/>
                <w:sz w:val="18"/>
                <w:szCs w:val="18"/>
              </w:rPr>
              <w:t>中心（有限合伙）（以下简称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中宏瑞德</w:t>
            </w:r>
            <w:r>
              <w:rPr>
                <w:rFonts w:ascii="Times New Roman" w:hAnsi="Times New Roman" w:cs="Times New Roman" w:eastAsia="Times New Roman" w:hint="default"/>
                <w:sz w:val="18"/>
                <w:szCs w:val="18"/>
              </w:rPr>
              <w:t>”</w:t>
            </w:r>
            <w:r>
              <w:rPr>
                <w:rFonts w:ascii="宋体" w:hAnsi="宋体" w:cs="宋体" w:eastAsia="宋体" w:hint="default"/>
                <w:sz w:val="18"/>
                <w:szCs w:val="18"/>
              </w:rPr>
              <w:t>）起诉三洲隆徽 实业有限公司、中辉世纪传 媒发展有限公司、北京金丰 科华房地产开发有限公司、 储小晗、李佳蔓、四川三洲 特种钢管有限公司、农信银 资金清算中心有限责任公 司、 请求判决原告中宏瑞德对被 告北京金丰科华房地产开发 有限公司位于北京市丰台区 花乡四合庄的金丰能源中心 项目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1516-15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地块</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37,651.02</w:t>
            </w:r>
          </w:p>
          <w:p>
            <w:pPr>
              <w:pStyle w:val="TableParagraph"/>
              <w:spacing w:line="316" w:lineRule="auto"/>
              <w:ind w:left="24" w:right="72"/>
              <w:jc w:val="left"/>
              <w:rPr>
                <w:rFonts w:ascii="宋体" w:hAnsi="宋体" w:cs="宋体" w:eastAsia="宋体" w:hint="default"/>
                <w:sz w:val="18"/>
                <w:szCs w:val="18"/>
              </w:rPr>
            </w:pPr>
            <w:r>
              <w:rPr>
                <w:rFonts w:ascii="宋体" w:hAnsi="宋体" w:cs="宋体" w:eastAsia="宋体" w:hint="default"/>
                <w:sz w:val="18"/>
                <w:szCs w:val="18"/>
              </w:rPr>
              <w:t>㎡的土地使用权及地上 </w:t>
            </w:r>
            <w:r>
              <w:rPr>
                <w:rFonts w:ascii="Times New Roman" w:hAnsi="Times New Roman" w:cs="Times New Roman" w:eastAsia="Times New Roman" w:hint="default"/>
                <w:sz w:val="18"/>
                <w:szCs w:val="18"/>
              </w:rPr>
              <w:t>225,484.78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㎡在建工程享有 抵押权，原告中宏瑞德可对 抵押物拍卖、变卖所得价款 优先受偿，或就北京网安在 内的标的房产购买人应支付 的抵押物销售价款享有优先 受偿权，优先受偿范围为诉 讼请求所列全部债权及实现 债权的费用。</w:t>
            </w:r>
          </w:p>
        </w:tc>
        <w:tc>
          <w:tcPr>
            <w:tcW w:w="192" w:type="dxa"/>
            <w:tcBorders>
              <w:top w:val="single" w:sz="4" w:space="0" w:color="000000"/>
              <w:left w:val="single" w:sz="4" w:space="0" w:color="000000"/>
              <w:bottom w:val="single" w:sz="4" w:space="0" w:color="000000"/>
              <w:right w:val="nil" w:sz="6" w:space="0" w:color="auto"/>
            </w:tcBorders>
          </w:tcPr>
          <w:p>
            <w:pPr/>
          </w:p>
        </w:tc>
        <w:tc>
          <w:tcPr>
            <w:tcW w:w="51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1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4" w:lineRule="auto"/>
              <w:ind w:left="23" w:right="-46"/>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：公司依法</w:t>
            </w:r>
            <w:r>
              <w:rPr>
                <w:rFonts w:ascii="宋体" w:hAnsi="宋体" w:cs="宋体" w:eastAsia="宋体" w:hint="default"/>
                <w:sz w:val="18"/>
                <w:szCs w:val="18"/>
              </w:rPr>
              <w:t> 向北京市高级人 </w:t>
            </w:r>
            <w:r>
              <w:rPr>
                <w:rFonts w:ascii="宋体" w:hAnsi="宋体" w:cs="宋体" w:eastAsia="宋体" w:hint="default"/>
                <w:spacing w:val="-3"/>
                <w:sz w:val="18"/>
                <w:szCs w:val="18"/>
              </w:rPr>
              <w:t>民法院提起上诉，</w:t>
            </w:r>
            <w:r>
              <w:rPr>
                <w:rFonts w:ascii="宋体" w:hAnsi="宋体" w:cs="宋体" w:eastAsia="宋体" w:hint="default"/>
                <w:spacing w:val="-24"/>
                <w:sz w:val="18"/>
                <w:szCs w:val="18"/>
              </w:rPr>
              <w:t> </w:t>
            </w:r>
            <w:r>
              <w:rPr>
                <w:rFonts w:ascii="宋体" w:hAnsi="宋体" w:cs="宋体" w:eastAsia="宋体" w:hint="default"/>
                <w:sz w:val="18"/>
                <w:szCs w:val="18"/>
              </w:rPr>
              <w:t>并已按照法院出</w:t>
            </w:r>
            <w:r>
              <w:rPr>
                <w:rFonts w:ascii="宋体" w:hAnsi="宋体" w:cs="宋体" w:eastAsia="宋体" w:hint="default"/>
                <w:sz w:val="18"/>
                <w:szCs w:val="18"/>
              </w:rPr>
              <w:t> 具的诉讼费交款 通知书支付了上 诉费。</w:t>
            </w:r>
          </w:p>
          <w:p>
            <w:pPr>
              <w:pStyle w:val="TableParagraph"/>
              <w:spacing w:line="316" w:lineRule="auto" w:before="59"/>
              <w:ind w:left="23" w:right="5"/>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：中宏瑞德</w:t>
            </w:r>
            <w:r>
              <w:rPr>
                <w:rFonts w:ascii="宋体" w:hAnsi="宋体" w:cs="宋体" w:eastAsia="宋体" w:hint="default"/>
                <w:sz w:val="18"/>
                <w:szCs w:val="18"/>
              </w:rPr>
              <w:t> 向法院申请撤回 对中辉世纪传媒 </w:t>
            </w:r>
            <w:r>
              <w:rPr>
                <w:rFonts w:ascii="宋体" w:hAnsi="宋体" w:cs="宋体" w:eastAsia="宋体" w:hint="default"/>
                <w:spacing w:val="-10"/>
                <w:sz w:val="18"/>
                <w:szCs w:val="18"/>
              </w:rPr>
              <w:t>发展有限公司、四</w:t>
            </w:r>
            <w:r>
              <w:rPr>
                <w:rFonts w:ascii="宋体" w:hAnsi="宋体" w:cs="宋体" w:eastAsia="宋体" w:hint="default"/>
                <w:sz w:val="18"/>
                <w:szCs w:val="18"/>
              </w:rPr>
              <w:t> 川三洲特种钢管 </w:t>
            </w:r>
            <w:r>
              <w:rPr>
                <w:rFonts w:ascii="宋体" w:hAnsi="宋体" w:cs="宋体" w:eastAsia="宋体" w:hint="default"/>
                <w:spacing w:val="-10"/>
                <w:sz w:val="18"/>
                <w:szCs w:val="18"/>
              </w:rPr>
              <w:t>有限公司、农信银</w:t>
            </w:r>
            <w:r>
              <w:rPr>
                <w:rFonts w:ascii="宋体" w:hAnsi="宋体" w:cs="宋体" w:eastAsia="宋体" w:hint="default"/>
                <w:sz w:val="18"/>
                <w:szCs w:val="18"/>
              </w:rPr>
              <w:t> 资金清算中心有 </w:t>
            </w:r>
            <w:r>
              <w:rPr>
                <w:rFonts w:ascii="宋体" w:hAnsi="宋体" w:cs="宋体" w:eastAsia="宋体" w:hint="default"/>
                <w:spacing w:val="-10"/>
                <w:sz w:val="18"/>
                <w:szCs w:val="18"/>
              </w:rPr>
              <w:t>限责任公司、北京</w:t>
            </w:r>
            <w:r>
              <w:rPr>
                <w:rFonts w:ascii="宋体" w:hAnsi="宋体" w:cs="宋体" w:eastAsia="宋体" w:hint="default"/>
                <w:sz w:val="18"/>
                <w:szCs w:val="18"/>
              </w:rPr>
              <w:t> 网安等十一名被 告的起诉。</w:t>
            </w:r>
          </w:p>
        </w:tc>
        <w:tc>
          <w:tcPr>
            <w:tcW w:w="156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2" w:lineRule="auto"/>
              <w:ind w:left="11" w:right="19"/>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pacing w:val="-41"/>
                <w:sz w:val="18"/>
                <w:szCs w:val="18"/>
              </w:rPr>
              <w:t> </w:t>
            </w: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：本次上诉已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获立案受理。</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日，北京 市高级人民法院二 审公开开庭审理了 本案。截至目前， 暂未下达终审判 决。目前还无法确 定本诉讼案件对公 司本期利润或期后 利润的影响。</w:t>
            </w:r>
          </w:p>
          <w:p>
            <w:pPr>
              <w:pStyle w:val="TableParagraph"/>
              <w:spacing w:line="312" w:lineRule="auto" w:before="61"/>
              <w:ind w:left="11" w:right="17"/>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日，北京市高</w:t>
            </w:r>
            <w:r>
              <w:rPr>
                <w:rFonts w:ascii="宋体" w:hAnsi="宋体" w:cs="宋体" w:eastAsia="宋体" w:hint="default"/>
                <w:sz w:val="18"/>
                <w:szCs w:val="18"/>
              </w:rPr>
              <w:t> 级人民法院裁定准 许中宏瑞德撤回对 上述十一名被告的 起诉。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3"/>
              <w:ind w:left="24" w:right="19"/>
              <w:jc w:val="left"/>
              <w:rPr>
                <w:rFonts w:ascii="宋体" w:hAnsi="宋体" w:cs="宋体" w:eastAsia="宋体" w:hint="default"/>
                <w:sz w:val="18"/>
                <w:szCs w:val="18"/>
              </w:rPr>
            </w:pPr>
            <w:r>
              <w:rPr>
                <w:rFonts w:ascii="宋体" w:hAnsi="宋体" w:cs="宋体" w:eastAsia="宋体" w:hint="default"/>
                <w:sz w:val="18"/>
                <w:szCs w:val="18"/>
              </w:rPr>
              <w:t>详细情况请见 公司于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p>
            <w:pPr>
              <w:pStyle w:val="TableParagraph"/>
              <w:spacing w:line="316" w:lineRule="auto"/>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3"/>
                <w:sz w:val="18"/>
                <w:szCs w:val="18"/>
              </w:rPr>
              <w:t> </w:t>
            </w:r>
            <w:r>
              <w:rPr>
                <w:rFonts w:ascii="宋体" w:hAnsi="宋体" w:cs="宋体" w:eastAsia="宋体" w:hint="default"/>
                <w:spacing w:val="-23"/>
                <w:sz w:val="18"/>
                <w:szCs w:val="18"/>
              </w:rPr>
              <w:t>日在《证</w:t>
            </w:r>
            <w:r>
              <w:rPr>
                <w:rFonts w:ascii="宋体" w:hAnsi="宋体" w:cs="宋体" w:eastAsia="宋体" w:hint="default"/>
                <w:sz w:val="18"/>
                <w:szCs w:val="18"/>
              </w:rPr>
              <w:t> </w:t>
            </w:r>
            <w:r>
              <w:rPr>
                <w:rFonts w:ascii="宋体" w:hAnsi="宋体" w:cs="宋体" w:eastAsia="宋体" w:hint="default"/>
                <w:spacing w:val="-27"/>
                <w:sz w:val="18"/>
                <w:szCs w:val="18"/>
              </w:rPr>
              <w:t>券时报》、《中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国证券报》及 巨潮资讯网披 露的《成都卫 士通信息产业 股份有限公司 关于重大诉讼 的进展公告》</w:t>
            </w:r>
          </w:p>
          <w:p>
            <w:pPr>
              <w:pStyle w:val="TableParagraph"/>
              <w:spacing w:line="316" w:lineRule="auto" w:before="19"/>
              <w:ind w:left="24" w:right="96"/>
              <w:jc w:val="left"/>
              <w:rPr>
                <w:rFonts w:ascii="宋体" w:hAnsi="宋体" w:cs="宋体" w:eastAsia="宋体" w:hint="default"/>
                <w:sz w:val="18"/>
                <w:szCs w:val="18"/>
              </w:rPr>
            </w:pPr>
            <w:r>
              <w:rPr>
                <w:rFonts w:ascii="宋体" w:hAnsi="宋体" w:cs="宋体" w:eastAsia="宋体" w:hint="default"/>
                <w:sz w:val="18"/>
                <w:szCs w:val="18"/>
              </w:rPr>
              <w:t>（公告编 号</w:t>
            </w:r>
            <w:r>
              <w:rPr>
                <w:rFonts w:ascii="Times New Roman" w:hAnsi="Times New Roman" w:cs="Times New Roman" w:eastAsia="Times New Roman" w:hint="default"/>
                <w:sz w:val="18"/>
                <w:szCs w:val="18"/>
              </w:rPr>
              <w:t>:2019-26)</w:t>
            </w:r>
            <w:r>
              <w:rPr>
                <w:rFonts w:ascii="宋体" w:hAnsi="宋体" w:cs="宋体" w:eastAsia="宋体" w:hint="default"/>
                <w:sz w:val="18"/>
                <w:szCs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十三、处罚及整改情况" w:id="78"/>
      <w:bookmarkEnd w:id="78"/>
      <w:r>
        <w:rPr>
          <w:b w:val="0"/>
          <w:bCs w:val="0"/>
        </w:rPr>
      </w:r>
      <w:r>
        <w:rPr/>
        <w:t>十三、处罚及整改情况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after="0" w:line="338"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44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公司报告期无股权激励计划、员工持股计划或其他员工激励措施及其实施情况。</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bookmarkStart w:name="十六、重大关联交易" w:id="81"/>
      <w:bookmarkEnd w:id="81"/>
      <w:r>
        <w:rPr>
          <w:b w:val="0"/>
          <w:bCs w:val="0"/>
        </w:rPr>
      </w: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与日常经营相关的关联交易" w:id="82"/>
      <w:bookmarkEnd w:id="8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5"/>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9"/>
        <w:gridCol w:w="704"/>
        <w:gridCol w:w="682"/>
        <w:gridCol w:w="672"/>
        <w:gridCol w:w="674"/>
        <w:gridCol w:w="675"/>
        <w:gridCol w:w="674"/>
        <w:gridCol w:w="674"/>
        <w:gridCol w:w="674"/>
        <w:gridCol w:w="673"/>
        <w:gridCol w:w="672"/>
        <w:gridCol w:w="641"/>
      </w:tblGrid>
      <w:tr>
        <w:trPr>
          <w:trHeight w:val="1338"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305" w:right="32"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67"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76" w:right="7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4" w:right="6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62" w:right="59"/>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4" w:right="59"/>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6" w:lineRule="auto" w:before="20"/>
              <w:ind w:left="153" w:right="149"/>
              <w:jc w:val="left"/>
              <w:rPr>
                <w:rFonts w:ascii="宋体" w:hAnsi="宋体" w:cs="宋体" w:eastAsia="宋体" w:hint="default"/>
                <w:sz w:val="18"/>
                <w:szCs w:val="18"/>
              </w:rPr>
            </w:pPr>
            <w:r>
              <w:rPr>
                <w:rFonts w:ascii="宋体" w:hAnsi="宋体" w:cs="宋体" w:eastAsia="宋体" w:hint="default"/>
                <w:sz w:val="18"/>
                <w:szCs w:val="18"/>
              </w:rPr>
              <w:t>（万 元）</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2"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2" w:right="58"/>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42"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25" w:right="43"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33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中国电子 科技集团 公司第三 十研究所</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1"/>
              <w:jc w:val="both"/>
              <w:rPr>
                <w:rFonts w:ascii="宋体" w:hAnsi="宋体" w:cs="宋体" w:eastAsia="宋体" w:hint="default"/>
                <w:sz w:val="18"/>
                <w:szCs w:val="18"/>
              </w:rPr>
            </w:pPr>
            <w:r>
              <w:rPr>
                <w:rFonts w:ascii="宋体" w:hAnsi="宋体" w:cs="宋体" w:eastAsia="宋体" w:hint="default"/>
                <w:sz w:val="18"/>
                <w:szCs w:val="18"/>
              </w:rPr>
              <w:t>同受母 公司控 制</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10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8"/>
              <w:jc w:val="both"/>
              <w:rPr>
                <w:rFonts w:ascii="宋体" w:hAnsi="宋体" w:cs="宋体" w:eastAsia="宋体" w:hint="default"/>
                <w:sz w:val="18"/>
                <w:szCs w:val="18"/>
              </w:rPr>
            </w:pPr>
            <w:r>
              <w:rPr>
                <w:rFonts w:ascii="宋体" w:hAnsi="宋体" w:cs="宋体" w:eastAsia="宋体" w:hint="default"/>
                <w:sz w:val="18"/>
                <w:szCs w:val="18"/>
              </w:rPr>
              <w:t>安全产 品及集 成等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34300.9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34,300.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16.30%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40,000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98"/>
              <w:jc w:val="left"/>
              <w:rPr>
                <w:rFonts w:ascii="宋体" w:hAnsi="宋体" w:cs="宋体" w:eastAsia="宋体" w:hint="default"/>
                <w:sz w:val="18"/>
                <w:szCs w:val="18"/>
              </w:rPr>
            </w:pPr>
            <w:r>
              <w:rPr>
                <w:rFonts w:ascii="宋体" w:hAnsi="宋体" w:cs="宋体" w:eastAsia="宋体" w:hint="default"/>
                <w:sz w:val="18"/>
                <w:szCs w:val="18"/>
              </w:rPr>
              <w:t>转账结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34300.9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67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2859"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72"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10" w:space="0" w:color="D2D2D2"/>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34,300.</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91</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40,000</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859"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10" w:space="0" w:color="D2D2D2"/>
              <w:right w:val="single" w:sz="4" w:space="0" w:color="000000"/>
            </w:tcBorders>
          </w:tcPr>
          <w:p>
            <w:pPr/>
          </w:p>
        </w:tc>
        <w:tc>
          <w:tcPr>
            <w:tcW w:w="675"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3" w:type="dxa"/>
            <w:vMerge/>
            <w:tcBorders>
              <w:left w:val="single" w:sz="4" w:space="0" w:color="000000"/>
              <w:right w:val="single" w:sz="4" w:space="0" w:color="000000"/>
            </w:tcBorders>
            <w:shd w:val="clear" w:color="auto" w:fill="D2D2D2"/>
          </w:tcPr>
          <w:p>
            <w:pPr/>
          </w:p>
        </w:tc>
        <w:tc>
          <w:tcPr>
            <w:tcW w:w="672" w:type="dxa"/>
            <w:vMerge/>
            <w:tcBorders>
              <w:left w:val="single" w:sz="4" w:space="0" w:color="000000"/>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r>
      <w:tr>
        <w:trPr>
          <w:trHeight w:val="161" w:hRule="exact"/>
        </w:trPr>
        <w:tc>
          <w:tcPr>
            <w:tcW w:w="2859"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72"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10" w:space="0" w:color="D2D2D2"/>
              <w:bottom w:val="single" w:sz="4" w:space="0" w:color="000000"/>
              <w:right w:val="single" w:sz="4" w:space="0" w:color="000000"/>
            </w:tcBorders>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72"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7"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6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5"/>
        <w:rPr>
          <w:rFonts w:ascii="宋体" w:hAnsi="宋体" w:cs="宋体" w:eastAsia="宋体" w:hint="default"/>
          <w:sz w:val="21"/>
          <w:szCs w:val="21"/>
        </w:rPr>
      </w:pPr>
    </w:p>
    <w:p>
      <w:pPr>
        <w:pStyle w:val="Heading4"/>
        <w:spacing w:line="240" w:lineRule="auto"/>
        <w:ind w:right="1133"/>
        <w:jc w:val="left"/>
        <w:rPr>
          <w:b w:val="0"/>
          <w:bCs w:val="0"/>
        </w:rPr>
      </w:pPr>
      <w:bookmarkStart w:name="3、共同对外投资的关联交易" w:id="84"/>
      <w:bookmarkEnd w:id="8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after="0" w:line="3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5"/>
        <w:rPr>
          <w:rFonts w:ascii="宋体" w:hAnsi="宋体" w:cs="宋体" w:eastAsia="宋体" w:hint="default"/>
          <w:b/>
          <w:bCs/>
          <w:sz w:val="26"/>
          <w:szCs w:val="26"/>
        </w:rPr>
      </w:pPr>
    </w:p>
    <w:p>
      <w:pPr>
        <w:spacing w:line="338"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是否存在非经营性关联债权债务往来</w:t>
      </w:r>
    </w:p>
    <w:p>
      <w:pPr>
        <w:spacing w:line="340" w:lineRule="auto" w:before="43"/>
        <w:ind w:left="152" w:right="94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应付关联方债务</w:t>
      </w:r>
    </w:p>
    <w:p>
      <w:pPr>
        <w:spacing w:line="240" w:lineRule="auto" w:before="5"/>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157"/>
        <w:gridCol w:w="1037"/>
        <w:gridCol w:w="1047"/>
        <w:gridCol w:w="1044"/>
        <w:gridCol w:w="1044"/>
        <w:gridCol w:w="1044"/>
        <w:gridCol w:w="1044"/>
        <w:gridCol w:w="1045"/>
        <w:gridCol w:w="1106"/>
      </w:tblGrid>
      <w:tr>
        <w:trPr>
          <w:trHeight w:val="715" w:hRule="exact"/>
        </w:trPr>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15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left"/>
              <w:rPr>
                <w:rFonts w:ascii="宋体" w:hAnsi="宋体" w:cs="宋体" w:eastAsia="宋体" w:hint="default"/>
                <w:sz w:val="18"/>
                <w:szCs w:val="18"/>
              </w:rPr>
            </w:pPr>
            <w:r>
              <w:rPr>
                <w:rFonts w:ascii="宋体" w:hAnsi="宋体" w:cs="宋体" w:eastAsia="宋体" w:hint="default"/>
                <w:sz w:val="18"/>
                <w:szCs w:val="18"/>
              </w:rPr>
              <w:t>本期归还金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6"/>
              <w:ind w:left="15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69" w:right="19" w:hanging="346"/>
              <w:jc w:val="left"/>
              <w:rPr>
                <w:rFonts w:ascii="宋体" w:hAnsi="宋体" w:cs="宋体" w:eastAsia="宋体" w:hint="default"/>
                <w:sz w:val="18"/>
                <w:szCs w:val="18"/>
              </w:rPr>
            </w:pPr>
            <w:r>
              <w:rPr>
                <w:rFonts w:ascii="宋体" w:hAnsi="宋体" w:cs="宋体" w:eastAsia="宋体" w:hint="default"/>
                <w:spacing w:val="-5"/>
                <w:sz w:val="18"/>
                <w:szCs w:val="18"/>
              </w:rPr>
              <w:t>期末余额（万</w:t>
            </w:r>
            <w:r>
              <w:rPr>
                <w:rFonts w:ascii="宋体" w:hAnsi="宋体" w:cs="宋体" w:eastAsia="宋体" w:hint="default"/>
                <w:sz w:val="18"/>
                <w:szCs w:val="18"/>
              </w:rPr>
              <w:t> 元）</w:t>
            </w:r>
          </w:p>
        </w:tc>
      </w:tr>
      <w:tr>
        <w:trPr>
          <w:trHeight w:val="713"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中国电子科技 财务有限公司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1"/>
              <w:jc w:val="left"/>
              <w:rPr>
                <w:rFonts w:ascii="宋体" w:hAnsi="宋体" w:cs="宋体" w:eastAsia="宋体" w:hint="default"/>
                <w:sz w:val="18"/>
                <w:szCs w:val="18"/>
              </w:rPr>
            </w:pPr>
            <w:r>
              <w:rPr>
                <w:rFonts w:ascii="宋体" w:hAnsi="宋体" w:cs="宋体" w:eastAsia="宋体" w:hint="default"/>
                <w:sz w:val="18"/>
                <w:szCs w:val="18"/>
              </w:rPr>
              <w:t>受同一最终 控制方控制</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8" w:right="0"/>
              <w:jc w:val="left"/>
              <w:rPr>
                <w:rFonts w:ascii="Times New Roman" w:hAnsi="Times New Roman" w:cs="Times New Roman" w:eastAsia="Times New Roman" w:hint="default"/>
                <w:sz w:val="18"/>
                <w:szCs w:val="18"/>
              </w:rPr>
            </w:pPr>
            <w:r>
              <w:rPr>
                <w:rFonts w:ascii="Times New Roman"/>
                <w:sz w:val="18"/>
              </w:rPr>
              <w:t>25,000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8" w:right="0"/>
              <w:jc w:val="left"/>
              <w:rPr>
                <w:rFonts w:ascii="Times New Roman" w:hAnsi="Times New Roman" w:cs="Times New Roman" w:eastAsia="Times New Roman" w:hint="default"/>
                <w:sz w:val="18"/>
                <w:szCs w:val="18"/>
              </w:rPr>
            </w:pPr>
            <w:r>
              <w:rPr>
                <w:rFonts w:ascii="Times New Roman"/>
                <w:sz w:val="18"/>
              </w:rPr>
              <w:t>25,000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7" w:right="0"/>
              <w:jc w:val="left"/>
              <w:rPr>
                <w:rFonts w:ascii="Times New Roman" w:hAnsi="Times New Roman" w:cs="Times New Roman" w:eastAsia="Times New Roman" w:hint="default"/>
                <w:sz w:val="18"/>
                <w:szCs w:val="18"/>
              </w:rPr>
            </w:pPr>
            <w:r>
              <w:rPr>
                <w:rFonts w:ascii="Times New Roman"/>
                <w:sz w:val="18"/>
              </w:rPr>
              <w:t>4.57%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7" w:right="0"/>
              <w:jc w:val="left"/>
              <w:rPr>
                <w:rFonts w:ascii="Times New Roman" w:hAnsi="Times New Roman" w:cs="Times New Roman" w:eastAsia="Times New Roman" w:hint="default"/>
                <w:sz w:val="18"/>
                <w:szCs w:val="18"/>
              </w:rPr>
            </w:pPr>
            <w:r>
              <w:rPr>
                <w:rFonts w:ascii="Times New Roman"/>
                <w:sz w:val="18"/>
              </w:rPr>
              <w:t>19.03</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5、其他重大关联交易" w:id="86"/>
      <w:bookmarkEnd w:id="8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line="240" w:lineRule="auto" w:before="5"/>
        <w:rPr>
          <w:rFonts w:ascii="宋体" w:hAnsi="宋体" w:cs="宋体" w:eastAsia="宋体" w:hint="default"/>
          <w:sz w:val="21"/>
          <w:szCs w:val="21"/>
        </w:rPr>
      </w:pPr>
    </w:p>
    <w:p>
      <w:pPr>
        <w:pStyle w:val="Heading4"/>
        <w:spacing w:line="240" w:lineRule="auto"/>
        <w:ind w:right="1133"/>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5"/>
        <w:rPr>
          <w:rFonts w:ascii="宋体" w:hAnsi="宋体" w:cs="宋体" w:eastAsia="宋体" w:hint="default"/>
          <w:sz w:val="21"/>
          <w:szCs w:val="21"/>
        </w:rPr>
      </w:pPr>
    </w:p>
    <w:p>
      <w:pPr>
        <w:pStyle w:val="Heading4"/>
        <w:spacing w:line="240" w:lineRule="auto"/>
        <w:ind w:right="1133"/>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公司报告期不存在租赁情况。</w:t>
      </w:r>
    </w:p>
    <w:p>
      <w:pPr>
        <w:spacing w:line="240" w:lineRule="auto" w:before="8"/>
        <w:rPr>
          <w:rFonts w:ascii="宋体" w:hAnsi="宋体" w:cs="宋体" w:eastAsia="宋体" w:hint="default"/>
          <w:sz w:val="21"/>
          <w:szCs w:val="21"/>
        </w:rPr>
      </w:pPr>
    </w:p>
    <w:p>
      <w:pPr>
        <w:pStyle w:val="Heading4"/>
        <w:spacing w:line="240" w:lineRule="auto"/>
        <w:ind w:right="1133"/>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公司报告期不存在担保情况。</w:t>
      </w:r>
    </w:p>
    <w:p>
      <w:pPr>
        <w:spacing w:after="0" w:line="338"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委托理财情况" w:id="94"/>
      <w:bookmarkEnd w:id="9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公司报告期不存在委托理财。</w:t>
      </w:r>
    </w:p>
    <w:p>
      <w:pPr>
        <w:spacing w:line="240" w:lineRule="auto" w:before="3"/>
        <w:rPr>
          <w:rFonts w:ascii="宋体" w:hAnsi="宋体" w:cs="宋体" w:eastAsia="宋体" w:hint="default"/>
          <w:sz w:val="21"/>
          <w:szCs w:val="21"/>
        </w:rPr>
      </w:pPr>
    </w:p>
    <w:p>
      <w:pPr>
        <w:pStyle w:val="Heading4"/>
        <w:spacing w:line="240" w:lineRule="auto"/>
        <w:ind w:right="1133"/>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line="240" w:lineRule="auto" w:before="6"/>
        <w:rPr>
          <w:rFonts w:ascii="宋体" w:hAnsi="宋体" w:cs="宋体" w:eastAsia="宋体" w:hint="default"/>
          <w:sz w:val="21"/>
          <w:szCs w:val="21"/>
        </w:rPr>
      </w:pPr>
    </w:p>
    <w:p>
      <w:pPr>
        <w:pStyle w:val="Heading4"/>
        <w:spacing w:line="240" w:lineRule="auto"/>
        <w:ind w:right="1133"/>
        <w:jc w:val="left"/>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bookmarkStart w:name="十八、社会责任情况" w:id="97"/>
      <w:bookmarkEnd w:id="97"/>
      <w:r>
        <w:rPr>
          <w:b w:val="0"/>
          <w:bCs w:val="0"/>
        </w:rPr>
      </w:r>
      <w:r>
        <w:rPr/>
        <w:t>十八、社会责任情况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履行社会责任情况" w:id="98"/>
      <w:bookmarkEnd w:id="98"/>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6"/>
          <w:szCs w:val="26"/>
        </w:rPr>
      </w:pPr>
    </w:p>
    <w:p>
      <w:pPr>
        <w:spacing w:line="316" w:lineRule="auto" w:before="0"/>
        <w:ind w:left="152" w:right="1034" w:firstLine="360"/>
        <w:jc w:val="left"/>
        <w:rPr>
          <w:rFonts w:ascii="宋体" w:hAnsi="宋体" w:cs="宋体" w:eastAsia="宋体" w:hint="default"/>
          <w:sz w:val="18"/>
          <w:szCs w:val="18"/>
        </w:rPr>
      </w:pPr>
      <w:r>
        <w:rPr>
          <w:rFonts w:ascii="宋体" w:hAnsi="宋体" w:cs="宋体" w:eastAsia="宋体" w:hint="default"/>
          <w:sz w:val="18"/>
          <w:szCs w:val="18"/>
        </w:rPr>
        <w:t>公司积极履行企业公民应尽的义务，承担社会责任，在致力于生产经营、不断为股东创造价值的同时，充分尊重员工、 </w:t>
      </w:r>
      <w:r>
        <w:rPr>
          <w:rFonts w:ascii="宋体" w:hAnsi="宋体" w:cs="宋体" w:eastAsia="宋体" w:hint="default"/>
          <w:spacing w:val="-2"/>
          <w:sz w:val="18"/>
          <w:szCs w:val="18"/>
        </w:rPr>
        <w:t>客户、供应商及其他利益相关者的合法权益，积极与各方合作，加强沟通与交流，实现股东、员工、上下游合作者、社会等</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各方力量的均衡，推动公司持续、稳定、健康发展。</w:t>
      </w:r>
    </w:p>
    <w:p>
      <w:pPr>
        <w:spacing w:line="309" w:lineRule="auto" w:before="19"/>
        <w:ind w:left="152" w:right="1135"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）公司采取积极方式回报投资者。报告期内，公司按照相关法律法规要求，及时、真实、准确、完整地在指定平台 </w:t>
      </w:r>
      <w:r>
        <w:rPr>
          <w:rFonts w:ascii="宋体" w:hAnsi="宋体" w:cs="宋体" w:eastAsia="宋体" w:hint="default"/>
          <w:spacing w:val="-2"/>
          <w:sz w:val="18"/>
          <w:szCs w:val="18"/>
        </w:rPr>
        <w:t>进行信息披露；通过接待现场调研、接听电话咨询、网上答疑、网站设置专区等多种途径与投资者进行沟通，增强了投资者</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对公司的了解。</w:t>
      </w:r>
    </w:p>
    <w:p>
      <w:pPr>
        <w:spacing w:line="309" w:lineRule="auto" w:before="24"/>
        <w:ind w:left="152" w:right="1133"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）公司切实维护员工权益。报告期内，公司严格遵守《劳动法》、《劳动合同法》、《妇女权益保护法》等相关法 </w:t>
      </w:r>
      <w:r>
        <w:rPr>
          <w:rFonts w:ascii="宋体" w:hAnsi="宋体" w:cs="宋体" w:eastAsia="宋体" w:hint="default"/>
          <w:spacing w:val="-2"/>
          <w:sz w:val="18"/>
          <w:szCs w:val="18"/>
        </w:rPr>
        <w:t>律法规，尊重和维护员工权益，为员工提供安全、整洁的工作环境，注重员工知识和技能提高，关心员工身心健康，加强对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员工的人文关怀，努力提高员工满意度，实现企业和员工的同步成长与发展。</w:t>
      </w:r>
    </w:p>
    <w:p>
      <w:pPr>
        <w:spacing w:line="300" w:lineRule="auto" w:before="24"/>
        <w:ind w:left="152" w:right="1139"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）公司诚信经营，努力为客户提供合格的产品和优质的服务，建立良好的客户关系，完善售后服务，实现与用户的 双赢。</w:t>
      </w:r>
    </w:p>
    <w:p>
      <w:pPr>
        <w:spacing w:line="300" w:lineRule="auto" w:before="31"/>
        <w:ind w:left="152" w:right="1139"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）公司作为国家高新技术企业，在追求经济效益的同时积极主动承担社会责任，认真履行纳税人职责，注重环境保 护，倡导节约型和低碳型办公化，无废水、废气、废物排放。</w:t>
      </w:r>
    </w:p>
    <w:p>
      <w:pPr>
        <w:spacing w:line="300" w:lineRule="auto" w:before="31"/>
        <w:ind w:left="152" w:right="1128" w:firstLine="36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）持续投身公益活动。继续参与中国网安</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大爱电科</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梦想</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助学帮扶活动，结对帮扶叙永学生的同时，也积极</w:t>
      </w:r>
      <w:r>
        <w:rPr>
          <w:rFonts w:ascii="宋体" w:hAnsi="宋体" w:cs="宋体" w:eastAsia="宋体" w:hint="default"/>
          <w:sz w:val="18"/>
          <w:szCs w:val="18"/>
        </w:rPr>
        <w:t> </w:t>
      </w:r>
      <w:r>
        <w:rPr>
          <w:rFonts w:ascii="宋体" w:hAnsi="宋体" w:cs="宋体" w:eastAsia="宋体" w:hint="default"/>
          <w:spacing w:val="-2"/>
          <w:sz w:val="18"/>
          <w:szCs w:val="18"/>
        </w:rPr>
        <w:t>倡导公司爱心人士参与帮扶；积极响应中国电科消费扶贫的倡议，采购叙永贫困地区农副产品</w:t>
      </w:r>
      <w:r>
        <w:rPr>
          <w:rFonts w:ascii="Times New Roman" w:hAnsi="Times New Roman" w:cs="Times New Roman" w:eastAsia="Times New Roman" w:hint="default"/>
          <w:spacing w:val="-2"/>
          <w:sz w:val="18"/>
          <w:szCs w:val="18"/>
        </w:rPr>
        <w:t>2000</w:t>
      </w:r>
      <w:r>
        <w:rPr>
          <w:rFonts w:ascii="宋体" w:hAnsi="宋体" w:cs="宋体" w:eastAsia="宋体" w:hint="default"/>
          <w:spacing w:val="-2"/>
          <w:sz w:val="18"/>
          <w:szCs w:val="18"/>
        </w:rPr>
        <w:t>余份，价值</w:t>
      </w:r>
      <w:r>
        <w:rPr>
          <w:rFonts w:ascii="Times New Roman" w:hAnsi="Times New Roman" w:cs="Times New Roman" w:eastAsia="Times New Roman" w:hint="default"/>
          <w:spacing w:val="-2"/>
          <w:sz w:val="18"/>
          <w:szCs w:val="18"/>
        </w:rPr>
        <w:t>50</w:t>
      </w:r>
      <w:r>
        <w:rPr>
          <w:rFonts w:ascii="宋体" w:hAnsi="宋体" w:cs="宋体" w:eastAsia="宋体" w:hint="default"/>
          <w:spacing w:val="-2"/>
          <w:sz w:val="18"/>
          <w:szCs w:val="18"/>
        </w:rPr>
        <w:t>余万元，助</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力国家坚决打赢脱贫攻坚战，履行企业社会责任。</w:t>
      </w:r>
    </w:p>
    <w:p>
      <w:pPr>
        <w:spacing w:line="240" w:lineRule="auto" w:before="10"/>
        <w:rPr>
          <w:rFonts w:ascii="宋体" w:hAnsi="宋体" w:cs="宋体" w:eastAsia="宋体" w:hint="default"/>
          <w:sz w:val="23"/>
          <w:szCs w:val="23"/>
        </w:rPr>
      </w:pPr>
    </w:p>
    <w:p>
      <w:pPr>
        <w:pStyle w:val="Heading4"/>
        <w:spacing w:line="240" w:lineRule="auto"/>
        <w:ind w:right="1133"/>
        <w:jc w:val="left"/>
        <w:rPr>
          <w:b w:val="0"/>
          <w:bCs w:val="0"/>
        </w:rPr>
      </w:pPr>
      <w:bookmarkStart w:name="2、履行精准扶贫社会责任情况" w:id="99"/>
      <w:bookmarkEnd w:id="99"/>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4"/>
        <w:rPr>
          <w:rFonts w:ascii="宋体" w:hAnsi="宋体" w:cs="宋体" w:eastAsia="宋体" w:hint="default"/>
          <w:b/>
          <w:bCs/>
          <w:sz w:val="26"/>
          <w:szCs w:val="26"/>
        </w:rPr>
      </w:pPr>
    </w:p>
    <w:p>
      <w:pPr>
        <w:spacing w:before="0"/>
        <w:ind w:left="513" w:right="1133" w:firstLine="0"/>
        <w:jc w:val="left"/>
        <w:rPr>
          <w:rFonts w:ascii="宋体" w:hAnsi="宋体" w:cs="宋体" w:eastAsia="宋体" w:hint="default"/>
          <w:sz w:val="18"/>
          <w:szCs w:val="18"/>
        </w:rPr>
      </w:pPr>
      <w:r>
        <w:rPr>
          <w:rFonts w:ascii="宋体" w:hAnsi="宋体" w:cs="宋体" w:eastAsia="宋体" w:hint="default"/>
          <w:sz w:val="18"/>
          <w:szCs w:val="18"/>
        </w:rPr>
        <w:t>公司报告年度暂未开展精准扶贫工作，也暂无后续精准扶贫计划。</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3、环境保护相关的情况" w:id="100"/>
      <w:bookmarkEnd w:id="100"/>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5"/>
        <w:rPr>
          <w:rFonts w:ascii="宋体" w:hAnsi="宋体" w:cs="宋体" w:eastAsia="宋体" w:hint="default"/>
          <w:b/>
          <w:bCs/>
          <w:sz w:val="26"/>
          <w:szCs w:val="26"/>
        </w:rPr>
      </w:pPr>
    </w:p>
    <w:p>
      <w:pPr>
        <w:spacing w:line="357" w:lineRule="auto" w:before="0"/>
        <w:ind w:left="152" w:right="5714"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w:t>
      </w:r>
    </w:p>
    <w:p>
      <w:pPr>
        <w:spacing w:line="316" w:lineRule="auto" w:before="29"/>
        <w:ind w:left="152" w:right="1129" w:firstLine="360"/>
        <w:jc w:val="left"/>
        <w:rPr>
          <w:rFonts w:ascii="宋体" w:hAnsi="宋体" w:cs="宋体" w:eastAsia="宋体" w:hint="default"/>
          <w:sz w:val="18"/>
          <w:szCs w:val="18"/>
        </w:rPr>
      </w:pPr>
      <w:r>
        <w:rPr>
          <w:rFonts w:ascii="宋体" w:hAnsi="宋体" w:cs="宋体" w:eastAsia="宋体" w:hint="default"/>
          <w:spacing w:val="-2"/>
          <w:sz w:val="18"/>
          <w:szCs w:val="18"/>
        </w:rPr>
        <w:t>公司及子公司均不属于环境保护部门公布的重点排污单位，在日常经营过程中，注重环境保护，倡导节约型和低碳型办</w:t>
      </w:r>
      <w:r>
        <w:rPr>
          <w:rFonts w:ascii="宋体" w:hAnsi="宋体" w:cs="宋体" w:eastAsia="宋体" w:hint="default"/>
          <w:sz w:val="18"/>
          <w:szCs w:val="18"/>
        </w:rPr>
        <w:t> 公化，无废水、废气、废物排放。</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bookmarkStart w:name="十九、其他重大事项的说明" w:id="101"/>
      <w:bookmarkEnd w:id="101"/>
      <w:r>
        <w:rPr>
          <w:b w:val="0"/>
          <w:bCs w:val="0"/>
        </w:rPr>
      </w:r>
      <w:r>
        <w:rPr/>
        <w:t>十九、其他重大事项的说明</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公司报告期不存在需要说明的其他重大事项。</w:t>
      </w:r>
    </w:p>
    <w:p>
      <w:pPr>
        <w:spacing w:line="240" w:lineRule="auto" w:before="7"/>
        <w:rPr>
          <w:rFonts w:ascii="宋体" w:hAnsi="宋体" w:cs="宋体" w:eastAsia="宋体" w:hint="default"/>
          <w:sz w:val="19"/>
          <w:szCs w:val="19"/>
        </w:rPr>
      </w:pPr>
    </w:p>
    <w:p>
      <w:pPr>
        <w:pStyle w:val="Heading2"/>
        <w:spacing w:line="240" w:lineRule="auto"/>
        <w:ind w:right="1133"/>
        <w:jc w:val="left"/>
        <w:rPr>
          <w:b w:val="0"/>
          <w:bCs w:val="0"/>
        </w:rPr>
      </w:pPr>
      <w:bookmarkStart w:name="二十、公司子公司重大事项" w:id="102"/>
      <w:bookmarkEnd w:id="102"/>
      <w:r>
        <w:rPr>
          <w:b w:val="0"/>
          <w:bCs w:val="0"/>
        </w:rPr>
      </w:r>
      <w:r>
        <w:rPr/>
        <w:t>二十、公司子公司重大事项</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300" w:lineRule="auto" w:before="101"/>
        <w:ind w:left="152" w:right="104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月，公司通过北京市丰台区人民法院微信公众平台获悉，北京市丰台区人民法院已裁定受理债权人四川华西建 筑装饰工程有限公司申请债务人北京金丰科华房地产开发有限公司（以下简称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金丰科华</w:t>
      </w:r>
      <w:r>
        <w:rPr>
          <w:rFonts w:ascii="Times New Roman" w:hAnsi="Times New Roman" w:cs="Times New Roman" w:eastAsia="Times New Roman" w:hint="default"/>
          <w:sz w:val="18"/>
          <w:szCs w:val="18"/>
        </w:rPr>
        <w:t>”</w:t>
      </w:r>
      <w:r>
        <w:rPr>
          <w:rFonts w:ascii="宋体" w:hAnsi="宋体" w:cs="宋体" w:eastAsia="宋体" w:hint="default"/>
          <w:sz w:val="18"/>
          <w:szCs w:val="18"/>
        </w:rPr>
        <w:t>）破产清算一案，并决定采用竞争 </w:t>
      </w:r>
      <w:r>
        <w:rPr>
          <w:rFonts w:ascii="宋体" w:hAnsi="宋体" w:cs="宋体" w:eastAsia="宋体" w:hint="default"/>
          <w:spacing w:val="-3"/>
          <w:sz w:val="18"/>
          <w:szCs w:val="18"/>
        </w:rPr>
        <w:t>方式确定上述案件破产管理人。金丰科华系本公司全资子公司中电科（北京）网络信息安全有限公司（以下简称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北京网安</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77"/>
          <w:sz w:val="18"/>
          <w:szCs w:val="18"/>
        </w:rPr>
        <w:t> </w:t>
      </w:r>
      <w:r>
        <w:rPr>
          <w:rFonts w:ascii="宋体" w:hAnsi="宋体" w:cs="宋体" w:eastAsia="宋体" w:hint="default"/>
          <w:spacing w:val="-2"/>
          <w:sz w:val="18"/>
          <w:szCs w:val="18"/>
        </w:rPr>
        <w:t>使用募集资金购买的金丰能源中心项目</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号楼房产的开发商。金丰科华破产案件可能对北京网安所购金丰能源中心项目</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号楼</w:t>
      </w:r>
      <w:r>
        <w:rPr>
          <w:rFonts w:ascii="宋体" w:hAnsi="宋体" w:cs="宋体" w:eastAsia="宋体" w:hint="default"/>
          <w:spacing w:val="-61"/>
          <w:sz w:val="18"/>
          <w:szCs w:val="18"/>
        </w:rPr>
        <w:t> </w:t>
      </w:r>
      <w:r>
        <w:rPr>
          <w:rFonts w:ascii="宋体" w:hAnsi="宋体" w:cs="宋体" w:eastAsia="宋体" w:hint="default"/>
          <w:sz w:val="18"/>
          <w:szCs w:val="18"/>
        </w:rPr>
        <w:t>房产涉及的查封及相关诉讼案件产生重要影响。详细情况请见公司于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日在《证券时报》、《中国证券报》及巨 潮资讯网披露的《关于获悉影响公司诉讼案件重要因素的公告》（公告编号</w:t>
      </w:r>
      <w:r>
        <w:rPr>
          <w:rFonts w:ascii="Times New Roman" w:hAnsi="Times New Roman" w:cs="Times New Roman" w:eastAsia="Times New Roman" w:hint="default"/>
          <w:sz w:val="18"/>
          <w:szCs w:val="18"/>
        </w:rPr>
        <w:t>:2019-057)</w:t>
      </w:r>
      <w:r>
        <w:rPr>
          <w:rFonts w:ascii="宋体" w:hAnsi="宋体" w:cs="宋体" w:eastAsia="宋体" w:hint="default"/>
          <w:sz w:val="18"/>
          <w:szCs w:val="18"/>
        </w:rPr>
        <w:t>。</w:t>
      </w:r>
    </w:p>
    <w:p>
      <w:pPr>
        <w:spacing w:after="0" w:line="30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1133"/>
        <w:jc w:val="left"/>
        <w:rPr>
          <w:b w:val="0"/>
          <w:bCs w:val="0"/>
        </w:rPr>
      </w:pPr>
      <w:bookmarkStart w:name="第六节 股份变动及股东情况" w:id="103"/>
      <w:bookmarkEnd w:id="103"/>
      <w:r>
        <w:rPr>
          <w:b w:val="0"/>
          <w:bCs w:val="0"/>
        </w:rPr>
      </w:r>
      <w:bookmarkStart w:name="_bookmark5" w:id="104"/>
      <w:bookmarkEnd w:id="104"/>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33"/>
        <w:jc w:val="left"/>
        <w:rPr>
          <w:b w:val="0"/>
          <w:bCs w:val="0"/>
        </w:rPr>
      </w:pPr>
      <w:bookmarkStart w:name="一、股份变动情况" w:id="105"/>
      <w:bookmarkEnd w:id="105"/>
      <w:r>
        <w:rPr>
          <w:b w:val="0"/>
          <w:bCs w:val="0"/>
        </w:rPr>
      </w:r>
      <w:r>
        <w:rPr/>
        <w:t>一、股份变动情况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股份变动情况" w:id="106"/>
      <w:bookmarkEnd w:id="106"/>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62"/>
        <w:gridCol w:w="1077"/>
        <w:gridCol w:w="823"/>
        <w:gridCol w:w="823"/>
        <w:gridCol w:w="548"/>
        <w:gridCol w:w="1097"/>
        <w:gridCol w:w="746"/>
        <w:gridCol w:w="711"/>
        <w:gridCol w:w="991"/>
        <w:gridCol w:w="782"/>
      </w:tblGrid>
      <w:tr>
        <w:trPr>
          <w:trHeight w:val="206"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0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25"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67"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7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4"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900" w:type="dxa"/>
            <w:gridSpan w:val="2"/>
            <w:vMerge/>
            <w:tcBorders>
              <w:left w:val="single" w:sz="4" w:space="0" w:color="000000"/>
              <w:bottom w:val="single" w:sz="4" w:space="0" w:color="000000"/>
              <w:right w:val="single" w:sz="4" w:space="0" w:color="000000"/>
            </w:tcBorders>
            <w:shd w:val="clear" w:color="auto" w:fill="D2D2D2"/>
          </w:tcPr>
          <w:p>
            <w:pPr/>
          </w:p>
        </w:tc>
        <w:tc>
          <w:tcPr>
            <w:tcW w:w="3925" w:type="dxa"/>
            <w:gridSpan w:val="5"/>
            <w:vMerge/>
            <w:tcBorders>
              <w:left w:val="single" w:sz="4" w:space="0" w:color="000000"/>
              <w:bottom w:val="single" w:sz="4" w:space="0" w:color="000000"/>
              <w:right w:val="single" w:sz="4" w:space="0" w:color="000000"/>
            </w:tcBorders>
            <w:shd w:val="clear" w:color="auto" w:fill="D2D2D2"/>
          </w:tcPr>
          <w:p>
            <w:pPr/>
          </w:p>
        </w:tc>
        <w:tc>
          <w:tcPr>
            <w:tcW w:w="1774"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0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5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5"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7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8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06"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7"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548"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746"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28,433,953</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w:t>
            </w:r>
          </w:p>
        </w:tc>
        <w:tc>
          <w:tcPr>
            <w:tcW w:w="82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-11,680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28,422,273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27,164,689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w:t>
            </w:r>
          </w:p>
        </w:tc>
        <w:tc>
          <w:tcPr>
            <w:tcW w:w="82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27,164,689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1,269,264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0.15%</w:t>
            </w:r>
          </w:p>
        </w:tc>
        <w:tc>
          <w:tcPr>
            <w:tcW w:w="82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-11,680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-11,680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1,257,584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0.15%</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8"/>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1,269,264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0.15%</w:t>
            </w:r>
          </w:p>
        </w:tc>
        <w:tc>
          <w:tcPr>
            <w:tcW w:w="82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-11,680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-11,680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1,257,584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0.15%</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8"/>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809,902,075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96.61%</w:t>
            </w:r>
          </w:p>
        </w:tc>
        <w:tc>
          <w:tcPr>
            <w:tcW w:w="82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2"/>
                <w:sz w:val="18"/>
              </w:rPr>
              <w:t>11,680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2"/>
                <w:sz w:val="18"/>
              </w:rPr>
              <w:t>11,680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809,913,755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96.61%</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809,902,075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96.61%</w:t>
            </w:r>
          </w:p>
        </w:tc>
        <w:tc>
          <w:tcPr>
            <w:tcW w:w="82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11,680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809,913,755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96.61%</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838,336,028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838,336,028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line="340" w:lineRule="auto" w:before="115"/>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股份变动的批准情况</w:t>
      </w:r>
    </w:p>
    <w:p>
      <w:pPr>
        <w:spacing w:line="340" w:lineRule="auto" w:before="40"/>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股份变动的过户情况</w:t>
      </w:r>
    </w:p>
    <w:p>
      <w:pPr>
        <w:spacing w:line="338" w:lineRule="auto" w:before="41"/>
        <w:ind w:left="152" w:right="8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股份回购的实施进展情况</w:t>
      </w:r>
    </w:p>
    <w:p>
      <w:pPr>
        <w:spacing w:line="340" w:lineRule="auto" w:before="43"/>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采用集中竞价方式减持回购股份的实施进展情况</w:t>
      </w:r>
    </w:p>
    <w:p>
      <w:pPr>
        <w:spacing w:line="340" w:lineRule="auto" w:before="39"/>
        <w:ind w:left="152"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after="0" w:line="3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line="340" w:lineRule="auto" w:before="44"/>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公司认为必要或证券监管机构要求披露的其他内容</w:t>
      </w:r>
    </w:p>
    <w:p>
      <w:pPr>
        <w:spacing w:before="39"/>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2、限售股份变动情况" w:id="107"/>
      <w:bookmarkEnd w:id="107"/>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1133"/>
        <w:gridCol w:w="852"/>
        <w:gridCol w:w="850"/>
        <w:gridCol w:w="1419"/>
        <w:gridCol w:w="1416"/>
        <w:gridCol w:w="2201"/>
      </w:tblGrid>
      <w:tr>
        <w:trPr>
          <w:trHeight w:val="715"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2" w:right="110"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 w:right="60"/>
              <w:jc w:val="left"/>
              <w:rPr>
                <w:rFonts w:ascii="宋体" w:hAnsi="宋体" w:cs="宋体" w:eastAsia="宋体" w:hint="default"/>
                <w:sz w:val="18"/>
                <w:szCs w:val="18"/>
              </w:rPr>
            </w:pPr>
            <w:r>
              <w:rPr>
                <w:rFonts w:ascii="宋体" w:hAnsi="宋体" w:cs="宋体" w:eastAsia="宋体" w:hint="default"/>
                <w:sz w:val="18"/>
                <w:szCs w:val="18"/>
              </w:rPr>
              <w:t>本期增加 限售股数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 w:right="59"/>
              <w:jc w:val="left"/>
              <w:rPr>
                <w:rFonts w:ascii="宋体" w:hAnsi="宋体" w:cs="宋体" w:eastAsia="宋体" w:hint="default"/>
                <w:sz w:val="18"/>
                <w:szCs w:val="18"/>
              </w:rPr>
            </w:pPr>
            <w:r>
              <w:rPr>
                <w:rFonts w:ascii="宋体" w:hAnsi="宋体" w:cs="宋体" w:eastAsia="宋体" w:hint="default"/>
                <w:sz w:val="18"/>
                <w:szCs w:val="18"/>
              </w:rPr>
              <w:t>本期解除 限售股数</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中电科投资控股有限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16,298,813</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16,298,813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日解除限售</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16,298,813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中国电子科技网络信 息安全有限公司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10,865,876</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10,865,876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日解除限售</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10,865,876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2,340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5"/>
              <w:jc w:val="left"/>
              <w:rPr>
                <w:rFonts w:ascii="宋体" w:hAnsi="宋体" w:cs="宋体" w:eastAsia="宋体" w:hint="default"/>
                <w:sz w:val="18"/>
                <w:szCs w:val="18"/>
              </w:rPr>
            </w:pPr>
            <w:r>
              <w:rPr>
                <w:rFonts w:ascii="宋体" w:hAnsi="宋体" w:cs="宋体" w:eastAsia="宋体" w:hint="default"/>
                <w:sz w:val="18"/>
                <w:szCs w:val="18"/>
              </w:rPr>
              <w:t>按法律法规和相关承诺解 除锁定</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雷利民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1,205,964</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1,205,964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5"/>
              <w:jc w:val="left"/>
              <w:rPr>
                <w:rFonts w:ascii="宋体" w:hAnsi="宋体" w:cs="宋体" w:eastAsia="宋体" w:hint="default"/>
                <w:sz w:val="18"/>
                <w:szCs w:val="18"/>
              </w:rPr>
            </w:pPr>
            <w:r>
              <w:rPr>
                <w:rFonts w:ascii="宋体" w:hAnsi="宋体" w:cs="宋体" w:eastAsia="宋体" w:hint="default"/>
                <w:sz w:val="18"/>
                <w:szCs w:val="18"/>
              </w:rPr>
              <w:t>按法律法规和相关承诺解 除锁定</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胡凯春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36,960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12,320</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49,280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5"/>
              <w:jc w:val="left"/>
              <w:rPr>
                <w:rFonts w:ascii="宋体" w:hAnsi="宋体" w:cs="宋体" w:eastAsia="宋体" w:hint="default"/>
                <w:sz w:val="18"/>
                <w:szCs w:val="18"/>
              </w:rPr>
            </w:pPr>
            <w:r>
              <w:rPr>
                <w:rFonts w:ascii="宋体" w:hAnsi="宋体" w:cs="宋体" w:eastAsia="宋体" w:hint="default"/>
                <w:sz w:val="18"/>
                <w:szCs w:val="18"/>
              </w:rPr>
              <w:t>按法律法规和相关承诺解 除锁定</w:t>
            </w:r>
          </w:p>
        </w:tc>
      </w:tr>
      <w:tr>
        <w:trPr>
          <w:trHeight w:val="71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李成刚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85"/>
              <w:jc w:val="left"/>
              <w:rPr>
                <w:rFonts w:ascii="宋体" w:hAnsi="宋体" w:cs="宋体" w:eastAsia="宋体" w:hint="default"/>
                <w:sz w:val="18"/>
                <w:szCs w:val="18"/>
              </w:rPr>
            </w:pPr>
            <w:r>
              <w:rPr>
                <w:rFonts w:ascii="宋体" w:hAnsi="宋体" w:cs="宋体" w:eastAsia="宋体" w:hint="default"/>
                <w:sz w:val="18"/>
                <w:szCs w:val="18"/>
              </w:rPr>
              <w:t>按法律法规和相关承诺解 除锁定</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28,433,953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28,422,273</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二、证券发行与上市情况" w:id="108"/>
      <w:bookmarkEnd w:id="108"/>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报告期内证券发行（不含优先股）情况" w:id="109"/>
      <w:bookmarkEnd w:id="109"/>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2、公司股份总数及股东结构的变动、公司资产和负债结构的变动情况说明" w:id="110"/>
      <w:bookmarkEnd w:id="110"/>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pStyle w:val="Heading4"/>
        <w:spacing w:line="240" w:lineRule="auto"/>
        <w:ind w:right="1133"/>
        <w:jc w:val="left"/>
        <w:rPr>
          <w:b w:val="0"/>
          <w:bCs w:val="0"/>
        </w:rPr>
      </w:pPr>
      <w:bookmarkStart w:name="3、现存的内部职工股情况" w:id="111"/>
      <w:bookmarkEnd w:id="111"/>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三、股东和实际控制人情况" w:id="112"/>
      <w:bookmarkEnd w:id="112"/>
      <w:r>
        <w:rPr>
          <w:b w:val="0"/>
          <w:bCs w:val="0"/>
        </w:rPr>
      </w: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公司股东数量及持股情况" w:id="113"/>
      <w:bookmarkEnd w:id="113"/>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1073"/>
        <w:gridCol w:w="134"/>
        <w:gridCol w:w="860"/>
        <w:gridCol w:w="316"/>
        <w:gridCol w:w="534"/>
        <w:gridCol w:w="684"/>
        <w:gridCol w:w="307"/>
        <w:gridCol w:w="866"/>
        <w:gridCol w:w="128"/>
        <w:gridCol w:w="991"/>
        <w:gridCol w:w="101"/>
        <w:gridCol w:w="1035"/>
        <w:gridCol w:w="138"/>
        <w:gridCol w:w="712"/>
        <w:gridCol w:w="497"/>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63" w:right="0"/>
              <w:jc w:val="left"/>
              <w:rPr>
                <w:rFonts w:ascii="Times New Roman" w:hAnsi="Times New Roman" w:cs="Times New Roman" w:eastAsia="Times New Roman" w:hint="default"/>
                <w:sz w:val="18"/>
                <w:szCs w:val="18"/>
              </w:rPr>
            </w:pPr>
            <w:r>
              <w:rPr>
                <w:rFonts w:ascii="Times New Roman"/>
                <w:sz w:val="18"/>
              </w:rPr>
              <w:t>41,683</w:t>
            </w:r>
          </w:p>
        </w:tc>
        <w:tc>
          <w:tcPr>
            <w:tcW w:w="1175"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4" w:right="0"/>
              <w:jc w:val="left"/>
              <w:rPr>
                <w:rFonts w:ascii="Times New Roman" w:hAnsi="Times New Roman" w:cs="Times New Roman" w:eastAsia="Times New Roman" w:hint="default"/>
                <w:sz w:val="18"/>
                <w:szCs w:val="18"/>
              </w:rPr>
            </w:pPr>
            <w:r>
              <w:rPr>
                <w:rFonts w:ascii="Times New Roman"/>
                <w:sz w:val="18"/>
              </w:rPr>
              <w:t>44,922</w:t>
            </w:r>
          </w:p>
        </w:tc>
        <w:tc>
          <w:tcPr>
            <w:tcW w:w="117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20" w:type="dxa"/>
            <w:gridSpan w:val="3"/>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 w:right="9"/>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8" w:type="dxa"/>
            <w:gridSpan w:val="2"/>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10" w:space="0" w:color="D2D2D2"/>
            </w:tcBorders>
          </w:tcPr>
          <w:p>
            <w:pPr/>
          </w:p>
        </w:tc>
        <w:tc>
          <w:tcPr>
            <w:tcW w:w="117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69"/>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6" w:lineRule="auto" w:before="19"/>
              <w:ind w:left="11" w:right="1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20" w:type="dxa"/>
            <w:gridSpan w:val="3"/>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71"/>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2"/>
            <w:vMerge/>
            <w:tcBorders>
              <w:left w:val="single" w:sz="9" w:space="0" w:color="D2D2D2"/>
              <w:right w:val="single" w:sz="10"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20" w:type="dxa"/>
            <w:gridSpan w:val="3"/>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4" w:space="0" w:color="000000"/>
            </w:tcBorders>
          </w:tcPr>
          <w:p>
            <w:pPr/>
          </w:p>
        </w:tc>
      </w:tr>
      <w:tr>
        <w:trPr>
          <w:trHeight w:val="703"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10"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20" w:type="dxa"/>
            <w:gridSpan w:val="3"/>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10"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20" w:type="dxa"/>
            <w:gridSpan w:val="3"/>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10" w:space="0" w:color="D2D2D2"/>
            </w:tcBorders>
          </w:tcPr>
          <w:p>
            <w:pPr/>
          </w:p>
        </w:tc>
        <w:tc>
          <w:tcPr>
            <w:tcW w:w="1173" w:type="dxa"/>
            <w:gridSpan w:val="2"/>
            <w:vMerge/>
            <w:tcBorders>
              <w:left w:val="single" w:sz="4" w:space="0" w:color="000000"/>
              <w:bottom w:val="nil" w:sz="6" w:space="0" w:color="auto"/>
              <w:right w:val="single" w:sz="4" w:space="0" w:color="000000"/>
            </w:tcBorders>
            <w:shd w:val="clear" w:color="auto" w:fill="D2D2D2"/>
          </w:tcPr>
          <w:p>
            <w:pPr/>
          </w:p>
        </w:tc>
        <w:tc>
          <w:tcPr>
            <w:tcW w:w="1220" w:type="dxa"/>
            <w:gridSpan w:val="3"/>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7" w:type="dxa"/>
            <w:gridSpan w:val="2"/>
            <w:vMerge/>
            <w:tcBorders>
              <w:left w:val="single" w:sz="9" w:space="0" w:color="D2D2D2"/>
              <w:bottom w:val="single" w:sz="4" w:space="0" w:color="000000"/>
              <w:right w:val="single" w:sz="9" w:space="0" w:color="D2D2D2"/>
            </w:tcBorders>
          </w:tcPr>
          <w:p>
            <w:pPr/>
          </w:p>
        </w:tc>
        <w:tc>
          <w:tcPr>
            <w:tcW w:w="1175"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2"/>
            <w:vMerge/>
            <w:tcBorders>
              <w:left w:val="single" w:sz="9" w:space="0" w:color="D2D2D2"/>
              <w:bottom w:val="single" w:sz="4" w:space="0" w:color="000000"/>
              <w:right w:val="single" w:sz="10" w:space="0" w:color="D2D2D2"/>
            </w:tcBorders>
          </w:tcPr>
          <w:p>
            <w:pPr/>
          </w:p>
        </w:tc>
        <w:tc>
          <w:tcPr>
            <w:tcW w:w="117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20" w:type="dxa"/>
            <w:gridSpan w:val="3"/>
            <w:vMerge/>
            <w:tcBorders>
              <w:left w:val="single" w:sz="10"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4" w:space="0" w:color="000000"/>
            </w:tcBorders>
          </w:tcPr>
          <w:p>
            <w:pPr/>
          </w:p>
        </w:tc>
      </w:tr>
      <w:tr>
        <w:trPr>
          <w:trHeight w:val="394" w:hRule="exact"/>
        </w:trPr>
        <w:tc>
          <w:tcPr>
            <w:tcW w:w="9571"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2268" w:type="dxa"/>
            <w:gridSpan w:val="2"/>
            <w:vMerge w:val="restart"/>
            <w:tcBorders>
              <w:top w:val="single" w:sz="4" w:space="0" w:color="000000"/>
              <w:left w:val="single" w:sz="4" w:space="0" w:color="000000"/>
              <w:right w:val="single" w:sz="4" w:space="0" w:color="000000"/>
            </w:tcBorders>
            <w:shd w:val="clear" w:color="auto" w:fill="D2D2D2"/>
          </w:tcPr>
          <w:p>
            <w:pPr/>
          </w:p>
        </w:tc>
        <w:tc>
          <w:tcPr>
            <w:tcW w:w="994" w:type="dxa"/>
            <w:gridSpan w:val="2"/>
            <w:vMerge w:val="restart"/>
            <w:tcBorders>
              <w:top w:val="single" w:sz="4" w:space="0" w:color="000000"/>
              <w:left w:val="single" w:sz="4" w:space="0" w:color="000000"/>
              <w:right w:val="single" w:sz="4" w:space="0" w:color="000000"/>
            </w:tcBorders>
            <w:shd w:val="clear" w:color="auto" w:fill="D2D2D2"/>
          </w:tcPr>
          <w:p>
            <w:pPr/>
          </w:p>
        </w:tc>
        <w:tc>
          <w:tcPr>
            <w:tcW w:w="850" w:type="dxa"/>
            <w:gridSpan w:val="2"/>
            <w:vMerge w:val="restart"/>
            <w:tcBorders>
              <w:top w:val="single" w:sz="4" w:space="0" w:color="000000"/>
              <w:left w:val="single" w:sz="4" w:space="0" w:color="000000"/>
              <w:right w:val="single" w:sz="4" w:space="0" w:color="000000"/>
            </w:tcBorders>
            <w:shd w:val="clear" w:color="auto" w:fill="D2D2D2"/>
          </w:tcPr>
          <w:p>
            <w:pPr/>
          </w:p>
        </w:tc>
        <w:tc>
          <w:tcPr>
            <w:tcW w:w="99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0"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3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12" w:right="11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34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2268" w:type="dxa"/>
            <w:gridSpan w:val="2"/>
            <w:vMerge/>
            <w:tcBorders>
              <w:left w:val="single" w:sz="4" w:space="0" w:color="000000"/>
              <w:bottom w:val="nil" w:sz="6" w:space="0" w:color="auto"/>
              <w:right w:val="single" w:sz="4" w:space="0" w:color="000000"/>
            </w:tcBorders>
            <w:shd w:val="clear" w:color="auto" w:fill="D2D2D2"/>
          </w:tcPr>
          <w:p>
            <w:pPr/>
          </w:p>
        </w:tc>
        <w:tc>
          <w:tcPr>
            <w:tcW w:w="994" w:type="dxa"/>
            <w:gridSpan w:val="2"/>
            <w:vMerge/>
            <w:tcBorders>
              <w:left w:val="single" w:sz="4" w:space="0" w:color="000000"/>
              <w:bottom w:val="nil" w:sz="6" w:space="0" w:color="auto"/>
              <w:right w:val="single" w:sz="4" w:space="0" w:color="000000"/>
            </w:tcBorders>
            <w:shd w:val="clear" w:color="auto" w:fill="D2D2D2"/>
          </w:tcPr>
          <w:p>
            <w:pPr/>
          </w:p>
        </w:tc>
        <w:tc>
          <w:tcPr>
            <w:tcW w:w="850" w:type="dxa"/>
            <w:gridSpan w:val="2"/>
            <w:vMerge/>
            <w:tcBorders>
              <w:left w:val="single" w:sz="4" w:space="0" w:color="000000"/>
              <w:bottom w:val="nil" w:sz="6" w:space="0" w:color="auto"/>
              <w:right w:val="single" w:sz="4" w:space="0" w:color="000000"/>
            </w:tcBorders>
            <w:shd w:val="clear" w:color="auto" w:fill="D2D2D2"/>
          </w:tcPr>
          <w:p>
            <w:pPr/>
          </w:p>
        </w:tc>
        <w:tc>
          <w:tcPr>
            <w:tcW w:w="99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20" w:right="38"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0"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1" w:type="dxa"/>
            <w:vMerge/>
            <w:tcBorders>
              <w:left w:val="single" w:sz="4" w:space="0" w:color="000000"/>
              <w:right w:val="single" w:sz="4" w:space="0" w:color="000000"/>
            </w:tcBorders>
            <w:shd w:val="clear" w:color="auto" w:fill="D2D2D2"/>
          </w:tcPr>
          <w:p>
            <w:pPr/>
          </w:p>
        </w:tc>
        <w:tc>
          <w:tcPr>
            <w:tcW w:w="1136" w:type="dxa"/>
            <w:gridSpan w:val="2"/>
            <w:vMerge/>
            <w:tcBorders>
              <w:left w:val="single" w:sz="4" w:space="0" w:color="000000"/>
              <w:right w:val="single" w:sz="4" w:space="0" w:color="000000"/>
            </w:tcBorders>
            <w:shd w:val="clear" w:color="auto" w:fill="D2D2D2"/>
          </w:tcPr>
          <w:p>
            <w:pPr/>
          </w:p>
        </w:tc>
        <w:tc>
          <w:tcPr>
            <w:tcW w:w="1346" w:type="dxa"/>
            <w:gridSpan w:val="3"/>
            <w:vMerge/>
            <w:tcBorders>
              <w:left w:val="single" w:sz="4" w:space="0" w:color="000000"/>
              <w:right w:val="single" w:sz="4" w:space="0" w:color="000000"/>
            </w:tcBorders>
            <w:shd w:val="clear" w:color="auto" w:fill="D2D2D2"/>
          </w:tcPr>
          <w:p>
            <w:pPr/>
          </w:p>
        </w:tc>
      </w:tr>
      <w:tr>
        <w:trPr>
          <w:trHeight w:val="140" w:hRule="exact"/>
        </w:trPr>
        <w:tc>
          <w:tcPr>
            <w:tcW w:w="2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99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91"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1136" w:type="dxa"/>
            <w:gridSpan w:val="2"/>
            <w:vMerge/>
            <w:tcBorders>
              <w:left w:val="single" w:sz="4" w:space="0" w:color="000000"/>
              <w:right w:val="single" w:sz="4" w:space="0" w:color="000000"/>
            </w:tcBorders>
            <w:shd w:val="clear" w:color="auto" w:fill="D2D2D2"/>
          </w:tcPr>
          <w:p>
            <w:pPr/>
          </w:p>
        </w:tc>
        <w:tc>
          <w:tcPr>
            <w:tcW w:w="1346"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2268" w:type="dxa"/>
            <w:gridSpan w:val="2"/>
            <w:vMerge/>
            <w:tcBorders>
              <w:left w:val="single" w:sz="4" w:space="0" w:color="000000"/>
              <w:bottom w:val="nil" w:sz="6" w:space="0" w:color="auto"/>
              <w:right w:val="single" w:sz="4" w:space="0" w:color="000000"/>
            </w:tcBorders>
            <w:shd w:val="clear" w:color="auto" w:fill="D2D2D2"/>
          </w:tcPr>
          <w:p>
            <w:pPr/>
          </w:p>
        </w:tc>
        <w:tc>
          <w:tcPr>
            <w:tcW w:w="994" w:type="dxa"/>
            <w:gridSpan w:val="2"/>
            <w:vMerge/>
            <w:tcBorders>
              <w:left w:val="single" w:sz="4" w:space="0" w:color="000000"/>
              <w:bottom w:val="nil" w:sz="6" w:space="0" w:color="auto"/>
              <w:right w:val="single" w:sz="4" w:space="0" w:color="000000"/>
            </w:tcBorders>
            <w:shd w:val="clear" w:color="auto" w:fill="D2D2D2"/>
          </w:tcPr>
          <w:p>
            <w:pPr/>
          </w:p>
        </w:tc>
        <w:tc>
          <w:tcPr>
            <w:tcW w:w="850" w:type="dxa"/>
            <w:gridSpan w:val="2"/>
            <w:vMerge/>
            <w:tcBorders>
              <w:left w:val="single" w:sz="4" w:space="0" w:color="000000"/>
              <w:bottom w:val="nil" w:sz="6" w:space="0" w:color="auto"/>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1136" w:type="dxa"/>
            <w:gridSpan w:val="2"/>
            <w:vMerge/>
            <w:tcBorders>
              <w:left w:val="single" w:sz="4" w:space="0" w:color="000000"/>
              <w:right w:val="single" w:sz="4" w:space="0" w:color="000000"/>
            </w:tcBorders>
            <w:shd w:val="clear" w:color="auto" w:fill="D2D2D2"/>
          </w:tcPr>
          <w:p>
            <w:pPr/>
          </w:p>
        </w:tc>
        <w:tc>
          <w:tcPr>
            <w:tcW w:w="8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5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4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62"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2268" w:type="dxa"/>
            <w:gridSpan w:val="2"/>
            <w:vMerge w:val="restart"/>
            <w:tcBorders>
              <w:top w:val="nil" w:sz="6" w:space="0" w:color="auto"/>
              <w:left w:val="single" w:sz="4" w:space="0" w:color="000000"/>
              <w:right w:val="single" w:sz="4" w:space="0" w:color="000000"/>
            </w:tcBorders>
            <w:shd w:val="clear" w:color="auto" w:fill="D2D2D2"/>
          </w:tcPr>
          <w:p>
            <w:pPr/>
          </w:p>
        </w:tc>
        <w:tc>
          <w:tcPr>
            <w:tcW w:w="994" w:type="dxa"/>
            <w:gridSpan w:val="2"/>
            <w:vMerge w:val="restart"/>
            <w:tcBorders>
              <w:top w:val="nil" w:sz="6" w:space="0" w:color="auto"/>
              <w:left w:val="single" w:sz="4" w:space="0" w:color="000000"/>
              <w:right w:val="single" w:sz="4" w:space="0" w:color="000000"/>
            </w:tcBorders>
            <w:shd w:val="clear" w:color="auto" w:fill="D2D2D2"/>
          </w:tcPr>
          <w:p>
            <w:pPr/>
          </w:p>
        </w:tc>
        <w:tc>
          <w:tcPr>
            <w:tcW w:w="850" w:type="dxa"/>
            <w:gridSpan w:val="2"/>
            <w:vMerge w:val="restart"/>
            <w:tcBorders>
              <w:top w:val="nil" w:sz="6" w:space="0" w:color="auto"/>
              <w:left w:val="single" w:sz="4" w:space="0" w:color="000000"/>
              <w:right w:val="single" w:sz="4" w:space="0" w:color="000000"/>
            </w:tcBorders>
            <w:shd w:val="clear" w:color="auto" w:fill="D2D2D2"/>
          </w:tcPr>
          <w:p>
            <w:pPr/>
          </w:p>
        </w:tc>
        <w:tc>
          <w:tcPr>
            <w:tcW w:w="991" w:type="dxa"/>
            <w:gridSpan w:val="2"/>
            <w:vMerge/>
            <w:tcBorders>
              <w:left w:val="single" w:sz="4" w:space="0" w:color="000000"/>
              <w:bottom w:val="nil" w:sz="6" w:space="0" w:color="auto"/>
              <w:right w:val="single" w:sz="4" w:space="0" w:color="000000"/>
            </w:tcBorders>
            <w:shd w:val="clear" w:color="auto" w:fill="D2D2D2"/>
          </w:tcPr>
          <w:p>
            <w:pPr/>
          </w:p>
        </w:tc>
        <w:tc>
          <w:tcPr>
            <w:tcW w:w="994" w:type="dxa"/>
            <w:gridSpan w:val="2"/>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1136" w:type="dxa"/>
            <w:gridSpan w:val="2"/>
            <w:vMerge/>
            <w:tcBorders>
              <w:left w:val="single" w:sz="4" w:space="0" w:color="000000"/>
              <w:right w:val="single" w:sz="4" w:space="0" w:color="000000"/>
            </w:tcBorders>
            <w:shd w:val="clear" w:color="auto" w:fill="D2D2D2"/>
          </w:tcPr>
          <w:p>
            <w:pPr/>
          </w:p>
        </w:tc>
        <w:tc>
          <w:tcPr>
            <w:tcW w:w="850" w:type="dxa"/>
            <w:gridSpan w:val="2"/>
            <w:vMerge/>
            <w:tcBorders>
              <w:left w:val="single" w:sz="4" w:space="0" w:color="000000"/>
              <w:right w:val="single" w:sz="4" w:space="0" w:color="000000"/>
            </w:tcBorders>
            <w:shd w:val="clear" w:color="auto" w:fill="D2D2D2"/>
          </w:tcPr>
          <w:p>
            <w:pPr/>
          </w:p>
        </w:tc>
        <w:tc>
          <w:tcPr>
            <w:tcW w:w="497" w:type="dxa"/>
            <w:vMerge/>
            <w:tcBorders>
              <w:left w:val="single" w:sz="4" w:space="0" w:color="000000"/>
              <w:right w:val="single" w:sz="4" w:space="0" w:color="000000"/>
            </w:tcBorders>
            <w:shd w:val="clear" w:color="auto" w:fill="D2D2D2"/>
          </w:tcPr>
          <w:p>
            <w:pPr/>
          </w:p>
        </w:tc>
      </w:tr>
      <w:tr>
        <w:trPr>
          <w:trHeight w:val="161" w:hRule="exact"/>
        </w:trPr>
        <w:tc>
          <w:tcPr>
            <w:tcW w:w="2268" w:type="dxa"/>
            <w:gridSpan w:val="2"/>
            <w:vMerge/>
            <w:tcBorders>
              <w:left w:val="single" w:sz="4" w:space="0" w:color="000000"/>
              <w:bottom w:val="single" w:sz="4" w:space="0" w:color="000000"/>
              <w:right w:val="single" w:sz="4" w:space="0" w:color="000000"/>
            </w:tcBorders>
            <w:shd w:val="clear" w:color="auto" w:fill="D2D2D2"/>
          </w:tcPr>
          <w:p>
            <w:pPr/>
          </w:p>
        </w:tc>
        <w:tc>
          <w:tcPr>
            <w:tcW w:w="994" w:type="dxa"/>
            <w:gridSpan w:val="2"/>
            <w:vMerge/>
            <w:tcBorders>
              <w:left w:val="single" w:sz="4" w:space="0" w:color="000000"/>
              <w:bottom w:val="single" w:sz="4" w:space="0" w:color="000000"/>
              <w:right w:val="single" w:sz="4" w:space="0" w:color="000000"/>
            </w:tcBorders>
            <w:shd w:val="clear" w:color="auto" w:fill="D2D2D2"/>
          </w:tcPr>
          <w:p>
            <w:pPr/>
          </w:p>
        </w:tc>
        <w:tc>
          <w:tcPr>
            <w:tcW w:w="850" w:type="dxa"/>
            <w:gridSpan w:val="2"/>
            <w:vMerge/>
            <w:tcBorders>
              <w:left w:val="single" w:sz="4" w:space="0" w:color="000000"/>
              <w:bottom w:val="single" w:sz="4" w:space="0" w:color="000000"/>
              <w:right w:val="single" w:sz="4" w:space="0" w:color="000000"/>
            </w:tcBorders>
            <w:shd w:val="clear" w:color="auto" w:fill="D2D2D2"/>
          </w:tcPr>
          <w:p>
            <w:pPr/>
          </w:p>
        </w:tc>
        <w:tc>
          <w:tcPr>
            <w:tcW w:w="99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1136" w:type="dxa"/>
            <w:gridSpan w:val="2"/>
            <w:vMerge/>
            <w:tcBorders>
              <w:left w:val="single" w:sz="4" w:space="0" w:color="000000"/>
              <w:bottom w:val="single" w:sz="4" w:space="0" w:color="000000"/>
              <w:right w:val="single" w:sz="4" w:space="0" w:color="000000"/>
            </w:tcBorders>
            <w:shd w:val="clear" w:color="auto" w:fill="D2D2D2"/>
          </w:tcPr>
          <w:p>
            <w:pPr/>
          </w:p>
        </w:tc>
        <w:tc>
          <w:tcPr>
            <w:tcW w:w="850" w:type="dxa"/>
            <w:gridSpan w:val="2"/>
            <w:vMerge/>
            <w:tcBorders>
              <w:left w:val="single" w:sz="4" w:space="0" w:color="000000"/>
              <w:bottom w:val="single" w:sz="4" w:space="0" w:color="000000"/>
              <w:right w:val="single" w:sz="4" w:space="0" w:color="000000"/>
            </w:tcBorders>
            <w:shd w:val="clear" w:color="auto" w:fill="D2D2D2"/>
          </w:tcPr>
          <w:p>
            <w:pPr/>
          </w:p>
        </w:tc>
        <w:tc>
          <w:tcPr>
            <w:tcW w:w="497"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中国电子科技网络信息安全 有限公司</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35.43%</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297,034,156</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-19,742,500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10,865,876</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286,168,280</w:t>
            </w:r>
          </w:p>
        </w:tc>
        <w:tc>
          <w:tcPr>
            <w:tcW w:w="850" w:type="dxa"/>
            <w:gridSpan w:val="2"/>
            <w:tcBorders>
              <w:top w:val="single" w:sz="44" w:space="0" w:color="D2D2D2"/>
              <w:left w:val="single" w:sz="4" w:space="0" w:color="000000"/>
              <w:bottom w:val="single" w:sz="4" w:space="0" w:color="000000"/>
              <w:right w:val="single" w:sz="4" w:space="0" w:color="000000"/>
            </w:tcBorders>
          </w:tcPr>
          <w:p>
            <w:pPr/>
          </w:p>
        </w:tc>
        <w:tc>
          <w:tcPr>
            <w:tcW w:w="497" w:type="dxa"/>
            <w:tcBorders>
              <w:top w:val="single" w:sz="44" w:space="0" w:color="D2D2D2"/>
              <w:left w:val="single" w:sz="4" w:space="0" w:color="000000"/>
              <w:bottom w:val="single" w:sz="4" w:space="0" w:color="000000"/>
              <w:right w:val="single" w:sz="4" w:space="0" w:color="000000"/>
            </w:tcBorders>
          </w:tcPr>
          <w:p>
            <w:pPr/>
          </w:p>
        </w:tc>
      </w:tr>
      <w:tr>
        <w:trPr>
          <w:trHeight w:val="401"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4.60%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38,530,023</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7" w:right="0"/>
              <w:jc w:val="left"/>
              <w:rPr>
                <w:rFonts w:ascii="Times New Roman" w:hAnsi="Times New Roman" w:cs="Times New Roman" w:eastAsia="Times New Roman" w:hint="default"/>
                <w:sz w:val="18"/>
                <w:szCs w:val="18"/>
              </w:rPr>
            </w:pPr>
            <w:r>
              <w:rPr>
                <w:rFonts w:ascii="Times New Roman"/>
                <w:sz w:val="18"/>
              </w:rPr>
              <w:t>9,114,019</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38,530,023</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建信基金－工商银行－中航 信托－中航信托</w:t>
            </w:r>
            <w:r>
              <w:rPr>
                <w:rFonts w:ascii="Times New Roman" w:hAnsi="Times New Roman" w:cs="Times New Roman" w:eastAsia="Times New Roman" w:hint="default"/>
                <w:sz w:val="18"/>
                <w:szCs w:val="18"/>
              </w:rPr>
              <w:t>·</w:t>
            </w:r>
            <w:r>
              <w:rPr>
                <w:rFonts w:ascii="宋体" w:hAnsi="宋体" w:cs="宋体" w:eastAsia="宋体" w:hint="default"/>
                <w:sz w:val="18"/>
                <w:szCs w:val="18"/>
              </w:rPr>
              <w:t>天启</w:t>
            </w:r>
          </w:p>
          <w:p>
            <w:pPr>
              <w:pStyle w:val="TableParagraph"/>
              <w:spacing w:line="300" w:lineRule="auto"/>
              <w:ind w:left="24" w:right="17"/>
              <w:jc w:val="left"/>
              <w:rPr>
                <w:rFonts w:ascii="宋体" w:hAnsi="宋体" w:cs="宋体" w:eastAsia="宋体" w:hint="default"/>
                <w:sz w:val="18"/>
                <w:szCs w:val="18"/>
              </w:rPr>
            </w:pP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2016</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293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号建信基金定增 投资集合资金信托计划</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3.60%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30,214,814</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-7,771,690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30,214,814</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中电科投资控股有限公司</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1.94%</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16,298,813</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0" w:right="0"/>
              <w:jc w:val="left"/>
              <w:rPr>
                <w:rFonts w:ascii="Times New Roman" w:hAnsi="Times New Roman" w:cs="Times New Roman" w:eastAsia="Times New Roman" w:hint="default"/>
                <w:sz w:val="18"/>
                <w:szCs w:val="18"/>
              </w:rPr>
            </w:pPr>
            <w:r>
              <w:rPr>
                <w:rFonts w:ascii="Times New Roman"/>
                <w:sz w:val="18"/>
              </w:rPr>
              <w:t>-4,767,199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16,298,813</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于美艳</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1.54%</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12,873,015</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4" w:right="0"/>
              <w:jc w:val="left"/>
              <w:rPr>
                <w:rFonts w:ascii="Times New Roman" w:hAnsi="Times New Roman" w:cs="Times New Roman" w:eastAsia="Times New Roman" w:hint="default"/>
                <w:sz w:val="18"/>
                <w:szCs w:val="18"/>
              </w:rPr>
            </w:pPr>
            <w:r>
              <w:rPr>
                <w:rFonts w:ascii="Times New Roman"/>
                <w:sz w:val="18"/>
              </w:rPr>
              <w:t>-834,281</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12,873,015</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p>
            <w:pPr>
              <w:pStyle w:val="TableParagraph"/>
              <w:spacing w:line="316" w:lineRule="auto" w:before="76"/>
              <w:ind w:left="24" w:right="72"/>
              <w:jc w:val="left"/>
              <w:rPr>
                <w:rFonts w:ascii="宋体" w:hAnsi="宋体" w:cs="宋体" w:eastAsia="宋体" w:hint="default"/>
                <w:sz w:val="18"/>
                <w:szCs w:val="18"/>
              </w:rPr>
            </w:pPr>
            <w:r>
              <w:rPr>
                <w:rFonts w:ascii="宋体" w:hAnsi="宋体" w:cs="宋体" w:eastAsia="宋体" w:hint="default"/>
                <w:sz w:val="18"/>
                <w:szCs w:val="18"/>
              </w:rPr>
              <w:t>－富国中证军工指数分级证 券投资基金</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1.42%</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11,916,102</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-1,872,944</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11,916,102</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中国建设银行股份有限公司</w:t>
            </w:r>
          </w:p>
          <w:p>
            <w:pPr>
              <w:pStyle w:val="TableParagraph"/>
              <w:spacing w:line="316" w:lineRule="auto" w:before="76"/>
              <w:ind w:left="24" w:right="72"/>
              <w:jc w:val="both"/>
              <w:rPr>
                <w:rFonts w:ascii="宋体" w:hAnsi="宋体" w:cs="宋体" w:eastAsia="宋体" w:hint="default"/>
                <w:sz w:val="18"/>
                <w:szCs w:val="18"/>
              </w:rPr>
            </w:pPr>
            <w:r>
              <w:rPr>
                <w:rFonts w:ascii="宋体" w:hAnsi="宋体" w:cs="宋体" w:eastAsia="宋体" w:hint="default"/>
                <w:sz w:val="18"/>
                <w:szCs w:val="18"/>
              </w:rPr>
              <w:t>－富国中证央企创新驱动交 易型开放式指数证券投资基 金</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1.36%</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11,365,668</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11,365,668</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东海基金－浦发银行－云南 国际信托－云南信托锦瑟年 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号集合资金信托计划</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1.01%</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8,499,032</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-1,754,979</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8,499,032</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杨梦媛</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0.99%</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8,341,049</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4" w:right="0"/>
              <w:jc w:val="left"/>
              <w:rPr>
                <w:rFonts w:ascii="Times New Roman" w:hAnsi="Times New Roman" w:cs="Times New Roman" w:eastAsia="Times New Roman" w:hint="default"/>
                <w:sz w:val="18"/>
                <w:szCs w:val="18"/>
              </w:rPr>
            </w:pPr>
            <w:r>
              <w:rPr>
                <w:rFonts w:ascii="Times New Roman"/>
                <w:sz w:val="18"/>
              </w:rPr>
              <w:t>797,500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1" w:right="0"/>
              <w:jc w:val="left"/>
              <w:rPr>
                <w:rFonts w:ascii="Times New Roman" w:hAnsi="Times New Roman" w:cs="Times New Roman" w:eastAsia="Times New Roman" w:hint="default"/>
                <w:sz w:val="18"/>
                <w:szCs w:val="18"/>
              </w:rPr>
            </w:pPr>
            <w:r>
              <w:rPr>
                <w:rFonts w:ascii="Times New Roman"/>
                <w:sz w:val="18"/>
              </w:rPr>
              <w:t>8,341,049</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中国建设银行股份有限公司</w:t>
            </w:r>
          </w:p>
          <w:p>
            <w:pPr>
              <w:pStyle w:val="TableParagraph"/>
              <w:spacing w:line="316" w:lineRule="auto" w:before="76"/>
              <w:ind w:left="24" w:right="72"/>
              <w:jc w:val="both"/>
              <w:rPr>
                <w:rFonts w:ascii="宋体" w:hAnsi="宋体" w:cs="宋体" w:eastAsia="宋体" w:hint="default"/>
                <w:sz w:val="18"/>
                <w:szCs w:val="18"/>
              </w:rPr>
            </w:pPr>
            <w:r>
              <w:rPr>
                <w:rFonts w:ascii="宋体" w:hAnsi="宋体" w:cs="宋体" w:eastAsia="宋体" w:hint="default"/>
                <w:sz w:val="18"/>
                <w:szCs w:val="18"/>
              </w:rPr>
              <w:t>－华夏中证四川国企改革交 易型开放式指数证券投资基 金</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0.81%</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6,778,103</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6,778,103</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252"/>
        <w:gridCol w:w="152"/>
        <w:gridCol w:w="2410"/>
        <w:gridCol w:w="1843"/>
        <w:gridCol w:w="1913"/>
      </w:tblGrid>
      <w:tr>
        <w:trPr>
          <w:trHeight w:val="713" w:hRule="exact"/>
        </w:trPr>
        <w:tc>
          <w:tcPr>
            <w:tcW w:w="3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8"/>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 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名股东的情况（如有）（参见注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319" w:type="dxa"/>
            <w:gridSpan w:val="4"/>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31" w:hRule="exact"/>
        </w:trPr>
        <w:tc>
          <w:tcPr>
            <w:tcW w:w="32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319" w:type="dxa"/>
            <w:gridSpan w:val="4"/>
            <w:vMerge w:val="restart"/>
            <w:tcBorders>
              <w:top w:val="single" w:sz="4" w:space="0" w:color="000000"/>
              <w:left w:val="single" w:sz="9" w:space="0" w:color="D2D2D2"/>
              <w:right w:val="single" w:sz="4" w:space="0" w:color="000000"/>
            </w:tcBorders>
          </w:tcPr>
          <w:p>
            <w:pPr>
              <w:pStyle w:val="TableParagraph"/>
              <w:spacing w:line="304" w:lineRule="auto" w:before="51"/>
              <w:ind w:left="28"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、中国电子科技网络信息安全有限公司为公司第一大股东，中国电子科技集团 有限公司为公司实际控制人；</w:t>
            </w:r>
            <w:r>
              <w:rPr>
                <w:rFonts w:ascii="Times New Roman" w:hAnsi="Times New Roman" w:cs="Times New Roman" w:eastAsia="Times New Roman" w:hint="default"/>
                <w:sz w:val="18"/>
                <w:szCs w:val="18"/>
              </w:rPr>
              <w:t>2</w:t>
            </w:r>
            <w:r>
              <w:rPr>
                <w:rFonts w:ascii="宋体" w:hAnsi="宋体" w:cs="宋体" w:eastAsia="宋体" w:hint="default"/>
                <w:sz w:val="18"/>
                <w:szCs w:val="18"/>
              </w:rPr>
              <w:t>、中国电子科技网络信息安全有限公司和中电科 投资控股有限公司均为中国电子科技集团有限公司的全资公司；</w:t>
            </w:r>
            <w:r>
              <w:rPr>
                <w:rFonts w:ascii="Times New Roman" w:hAnsi="Times New Roman" w:cs="Times New Roman" w:eastAsia="Times New Roman" w:hint="default"/>
                <w:sz w:val="18"/>
                <w:szCs w:val="18"/>
              </w:rPr>
              <w:t>3</w:t>
            </w:r>
            <w:r>
              <w:rPr>
                <w:rFonts w:ascii="宋体" w:hAnsi="宋体" w:cs="宋体" w:eastAsia="宋体" w:hint="default"/>
                <w:sz w:val="18"/>
                <w:szCs w:val="18"/>
              </w:rPr>
              <w:t>、未知其他股 东之间是否存在关联关系，也未知其他股东是否属于《上市公司收购管理办法》 规定的一致行动人。</w:t>
            </w:r>
          </w:p>
        </w:tc>
      </w:tr>
      <w:tr>
        <w:trPr>
          <w:trHeight w:val="391" w:hRule="exact"/>
        </w:trPr>
        <w:tc>
          <w:tcPr>
            <w:tcW w:w="32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319" w:type="dxa"/>
            <w:gridSpan w:val="4"/>
            <w:vMerge/>
            <w:tcBorders>
              <w:left w:val="single" w:sz="9" w:space="0" w:color="D2D2D2"/>
              <w:right w:val="single" w:sz="4" w:space="0" w:color="000000"/>
            </w:tcBorders>
          </w:tcPr>
          <w:p>
            <w:pPr/>
          </w:p>
        </w:tc>
      </w:tr>
      <w:tr>
        <w:trPr>
          <w:trHeight w:val="629" w:hRule="exact"/>
        </w:trPr>
        <w:tc>
          <w:tcPr>
            <w:tcW w:w="32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319" w:type="dxa"/>
            <w:gridSpan w:val="4"/>
            <w:vMerge/>
            <w:tcBorders>
              <w:left w:val="single" w:sz="9" w:space="0" w:color="D2D2D2"/>
              <w:bottom w:val="single" w:sz="4" w:space="0" w:color="000000"/>
              <w:right w:val="single" w:sz="4" w:space="0" w:color="000000"/>
            </w:tcBorders>
          </w:tcPr>
          <w:p>
            <w:pPr/>
          </w:p>
        </w:tc>
      </w:tr>
      <w:tr>
        <w:trPr>
          <w:trHeight w:val="396"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11" w:hRule="exact"/>
        </w:trPr>
        <w:tc>
          <w:tcPr>
            <w:tcW w:w="340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4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019" w:right="27" w:hanging="989"/>
              <w:jc w:val="left"/>
              <w:rPr>
                <w:rFonts w:ascii="宋体" w:hAnsi="宋体" w:cs="宋体" w:eastAsia="宋体" w:hint="default"/>
                <w:sz w:val="18"/>
                <w:szCs w:val="18"/>
              </w:rPr>
            </w:pPr>
            <w:r>
              <w:rPr>
                <w:rFonts w:ascii="宋体" w:hAnsi="宋体" w:cs="宋体" w:eastAsia="宋体" w:hint="default"/>
                <w:sz w:val="18"/>
                <w:szCs w:val="18"/>
              </w:rPr>
              <w:t>报告期末持有无限售条件股份 数量</w:t>
            </w:r>
          </w:p>
        </w:tc>
        <w:tc>
          <w:tcPr>
            <w:tcW w:w="375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340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410" w:type="dxa"/>
            <w:vMerge/>
            <w:tcBorders>
              <w:left w:val="single" w:sz="4" w:space="0" w:color="000000"/>
              <w:right w:val="single" w:sz="4" w:space="0" w:color="000000"/>
            </w:tcBorders>
            <w:shd w:val="clear" w:color="auto" w:fill="D2D2D2"/>
          </w:tcPr>
          <w:p>
            <w:pPr/>
          </w:p>
        </w:tc>
        <w:tc>
          <w:tcPr>
            <w:tcW w:w="375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404" w:type="dxa"/>
            <w:gridSpan w:val="2"/>
            <w:vMerge/>
            <w:tcBorders>
              <w:left w:val="single" w:sz="4" w:space="0" w:color="000000"/>
              <w:bottom w:val="nil" w:sz="6" w:space="0" w:color="auto"/>
              <w:right w:val="single" w:sz="4" w:space="0" w:color="000000"/>
            </w:tcBorders>
            <w:shd w:val="clear" w:color="auto" w:fill="D2D2D2"/>
          </w:tcPr>
          <w:p>
            <w:pPr/>
          </w:p>
        </w:tc>
        <w:tc>
          <w:tcPr>
            <w:tcW w:w="2410" w:type="dxa"/>
            <w:vMerge/>
            <w:tcBorders>
              <w:left w:val="single" w:sz="4" w:space="0" w:color="000000"/>
              <w:right w:val="single" w:sz="4" w:space="0" w:color="000000"/>
            </w:tcBorders>
            <w:shd w:val="clear" w:color="auto" w:fill="D2D2D2"/>
          </w:tcPr>
          <w:p>
            <w:pPr/>
          </w:p>
        </w:tc>
        <w:tc>
          <w:tcPr>
            <w:tcW w:w="18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56"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82" w:hRule="exact"/>
        </w:trPr>
        <w:tc>
          <w:tcPr>
            <w:tcW w:w="340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2410" w:type="dxa"/>
            <w:vMerge/>
            <w:tcBorders>
              <w:left w:val="single" w:sz="4" w:space="0" w:color="000000"/>
              <w:bottom w:val="single" w:sz="4" w:space="0" w:color="000000"/>
              <w:right w:val="single" w:sz="4" w:space="0" w:color="000000"/>
            </w:tcBorders>
            <w:shd w:val="clear" w:color="auto" w:fill="D2D2D2"/>
          </w:tcPr>
          <w:p>
            <w:pPr/>
          </w:p>
        </w:tc>
        <w:tc>
          <w:tcPr>
            <w:tcW w:w="184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25"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2410" w:type="dxa"/>
            <w:tcBorders>
              <w:top w:val="single" w:sz="21" w:space="0" w:color="D2D2D2"/>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286,168,280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286,168,280</w:t>
            </w:r>
          </w:p>
        </w:tc>
      </w:tr>
      <w:tr>
        <w:trPr>
          <w:trHeight w:val="401"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38,530,023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38,530,023</w:t>
            </w:r>
          </w:p>
        </w:tc>
      </w:tr>
      <w:tr>
        <w:trPr>
          <w:trHeight w:val="1027"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建信基金－工商银行－中航信托－中航信 </w:t>
            </w:r>
            <w:r>
              <w:rPr>
                <w:rFonts w:ascii="宋体" w:hAnsi="宋体" w:cs="宋体" w:eastAsia="宋体" w:hint="default"/>
                <w:spacing w:val="-8"/>
                <w:sz w:val="18"/>
                <w:szCs w:val="18"/>
              </w:rPr>
              <w:t>托</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天启（</w:t>
            </w:r>
            <w:r>
              <w:rPr>
                <w:rFonts w:ascii="Times New Roman" w:hAnsi="Times New Roman" w:cs="Times New Roman" w:eastAsia="Times New Roman" w:hint="default"/>
                <w:spacing w:val="-8"/>
                <w:sz w:val="18"/>
                <w:szCs w:val="18"/>
              </w:rPr>
              <w:t>2016</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293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号建信基金定增投资集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合资金信托计划</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30,214,814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30,214,814</w:t>
            </w:r>
          </w:p>
        </w:tc>
      </w:tr>
      <w:tr>
        <w:trPr>
          <w:trHeight w:val="401"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于美艳</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12,873,015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12,873,015</w:t>
            </w:r>
          </w:p>
        </w:tc>
      </w:tr>
      <w:tr>
        <w:trPr>
          <w:trHeight w:val="715"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8"/>
              <w:jc w:val="left"/>
              <w:rPr>
                <w:rFonts w:ascii="宋体" w:hAnsi="宋体" w:cs="宋体" w:eastAsia="宋体" w:hint="default"/>
                <w:sz w:val="18"/>
                <w:szCs w:val="18"/>
              </w:rPr>
            </w:pPr>
            <w:r>
              <w:rPr>
                <w:rFonts w:ascii="宋体" w:hAnsi="宋体" w:cs="宋体" w:eastAsia="宋体" w:hint="default"/>
                <w:sz w:val="18"/>
                <w:szCs w:val="18"/>
              </w:rPr>
              <w:t>中国建设银行股份有限公司－富国中证军 工指数分级证券投资基金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11,916,102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11,916,102</w:t>
            </w:r>
          </w:p>
        </w:tc>
      </w:tr>
      <w:tr>
        <w:trPr>
          <w:trHeight w:val="1025"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8"/>
              <w:jc w:val="both"/>
              <w:rPr>
                <w:rFonts w:ascii="宋体" w:hAnsi="宋体" w:cs="宋体" w:eastAsia="宋体" w:hint="default"/>
                <w:sz w:val="18"/>
                <w:szCs w:val="18"/>
              </w:rPr>
            </w:pPr>
            <w:r>
              <w:rPr>
                <w:rFonts w:ascii="宋体" w:hAnsi="宋体" w:cs="宋体" w:eastAsia="宋体" w:hint="default"/>
                <w:sz w:val="18"/>
                <w:szCs w:val="18"/>
              </w:rPr>
              <w:t>中国建设银行股份有限公司－富国中证央 企创新驱动交易型开放式指数证券投资基 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11,365,668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11,365,668</w:t>
            </w:r>
          </w:p>
        </w:tc>
      </w:tr>
      <w:tr>
        <w:trPr>
          <w:trHeight w:val="715"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8"/>
              <w:jc w:val="left"/>
              <w:rPr>
                <w:rFonts w:ascii="宋体" w:hAnsi="宋体" w:cs="宋体" w:eastAsia="宋体" w:hint="default"/>
                <w:sz w:val="18"/>
                <w:szCs w:val="18"/>
              </w:rPr>
            </w:pPr>
            <w:r>
              <w:rPr>
                <w:rFonts w:ascii="宋体" w:hAnsi="宋体" w:cs="宋体" w:eastAsia="宋体" w:hint="default"/>
                <w:sz w:val="18"/>
                <w:szCs w:val="18"/>
              </w:rPr>
              <w:t>东海基金－浦发银行－云南国际信托－云 南信托锦瑟年华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号集合资金信托计划</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8,499,032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8,499,032</w:t>
            </w:r>
          </w:p>
        </w:tc>
      </w:tr>
      <w:tr>
        <w:trPr>
          <w:trHeight w:val="401"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杨梦媛</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8,341,049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8,341,049</w:t>
            </w:r>
          </w:p>
        </w:tc>
      </w:tr>
      <w:tr>
        <w:trPr>
          <w:trHeight w:val="1027"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8"/>
              <w:jc w:val="both"/>
              <w:rPr>
                <w:rFonts w:ascii="宋体" w:hAnsi="宋体" w:cs="宋体" w:eastAsia="宋体" w:hint="default"/>
                <w:sz w:val="18"/>
                <w:szCs w:val="18"/>
              </w:rPr>
            </w:pPr>
            <w:r>
              <w:rPr>
                <w:rFonts w:ascii="宋体" w:hAnsi="宋体" w:cs="宋体" w:eastAsia="宋体" w:hint="default"/>
                <w:sz w:val="18"/>
                <w:szCs w:val="18"/>
              </w:rPr>
              <w:t>中国建设银行股份有限公司－华夏中证四 川国企改革交易型开放式指数证券投资基 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6,778,103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6,778,103</w:t>
            </w:r>
          </w:p>
        </w:tc>
      </w:tr>
      <w:tr>
        <w:trPr>
          <w:trHeight w:val="713"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8"/>
              <w:jc w:val="left"/>
              <w:rPr>
                <w:rFonts w:ascii="宋体" w:hAnsi="宋体" w:cs="宋体" w:eastAsia="宋体" w:hint="default"/>
                <w:sz w:val="18"/>
                <w:szCs w:val="18"/>
              </w:rPr>
            </w:pPr>
            <w:r>
              <w:rPr>
                <w:rFonts w:ascii="宋体" w:hAnsi="宋体" w:cs="宋体" w:eastAsia="宋体" w:hint="default"/>
                <w:sz w:val="18"/>
                <w:szCs w:val="18"/>
              </w:rPr>
              <w:t>招商银行股份有限公司－博时中证央企创 新驱动交易型开放式指数证券投资基金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5,855,824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5,855,824</w:t>
            </w:r>
          </w:p>
        </w:tc>
      </w:tr>
      <w:tr>
        <w:trPr>
          <w:trHeight w:val="1652" w:hRule="exact"/>
        </w:trPr>
        <w:tc>
          <w:tcPr>
            <w:tcW w:w="34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 </w:t>
            </w:r>
            <w:r>
              <w:rPr>
                <w:rFonts w:ascii="宋体" w:hAnsi="宋体" w:cs="宋体" w:eastAsia="宋体" w:hint="default"/>
                <w:spacing w:val="-3"/>
                <w:sz w:val="18"/>
                <w:szCs w:val="18"/>
              </w:rPr>
              <w:t>名无限售流通股股东之间，以及前</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10</w:t>
            </w:r>
          </w:p>
          <w:p>
            <w:pPr>
              <w:pStyle w:val="TableParagraph"/>
              <w:spacing w:line="300" w:lineRule="auto" w:before="61"/>
              <w:ind w:left="24" w:right="36"/>
              <w:jc w:val="left"/>
              <w:rPr>
                <w:rFonts w:ascii="宋体" w:hAnsi="宋体" w:cs="宋体" w:eastAsia="宋体" w:hint="default"/>
                <w:sz w:val="18"/>
                <w:szCs w:val="18"/>
              </w:rPr>
            </w:pPr>
            <w:r>
              <w:rPr>
                <w:rFonts w:ascii="宋体" w:hAnsi="宋体" w:cs="宋体" w:eastAsia="宋体" w:hint="default"/>
                <w:sz w:val="18"/>
                <w:szCs w:val="18"/>
              </w:rPr>
              <w:t>名无限售流通股股东和前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 联关系或一致行动的说明</w:t>
            </w:r>
          </w:p>
        </w:tc>
        <w:tc>
          <w:tcPr>
            <w:tcW w:w="6167" w:type="dxa"/>
            <w:gridSpan w:val="3"/>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、中国电子科技网络信息安全有限公司为公司第一大股东，中国电子科技集 团有限公司为公司实际控制人；</w:t>
            </w:r>
            <w:r>
              <w:rPr>
                <w:rFonts w:ascii="Times New Roman" w:hAnsi="Times New Roman" w:cs="Times New Roman" w:eastAsia="Times New Roman" w:hint="default"/>
                <w:sz w:val="18"/>
                <w:szCs w:val="18"/>
              </w:rPr>
              <w:t>2</w:t>
            </w:r>
            <w:r>
              <w:rPr>
                <w:rFonts w:ascii="宋体" w:hAnsi="宋体" w:cs="宋体" w:eastAsia="宋体" w:hint="default"/>
                <w:sz w:val="18"/>
                <w:szCs w:val="18"/>
              </w:rPr>
              <w:t>、中国电子科技网络信息安全有限公司和中 电科投资控股有限公司均为中国电子科技集团有限公司的全资公司；</w:t>
            </w:r>
            <w:r>
              <w:rPr>
                <w:rFonts w:ascii="Times New Roman" w:hAnsi="Times New Roman" w:cs="Times New Roman" w:eastAsia="Times New Roman" w:hint="default"/>
                <w:sz w:val="18"/>
                <w:szCs w:val="18"/>
              </w:rPr>
              <w:t>3</w:t>
            </w:r>
            <w:r>
              <w:rPr>
                <w:rFonts w:ascii="宋体" w:hAnsi="宋体" w:cs="宋体" w:eastAsia="宋体" w:hint="default"/>
                <w:sz w:val="18"/>
                <w:szCs w:val="18"/>
              </w:rPr>
              <w:t>、未知 </w:t>
            </w:r>
            <w:r>
              <w:rPr>
                <w:rFonts w:ascii="宋体" w:hAnsi="宋体" w:cs="宋体" w:eastAsia="宋体" w:hint="default"/>
                <w:spacing w:val="-1"/>
                <w:sz w:val="18"/>
                <w:szCs w:val="18"/>
              </w:rPr>
              <w:t>其他股东之间是否存在关联关系，也未知其他股东是否属于《上市公司收购管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理办法》规定的一致行动人。</w:t>
            </w:r>
          </w:p>
        </w:tc>
      </w:tr>
      <w:tr>
        <w:trPr>
          <w:trHeight w:val="715" w:hRule="exact"/>
        </w:trPr>
        <w:tc>
          <w:tcPr>
            <w:tcW w:w="34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36"/>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名普通股股东参与融资融券业务情况 </w:t>
            </w:r>
            <w:r>
              <w:rPr>
                <w:rFonts w:ascii="宋体" w:hAnsi="宋体" w:cs="宋体" w:eastAsia="宋体" w:hint="default"/>
                <w:spacing w:val="-10"/>
                <w:sz w:val="18"/>
                <w:szCs w:val="18"/>
              </w:rPr>
              <w:t>说明（如有）（参见注</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1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于美艳参与融资融券业务，信用账户持股数量为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12,873,015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股；杨梦媛参与融</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资融券业务，信用账户持股数量为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8,341,049 </w:t>
            </w:r>
            <w:r>
              <w:rPr>
                <w:rFonts w:ascii="宋体" w:hAnsi="宋体" w:cs="宋体" w:eastAsia="宋体" w:hint="default"/>
                <w:sz w:val="18"/>
                <w:szCs w:val="18"/>
              </w:rPr>
              <w:t>股。</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1"/>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3"/>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2、公司控股股东情况" w:id="114"/>
      <w:bookmarkEnd w:id="114"/>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5"/>
        <w:rPr>
          <w:rFonts w:ascii="宋体" w:hAnsi="宋体" w:cs="宋体" w:eastAsia="宋体" w:hint="default"/>
          <w:b/>
          <w:bCs/>
          <w:sz w:val="26"/>
          <w:szCs w:val="26"/>
        </w:rPr>
      </w:pPr>
    </w:p>
    <w:p>
      <w:pPr>
        <w:spacing w:line="357" w:lineRule="auto" w:before="0"/>
        <w:ind w:left="152" w:right="8414" w:firstLine="0"/>
        <w:jc w:val="left"/>
        <w:rPr>
          <w:rFonts w:ascii="宋体" w:hAnsi="宋体" w:cs="宋体" w:eastAsia="宋体" w:hint="default"/>
          <w:sz w:val="18"/>
          <w:szCs w:val="18"/>
        </w:rPr>
      </w:pPr>
      <w:r>
        <w:rPr>
          <w:rFonts w:ascii="宋体" w:hAnsi="宋体" w:cs="宋体" w:eastAsia="宋体" w:hint="default"/>
          <w:sz w:val="18"/>
          <w:szCs w:val="18"/>
        </w:rPr>
        <w:t>控股股东性质：中央国有控股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spacing w:before="44"/>
        <w:ind w:left="0" w:right="1138" w:firstLine="0"/>
        <w:jc w:val="right"/>
        <w:rPr>
          <w:rFonts w:ascii="宋体" w:hAnsi="宋体" w:cs="宋体" w:eastAsia="宋体" w:hint="default"/>
          <w:sz w:val="18"/>
          <w:szCs w:val="18"/>
        </w:rPr>
      </w:pPr>
      <w:r>
        <w:rPr/>
        <w:pict>
          <v:shape style="position:absolute;margin-left:56.400002pt;margin-top:-51.968254pt;width:479.3pt;height:185.7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97"/>
                    <w:gridCol w:w="1124"/>
                    <w:gridCol w:w="991"/>
                    <w:gridCol w:w="1419"/>
                    <w:gridCol w:w="4040"/>
                  </w:tblGrid>
                  <w:tr>
                    <w:trPr>
                      <w:trHeight w:val="71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5" w:right="81"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4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964"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4" w:right="161"/>
                          <w:jc w:val="left"/>
                          <w:rPr>
                            <w:rFonts w:ascii="宋体" w:hAnsi="宋体" w:cs="宋体" w:eastAsia="宋体" w:hint="default"/>
                            <w:sz w:val="18"/>
                            <w:szCs w:val="18"/>
                          </w:rPr>
                        </w:pPr>
                        <w:r>
                          <w:rPr>
                            <w:rFonts w:ascii="宋体" w:hAnsi="宋体" w:cs="宋体" w:eastAsia="宋体" w:hint="default"/>
                            <w:sz w:val="18"/>
                            <w:szCs w:val="18"/>
                          </w:rPr>
                          <w:t>中国电子科技网络信息 安全有限公司</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915101223320702</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67C</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4"/>
                          <w:jc w:val="left"/>
                          <w:rPr>
                            <w:rFonts w:ascii="宋体" w:hAnsi="宋体" w:cs="宋体" w:eastAsia="宋体" w:hint="default"/>
                            <w:sz w:val="18"/>
                            <w:szCs w:val="18"/>
                          </w:rPr>
                        </w:pPr>
                        <w:r>
                          <w:rPr>
                            <w:rFonts w:ascii="宋体" w:hAnsi="宋体" w:cs="宋体" w:eastAsia="宋体" w:hint="default"/>
                            <w:sz w:val="18"/>
                            <w:szCs w:val="18"/>
                          </w:rPr>
                          <w:t>计算机网络信息系统、信息安全、电磁及频谱安全 </w:t>
                        </w:r>
                        <w:r>
                          <w:rPr>
                            <w:rFonts w:ascii="宋体" w:hAnsi="宋体" w:cs="宋体" w:eastAsia="宋体" w:hint="default"/>
                            <w:spacing w:val="-4"/>
                            <w:sz w:val="18"/>
                            <w:szCs w:val="18"/>
                          </w:rPr>
                          <w:t>研究、开发及技术服务；计算机软硬件、电磁防护</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基础材料和元器件技术开发、生产、销售、测评技 术服务、技术转让及信息技术咨询服务；系统集成 及工程建设；从事货物进出口或技术进出口的对外 经营业务。</w:t>
                        </w:r>
                      </w:p>
                    </w:tc>
                  </w:tr>
                  <w:tr>
                    <w:trPr>
                      <w:trHeight w:val="1027"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7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5"/>
        <w:ind w:left="152" w:right="7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3"/>
        <w:rPr>
          <w:rFonts w:ascii="宋体" w:hAnsi="宋体" w:cs="宋体" w:eastAsia="宋体" w:hint="default"/>
          <w:sz w:val="21"/>
          <w:szCs w:val="21"/>
        </w:rPr>
      </w:pPr>
    </w:p>
    <w:p>
      <w:pPr>
        <w:pStyle w:val="Heading4"/>
        <w:spacing w:line="240" w:lineRule="auto"/>
        <w:ind w:right="1133"/>
        <w:jc w:val="left"/>
        <w:rPr>
          <w:b w:val="0"/>
          <w:bCs w:val="0"/>
        </w:rPr>
      </w:pPr>
      <w:bookmarkStart w:name="3、公司实际控制人及其一致行动人" w:id="115"/>
      <w:bookmarkEnd w:id="115"/>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7874" w:firstLine="0"/>
        <w:jc w:val="left"/>
        <w:rPr>
          <w:rFonts w:ascii="宋体" w:hAnsi="宋体" w:cs="宋体" w:eastAsia="宋体" w:hint="default"/>
          <w:sz w:val="18"/>
          <w:szCs w:val="18"/>
        </w:rPr>
      </w:pPr>
      <w:r>
        <w:rPr>
          <w:rFonts w:ascii="宋体" w:hAnsi="宋体" w:cs="宋体" w:eastAsia="宋体" w:hint="default"/>
          <w:sz w:val="18"/>
          <w:szCs w:val="18"/>
        </w:rPr>
        <w:t>实际控制人性质：中央国资管理机构 实际控制人类型：法人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spacing w:before="44"/>
        <w:ind w:left="0" w:right="1136" w:firstLine="0"/>
        <w:jc w:val="right"/>
        <w:rPr>
          <w:rFonts w:ascii="宋体" w:hAnsi="宋体" w:cs="宋体" w:eastAsia="宋体" w:hint="default"/>
          <w:sz w:val="18"/>
          <w:szCs w:val="18"/>
        </w:rPr>
      </w:pPr>
      <w:r>
        <w:rPr/>
        <w:pict>
          <v:shape style="position:absolute;margin-left:56.400002pt;margin-top:-123.428284pt;width:479.3pt;height:174.6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00"/>
                    <w:gridCol w:w="1121"/>
                    <w:gridCol w:w="1558"/>
                    <w:gridCol w:w="1844"/>
                    <w:gridCol w:w="3049"/>
                  </w:tblGrid>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105" w:right="77"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79"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025"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65"/>
                          <w:jc w:val="left"/>
                          <w:rPr>
                            <w:rFonts w:ascii="宋体" w:hAnsi="宋体" w:cs="宋体" w:eastAsia="宋体" w:hint="default"/>
                            <w:sz w:val="18"/>
                            <w:szCs w:val="18"/>
                          </w:rPr>
                        </w:pPr>
                        <w:r>
                          <w:rPr>
                            <w:rFonts w:ascii="宋体" w:hAnsi="宋体" w:cs="宋体" w:eastAsia="宋体" w:hint="default"/>
                            <w:sz w:val="18"/>
                            <w:szCs w:val="18"/>
                          </w:rPr>
                          <w:t>中国电子科技集团有限 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熊群力</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91110000710929498G</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主要从事国家重要大型电子信息系统 </w:t>
                        </w:r>
                        <w:r>
                          <w:rPr>
                            <w:rFonts w:ascii="宋体" w:hAnsi="宋体" w:cs="宋体" w:eastAsia="宋体" w:hint="default"/>
                            <w:spacing w:val="-5"/>
                            <w:sz w:val="18"/>
                            <w:szCs w:val="18"/>
                          </w:rPr>
                          <w:t>的工程建设，重大装备、通信与电子设</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备、软件和关键元器件的研制生产。</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65"/>
                          <w:jc w:val="left"/>
                          <w:rPr>
                            <w:rFonts w:ascii="宋体" w:hAnsi="宋体" w:cs="宋体" w:eastAsia="宋体" w:hint="default"/>
                            <w:sz w:val="18"/>
                            <w:szCs w:val="18"/>
                          </w:rPr>
                        </w:pPr>
                        <w:r>
                          <w:rPr>
                            <w:rFonts w:ascii="宋体" w:hAnsi="宋体" w:cs="宋体" w:eastAsia="宋体" w:hint="default"/>
                            <w:sz w:val="18"/>
                            <w:szCs w:val="18"/>
                          </w:rPr>
                          <w:t>中电科投资控股有限公 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陈永红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9111000071783888XG</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pacing w:val="-5"/>
                            <w:sz w:val="18"/>
                            <w:szCs w:val="18"/>
                          </w:rPr>
                          <w:t>投资管理、股权投资、投资咨询；产权</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经纪。</w:t>
                        </w:r>
                      </w:p>
                    </w:tc>
                  </w:tr>
                  <w:tr>
                    <w:trPr>
                      <w:trHeight w:val="1028"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65"/>
                          <w:jc w:val="both"/>
                          <w:rPr>
                            <w:rFonts w:ascii="宋体" w:hAnsi="宋体" w:cs="宋体" w:eastAsia="宋体" w:hint="default"/>
                            <w:sz w:val="18"/>
                            <w:szCs w:val="18"/>
                          </w:rPr>
                        </w:pPr>
                        <w:r>
                          <w:rPr>
                            <w:rFonts w:ascii="宋体" w:hAnsi="宋体" w:cs="宋体" w:eastAsia="宋体" w:hint="default"/>
                            <w:sz w:val="18"/>
                            <w:szCs w:val="18"/>
                          </w:rPr>
                          <w:t>实际控制人报告期内控 制的其他境内外上市公 司的股权情况</w:t>
                        </w:r>
                      </w:p>
                    </w:tc>
                    <w:tc>
                      <w:tcPr>
                        <w:tcW w:w="7571" w:type="dxa"/>
                        <w:gridSpan w:val="4"/>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5"/>
                          <w:jc w:val="both"/>
                          <w:rPr>
                            <w:rFonts w:ascii="宋体" w:hAnsi="宋体" w:cs="宋体" w:eastAsia="宋体" w:hint="default"/>
                            <w:sz w:val="18"/>
                            <w:szCs w:val="18"/>
                          </w:rPr>
                        </w:pPr>
                        <w:r>
                          <w:rPr>
                            <w:rFonts w:ascii="宋体" w:hAnsi="宋体" w:cs="宋体" w:eastAsia="宋体" w:hint="default"/>
                            <w:spacing w:val="-4"/>
                            <w:sz w:val="18"/>
                            <w:szCs w:val="18"/>
                          </w:rPr>
                          <w:t>间接控制安徽四创电子股份有限公司、上海华东电脑股份有限公司、广州杰赛科技股份有限公司</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太极计算机股份有限公司、国睿科技股份有限公司、杭州海康威视数字技术股份有限公司、</w:t>
                        </w:r>
                        <w:r>
                          <w:rPr>
                            <w:rFonts w:ascii="宋体" w:hAnsi="宋体" w:cs="宋体" w:eastAsia="宋体" w:hint="default"/>
                            <w:spacing w:val="2"/>
                            <w:sz w:val="18"/>
                            <w:szCs w:val="18"/>
                          </w:rPr>
                          <w:t> </w:t>
                        </w:r>
                        <w:r>
                          <w:rPr>
                            <w:rFonts w:ascii="宋体" w:hAnsi="宋体" w:cs="宋体" w:eastAsia="宋体" w:hint="default"/>
                            <w:sz w:val="18"/>
                            <w:szCs w:val="18"/>
                          </w:rPr>
                          <w:t>凤</w:t>
                        </w:r>
                        <w:r>
                          <w:rPr>
                            <w:rFonts w:ascii="宋体" w:hAnsi="宋体" w:cs="宋体" w:eastAsia="宋体" w:hint="default"/>
                            <w:sz w:val="18"/>
                            <w:szCs w:val="18"/>
                          </w:rPr>
                          <w:t> 凰光学股份有限公司、成都天奥电子股份有限公司、中电科能源股份有限公司等境内上市公司。</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after="0" w:line="348"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2"/>
        <w:rPr>
          <w:rFonts w:ascii="宋体" w:hAnsi="宋体" w:cs="宋体" w:eastAsia="宋体" w:hint="default"/>
          <w:sz w:val="29"/>
          <w:szCs w:val="29"/>
        </w:rPr>
      </w:pPr>
    </w:p>
    <w:p>
      <w:pPr>
        <w:spacing w:line="3390" w:lineRule="exact"/>
        <w:ind w:left="1355" w:right="0" w:firstLine="0"/>
        <w:rPr>
          <w:rFonts w:ascii="宋体" w:hAnsi="宋体" w:cs="宋体" w:eastAsia="宋体" w:hint="default"/>
          <w:sz w:val="20"/>
          <w:szCs w:val="20"/>
        </w:rPr>
      </w:pPr>
      <w:r>
        <w:rPr>
          <w:rFonts w:ascii="宋体" w:hAnsi="宋体" w:cs="宋体" w:eastAsia="宋体" w:hint="default"/>
          <w:position w:val="-67"/>
          <w:sz w:val="20"/>
          <w:szCs w:val="20"/>
        </w:rPr>
        <w:drawing>
          <wp:inline distT="0" distB="0" distL="0" distR="0">
            <wp:extent cx="4592235" cy="215265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4592235" cy="2152650"/>
                    </a:xfrm>
                    <a:prstGeom prst="rect">
                      <a:avLst/>
                    </a:prstGeom>
                  </pic:spPr>
                </pic:pic>
              </a:graphicData>
            </a:graphic>
          </wp:inline>
        </w:drawing>
      </w:r>
      <w:r>
        <w:rPr>
          <w:rFonts w:ascii="宋体" w:hAnsi="宋体" w:cs="宋体" w:eastAsia="宋体" w:hint="default"/>
          <w:position w:val="-67"/>
          <w:sz w:val="20"/>
          <w:szCs w:val="20"/>
        </w:rPr>
      </w:r>
    </w:p>
    <w:p>
      <w:pPr>
        <w:spacing w:line="240" w:lineRule="auto" w:before="2"/>
        <w:rPr>
          <w:rFonts w:ascii="宋体" w:hAnsi="宋体" w:cs="宋体" w:eastAsia="宋体" w:hint="default"/>
          <w:sz w:val="12"/>
          <w:szCs w:val="12"/>
        </w:rPr>
      </w:pPr>
    </w:p>
    <w:p>
      <w:pPr>
        <w:pStyle w:val="Heading3"/>
        <w:spacing w:line="240" w:lineRule="auto" w:before="26"/>
        <w:ind w:right="1133"/>
        <w:jc w:val="left"/>
      </w:pPr>
      <w:r>
        <w:rPr/>
        <w:t>实际控制人通过信托或其他资产管理方式控制公司</w:t>
      </w:r>
    </w:p>
    <w:p>
      <w:pPr>
        <w:spacing w:line="240" w:lineRule="auto" w:before="11"/>
        <w:rPr>
          <w:rFonts w:ascii="宋体" w:hAnsi="宋体" w:cs="宋体" w:eastAsia="宋体" w:hint="default"/>
          <w:sz w:val="18"/>
          <w:szCs w:val="18"/>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bookmarkStart w:name="4、其他持股在10%以上的法人股东" w:id="116"/>
      <w:bookmarkEnd w:id="116"/>
      <w:r>
        <w:rPr>
          <w:b w:val="0"/>
          <w:bCs w:val="0"/>
        </w:rPr>
      </w: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5、控股股东、实际控制人、重组方及其他承诺主体股份限制减持情况" w:id="117"/>
      <w:bookmarkEnd w:id="117"/>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56" w:lineRule="auto" w:before="80"/>
        <w:ind w:right="1128" w:firstLine="420"/>
        <w:jc w:val="both"/>
      </w:pPr>
      <w:r>
        <w:rPr>
          <w:spacing w:val="-2"/>
        </w:rPr>
        <w:t>中电科投资控股有限公司在</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30</w:t>
      </w:r>
      <w:r>
        <w:rPr>
          <w:spacing w:val="-2"/>
        </w:rPr>
        <w:t>日至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28</w:t>
      </w:r>
      <w:r>
        <w:rPr>
          <w:spacing w:val="-2"/>
        </w:rPr>
        <w:t>日期间，通过深圳证券交易所交易系统集中</w:t>
      </w:r>
      <w:r>
        <w:rPr>
          <w:w w:val="100"/>
        </w:rPr>
        <w:t> </w:t>
      </w:r>
      <w:r>
        <w:rPr>
          <w:spacing w:val="-2"/>
        </w:rPr>
        <w:t>竞价交易累计增持公司股份</w:t>
      </w:r>
      <w:r>
        <w:rPr>
          <w:rFonts w:ascii="Times New Roman" w:hAnsi="Times New Roman" w:cs="Times New Roman" w:eastAsia="Times New Roman" w:hint="default"/>
          <w:spacing w:val="-2"/>
        </w:rPr>
        <w:t>5,407,399</w:t>
      </w:r>
      <w:r>
        <w:rPr>
          <w:spacing w:val="-2"/>
        </w:rPr>
        <w:t>股，占公司总股本的</w:t>
      </w:r>
      <w:r>
        <w:rPr>
          <w:rFonts w:ascii="Times New Roman" w:hAnsi="Times New Roman" w:cs="Times New Roman" w:eastAsia="Times New Roman" w:hint="default"/>
          <w:spacing w:val="-2"/>
        </w:rPr>
        <w:t>0.65%</w:t>
      </w:r>
      <w:r>
        <w:rPr>
          <w:spacing w:val="-2"/>
        </w:rPr>
        <w:t>。中电科投资控股有限公司承诺在法定期</w:t>
      </w:r>
      <w:r>
        <w:rPr>
          <w:spacing w:val="-5"/>
        </w:rPr>
        <w:t> </w:t>
      </w:r>
      <w:r>
        <w:rPr>
          <w:spacing w:val="-5"/>
        </w:rPr>
      </w:r>
      <w:r>
        <w:rPr/>
        <w:t>限内不减持所持有的卫士通股份。</w:t>
      </w:r>
    </w:p>
    <w:p>
      <w:pPr>
        <w:spacing w:after="0" w:line="256"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5" w:right="1133"/>
        <w:jc w:val="left"/>
        <w:rPr>
          <w:b w:val="0"/>
          <w:bCs w:val="0"/>
        </w:rPr>
      </w:pPr>
      <w:bookmarkStart w:name="第七节 优先股相关情况" w:id="118"/>
      <w:bookmarkEnd w:id="118"/>
      <w:r>
        <w:rPr>
          <w:b w:val="0"/>
          <w:bCs w:val="0"/>
        </w:rPr>
      </w:r>
      <w:bookmarkStart w:name="_bookmark6" w:id="119"/>
      <w:bookmarkEnd w:id="119"/>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spacing w:line="340" w:lineRule="auto" w:before="44"/>
        <w:ind w:left="152" w:right="8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1133"/>
        <w:jc w:val="left"/>
        <w:rPr>
          <w:b w:val="0"/>
          <w:bCs w:val="0"/>
        </w:rPr>
      </w:pPr>
      <w:bookmarkStart w:name="第八节 可转换公司债券相关情况" w:id="120"/>
      <w:bookmarkEnd w:id="120"/>
      <w:r>
        <w:rPr>
          <w:b w:val="0"/>
          <w:bCs w:val="0"/>
        </w:rPr>
      </w:r>
      <w:bookmarkStart w:name="_bookmark7" w:id="121"/>
      <w:bookmarkEnd w:id="121"/>
      <w:r>
        <w:rPr>
          <w:b w:val="0"/>
          <w:bCs w:val="0"/>
        </w:rPr>
      </w:r>
      <w:r>
        <w:rPr/>
        <w:t>第八节</w:t>
      </w:r>
      <w:r>
        <w:rPr>
          <w:spacing w:val="-5"/>
        </w:rPr>
        <w:t> </w:t>
      </w:r>
      <w:r>
        <w:rPr/>
        <w:t>可转换公司债券相关情况</w:t>
      </w:r>
      <w:r>
        <w:rPr>
          <w:b w:val="0"/>
          <w:bCs w:val="0"/>
        </w:rPr>
      </w:r>
    </w:p>
    <w:p>
      <w:pPr>
        <w:spacing w:line="240" w:lineRule="auto" w:before="9"/>
        <w:rPr>
          <w:rFonts w:ascii="宋体" w:hAnsi="宋体" w:cs="宋体" w:eastAsia="宋体" w:hint="default"/>
          <w:b/>
          <w:bCs/>
          <w:sz w:val="42"/>
          <w:szCs w:val="42"/>
        </w:rPr>
      </w:pPr>
    </w:p>
    <w:p>
      <w:pPr>
        <w:spacing w:line="338"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报告期公司不存在可转换公司债券。</w:t>
      </w:r>
    </w:p>
    <w:p>
      <w:pPr>
        <w:spacing w:after="0" w:line="338"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1133"/>
        <w:jc w:val="left"/>
        <w:rPr>
          <w:b w:val="0"/>
          <w:bCs w:val="0"/>
        </w:rPr>
      </w:pPr>
      <w:bookmarkStart w:name="第九节 董事、监事、高级管理人员和员工情况" w:id="122"/>
      <w:bookmarkEnd w:id="122"/>
      <w:r>
        <w:rPr>
          <w:b w:val="0"/>
          <w:bCs w:val="0"/>
        </w:rPr>
      </w:r>
      <w:bookmarkStart w:name="_bookmark8" w:id="123"/>
      <w:bookmarkEnd w:id="123"/>
      <w:r>
        <w:rPr>
          <w:b w:val="0"/>
          <w:bCs w:val="0"/>
        </w:rPr>
      </w:r>
      <w:r>
        <w:rPr/>
        <w:t>第九节</w:t>
      </w:r>
      <w:r>
        <w:rPr>
          <w:spacing w:val="-6"/>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bookmarkStart w:name="一、董事、监事和高级管理人员持股变动" w:id="124"/>
      <w:bookmarkEnd w:id="124"/>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530"/>
        <w:gridCol w:w="425"/>
        <w:gridCol w:w="425"/>
        <w:gridCol w:w="1560"/>
        <w:gridCol w:w="1047"/>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81" w:right="77"/>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6"/>
              <w:jc w:val="right"/>
              <w:rPr>
                <w:rFonts w:ascii="宋体" w:hAnsi="宋体" w:cs="宋体" w:eastAsia="宋体" w:hint="default"/>
                <w:sz w:val="18"/>
                <w:szCs w:val="18"/>
              </w:rPr>
            </w:pPr>
            <w:r>
              <w:rPr>
                <w:rFonts w:ascii="宋体" w:hAnsi="宋体" w:cs="宋体" w:eastAsia="宋体" w:hint="default"/>
                <w:sz w:val="18"/>
                <w:szCs w:val="18"/>
              </w:rPr>
              <w:t>年龄</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29" w:right="65"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3,120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3,120</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王文胜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段启广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雷利民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1,607,952</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1,607,952</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王忠海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任立勇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李成刚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9,000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23,000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许晓平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黄南平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曹德骏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许晓平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王忠海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魏洪宽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530"/>
        <w:gridCol w:w="425"/>
        <w:gridCol w:w="425"/>
        <w:gridCol w:w="1560"/>
        <w:gridCol w:w="1047"/>
        <w:gridCol w:w="797"/>
        <w:gridCol w:w="799"/>
        <w:gridCol w:w="797"/>
        <w:gridCol w:w="799"/>
        <w:gridCol w:w="797"/>
      </w:tblGrid>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赵秀玲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4"/>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董贵山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4"/>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董贵山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4"/>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黄仁亮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4"/>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刘志惠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4"/>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刘志惠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4"/>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刘志惠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董秘</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4"/>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雷利民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杨甫</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常务副总 经理</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胡凯春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董秘、副 总经理</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49,280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49,280</w:t>
            </w: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97"/>
              <w:jc w:val="right"/>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1,692,352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9" w:right="0"/>
              <w:jc w:val="left"/>
              <w:rPr>
                <w:rFonts w:ascii="Times New Roman" w:hAnsi="Times New Roman" w:cs="Times New Roman" w:eastAsia="Times New Roman" w:hint="default"/>
                <w:sz w:val="18"/>
                <w:szCs w:val="18"/>
              </w:rPr>
            </w:pPr>
            <w:r>
              <w:rPr>
                <w:rFonts w:ascii="Times New Roman"/>
                <w:sz w:val="18"/>
              </w:rPr>
              <w:t>9,000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1,683,352</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二、公司董事、监事、高级管理人员变动情况" w:id="125"/>
      <w:bookmarkEnd w:id="125"/>
      <w:r>
        <w:rPr>
          <w:b w:val="0"/>
          <w:bCs w:val="0"/>
        </w:rPr>
      </w:r>
      <w:r>
        <w:rPr/>
        <w:t>二、公司董事、监事、高级管理人员变动情况</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52"/>
        <w:gridCol w:w="1808"/>
        <w:gridCol w:w="1027"/>
        <w:gridCol w:w="1844"/>
        <w:gridCol w:w="4037"/>
      </w:tblGrid>
      <w:tr>
        <w:trPr>
          <w:trHeight w:val="401"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8"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李成刚</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许晓平</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任期届满，不再担任副董事长改任监事会主席</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黄南平</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沈逸</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王忠海</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任期届满，不再担任监事会主席改任董事、总经理</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雷利民</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任期届满，不再担任总经理，仍任董事</w:t>
            </w:r>
          </w:p>
        </w:tc>
      </w:tr>
      <w:tr>
        <w:trPr>
          <w:trHeight w:val="40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杨甫</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常务副总经理</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工作变动</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周文</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工作变动</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王虎</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主动离职</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曹德骏</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胡凯春</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5"/>
                <w:sz w:val="18"/>
                <w:szCs w:val="18"/>
              </w:rPr>
              <w:t>副总经理、董事会秘书</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工作变动</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三、任职情况" w:id="126"/>
      <w:bookmarkEnd w:id="126"/>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spacing w:line="357" w:lineRule="auto" w:before="0"/>
        <w:ind w:left="513" w:right="1123" w:hanging="361"/>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 董事长卿昱女士：历任中国电子科技集团公司第三十研究所研究室副主任、主任、副总工程师、副所长；</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月至</w:t>
      </w:r>
    </w:p>
    <w:p>
      <w:pPr>
        <w:spacing w:line="214" w:lineRule="exact"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月，任中国电子科技网络信息安全有限公司副总经理；</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月，任中国电子科技集团公司第三十研</w:t>
      </w:r>
    </w:p>
    <w:p>
      <w:pPr>
        <w:spacing w:line="300" w:lineRule="auto" w:before="63"/>
        <w:ind w:left="152" w:right="1132" w:firstLine="0"/>
        <w:jc w:val="both"/>
        <w:rPr>
          <w:rFonts w:ascii="宋体" w:hAnsi="宋体" w:cs="宋体" w:eastAsia="宋体" w:hint="default"/>
          <w:sz w:val="18"/>
          <w:szCs w:val="18"/>
        </w:rPr>
      </w:pPr>
      <w:r>
        <w:rPr>
          <w:rFonts w:ascii="宋体" w:hAnsi="宋体" w:cs="宋体" w:eastAsia="宋体" w:hint="default"/>
          <w:spacing w:val="-2"/>
          <w:sz w:val="18"/>
          <w:szCs w:val="18"/>
        </w:rPr>
        <w:t>究所党委副书记；</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月至今，任本公司董事；</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月至今，任中国电子科技集团公司第三十研究所咨询审议委员会</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2"/>
          <w:sz w:val="18"/>
          <w:szCs w:val="18"/>
        </w:rPr>
        <w:t>主任；</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月至今，任中国电子科技集团公司第三十研究所所长；</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月至今，任中国电子科技网络信息安全有限公</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司董事长、党委书记；</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月至今，任中国电子科技集团公司第三十研究所所长、党委书记；</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月至今，任本公司</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董事长。</w:t>
      </w:r>
    </w:p>
    <w:p>
      <w:pPr>
        <w:spacing w:line="307" w:lineRule="auto" w:before="31"/>
        <w:ind w:left="152" w:right="0" w:firstLine="360"/>
        <w:jc w:val="left"/>
        <w:rPr>
          <w:rFonts w:ascii="宋体" w:hAnsi="宋体" w:cs="宋体" w:eastAsia="宋体" w:hint="default"/>
          <w:sz w:val="18"/>
          <w:szCs w:val="18"/>
        </w:rPr>
      </w:pPr>
      <w:r>
        <w:rPr>
          <w:rFonts w:ascii="宋体" w:hAnsi="宋体" w:cs="宋体" w:eastAsia="宋体" w:hint="default"/>
          <w:spacing w:val="-2"/>
          <w:sz w:val="18"/>
          <w:szCs w:val="18"/>
        </w:rPr>
        <w:t>副董事长王文胜先生：历任中国电子科技集团公司第三十研究所研究室副主任、事业部主任、副总工程师、副所长、本</w:t>
      </w:r>
      <w:r>
        <w:rPr>
          <w:rFonts w:ascii="宋体" w:hAnsi="宋体" w:cs="宋体" w:eastAsia="宋体" w:hint="default"/>
          <w:sz w:val="18"/>
          <w:szCs w:val="18"/>
        </w:rPr>
        <w:t> 公司董事；</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月，任中国电子科技网络信息安全有限公司副总经理；</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月至今，任中国电子科技网 </w:t>
      </w:r>
      <w:r>
        <w:rPr>
          <w:rFonts w:ascii="宋体" w:hAnsi="宋体" w:cs="宋体" w:eastAsia="宋体" w:hint="default"/>
          <w:spacing w:val="-2"/>
          <w:sz w:val="18"/>
          <w:szCs w:val="18"/>
        </w:rPr>
        <w:t>络信息安全有限公司董事、常务副总经理、党委副书记、中国电子科技集团公司第三十研究所常务副所长；</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月至今，</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任本公司副董事长。</w:t>
      </w:r>
    </w:p>
    <w:p>
      <w:pPr>
        <w:spacing w:line="300" w:lineRule="auto" w:before="26"/>
        <w:ind w:left="152" w:right="1124" w:firstLine="360"/>
        <w:jc w:val="left"/>
        <w:rPr>
          <w:rFonts w:ascii="宋体" w:hAnsi="宋体" w:cs="宋体" w:eastAsia="宋体" w:hint="default"/>
          <w:sz w:val="18"/>
          <w:szCs w:val="18"/>
        </w:rPr>
      </w:pPr>
      <w:r>
        <w:rPr>
          <w:rFonts w:ascii="宋体" w:hAnsi="宋体" w:cs="宋体" w:eastAsia="宋体" w:hint="default"/>
          <w:sz w:val="18"/>
          <w:szCs w:val="18"/>
        </w:rPr>
        <w:t>董事段启广先生：历任中国电子科技集团公司第十研究所财务处副处长、处长、副总会计师、总会计师；</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月至 今，任中国电子科技网络信息安全有限公司董事、总会计师；</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月至今，任本公司董事。</w:t>
      </w:r>
    </w:p>
    <w:p>
      <w:pPr>
        <w:spacing w:line="309" w:lineRule="auto" w:before="13"/>
        <w:ind w:left="152" w:right="0" w:firstLine="360"/>
        <w:jc w:val="left"/>
        <w:rPr>
          <w:rFonts w:ascii="宋体" w:hAnsi="宋体" w:cs="宋体" w:eastAsia="宋体" w:hint="default"/>
          <w:sz w:val="18"/>
          <w:szCs w:val="18"/>
        </w:rPr>
      </w:pPr>
      <w:r>
        <w:rPr>
          <w:rFonts w:ascii="宋体" w:hAnsi="宋体" w:cs="宋体" w:eastAsia="宋体" w:hint="default"/>
          <w:spacing w:val="-2"/>
          <w:sz w:val="18"/>
          <w:szCs w:val="18"/>
        </w:rPr>
        <w:t>董事雷利民先生：历任中国电子科技集团公司第三十研究所研究室副主任、主任、所长助理、党政业务处处长、本公司</w:t>
      </w:r>
      <w:r>
        <w:rPr>
          <w:rFonts w:ascii="宋体" w:hAnsi="宋体" w:cs="宋体" w:eastAsia="宋体" w:hint="default"/>
          <w:sz w:val="18"/>
          <w:szCs w:val="18"/>
        </w:rPr>
        <w:t> </w:t>
      </w:r>
      <w:r>
        <w:rPr>
          <w:rFonts w:ascii="宋体" w:hAnsi="宋体" w:cs="宋体" w:eastAsia="宋体" w:hint="default"/>
          <w:spacing w:val="-3"/>
          <w:sz w:val="18"/>
          <w:szCs w:val="18"/>
        </w:rPr>
        <w:t>副总经理；</w:t>
      </w: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月至</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月，任本公司总经理；</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月至</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月，任中国电子科技网络信息安全有限公司董事；</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Times New Roman" w:hAnsi="Times New Roman" w:cs="Times New Roman" w:eastAsia="Times New Roman" w:hint="default"/>
          <w:sz w:val="18"/>
          <w:szCs w:val="18"/>
        </w:rPr>
        <w:t>2001</w:t>
      </w:r>
      <w:r>
        <w:rPr>
          <w:rFonts w:ascii="宋体" w:hAnsi="宋体" w:cs="宋体" w:eastAsia="宋体" w:hint="default"/>
          <w:sz w:val="18"/>
          <w:szCs w:val="18"/>
        </w:rPr>
        <w:t>年至今，任本公司董事。</w:t>
      </w:r>
    </w:p>
    <w:p>
      <w:pPr>
        <w:spacing w:line="312" w:lineRule="auto" w:before="5"/>
        <w:ind w:left="152" w:right="1034" w:firstLine="360"/>
        <w:jc w:val="left"/>
        <w:rPr>
          <w:rFonts w:ascii="宋体" w:hAnsi="宋体" w:cs="宋体" w:eastAsia="宋体" w:hint="default"/>
          <w:sz w:val="18"/>
          <w:szCs w:val="18"/>
        </w:rPr>
      </w:pPr>
      <w:r>
        <w:rPr>
          <w:rFonts w:ascii="宋体" w:hAnsi="宋体" w:cs="宋体" w:eastAsia="宋体" w:hint="default"/>
          <w:sz w:val="18"/>
          <w:szCs w:val="18"/>
        </w:rPr>
        <w:t>董事、总经理王忠海先生：历任中国电子科技集团公司第三十研究所纪审法规处处长、本公司副总经理、董事会秘书、 </w:t>
      </w:r>
      <w:r>
        <w:rPr>
          <w:rFonts w:ascii="宋体" w:hAnsi="宋体" w:cs="宋体" w:eastAsia="宋体" w:hint="default"/>
          <w:spacing w:val="-2"/>
          <w:sz w:val="18"/>
          <w:szCs w:val="18"/>
        </w:rPr>
        <w:t>财务总监、中国电子科技集团公司资产经营部资本运营处处长、中电科投资控股有限公司总经理助理、中国电子科技网络信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息安全有限公司投资管理部总经理、总经理助理、总经济师、董事会秘书；</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月，任本公司监事会主席； </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月至今，任本公司董事、总经理。</w:t>
      </w:r>
    </w:p>
    <w:p>
      <w:pPr>
        <w:spacing w:line="300" w:lineRule="auto" w:before="3"/>
        <w:ind w:left="152" w:right="1124" w:firstLine="360"/>
        <w:jc w:val="left"/>
        <w:rPr>
          <w:rFonts w:ascii="宋体" w:hAnsi="宋体" w:cs="宋体" w:eastAsia="宋体" w:hint="default"/>
          <w:sz w:val="18"/>
          <w:szCs w:val="18"/>
        </w:rPr>
      </w:pPr>
      <w:r>
        <w:rPr>
          <w:rFonts w:ascii="宋体" w:hAnsi="宋体" w:cs="宋体" w:eastAsia="宋体" w:hint="default"/>
          <w:sz w:val="18"/>
          <w:szCs w:val="18"/>
        </w:rPr>
        <w:t>独立董事周玮先生：历任西南科技大学专业教师、北京大学博士后；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月至今，任西南财经大学金融学院专业教 师、会计学副研究员；</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月至今，任本公司独立董事。</w:t>
      </w:r>
    </w:p>
    <w:p>
      <w:pPr>
        <w:spacing w:line="309" w:lineRule="auto" w:before="13"/>
        <w:ind w:left="152" w:right="1034" w:firstLine="360"/>
        <w:jc w:val="left"/>
        <w:rPr>
          <w:rFonts w:ascii="宋体" w:hAnsi="宋体" w:cs="宋体" w:eastAsia="宋体" w:hint="default"/>
          <w:sz w:val="18"/>
          <w:szCs w:val="18"/>
        </w:rPr>
      </w:pPr>
      <w:r>
        <w:rPr>
          <w:rFonts w:ascii="宋体" w:hAnsi="宋体" w:cs="宋体" w:eastAsia="宋体" w:hint="default"/>
          <w:sz w:val="18"/>
          <w:szCs w:val="18"/>
        </w:rPr>
        <w:t>独立董事冯渊女士：历任四川华信（集团）会计师事务所经理、副总经理、中国证券监督管理委员会发审委专职委员、 </w:t>
      </w:r>
      <w:r>
        <w:rPr>
          <w:rFonts w:ascii="宋体" w:hAnsi="宋体" w:cs="宋体" w:eastAsia="宋体" w:hint="default"/>
          <w:spacing w:val="-2"/>
          <w:sz w:val="18"/>
          <w:szCs w:val="18"/>
        </w:rPr>
        <w:t>华西证券投行总部质量控制部总经理；</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月至今，任四川华信（集团）会计师事务所合伙人；</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月至今，任本公</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司独立董事。</w:t>
      </w:r>
    </w:p>
    <w:p>
      <w:pPr>
        <w:spacing w:line="316" w:lineRule="auto" w:before="24"/>
        <w:ind w:left="152" w:right="1129" w:firstLine="360"/>
        <w:jc w:val="left"/>
        <w:rPr>
          <w:rFonts w:ascii="宋体" w:hAnsi="宋体" w:cs="宋体" w:eastAsia="宋体" w:hint="default"/>
          <w:sz w:val="18"/>
          <w:szCs w:val="18"/>
        </w:rPr>
      </w:pPr>
      <w:r>
        <w:rPr>
          <w:rFonts w:ascii="宋体" w:hAnsi="宋体" w:cs="宋体" w:eastAsia="宋体" w:hint="default"/>
          <w:spacing w:val="-2"/>
          <w:sz w:val="18"/>
          <w:szCs w:val="18"/>
        </w:rPr>
        <w:t>独立董事任立勇先生：历任煤炭部徐州煤矿机械厂助理工程师；现任电子科技大学信息与软件工程学院副院长，教育部</w:t>
      </w:r>
      <w:r>
        <w:rPr>
          <w:rFonts w:ascii="宋体" w:hAnsi="宋体" w:cs="宋体" w:eastAsia="宋体" w:hint="default"/>
          <w:sz w:val="18"/>
          <w:szCs w:val="18"/>
        </w:rPr>
        <w:t> 软件工程专业教指委成员，</w:t>
      </w:r>
      <w:r>
        <w:rPr>
          <w:rFonts w:ascii="Times New Roman" w:hAnsi="Times New Roman" w:cs="Times New Roman" w:eastAsia="Times New Roman" w:hint="default"/>
          <w:sz w:val="18"/>
          <w:szCs w:val="18"/>
        </w:rPr>
        <w:t>CCF</w:t>
      </w:r>
      <w:r>
        <w:rPr>
          <w:rFonts w:ascii="宋体" w:hAnsi="宋体" w:cs="宋体" w:eastAsia="宋体" w:hint="default"/>
          <w:sz w:val="18"/>
          <w:szCs w:val="18"/>
        </w:rPr>
        <w:t>高级会员；</w:t>
      </w:r>
      <w:r>
        <w:rPr>
          <w:rFonts w:ascii="Times New Roman" w:hAnsi="Times New Roman" w:cs="Times New Roman" w:eastAsia="Times New Roman" w:hint="default"/>
          <w:sz w:val="18"/>
          <w:szCs w:val="18"/>
        </w:rPr>
        <w:t>2002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月至今，任电子科技大学教师；</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月至今，任本公司独立董事。</w:t>
      </w:r>
    </w:p>
    <w:p>
      <w:pPr>
        <w:spacing w:line="304" w:lineRule="auto" w:before="0"/>
        <w:ind w:left="152" w:right="1034" w:firstLine="360"/>
        <w:jc w:val="left"/>
        <w:rPr>
          <w:rFonts w:ascii="宋体" w:hAnsi="宋体" w:cs="宋体" w:eastAsia="宋体" w:hint="default"/>
          <w:sz w:val="18"/>
          <w:szCs w:val="18"/>
        </w:rPr>
      </w:pPr>
      <w:r>
        <w:rPr>
          <w:rFonts w:ascii="宋体" w:hAnsi="宋体" w:cs="宋体" w:eastAsia="宋体" w:hint="default"/>
          <w:spacing w:val="-2"/>
          <w:sz w:val="18"/>
          <w:szCs w:val="18"/>
        </w:rPr>
        <w:t>监事会主席许晓平先生：历任中国电子科技集团公司第三十研究所副所长、中国电子科技集团公司科技部副主任（主持</w:t>
      </w:r>
      <w:r>
        <w:rPr>
          <w:rFonts w:ascii="宋体" w:hAnsi="宋体" w:cs="宋体" w:eastAsia="宋体" w:hint="default"/>
          <w:sz w:val="18"/>
          <w:szCs w:val="18"/>
        </w:rPr>
        <w:t> </w:t>
      </w:r>
      <w:r>
        <w:rPr>
          <w:rFonts w:ascii="宋体" w:hAnsi="宋体" w:cs="宋体" w:eastAsia="宋体" w:hint="default"/>
          <w:spacing w:val="-2"/>
          <w:sz w:val="18"/>
          <w:szCs w:val="18"/>
        </w:rPr>
        <w:t>工作）；</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月，任中国电子科技集团公司第三十研究所党委书记兼副所长；</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月，任本</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公司副董事长；</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月，任中国电子科技网络信息安全有限公司总经理；</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月，任中国 </w:t>
      </w:r>
      <w:r>
        <w:rPr>
          <w:rFonts w:ascii="宋体" w:hAnsi="宋体" w:cs="宋体" w:eastAsia="宋体" w:hint="default"/>
          <w:spacing w:val="-3"/>
          <w:sz w:val="18"/>
          <w:szCs w:val="18"/>
        </w:rPr>
        <w:t>电子科技网络信息安全有限公司董事；</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月至</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月，任中国电子科技集团公司第三十三研究所所长、党委副书记、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咨询审议委员会主任；</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月至今，任中国电子科技网络信息安全有限公司监事会主席；</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月至今，任本公司监事</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会主席。</w:t>
      </w:r>
    </w:p>
    <w:p>
      <w:pPr>
        <w:spacing w:line="300" w:lineRule="auto" w:before="28"/>
        <w:ind w:left="152" w:right="1137" w:firstLine="360"/>
        <w:jc w:val="both"/>
        <w:rPr>
          <w:rFonts w:ascii="宋体" w:hAnsi="宋体" w:cs="宋体" w:eastAsia="宋体" w:hint="default"/>
          <w:sz w:val="18"/>
          <w:szCs w:val="18"/>
        </w:rPr>
      </w:pPr>
      <w:r>
        <w:rPr>
          <w:rFonts w:ascii="宋体" w:hAnsi="宋体" w:cs="宋体" w:eastAsia="宋体" w:hint="default"/>
          <w:sz w:val="18"/>
          <w:szCs w:val="18"/>
        </w:rPr>
        <w:t>监事程虹女士：曾任中国电子科技集团公司第三十研究所计审法规处副处长；</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月至今，任中国电子科技集团公 司第三十研究所纪检监察审计处处长；</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月至今，任中国电子科技网络信息安全有限公司纪检监察审计部主任；</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月至今，任本公司监事。</w:t>
      </w:r>
    </w:p>
    <w:p>
      <w:pPr>
        <w:spacing w:line="309" w:lineRule="auto" w:before="13"/>
        <w:ind w:left="152" w:right="1133" w:firstLine="360"/>
        <w:jc w:val="both"/>
        <w:rPr>
          <w:rFonts w:ascii="宋体" w:hAnsi="宋体" w:cs="宋体" w:eastAsia="宋体" w:hint="default"/>
          <w:sz w:val="18"/>
          <w:szCs w:val="18"/>
        </w:rPr>
      </w:pPr>
      <w:r>
        <w:rPr>
          <w:rFonts w:ascii="宋体" w:hAnsi="宋体" w:cs="宋体" w:eastAsia="宋体" w:hint="default"/>
          <w:spacing w:val="-2"/>
          <w:sz w:val="18"/>
          <w:szCs w:val="18"/>
        </w:rPr>
        <w:t>职工监事张述先生：曾先后在本公司办公室、发展规划部、市场部、项目管理部、税控事业部、行政部、信息中心与保</w:t>
      </w:r>
      <w:r>
        <w:rPr>
          <w:rFonts w:ascii="宋体" w:hAnsi="宋体" w:cs="宋体" w:eastAsia="宋体" w:hint="default"/>
          <w:sz w:val="18"/>
          <w:szCs w:val="18"/>
        </w:rPr>
        <w:t> 障部、生产检验中心工作；</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月到</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月，任公司生产检验中心部门总经理；现任公司总经理助理；</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月至 今，任本公司职工监事。</w:t>
      </w:r>
    </w:p>
    <w:p>
      <w:pPr>
        <w:spacing w:line="316" w:lineRule="auto" w:before="24"/>
        <w:ind w:left="152" w:right="0" w:firstLine="360"/>
        <w:jc w:val="left"/>
        <w:rPr>
          <w:rFonts w:ascii="宋体" w:hAnsi="宋体" w:cs="宋体" w:eastAsia="宋体" w:hint="default"/>
          <w:sz w:val="18"/>
          <w:szCs w:val="18"/>
        </w:rPr>
      </w:pPr>
      <w:r>
        <w:rPr>
          <w:rFonts w:ascii="宋体" w:hAnsi="宋体" w:cs="宋体" w:eastAsia="宋体" w:hint="default"/>
          <w:spacing w:val="-2"/>
          <w:sz w:val="18"/>
          <w:szCs w:val="18"/>
        </w:rPr>
        <w:t>副总经理魏洪宽先生：历任本公司项目管理部经理、产品部主任、政府行业销售部经理、电子商务安全部经理、总经理</w:t>
      </w:r>
      <w:r>
        <w:rPr>
          <w:rFonts w:ascii="宋体" w:hAnsi="宋体" w:cs="宋体" w:eastAsia="宋体" w:hint="default"/>
          <w:sz w:val="18"/>
          <w:szCs w:val="18"/>
        </w:rPr>
        <w:t> </w:t>
      </w:r>
      <w:r>
        <w:rPr>
          <w:rFonts w:ascii="宋体" w:hAnsi="宋体" w:cs="宋体" w:eastAsia="宋体" w:hint="default"/>
          <w:spacing w:val="-2"/>
          <w:sz w:val="18"/>
          <w:szCs w:val="18"/>
        </w:rPr>
        <w:t>助理、副总经理、中国电子科技网络信息安全有限公司经营发展部副总经理、总经理；</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月至今，任本公司副总经理。</w:t>
      </w:r>
    </w:p>
    <w:p>
      <w:pPr>
        <w:spacing w:line="248" w:lineRule="exact"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副总经理赵秀玲女士：历任本公司市场部主任、市场总监、电子政务事业部经理；</w:t>
      </w:r>
      <w:r>
        <w:rPr>
          <w:rFonts w:ascii="Times New Roman" w:hAnsi="Times New Roman" w:cs="Times New Roman" w:eastAsia="Times New Roman" w:hint="default"/>
          <w:sz w:val="18"/>
          <w:szCs w:val="18"/>
        </w:rPr>
        <w:t>2003</w:t>
      </w:r>
      <w:r>
        <w:rPr>
          <w:rFonts w:ascii="宋体" w:hAnsi="宋体" w:cs="宋体" w:eastAsia="宋体" w:hint="default"/>
          <w:sz w:val="18"/>
          <w:szCs w:val="18"/>
        </w:rPr>
        <w:t>年至</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月，任本公司副总</w:t>
      </w:r>
    </w:p>
    <w:p>
      <w:pPr>
        <w:spacing w:after="0" w:line="248" w:lineRule="exact"/>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经理。</w:t>
      </w:r>
    </w:p>
    <w:p>
      <w:pPr>
        <w:spacing w:line="300" w:lineRule="auto" w:before="77"/>
        <w:ind w:left="513" w:right="1133" w:firstLine="0"/>
        <w:jc w:val="left"/>
        <w:rPr>
          <w:rFonts w:ascii="宋体" w:hAnsi="宋体" w:cs="宋体" w:eastAsia="宋体" w:hint="default"/>
          <w:sz w:val="18"/>
          <w:szCs w:val="18"/>
        </w:rPr>
      </w:pPr>
      <w:r>
        <w:rPr>
          <w:rFonts w:ascii="宋体" w:hAnsi="宋体" w:cs="宋体" w:eastAsia="宋体" w:hint="default"/>
          <w:sz w:val="18"/>
          <w:szCs w:val="18"/>
        </w:rPr>
        <w:t>副总经理周俊先生：曾任中国电子科技集团公司第三十研究所专业部副主任；</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月至今，任本公司副总经理。 </w:t>
      </w:r>
      <w:r>
        <w:rPr>
          <w:rFonts w:ascii="宋体" w:hAnsi="宋体" w:cs="宋体" w:eastAsia="宋体" w:hint="default"/>
          <w:spacing w:val="-2"/>
          <w:sz w:val="18"/>
          <w:szCs w:val="18"/>
        </w:rPr>
        <w:t>副总经理、总工程师董贵山先生：历任本公司研发部经理、事业部副总经理、副总工程师、中国电子科技集团公司第三</w:t>
      </w:r>
    </w:p>
    <w:p>
      <w:pPr>
        <w:spacing w:line="316" w:lineRule="auto" w:before="31"/>
        <w:ind w:left="152" w:right="1129" w:firstLine="0"/>
        <w:jc w:val="left"/>
        <w:rPr>
          <w:rFonts w:ascii="宋体" w:hAnsi="宋体" w:cs="宋体" w:eastAsia="宋体" w:hint="default"/>
          <w:sz w:val="18"/>
          <w:szCs w:val="18"/>
        </w:rPr>
      </w:pPr>
      <w:r>
        <w:rPr>
          <w:rFonts w:ascii="宋体" w:hAnsi="宋体" w:cs="宋体" w:eastAsia="宋体" w:hint="default"/>
          <w:spacing w:val="-2"/>
          <w:sz w:val="18"/>
          <w:szCs w:val="18"/>
        </w:rPr>
        <w:t>十研究所三十所专项副总师、高级专家、副总工程师、中国电子科技集团有限公司网络空间安全专业领域首席专家、中国电</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子科技网络信息安全有限公司副总工程师；</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月至今，任本公司副总经理、总工程师。</w:t>
      </w:r>
    </w:p>
    <w:p>
      <w:pPr>
        <w:spacing w:line="316" w:lineRule="auto" w:before="0"/>
        <w:ind w:left="152" w:right="1132" w:firstLine="360"/>
        <w:jc w:val="both"/>
        <w:rPr>
          <w:rFonts w:ascii="宋体" w:hAnsi="宋体" w:cs="宋体" w:eastAsia="宋体" w:hint="default"/>
          <w:sz w:val="18"/>
          <w:szCs w:val="18"/>
        </w:rPr>
      </w:pPr>
      <w:r>
        <w:rPr>
          <w:rFonts w:ascii="宋体" w:hAnsi="宋体" w:cs="宋体" w:eastAsia="宋体" w:hint="default"/>
          <w:spacing w:val="-2"/>
          <w:sz w:val="18"/>
          <w:szCs w:val="18"/>
        </w:rPr>
        <w:t>副总经理黄仁亮先生：历任中国电子科技集团公司第三十研究所计划处副处长、成都三零嘉微电子有限公司常务副总经</w:t>
      </w:r>
      <w:r>
        <w:rPr>
          <w:rFonts w:ascii="宋体" w:hAnsi="宋体" w:cs="宋体" w:eastAsia="宋体" w:hint="default"/>
          <w:sz w:val="18"/>
          <w:szCs w:val="18"/>
        </w:rPr>
        <w:t> 理、总经理、成都三零瑞通移动通信有限公司总经理；</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月至今，任本公司副总经理。</w:t>
      </w:r>
    </w:p>
    <w:p>
      <w:pPr>
        <w:spacing w:line="309" w:lineRule="auto" w:before="0"/>
        <w:ind w:left="152" w:right="1133" w:firstLine="360"/>
        <w:jc w:val="both"/>
        <w:rPr>
          <w:rFonts w:ascii="宋体" w:hAnsi="宋体" w:cs="宋体" w:eastAsia="宋体" w:hint="default"/>
          <w:sz w:val="18"/>
          <w:szCs w:val="18"/>
        </w:rPr>
      </w:pPr>
      <w:r>
        <w:rPr>
          <w:rFonts w:ascii="宋体" w:hAnsi="宋体" w:cs="宋体" w:eastAsia="宋体" w:hint="default"/>
          <w:spacing w:val="-2"/>
          <w:sz w:val="18"/>
          <w:szCs w:val="18"/>
        </w:rPr>
        <w:t>副总经理、财务总监、董事会秘书刘志惠女士：历任本公司证券部经理、证券事务代表、内部审计部主任、中国电子科</w:t>
      </w:r>
      <w:r>
        <w:rPr>
          <w:rFonts w:ascii="宋体" w:hAnsi="宋体" w:cs="宋体" w:eastAsia="宋体" w:hint="default"/>
          <w:sz w:val="18"/>
          <w:szCs w:val="18"/>
        </w:rPr>
        <w:t> 技集团公司第三十研究所财务处副处长、中国电子科技网络信息安全有限公司财务部副总经理；</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月至今，任本公司 副总经理、财务总监；</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月至今，任本公司董事会秘书。</w:t>
      </w:r>
    </w:p>
    <w:p>
      <w:pPr>
        <w:spacing w:before="46"/>
        <w:ind w:left="152" w:right="1133"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08"/>
        <w:gridCol w:w="2979"/>
        <w:gridCol w:w="1558"/>
        <w:gridCol w:w="1493"/>
        <w:gridCol w:w="1486"/>
        <w:gridCol w:w="1346"/>
      </w:tblGrid>
      <w:tr>
        <w:trPr>
          <w:trHeight w:val="713"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left"/>
              <w:rPr>
                <w:rFonts w:ascii="宋体" w:hAnsi="宋体" w:cs="宋体" w:eastAsia="宋体" w:hint="default"/>
                <w:sz w:val="18"/>
                <w:szCs w:val="18"/>
              </w:rPr>
            </w:pPr>
            <w:r>
              <w:rPr>
                <w:rFonts w:ascii="宋体" w:hAnsi="宋体" w:cs="宋体" w:eastAsia="宋体" w:hint="default"/>
                <w:sz w:val="18"/>
                <w:szCs w:val="18"/>
              </w:rPr>
              <w:t>任职人 员姓名</w:t>
            </w:r>
          </w:p>
        </w:tc>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5" w:right="51" w:hanging="540"/>
              <w:jc w:val="left"/>
              <w:rPr>
                <w:rFonts w:ascii="宋体" w:hAnsi="宋体" w:cs="宋体" w:eastAsia="宋体" w:hint="default"/>
                <w:sz w:val="18"/>
                <w:szCs w:val="18"/>
              </w:rPr>
            </w:pPr>
            <w:r>
              <w:rPr>
                <w:rFonts w:ascii="宋体" w:hAnsi="宋体" w:cs="宋体" w:eastAsia="宋体" w:hint="default"/>
                <w:sz w:val="18"/>
                <w:szCs w:val="18"/>
              </w:rPr>
              <w:t>在股东单位担任的 职务</w:t>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36" w:hanging="92"/>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
              <w:jc w:val="center"/>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党委书记、董事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center"/>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
              <w:jc w:val="center"/>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王文胜</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center"/>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董事、党委副书记</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王文胜</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
              <w:jc w:val="center"/>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常务副总经理</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王文胜</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center"/>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段启广</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
              <w:jc w:val="center"/>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段启广</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center"/>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雷利民</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
              <w:jc w:val="center"/>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许晓平</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center"/>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许晓平</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
              <w:jc w:val="center"/>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许晓平</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center"/>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程虹</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
              <w:jc w:val="center"/>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2"/>
              <w:jc w:val="left"/>
              <w:rPr>
                <w:rFonts w:ascii="宋体" w:hAnsi="宋体" w:cs="宋体" w:eastAsia="宋体" w:hint="default"/>
                <w:sz w:val="18"/>
                <w:szCs w:val="18"/>
              </w:rPr>
            </w:pPr>
            <w:r>
              <w:rPr>
                <w:rFonts w:ascii="宋体" w:hAnsi="宋体" w:cs="宋体" w:eastAsia="宋体" w:hint="default"/>
                <w:sz w:val="18"/>
                <w:szCs w:val="18"/>
              </w:rPr>
              <w:t>纪检监察审计部主 任</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魏洪宽</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center"/>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经营发展部总经理</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刘志惠</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
              <w:jc w:val="center"/>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财务部副总经理</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李成刚</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center"/>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党委书记</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李成刚</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
              <w:jc w:val="center"/>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王忠海</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center"/>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总经济师</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王忠海</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
              <w:jc w:val="center"/>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总经理助理</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王忠海</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5"/>
              <w:jc w:val="center"/>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707"/>
        <w:gridCol w:w="8862"/>
      </w:tblGrid>
      <w:tr>
        <w:trPr>
          <w:trHeight w:val="334" w:hRule="exact"/>
        </w:trPr>
        <w:tc>
          <w:tcPr>
            <w:tcW w:w="707" w:type="dxa"/>
            <w:tcBorders>
              <w:top w:val="single" w:sz="6" w:space="0" w:color="000000"/>
              <w:left w:val="nil" w:sz="6" w:space="0" w:color="auto"/>
              <w:bottom w:val="single" w:sz="4" w:space="0" w:color="000000"/>
              <w:right w:val="nil" w:sz="6" w:space="0" w:color="auto"/>
            </w:tcBorders>
          </w:tcPr>
          <w:p>
            <w:pPr/>
          </w:p>
        </w:tc>
        <w:tc>
          <w:tcPr>
            <w:tcW w:w="8862" w:type="dxa"/>
            <w:tcBorders>
              <w:top w:val="single" w:sz="6" w:space="0" w:color="000000"/>
              <w:left w:val="nil" w:sz="6" w:space="0" w:color="auto"/>
              <w:bottom w:val="single" w:sz="4" w:space="0" w:color="000000"/>
              <w:right w:val="nil" w:sz="6" w:space="0" w:color="auto"/>
            </w:tcBorders>
          </w:tcPr>
          <w:p>
            <w:pPr/>
          </w:p>
        </w:tc>
      </w:tr>
      <w:tr>
        <w:trPr>
          <w:trHeight w:val="1340"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32"/>
              <w:jc w:val="both"/>
              <w:rPr>
                <w:rFonts w:ascii="宋体" w:hAnsi="宋体" w:cs="宋体" w:eastAsia="宋体" w:hint="default"/>
                <w:sz w:val="18"/>
                <w:szCs w:val="18"/>
              </w:rPr>
            </w:pPr>
            <w:r>
              <w:rPr>
                <w:rFonts w:ascii="宋体" w:hAnsi="宋体" w:cs="宋体" w:eastAsia="宋体" w:hint="default"/>
                <w:sz w:val="18"/>
                <w:szCs w:val="18"/>
              </w:rPr>
              <w:t>在股东 单位任 职情况 的说明</w:t>
            </w:r>
          </w:p>
        </w:tc>
        <w:tc>
          <w:tcPr>
            <w:tcW w:w="8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王忠海、魏洪宽、刘志惠、董贵山在中国网安任职期间由中国网安发放报酬。</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5"/>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708"/>
        <w:gridCol w:w="3262"/>
        <w:gridCol w:w="994"/>
        <w:gridCol w:w="1700"/>
        <w:gridCol w:w="1561"/>
        <w:gridCol w:w="1344"/>
      </w:tblGrid>
      <w:tr>
        <w:trPr>
          <w:trHeight w:val="713"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9" w:right="77"/>
              <w:jc w:val="left"/>
              <w:rPr>
                <w:rFonts w:ascii="宋体" w:hAnsi="宋体" w:cs="宋体" w:eastAsia="宋体" w:hint="default"/>
                <w:sz w:val="18"/>
                <w:szCs w:val="18"/>
              </w:rPr>
            </w:pPr>
            <w:r>
              <w:rPr>
                <w:rFonts w:ascii="宋体" w:hAnsi="宋体" w:cs="宋体" w:eastAsia="宋体" w:hint="default"/>
                <w:sz w:val="18"/>
                <w:szCs w:val="18"/>
              </w:rPr>
              <w:t>任职人 员姓名</w:t>
            </w:r>
          </w:p>
        </w:tc>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0" w:right="41"/>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7" w:right="35" w:hanging="89"/>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所长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党委书记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成都三零凯天通信实业有限公司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中电科（北京）网络信息安全有限公司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中电科网络空间安全研究院有限公司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中电科网络空间安全研究院有限公司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四川信息安全与通信保密杂志社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社长</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党委副书记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厦门雅迅网络股份有限公司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王文胜</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常务副所长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王文胜</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成都三零凯天通信实业有限公司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王文胜</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成都三零凯天通信实业有限公司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王文胜</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王文胜</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王文胜</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副所长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王文胜</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中电科网络空间安全研究院有限公司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王文胜</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中资网络信息安全科技有限公司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段启广</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中国电子科技财务有限公司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段启广</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段启广</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雷利民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59"/>
              <w:jc w:val="left"/>
              <w:rPr>
                <w:rFonts w:ascii="宋体" w:hAnsi="宋体" w:cs="宋体" w:eastAsia="宋体" w:hint="default"/>
                <w:sz w:val="18"/>
                <w:szCs w:val="18"/>
              </w:rPr>
            </w:pPr>
            <w:r>
              <w:rPr>
                <w:rFonts w:ascii="宋体" w:hAnsi="宋体" w:cs="宋体" w:eastAsia="宋体" w:hint="default"/>
                <w:sz w:val="18"/>
                <w:szCs w:val="18"/>
              </w:rPr>
              <w:t>专职副总工 程师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雷利民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四川卫士通信息安全平台技术有限公司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雷利民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成都卫士通信息安全技术有限公司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雷利民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成都卫士通信息安全技术有限公司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雷利民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成都卫士通信息安全技术有限公司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1020" w:right="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708"/>
        <w:gridCol w:w="3262"/>
        <w:gridCol w:w="994"/>
        <w:gridCol w:w="1700"/>
        <w:gridCol w:w="1561"/>
        <w:gridCol w:w="1344"/>
      </w:tblGrid>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雷利民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成都三零嘉微电子有限公司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雷利民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成都三零瑞通移动通信有限公司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雷利民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雷利民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中电科（北京）网络信息安全有限公司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雷利民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中电科（天津）网络信息安全有限公司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王忠海</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成都三零凯天通信实业有限公司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王忠海</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太原鹏跃电子科技有限公司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王忠海</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成都深思科技有限公司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王忠海</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成都国信安信息产业基地有限公司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王忠海</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王忠海</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成都三零瑞通移动通信有限公司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王忠海</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成都三零嘉微电子有限公司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王忠海</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四川卫士通信息安全平台技术有限公司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王忠海</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四川卫士通信息安全平台技术有限公司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王忠海</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成都市数字城市运营管理有限公司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王虎</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四川发展国际控股有限公司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9"/>
              <w:jc w:val="left"/>
              <w:rPr>
                <w:rFonts w:ascii="宋体" w:hAnsi="宋体" w:cs="宋体" w:eastAsia="宋体" w:hint="default"/>
                <w:sz w:val="18"/>
                <w:szCs w:val="18"/>
              </w:rPr>
            </w:pPr>
            <w:r>
              <w:rPr>
                <w:rFonts w:ascii="宋体" w:hAnsi="宋体" w:cs="宋体" w:eastAsia="宋体" w:hint="default"/>
                <w:sz w:val="18"/>
                <w:szCs w:val="18"/>
              </w:rPr>
              <w:t>总经理助 理、财务部 总经理</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王虎</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天韵国际控股有限公司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周玮</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四川大西洋焊接材料股份有限公司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周玮</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中科院成都信息技术股份有限公司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冯渊</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四川华信（集团）会计师事务所</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冯渊</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威马农机股份有限公司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冯渊</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成都市兴蓉环境股份有限公司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冯渊</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四川水井坊股份有限公司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冯渊</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南京圣和医药股份有限公司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冯渊</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四川天味食品股份有限公司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冯渊</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成都唐源电气股份有限公司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许晓平</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成都三零凯天通信实业有限公司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许晓平</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成都三零凯天通信实业有限公司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许晓平</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山西中电科技特种装备有限公司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许晓平</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59"/>
              <w:jc w:val="left"/>
              <w:rPr>
                <w:rFonts w:ascii="宋体" w:hAnsi="宋体" w:cs="宋体" w:eastAsia="宋体" w:hint="default"/>
                <w:sz w:val="18"/>
                <w:szCs w:val="18"/>
              </w:rPr>
            </w:pPr>
            <w:r>
              <w:rPr>
                <w:rFonts w:ascii="宋体" w:hAnsi="宋体" w:cs="宋体" w:eastAsia="宋体" w:hint="default"/>
                <w:sz w:val="18"/>
                <w:szCs w:val="18"/>
              </w:rPr>
              <w:t>党委书记、 副所长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08"/>
        <w:gridCol w:w="3262"/>
        <w:gridCol w:w="994"/>
        <w:gridCol w:w="1700"/>
        <w:gridCol w:w="1561"/>
        <w:gridCol w:w="1344"/>
      </w:tblGrid>
      <w:tr>
        <w:trPr>
          <w:trHeight w:val="133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许晓平</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中国电子科技集团公司第三十三研究所</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59"/>
              <w:jc w:val="both"/>
              <w:rPr>
                <w:rFonts w:ascii="宋体" w:hAnsi="宋体" w:cs="宋体" w:eastAsia="宋体" w:hint="default"/>
                <w:sz w:val="18"/>
                <w:szCs w:val="18"/>
              </w:rPr>
            </w:pPr>
            <w:r>
              <w:rPr>
                <w:rFonts w:ascii="宋体" w:hAnsi="宋体" w:cs="宋体" w:eastAsia="宋体" w:hint="default"/>
                <w:sz w:val="18"/>
                <w:szCs w:val="18"/>
              </w:rPr>
              <w:t>所长、咨询 审议委员会 主任、党委 副书记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许晓平</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厦门雅迅网络股份有限公司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许晓平</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程虹</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59"/>
              <w:jc w:val="left"/>
              <w:rPr>
                <w:rFonts w:ascii="宋体" w:hAnsi="宋体" w:cs="宋体" w:eastAsia="宋体" w:hint="default"/>
                <w:sz w:val="18"/>
                <w:szCs w:val="18"/>
              </w:rPr>
            </w:pPr>
            <w:r>
              <w:rPr>
                <w:rFonts w:ascii="宋体" w:hAnsi="宋体" w:cs="宋体" w:eastAsia="宋体" w:hint="default"/>
                <w:sz w:val="18"/>
                <w:szCs w:val="18"/>
              </w:rPr>
              <w:t>纪检监察审 计处处长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张述</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中电科（北京）网络信息安全有限公司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魏洪宽</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魏洪宽</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中电科（北京）网络信息安全有限公司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魏洪宽</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成都卫士通信息安全技术有限公司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魏洪宽</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成都三零普瑞科技有限公司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赵秀玲</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成都三零豪赛网络安全技术有限公司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59"/>
              <w:jc w:val="left"/>
              <w:rPr>
                <w:rFonts w:ascii="宋体" w:hAnsi="宋体" w:cs="宋体" w:eastAsia="宋体" w:hint="default"/>
                <w:sz w:val="18"/>
                <w:szCs w:val="18"/>
              </w:rPr>
            </w:pPr>
            <w:r>
              <w:rPr>
                <w:rFonts w:ascii="宋体" w:hAnsi="宋体" w:cs="宋体" w:eastAsia="宋体" w:hint="default"/>
                <w:sz w:val="18"/>
                <w:szCs w:val="18"/>
              </w:rPr>
              <w:t>执行董事、 总经理</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赵秀玲</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赵秀玲</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成都三零瑞通移动通信有限公司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赵秀玲</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成都卫士通信息安全技术有限公司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周俊</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四川卫士通信息安全平台技术有限公司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周俊</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成都三零嘉微电子有限公司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周俊</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成都三零瑞通移动通信有限公司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周俊</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成都卫士通信息安全技术有限公司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周俊</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中电科（天津）网络信息安全有限公司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黄仁亮</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四川卫士通信息安全平台技术有限公司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黄仁亮</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成都三零瑞通移动通信有限公司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黄仁亮</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成都三零嘉微电子有限公司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黄仁亮</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中电科（北京）网络信息安全有限公司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黄仁亮</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中电科（北京）网络信息安全有限公司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黄仁亮</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中电科（天津）网络信息安全有限公司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黄仁亮</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成都卫士通信息安全技术有限公司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黄仁亮</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刘志恵</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成都三零嘉微电子有限公司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刘志恵</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成都三零瑞通移动通信有限公司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刘志恵</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四川卫士通信息安全平台技术有限公司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刘志惠</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成都深思科技有限公司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08"/>
        <w:gridCol w:w="3262"/>
        <w:gridCol w:w="994"/>
        <w:gridCol w:w="1700"/>
        <w:gridCol w:w="1561"/>
        <w:gridCol w:w="1344"/>
      </w:tblGrid>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刘志惠</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成都欣瑞资产管理有限公司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刘志惠</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59"/>
              <w:jc w:val="left"/>
              <w:rPr>
                <w:rFonts w:ascii="宋体" w:hAnsi="宋体" w:cs="宋体" w:eastAsia="宋体" w:hint="default"/>
                <w:sz w:val="18"/>
                <w:szCs w:val="18"/>
              </w:rPr>
            </w:pPr>
            <w:r>
              <w:rPr>
                <w:rFonts w:ascii="宋体" w:hAnsi="宋体" w:cs="宋体" w:eastAsia="宋体" w:hint="default"/>
                <w:sz w:val="18"/>
                <w:szCs w:val="18"/>
              </w:rPr>
              <w:t>财务处副处 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李成刚</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成都新欣神风电子科技有限公司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李成刚</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成都深思科技有限公司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李成刚</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厦门雅迅网络股份有限公司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黄南平</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杨甫</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四川卫士通信息安全平台技术有限公司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9"/>
              <w:jc w:val="left"/>
              <w:rPr>
                <w:rFonts w:ascii="宋体" w:hAnsi="宋体" w:cs="宋体" w:eastAsia="宋体" w:hint="default"/>
                <w:sz w:val="18"/>
                <w:szCs w:val="18"/>
              </w:rPr>
            </w:pPr>
            <w:r>
              <w:rPr>
                <w:rFonts w:ascii="宋体" w:hAnsi="宋体" w:cs="宋体" w:eastAsia="宋体" w:hint="default"/>
                <w:sz w:val="18"/>
                <w:szCs w:val="18"/>
              </w:rPr>
              <w:t>董事、总经 理</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杨甫</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成都三零嘉微电子有限公司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杨甫</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成都三零瑞通移动通信有限公司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杨甫</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杨甫</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中电科（北京）网络信息安全有限公司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杨甫</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中电科（天津）网络信息安全有限公司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杨甫</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成都卫士通信息安全技术有限公司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周文</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中电科（北京）网络信息安全有限公司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周文</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中电科（北京）网络信息安全有限公司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周文</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成都卫士通信息安全技术有限公司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胡凯春</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成都摩宝网络科技有限公司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胡凯春</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成都卫士通信息安全技术有限公司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胡凯春</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成都三零豪赛网络安全技术有限公司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胡凯春</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四川卫士通信息安全平台技术有限公司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胡凯春</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成都三零嘉微电子有限公司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胡凯春</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成都三零瑞通移动通信有限公司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胡凯春</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四、董事、监事、高级管理人员报酬情况" w:id="127"/>
      <w:bookmarkEnd w:id="127"/>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before="115"/>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、公司独立董事津贴</w:t>
      </w:r>
      <w:r>
        <w:rPr>
          <w:rFonts w:ascii="Times New Roman" w:hAnsi="Times New Roman" w:cs="Times New Roman" w:eastAsia="Times New Roman" w:hint="default"/>
          <w:sz w:val="18"/>
          <w:szCs w:val="18"/>
        </w:rPr>
        <w:t>10</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年，其他董事、全体监事不领取津贴。在公司任职的董事、监事按其工作岗位确定薪酬。</w:t>
      </w:r>
    </w:p>
    <w:p>
      <w:pPr>
        <w:spacing w:line="300" w:lineRule="auto" w:before="63"/>
        <w:ind w:left="152" w:right="112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、依据公司《董事会薪酬与考核委员会工作制度》，公司高级管理人员薪酬经由薪酬与考核委员会考核，报经董事会 批准后授权实施。</w:t>
      </w:r>
    </w:p>
    <w:p>
      <w:pPr>
        <w:spacing w:line="300" w:lineRule="auto" w:before="31"/>
        <w:ind w:left="152" w:right="112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、王忠海、魏洪宽、董贵山、刘志惠、雷利民、杨甫、周文、胡凯春等因工作变动，在卫士通工作期间由卫士通发放 薪酬，其余期间在任职关联方领取报酬。</w:t>
      </w:r>
    </w:p>
    <w:p>
      <w:pPr>
        <w:spacing w:before="72"/>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94"/>
        <w:gridCol w:w="2269"/>
        <w:gridCol w:w="425"/>
        <w:gridCol w:w="425"/>
        <w:gridCol w:w="852"/>
        <w:gridCol w:w="2268"/>
        <w:gridCol w:w="2341"/>
      </w:tblGrid>
      <w:tr>
        <w:trPr>
          <w:trHeight w:val="40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09"/>
              <w:jc w:val="right"/>
              <w:rPr>
                <w:rFonts w:ascii="宋体" w:hAnsi="宋体" w:cs="宋体" w:eastAsia="宋体" w:hint="default"/>
                <w:sz w:val="18"/>
                <w:szCs w:val="18"/>
              </w:rPr>
            </w:pPr>
            <w:r>
              <w:rPr>
                <w:rFonts w:ascii="宋体" w:hAnsi="宋体" w:cs="宋体" w:eastAsia="宋体" w:hint="default"/>
                <w:sz w:val="18"/>
                <w:szCs w:val="18"/>
              </w:rPr>
              <w:t>姓名</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
              <w:jc w:val="right"/>
              <w:rPr>
                <w:rFonts w:ascii="宋体" w:hAnsi="宋体" w:cs="宋体" w:eastAsia="宋体" w:hint="default"/>
                <w:sz w:val="18"/>
                <w:szCs w:val="18"/>
              </w:rPr>
            </w:pPr>
            <w:r>
              <w:rPr>
                <w:rFonts w:ascii="宋体" w:hAnsi="宋体" w:cs="宋体" w:eastAsia="宋体" w:hint="default"/>
                <w:sz w:val="18"/>
                <w:szCs w:val="18"/>
              </w:rPr>
              <w:t>年龄</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从公司获得的税前报酬总额</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是否在公司关联方获取报酬</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王文胜</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段启广</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雷利民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王忠海</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40.59</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周玮</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任立勇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李成刚</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许晓平</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黄南平</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43.07</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王虎</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曹德骏</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许晓平</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程虹</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张述</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39.65</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王忠海</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魏洪宽</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34.51</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赵秀玲</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48.15</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54.79</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董贵山</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副总经理、总工程师</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32.45</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黄仁亮</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51.75</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刘志惠</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副总经理、财务总监、董秘</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26.37</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雷利民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28.42</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杨甫</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常务副总经理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24.16</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19.8</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胡凯春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董秘、副总经理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26.47</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09"/>
              <w:jc w:val="right"/>
              <w:rPr>
                <w:rFonts w:ascii="宋体" w:hAnsi="宋体" w:cs="宋体" w:eastAsia="宋体" w:hint="default"/>
                <w:sz w:val="18"/>
                <w:szCs w:val="18"/>
              </w:rPr>
            </w:pPr>
            <w:r>
              <w:rPr>
                <w:rFonts w:ascii="宋体" w:hAnsi="宋体" w:cs="宋体" w:eastAsia="宋体" w:hint="default"/>
                <w:sz w:val="18"/>
                <w:szCs w:val="18"/>
              </w:rPr>
              <w:t>合计</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470.18</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五、公司员工情况" w:id="128"/>
      <w:bookmarkEnd w:id="128"/>
      <w:r>
        <w:rPr>
          <w:b w:val="0"/>
          <w:bCs w:val="0"/>
        </w:rPr>
      </w:r>
      <w:r>
        <w:rPr/>
        <w:t>五、公司员工情况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员工数量、专业构成及教育程度" w:id="129"/>
      <w:bookmarkEnd w:id="129"/>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77"/>
        <w:gridCol w:w="4794"/>
      </w:tblGrid>
      <w:tr>
        <w:trPr>
          <w:trHeight w:val="403"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1,415</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646</w:t>
            </w:r>
          </w:p>
        </w:tc>
      </w:tr>
      <w:tr>
        <w:trPr>
          <w:trHeight w:val="403"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2,061</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2,061</w:t>
            </w:r>
          </w:p>
        </w:tc>
      </w:tr>
      <w:tr>
        <w:trPr>
          <w:trHeight w:val="408"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9"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w:t>
            </w:r>
          </w:p>
        </w:tc>
      </w:tr>
      <w:tr>
        <w:trPr>
          <w:trHeight w:val="403"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1,393</w:t>
            </w:r>
          </w:p>
        </w:tc>
      </w:tr>
      <w:tr>
        <w:trPr>
          <w:trHeight w:val="403"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w:t>
            </w:r>
          </w:p>
        </w:tc>
      </w:tr>
      <w:tr>
        <w:trPr>
          <w:trHeight w:val="403"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专业人员</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w:t>
            </w:r>
          </w:p>
        </w:tc>
      </w:tr>
      <w:tr>
        <w:trPr>
          <w:trHeight w:val="406"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2,061</w:t>
            </w:r>
          </w:p>
        </w:tc>
      </w:tr>
      <w:tr>
        <w:trPr>
          <w:trHeight w:val="394"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489</w:t>
            </w:r>
          </w:p>
        </w:tc>
      </w:tr>
      <w:tr>
        <w:trPr>
          <w:trHeight w:val="403"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1,242</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专科及以下</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312</w:t>
            </w:r>
          </w:p>
        </w:tc>
      </w:tr>
      <w:tr>
        <w:trPr>
          <w:trHeight w:val="403"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2,061</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bookmarkStart w:name="2、薪酬政策" w:id="130"/>
      <w:bookmarkEnd w:id="130"/>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2"/>
        <w:rPr>
          <w:rFonts w:ascii="宋体" w:hAnsi="宋体" w:cs="宋体" w:eastAsia="宋体" w:hint="default"/>
          <w:b/>
          <w:bCs/>
          <w:sz w:val="26"/>
          <w:szCs w:val="26"/>
        </w:rPr>
      </w:pPr>
    </w:p>
    <w:p>
      <w:pPr>
        <w:spacing w:line="319" w:lineRule="auto" w:before="0"/>
        <w:ind w:left="152" w:right="1131" w:firstLine="360"/>
        <w:jc w:val="both"/>
        <w:rPr>
          <w:rFonts w:ascii="宋体" w:hAnsi="宋体" w:cs="宋体" w:eastAsia="宋体" w:hint="default"/>
          <w:sz w:val="18"/>
          <w:szCs w:val="18"/>
        </w:rPr>
      </w:pPr>
      <w:r>
        <w:rPr>
          <w:rFonts w:ascii="宋体" w:hAnsi="宋体" w:cs="宋体" w:eastAsia="宋体" w:hint="default"/>
          <w:spacing w:val="-2"/>
          <w:sz w:val="18"/>
          <w:szCs w:val="18"/>
        </w:rPr>
        <w:t>公司在严格遵守《劳动合同法》等相关法律法规的基础上，遵循各尽其能、按劳分配的原则，坚持员工薪酬水平与公司</w:t>
      </w:r>
      <w:r>
        <w:rPr>
          <w:rFonts w:ascii="宋体" w:hAnsi="宋体" w:cs="宋体" w:eastAsia="宋体" w:hint="default"/>
          <w:sz w:val="18"/>
          <w:szCs w:val="18"/>
        </w:rPr>
        <w:t> </w:t>
      </w:r>
      <w:r>
        <w:rPr>
          <w:rFonts w:ascii="宋体" w:hAnsi="宋体" w:cs="宋体" w:eastAsia="宋体" w:hint="default"/>
          <w:spacing w:val="-2"/>
          <w:sz w:val="18"/>
          <w:szCs w:val="18"/>
        </w:rPr>
        <w:t>经济效益同步增长的原则制定薪酬制度。公司按照员工岗位职责、岗位技能、工作绩效、定岗地区等综合因素设计员工的薪</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酬，适当向岗位风险大、岗位责任重、技术含量高以及创新型岗位倾斜。同时，公司参考同行业薪酬水平，兼顾公司的实际</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情况，适时进行薪酬调整。公司努力构建公平且有竞争力的薪酬体系及绩效考核体系，以调动员工的工作积极性，提升公司</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整体绩效，保留和吸引优秀人才，为公司的战略发展提供人力资源保障。</w:t>
      </w:r>
    </w:p>
    <w:p>
      <w:pPr>
        <w:spacing w:before="58"/>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300" w:lineRule="auto" w:before="103"/>
        <w:ind w:left="152" w:right="117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年职工薪酬总额（计入成本部分）为</w:t>
      </w:r>
      <w:r>
        <w:rPr>
          <w:rFonts w:ascii="Times New Roman" w:hAnsi="Times New Roman" w:cs="Times New Roman" w:eastAsia="Times New Roman" w:hint="default"/>
          <w:sz w:val="18"/>
          <w:szCs w:val="18"/>
        </w:rPr>
        <w:t>37,062,167.41</w:t>
      </w:r>
      <w:r>
        <w:rPr>
          <w:rFonts w:ascii="宋体" w:hAnsi="宋体" w:cs="宋体" w:eastAsia="宋体" w:hint="default"/>
          <w:sz w:val="18"/>
          <w:szCs w:val="18"/>
        </w:rPr>
        <w:t>元，占公司成本总额的</w:t>
      </w:r>
      <w:r>
        <w:rPr>
          <w:rFonts w:ascii="Times New Roman" w:hAnsi="Times New Roman" w:cs="Times New Roman" w:eastAsia="Times New Roman" w:hint="default"/>
          <w:sz w:val="18"/>
          <w:szCs w:val="18"/>
        </w:rPr>
        <w:t>2.61%</w:t>
      </w:r>
      <w:r>
        <w:rPr>
          <w:rFonts w:ascii="宋体" w:hAnsi="宋体" w:cs="宋体" w:eastAsia="宋体" w:hint="default"/>
          <w:sz w:val="18"/>
          <w:szCs w:val="18"/>
        </w:rPr>
        <w:t>。职工薪酬总额根据公司利润进行 核算发放，薪酬总额与公司利润紧密联动。核心技术人员薪酬在工资总额中的占比高于人数占比。</w:t>
      </w:r>
    </w:p>
    <w:p>
      <w:pPr>
        <w:spacing w:after="0" w:line="300"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3、培训计划" w:id="131"/>
      <w:bookmarkEnd w:id="131"/>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5"/>
        <w:rPr>
          <w:rFonts w:ascii="宋体" w:hAnsi="宋体" w:cs="宋体" w:eastAsia="宋体" w:hint="default"/>
          <w:b/>
          <w:bCs/>
          <w:sz w:val="26"/>
          <w:szCs w:val="26"/>
        </w:rPr>
      </w:pPr>
    </w:p>
    <w:p>
      <w:pPr>
        <w:spacing w:line="312" w:lineRule="auto" w:before="0"/>
        <w:ind w:left="152" w:right="1134" w:firstLine="360"/>
        <w:jc w:val="both"/>
        <w:rPr>
          <w:rFonts w:ascii="宋体" w:hAnsi="宋体" w:cs="宋体" w:eastAsia="宋体" w:hint="default"/>
          <w:sz w:val="18"/>
          <w:szCs w:val="18"/>
        </w:rPr>
      </w:pPr>
      <w:r>
        <w:rPr>
          <w:rFonts w:ascii="宋体" w:hAnsi="宋体" w:cs="宋体" w:eastAsia="宋体" w:hint="default"/>
          <w:spacing w:val="-2"/>
          <w:sz w:val="18"/>
          <w:szCs w:val="18"/>
        </w:rPr>
        <w:t>公司高度重视人才发展和培养。</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年，公司以发展战略为牵引、以业务发展方向为目标，坚持突出重点、分类开展的</w:t>
      </w:r>
      <w:r>
        <w:rPr>
          <w:rFonts w:ascii="宋体" w:hAnsi="宋体" w:cs="宋体" w:eastAsia="宋体" w:hint="default"/>
          <w:sz w:val="18"/>
          <w:szCs w:val="18"/>
        </w:rPr>
        <w:t> </w:t>
      </w:r>
      <w:r>
        <w:rPr>
          <w:rFonts w:ascii="宋体" w:hAnsi="宋体" w:cs="宋体" w:eastAsia="宋体" w:hint="default"/>
          <w:spacing w:val="-2"/>
          <w:sz w:val="18"/>
          <w:szCs w:val="18"/>
        </w:rPr>
        <w:t>工作原则，围绕公司年度重点工作，有计划、分类别、分层次地开展各类培训活动。培训涉及管理能力、专业技术、产品知</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识、操作技能、安全保密以及企业文化等方面。重点策划并组织实施专项人才发展项目，针对青年管理和技术骨干，实施有</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针对性的专项培养，进一步提升了公司人才队伍职业素质和专业素养。</w:t>
      </w:r>
    </w:p>
    <w:p>
      <w:pPr>
        <w:spacing w:line="240" w:lineRule="auto" w:before="1"/>
        <w:rPr>
          <w:rFonts w:ascii="宋体" w:hAnsi="宋体" w:cs="宋体" w:eastAsia="宋体" w:hint="default"/>
          <w:sz w:val="23"/>
          <w:szCs w:val="23"/>
        </w:rPr>
      </w:pPr>
    </w:p>
    <w:p>
      <w:pPr>
        <w:pStyle w:val="Heading4"/>
        <w:spacing w:line="240" w:lineRule="auto"/>
        <w:ind w:right="1133"/>
        <w:jc w:val="left"/>
        <w:rPr>
          <w:b w:val="0"/>
          <w:bCs w:val="0"/>
        </w:rPr>
      </w:pPr>
      <w:bookmarkStart w:name="4、劳务外包情况" w:id="132"/>
      <w:bookmarkEnd w:id="132"/>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217"/>
        <w:jc w:val="center"/>
        <w:rPr>
          <w:b w:val="0"/>
          <w:bCs w:val="0"/>
        </w:rPr>
      </w:pPr>
      <w:bookmarkStart w:name="第十节 公司治理" w:id="133"/>
      <w:bookmarkEnd w:id="133"/>
      <w:r>
        <w:rPr>
          <w:b w:val="0"/>
          <w:bCs w:val="0"/>
        </w:rPr>
      </w:r>
      <w:bookmarkStart w:name="_bookmark9" w:id="134"/>
      <w:bookmarkEnd w:id="134"/>
      <w:r>
        <w:rPr>
          <w:b w:val="0"/>
          <w:bCs w:val="0"/>
        </w:rPr>
      </w:r>
      <w:r>
        <w:rPr/>
        <w:t>第十节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bookmarkStart w:name="一、公司治理的基本状况" w:id="135"/>
      <w:bookmarkEnd w:id="135"/>
      <w:r>
        <w:rPr>
          <w:b w:val="0"/>
          <w:bCs w:val="0"/>
        </w:rPr>
      </w:r>
      <w:r>
        <w:rPr/>
        <w:t>一、公司治理的基本状况</w:t>
      </w:r>
      <w:r>
        <w:rPr>
          <w:b w:val="0"/>
          <w:bCs w:val="0"/>
        </w:rPr>
      </w:r>
    </w:p>
    <w:p>
      <w:pPr>
        <w:spacing w:line="240" w:lineRule="auto" w:before="4"/>
        <w:rPr>
          <w:rFonts w:ascii="宋体" w:hAnsi="宋体" w:cs="宋体" w:eastAsia="宋体" w:hint="default"/>
          <w:b/>
          <w:bCs/>
          <w:sz w:val="26"/>
          <w:szCs w:val="26"/>
        </w:rPr>
      </w:pPr>
    </w:p>
    <w:p>
      <w:pPr>
        <w:spacing w:line="316" w:lineRule="auto" w:before="0"/>
        <w:ind w:left="152" w:right="1131" w:firstLine="360"/>
        <w:jc w:val="both"/>
        <w:rPr>
          <w:rFonts w:ascii="宋体" w:hAnsi="宋体" w:cs="宋体" w:eastAsia="宋体" w:hint="default"/>
          <w:sz w:val="18"/>
          <w:szCs w:val="18"/>
        </w:rPr>
      </w:pPr>
      <w:r>
        <w:rPr>
          <w:rFonts w:ascii="宋体" w:hAnsi="宋体" w:cs="宋体" w:eastAsia="宋体" w:hint="default"/>
          <w:spacing w:val="-2"/>
          <w:sz w:val="18"/>
          <w:szCs w:val="18"/>
        </w:rPr>
        <w:t>公司严格按照《公司法》、《证券法》、《上市公司治理准则》、深圳证券交易所《股票上市规则》、《中小企业板上</w:t>
      </w:r>
      <w:r>
        <w:rPr>
          <w:rFonts w:ascii="宋体" w:hAnsi="宋体" w:cs="宋体" w:eastAsia="宋体" w:hint="default"/>
          <w:sz w:val="18"/>
          <w:szCs w:val="18"/>
        </w:rPr>
        <w:t> </w:t>
      </w:r>
      <w:r>
        <w:rPr>
          <w:rFonts w:ascii="宋体" w:hAnsi="宋体" w:cs="宋体" w:eastAsia="宋体" w:hint="default"/>
          <w:spacing w:val="-2"/>
          <w:sz w:val="18"/>
          <w:szCs w:val="18"/>
        </w:rPr>
        <w:t>市公司规范运作指引》等有关法律法规和规范性指引的要求，不断完善公司治理结构，建立健全内部管理和控制制度，加强</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运作规范，公司治理的实际情况符合中国证监会有关上市公司治理的规范性文件的要求。</w:t>
      </w:r>
    </w:p>
    <w:p>
      <w:pPr>
        <w:spacing w:line="316" w:lineRule="auto" w:before="19"/>
        <w:ind w:left="513" w:right="1129" w:hanging="63"/>
        <w:jc w:val="left"/>
        <w:rPr>
          <w:rFonts w:ascii="宋体" w:hAnsi="宋体" w:cs="宋体" w:eastAsia="宋体" w:hint="default"/>
          <w:sz w:val="18"/>
          <w:szCs w:val="18"/>
        </w:rPr>
      </w:pPr>
      <w:r>
        <w:rPr>
          <w:rFonts w:ascii="宋体" w:hAnsi="宋体" w:cs="宋体" w:eastAsia="宋体" w:hint="default"/>
          <w:b/>
          <w:bCs/>
          <w:sz w:val="18"/>
          <w:szCs w:val="18"/>
        </w:rPr>
        <w:t>（一）股东和股东大会</w:t>
      </w:r>
      <w:r>
        <w:rPr>
          <w:rFonts w:ascii="宋体" w:hAnsi="宋体" w:cs="宋体" w:eastAsia="宋体" w:hint="default"/>
          <w:b/>
          <w:bCs/>
          <w:w w:val="99"/>
          <w:sz w:val="18"/>
          <w:szCs w:val="18"/>
        </w:rPr>
        <w:t> </w:t>
      </w:r>
      <w:r>
        <w:rPr>
          <w:rFonts w:ascii="宋体" w:hAnsi="宋体" w:cs="宋体" w:eastAsia="宋体" w:hint="default"/>
          <w:spacing w:val="-2"/>
          <w:sz w:val="18"/>
          <w:szCs w:val="18"/>
        </w:rPr>
        <w:t>公司严格按照《公司法》、《上市公司股东大会规则》、《公司章程》和《公司股东大会议事规则》的规定和要求，规</w:t>
      </w:r>
    </w:p>
    <w:p>
      <w:pPr>
        <w:spacing w:line="319" w:lineRule="auto" w:before="19"/>
        <w:ind w:left="152" w:right="1133" w:firstLine="0"/>
        <w:jc w:val="left"/>
        <w:rPr>
          <w:rFonts w:ascii="宋体" w:hAnsi="宋体" w:cs="宋体" w:eastAsia="宋体" w:hint="default"/>
          <w:sz w:val="18"/>
          <w:szCs w:val="18"/>
        </w:rPr>
      </w:pPr>
      <w:r>
        <w:rPr>
          <w:rFonts w:ascii="宋体" w:hAnsi="宋体" w:cs="宋体" w:eastAsia="宋体" w:hint="default"/>
          <w:spacing w:val="-2"/>
          <w:sz w:val="18"/>
          <w:szCs w:val="18"/>
        </w:rPr>
        <w:t>范股东大会的召集、召开、表决程序，能够平等对待所有股东，确保全体股东特别是中小股东享有平等地位，充分行使自己</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的权利。</w:t>
      </w:r>
    </w:p>
    <w:p>
      <w:pPr>
        <w:spacing w:line="316" w:lineRule="auto" w:before="17"/>
        <w:ind w:left="513" w:right="1129" w:hanging="53"/>
        <w:jc w:val="left"/>
        <w:rPr>
          <w:rFonts w:ascii="宋体" w:hAnsi="宋体" w:cs="宋体" w:eastAsia="宋体" w:hint="default"/>
          <w:sz w:val="18"/>
          <w:szCs w:val="18"/>
        </w:rPr>
      </w:pPr>
      <w:r>
        <w:rPr>
          <w:rFonts w:ascii="宋体" w:hAnsi="宋体" w:cs="宋体" w:eastAsia="宋体" w:hint="default"/>
          <w:b/>
          <w:bCs/>
          <w:sz w:val="18"/>
          <w:szCs w:val="18"/>
        </w:rPr>
        <w:t>（二）公司与控股股东、实际控制人</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报告期内公司控股股东及实际控制人行为规范，能依法行使其权利并承担相应的义务，没有超越公司股东大会直接或间</w:t>
      </w:r>
    </w:p>
    <w:p>
      <w:pPr>
        <w:spacing w:line="316" w:lineRule="auto" w:before="19"/>
        <w:ind w:left="152" w:right="1133" w:firstLine="0"/>
        <w:jc w:val="left"/>
        <w:rPr>
          <w:rFonts w:ascii="宋体" w:hAnsi="宋体" w:cs="宋体" w:eastAsia="宋体" w:hint="default"/>
          <w:sz w:val="18"/>
          <w:szCs w:val="18"/>
        </w:rPr>
      </w:pPr>
      <w:r>
        <w:rPr>
          <w:rFonts w:ascii="宋体" w:hAnsi="宋体" w:cs="宋体" w:eastAsia="宋体" w:hint="default"/>
          <w:spacing w:val="-2"/>
          <w:sz w:val="18"/>
          <w:szCs w:val="18"/>
        </w:rPr>
        <w:t>接干预公司的决策和生产经营活动。公司在业务、人员、资产、机构、财务等方面完全独立，公司董事会、监事会和内部机</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构能够独立运作。</w:t>
      </w:r>
    </w:p>
    <w:p>
      <w:pPr>
        <w:spacing w:line="316" w:lineRule="auto" w:before="19"/>
        <w:ind w:left="513" w:right="1133" w:hanging="53"/>
        <w:jc w:val="left"/>
        <w:rPr>
          <w:rFonts w:ascii="宋体" w:hAnsi="宋体" w:cs="宋体" w:eastAsia="宋体" w:hint="default"/>
          <w:sz w:val="18"/>
          <w:szCs w:val="18"/>
        </w:rPr>
      </w:pPr>
      <w:r>
        <w:rPr>
          <w:rFonts w:ascii="宋体" w:hAnsi="宋体" w:cs="宋体" w:eastAsia="宋体" w:hint="default"/>
          <w:b/>
          <w:bCs/>
          <w:sz w:val="18"/>
          <w:szCs w:val="18"/>
        </w:rPr>
        <w:t>（三）董事与董事会</w:t>
      </w:r>
      <w:r>
        <w:rPr>
          <w:rFonts w:ascii="宋体" w:hAnsi="宋体" w:cs="宋体" w:eastAsia="宋体" w:hint="default"/>
          <w:b/>
          <w:bCs/>
          <w:w w:val="99"/>
          <w:sz w:val="18"/>
          <w:szCs w:val="18"/>
        </w:rPr>
        <w:t> </w:t>
      </w:r>
      <w:r>
        <w:rPr>
          <w:rFonts w:ascii="宋体" w:hAnsi="宋体" w:cs="宋体" w:eastAsia="宋体" w:hint="default"/>
          <w:spacing w:val="-2"/>
          <w:sz w:val="18"/>
          <w:szCs w:val="18"/>
        </w:rPr>
        <w:t>公司按照《公司法》、《公司章程》及《董事会议事规则》等的规定和要求选举董事，公司董事会有董事九名，其中独</w:t>
      </w:r>
    </w:p>
    <w:p>
      <w:pPr>
        <w:spacing w:line="316" w:lineRule="auto" w:before="19"/>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立董事三名，达到全体董事的三分之一，报告期内有一名董事辞职。公司全体董事能够按照法律、法规以及《中小企业板上</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4"/>
          <w:sz w:val="18"/>
          <w:szCs w:val="18"/>
        </w:rPr>
        <w:t>市公司规范运作指引》、公司《董事会议事规则》、《独立董事工作制度》等的规定开展工作，认真出席董事会和股东大会，</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积极参加培训，学习有关法律法规，以诚信、勤勉、尽责的态度认真履行董事职责。</w:t>
      </w:r>
    </w:p>
    <w:p>
      <w:pPr>
        <w:spacing w:line="319" w:lineRule="auto" w:before="19"/>
        <w:ind w:left="152" w:right="1133" w:firstLine="360"/>
        <w:jc w:val="both"/>
        <w:rPr>
          <w:rFonts w:ascii="宋体" w:hAnsi="宋体" w:cs="宋体" w:eastAsia="宋体" w:hint="default"/>
          <w:sz w:val="18"/>
          <w:szCs w:val="18"/>
        </w:rPr>
      </w:pPr>
      <w:r>
        <w:rPr>
          <w:rFonts w:ascii="宋体" w:hAnsi="宋体" w:cs="宋体" w:eastAsia="宋体" w:hint="default"/>
          <w:spacing w:val="-2"/>
          <w:sz w:val="18"/>
          <w:szCs w:val="18"/>
        </w:rPr>
        <w:t>公司董事会下设审计委员会、薪酬与考核委员会、提名委员会和战略委员会四个专门委员会，在促进公司规范运作、健</w:t>
      </w:r>
      <w:r>
        <w:rPr>
          <w:rFonts w:ascii="宋体" w:hAnsi="宋体" w:cs="宋体" w:eastAsia="宋体" w:hint="default"/>
          <w:sz w:val="18"/>
          <w:szCs w:val="18"/>
        </w:rPr>
        <w:t> 康持续发展等方面发挥了重要的作用。</w:t>
      </w:r>
    </w:p>
    <w:p>
      <w:pPr>
        <w:spacing w:line="316" w:lineRule="auto" w:before="17"/>
        <w:ind w:left="513" w:right="1129" w:hanging="53"/>
        <w:jc w:val="left"/>
        <w:rPr>
          <w:rFonts w:ascii="宋体" w:hAnsi="宋体" w:cs="宋体" w:eastAsia="宋体" w:hint="default"/>
          <w:sz w:val="18"/>
          <w:szCs w:val="18"/>
        </w:rPr>
      </w:pPr>
      <w:r>
        <w:rPr>
          <w:rFonts w:ascii="宋体" w:hAnsi="宋体" w:cs="宋体" w:eastAsia="宋体" w:hint="default"/>
          <w:b/>
          <w:bCs/>
          <w:sz w:val="18"/>
          <w:szCs w:val="18"/>
        </w:rPr>
        <w:t>（四）监事与监事会</w:t>
      </w:r>
      <w:r>
        <w:rPr>
          <w:rFonts w:ascii="宋体" w:hAnsi="宋体" w:cs="宋体" w:eastAsia="宋体" w:hint="default"/>
          <w:b/>
          <w:bCs/>
          <w:w w:val="99"/>
          <w:sz w:val="18"/>
          <w:szCs w:val="18"/>
        </w:rPr>
        <w:t> </w:t>
      </w:r>
      <w:r>
        <w:rPr>
          <w:rFonts w:ascii="宋体" w:hAnsi="宋体" w:cs="宋体" w:eastAsia="宋体" w:hint="default"/>
          <w:spacing w:val="-2"/>
          <w:sz w:val="18"/>
          <w:szCs w:val="18"/>
        </w:rPr>
        <w:t>公司严格按照法律、法规及《公司章程》、《监事会议事规则》等相关规定选举监事，公司监事会现有三名监事，其中</w:t>
      </w:r>
    </w:p>
    <w:p>
      <w:pPr>
        <w:spacing w:line="316" w:lineRule="auto" w:before="19"/>
        <w:ind w:left="152" w:right="1132" w:firstLine="0"/>
        <w:jc w:val="both"/>
        <w:rPr>
          <w:rFonts w:ascii="宋体" w:hAnsi="宋体" w:cs="宋体" w:eastAsia="宋体" w:hint="default"/>
          <w:sz w:val="18"/>
          <w:szCs w:val="18"/>
        </w:rPr>
      </w:pPr>
      <w:r>
        <w:rPr>
          <w:rFonts w:ascii="宋体" w:hAnsi="宋体" w:cs="宋体" w:eastAsia="宋体" w:hint="default"/>
          <w:spacing w:val="-2"/>
          <w:sz w:val="18"/>
          <w:szCs w:val="18"/>
        </w:rPr>
        <w:t>职工监事一名，由公司职工代表大会选举产生。公司全体监事能够按照法律、法规和《监事会议事规则》等的要求，从保护</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股东利益出发，认真履行职责，对公司财务以及公司董事、其他高级管理人员履行职责的合法合规性进行监督，忠实、勤勉</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地维护公司及股东的合法权益。</w:t>
      </w:r>
    </w:p>
    <w:p>
      <w:pPr>
        <w:spacing w:line="316" w:lineRule="auto" w:before="19"/>
        <w:ind w:left="513" w:right="1133" w:hanging="53"/>
        <w:jc w:val="left"/>
        <w:rPr>
          <w:rFonts w:ascii="宋体" w:hAnsi="宋体" w:cs="宋体" w:eastAsia="宋体" w:hint="default"/>
          <w:sz w:val="18"/>
          <w:szCs w:val="18"/>
        </w:rPr>
      </w:pPr>
      <w:r>
        <w:rPr>
          <w:rFonts w:ascii="宋体" w:hAnsi="宋体" w:cs="宋体" w:eastAsia="宋体" w:hint="default"/>
          <w:b/>
          <w:bCs/>
          <w:sz w:val="18"/>
          <w:szCs w:val="18"/>
        </w:rPr>
        <w:t>（五）利益相关者</w:t>
      </w:r>
      <w:r>
        <w:rPr>
          <w:rFonts w:ascii="宋体" w:hAnsi="宋体" w:cs="宋体" w:eastAsia="宋体" w:hint="default"/>
          <w:b/>
          <w:bCs/>
          <w:w w:val="99"/>
          <w:sz w:val="18"/>
          <w:szCs w:val="18"/>
        </w:rPr>
        <w:t> </w:t>
      </w:r>
      <w:r>
        <w:rPr>
          <w:rFonts w:ascii="宋体" w:hAnsi="宋体" w:cs="宋体" w:eastAsia="宋体" w:hint="default"/>
          <w:spacing w:val="-2"/>
          <w:sz w:val="18"/>
          <w:szCs w:val="18"/>
        </w:rPr>
        <w:t>公司充分尊重和维护相关利益者的合法权益，实现社会、股东、公司、员工等各方面利益的协调平衡，诚信对待供应商</w:t>
      </w:r>
    </w:p>
    <w:p>
      <w:pPr>
        <w:spacing w:before="19"/>
        <w:ind w:left="152" w:right="0" w:firstLine="0"/>
        <w:jc w:val="both"/>
        <w:rPr>
          <w:rFonts w:ascii="宋体" w:hAnsi="宋体" w:cs="宋体" w:eastAsia="宋体" w:hint="default"/>
          <w:sz w:val="18"/>
          <w:szCs w:val="18"/>
        </w:rPr>
      </w:pPr>
      <w:r>
        <w:rPr>
          <w:rFonts w:ascii="宋体" w:hAnsi="宋体" w:cs="宋体" w:eastAsia="宋体" w:hint="default"/>
          <w:sz w:val="18"/>
          <w:szCs w:val="18"/>
        </w:rPr>
        <w:t>和客户，切实维护职工的合法权益，重视社会责任，共同推动公司持续、健康、快速发展。</w:t>
      </w:r>
    </w:p>
    <w:p>
      <w:pPr>
        <w:spacing w:line="316" w:lineRule="auto" w:before="76"/>
        <w:ind w:left="513" w:right="0" w:hanging="53"/>
        <w:jc w:val="left"/>
        <w:rPr>
          <w:rFonts w:ascii="宋体" w:hAnsi="宋体" w:cs="宋体" w:eastAsia="宋体" w:hint="default"/>
          <w:sz w:val="18"/>
          <w:szCs w:val="18"/>
        </w:rPr>
      </w:pPr>
      <w:r>
        <w:rPr>
          <w:rFonts w:ascii="宋体" w:hAnsi="宋体" w:cs="宋体" w:eastAsia="宋体" w:hint="default"/>
          <w:b/>
          <w:bCs/>
          <w:sz w:val="18"/>
          <w:szCs w:val="18"/>
        </w:rPr>
        <w:t>（六）信息披露</w:t>
      </w:r>
      <w:r>
        <w:rPr>
          <w:rFonts w:ascii="宋体" w:hAnsi="宋体" w:cs="宋体" w:eastAsia="宋体" w:hint="default"/>
          <w:b/>
          <w:bCs/>
          <w:w w:val="99"/>
          <w:sz w:val="18"/>
          <w:szCs w:val="18"/>
        </w:rPr>
        <w:t> </w:t>
      </w:r>
      <w:r>
        <w:rPr>
          <w:rFonts w:ascii="宋体" w:hAnsi="宋体" w:cs="宋体" w:eastAsia="宋体" w:hint="default"/>
          <w:spacing w:val="-2"/>
          <w:sz w:val="18"/>
          <w:szCs w:val="18"/>
        </w:rPr>
        <w:t>公司指定《证券时报》、《中国证券报》和巨潮资讯网（</w:t>
      </w:r>
      <w:hyperlink r:id="rId12">
        <w:r>
          <w:rPr>
            <w:rFonts w:ascii="Times New Roman" w:hAnsi="Times New Roman" w:cs="Times New Roman" w:eastAsia="Times New Roman" w:hint="default"/>
            <w:spacing w:val="-2"/>
            <w:sz w:val="18"/>
            <w:szCs w:val="18"/>
          </w:rPr>
          <w:t>http://www.cninfo.com.cn</w:t>
        </w:r>
      </w:hyperlink>
      <w:r>
        <w:rPr>
          <w:rFonts w:ascii="宋体" w:hAnsi="宋体" w:cs="宋体" w:eastAsia="宋体" w:hint="default"/>
          <w:spacing w:val="-2"/>
          <w:sz w:val="18"/>
          <w:szCs w:val="18"/>
        </w:rPr>
        <w:t>）为公司信息披露的指定报纸和网站，</w:t>
      </w:r>
    </w:p>
    <w:p>
      <w:pPr>
        <w:spacing w:line="319" w:lineRule="auto" w:before="0"/>
        <w:ind w:left="152" w:right="1132" w:firstLine="0"/>
        <w:jc w:val="both"/>
        <w:rPr>
          <w:rFonts w:ascii="宋体" w:hAnsi="宋体" w:cs="宋体" w:eastAsia="宋体" w:hint="default"/>
          <w:sz w:val="18"/>
          <w:szCs w:val="18"/>
        </w:rPr>
      </w:pPr>
      <w:r>
        <w:rPr>
          <w:rFonts w:ascii="宋体" w:hAnsi="宋体" w:cs="宋体" w:eastAsia="宋体" w:hint="default"/>
          <w:spacing w:val="-2"/>
          <w:sz w:val="18"/>
          <w:szCs w:val="18"/>
        </w:rPr>
        <w:t>还通过深圳证券交易所互动平台、电话和接待来访等方式加强与投资者的沟通与交流；公司严格按照有关法律法规及公司制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定的《信息披露管理制度》、《投资者关系管理制度》、《内幕信息知情人登记管理制度》、《对外报送未公开重大信息管</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理制度》等的要求，真实、准确、完整、及时的披露有关信息，确保所有股东有平等的机会获得信息。</w:t>
      </w:r>
    </w:p>
    <w:p>
      <w:pPr>
        <w:spacing w:line="316" w:lineRule="auto" w:before="17"/>
        <w:ind w:left="513" w:right="1129" w:hanging="53"/>
        <w:jc w:val="left"/>
        <w:rPr>
          <w:rFonts w:ascii="宋体" w:hAnsi="宋体" w:cs="宋体" w:eastAsia="宋体" w:hint="default"/>
          <w:sz w:val="18"/>
          <w:szCs w:val="18"/>
        </w:rPr>
      </w:pPr>
      <w:r>
        <w:rPr>
          <w:rFonts w:ascii="宋体" w:hAnsi="宋体" w:cs="宋体" w:eastAsia="宋体" w:hint="default"/>
          <w:b/>
          <w:bCs/>
          <w:sz w:val="18"/>
          <w:szCs w:val="18"/>
        </w:rPr>
        <w:t>（七）考核与激励</w:t>
      </w:r>
      <w:r>
        <w:rPr>
          <w:rFonts w:ascii="宋体" w:hAnsi="宋体" w:cs="宋体" w:eastAsia="宋体" w:hint="default"/>
          <w:b/>
          <w:bCs/>
          <w:w w:val="99"/>
          <w:sz w:val="18"/>
          <w:szCs w:val="18"/>
        </w:rPr>
        <w:t> </w:t>
      </w:r>
      <w:r>
        <w:rPr>
          <w:rFonts w:ascii="宋体" w:hAnsi="宋体" w:cs="宋体" w:eastAsia="宋体" w:hint="default"/>
          <w:spacing w:val="-2"/>
          <w:sz w:val="18"/>
          <w:szCs w:val="18"/>
        </w:rPr>
        <w:t>公司高级管理人员的聘任严格依据相关法律、法规及公司制度的规定，由董事会审议决定；依据公司《董事会薪酬与考</w:t>
      </w:r>
    </w:p>
    <w:p>
      <w:pPr>
        <w:spacing w:before="19"/>
        <w:ind w:left="152" w:right="0" w:firstLine="0"/>
        <w:jc w:val="both"/>
        <w:rPr>
          <w:rFonts w:ascii="宋体" w:hAnsi="宋体" w:cs="宋体" w:eastAsia="宋体" w:hint="default"/>
          <w:sz w:val="18"/>
          <w:szCs w:val="18"/>
        </w:rPr>
      </w:pPr>
      <w:r>
        <w:rPr>
          <w:rFonts w:ascii="宋体" w:hAnsi="宋体" w:cs="宋体" w:eastAsia="宋体" w:hint="default"/>
          <w:sz w:val="18"/>
          <w:szCs w:val="18"/>
        </w:rPr>
        <w:t>核委员会工作制度》，高级管理人员薪酬由薪酬与考核委员会考核，并报经董事会批准后授权实施。</w:t>
      </w:r>
    </w:p>
    <w:p>
      <w:pPr>
        <w:spacing w:line="360" w:lineRule="auto" w:before="76"/>
        <w:ind w:left="513" w:right="1133" w:hanging="53"/>
        <w:jc w:val="left"/>
        <w:rPr>
          <w:rFonts w:ascii="宋体" w:hAnsi="宋体" w:cs="宋体" w:eastAsia="宋体" w:hint="default"/>
          <w:sz w:val="18"/>
          <w:szCs w:val="18"/>
        </w:rPr>
      </w:pPr>
      <w:r>
        <w:rPr>
          <w:rFonts w:ascii="宋体" w:hAnsi="宋体" w:cs="宋体" w:eastAsia="宋体" w:hint="default"/>
          <w:b/>
          <w:bCs/>
          <w:sz w:val="18"/>
          <w:szCs w:val="18"/>
        </w:rPr>
        <w:t>（八）内部审计</w:t>
      </w:r>
      <w:r>
        <w:rPr>
          <w:rFonts w:ascii="宋体" w:hAnsi="宋体" w:cs="宋体" w:eastAsia="宋体" w:hint="default"/>
          <w:b/>
          <w:bCs/>
          <w:w w:val="99"/>
          <w:sz w:val="18"/>
          <w:szCs w:val="18"/>
        </w:rPr>
        <w:t> </w:t>
      </w:r>
      <w:r>
        <w:rPr>
          <w:rFonts w:ascii="宋体" w:hAnsi="宋体" w:cs="宋体" w:eastAsia="宋体" w:hint="default"/>
          <w:spacing w:val="-2"/>
          <w:sz w:val="18"/>
          <w:szCs w:val="18"/>
        </w:rPr>
        <w:t>公司设内部审计专职人员，负责公司内部审计工作，并直接向审计委员会汇报工作。在公司董事会的监督与指导下，内</w:t>
      </w:r>
    </w:p>
    <w:p>
      <w:pPr>
        <w:spacing w:line="222" w:lineRule="exact"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部审计部门依法独立开展公司内部审计、督查工作，采取定期与不定期检查方式，对公司和分子公司财务、重大项目、生产</w:t>
      </w:r>
    </w:p>
    <w:p>
      <w:pPr>
        <w:spacing w:before="76"/>
        <w:ind w:left="152" w:right="0" w:firstLine="0"/>
        <w:jc w:val="both"/>
        <w:rPr>
          <w:rFonts w:ascii="宋体" w:hAnsi="宋体" w:cs="宋体" w:eastAsia="宋体" w:hint="default"/>
          <w:sz w:val="18"/>
          <w:szCs w:val="18"/>
        </w:rPr>
      </w:pPr>
      <w:r>
        <w:rPr>
          <w:rFonts w:ascii="宋体" w:hAnsi="宋体" w:cs="宋体" w:eastAsia="宋体" w:hint="default"/>
          <w:sz w:val="18"/>
          <w:szCs w:val="18"/>
        </w:rPr>
        <w:t>经营活动等进行审计、核查，对公司和分子公司内部管理体系、内部控制的情况进行监督检查。</w:t>
      </w:r>
    </w:p>
    <w:p>
      <w:pPr>
        <w:spacing w:after="0"/>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117"/>
        <w:ind w:left="152" w:right="35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bookmarkStart w:name="二、公司相对于控股股东在业务、人员、资产、机构、财务等方面的独立情况" w:id="136"/>
      <w:bookmarkEnd w:id="136"/>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spacing w:line="316" w:lineRule="auto" w:before="0"/>
        <w:ind w:left="152" w:right="1034" w:firstLine="360"/>
        <w:jc w:val="left"/>
        <w:rPr>
          <w:rFonts w:ascii="宋体" w:hAnsi="宋体" w:cs="宋体" w:eastAsia="宋体" w:hint="default"/>
          <w:sz w:val="18"/>
          <w:szCs w:val="18"/>
        </w:rPr>
      </w:pPr>
      <w:r>
        <w:rPr>
          <w:rFonts w:ascii="宋体" w:hAnsi="宋体" w:cs="宋体" w:eastAsia="宋体" w:hint="default"/>
          <w:sz w:val="18"/>
          <w:szCs w:val="18"/>
        </w:rPr>
        <w:t>公司严格按照《公司法》和《公司章程》规范运作，建立健全公司的法人治理结构，与控股股东在业务、人员、资产、 机构、财务等方面完全分开，具有独立完整的业务及自主经营能力。</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bookmarkStart w:name="三、同业竞争情况" w:id="137"/>
      <w:bookmarkEnd w:id="137"/>
      <w:r>
        <w:rPr>
          <w:b w:val="0"/>
          <w:bCs w:val="0"/>
        </w:rPr>
      </w:r>
      <w:r>
        <w:rPr/>
        <w:t>三、同业竞争情况</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四、报告期内召开的年度股东大会和临时股东大会的有关情况" w:id="138"/>
      <w:bookmarkEnd w:id="138"/>
      <w:r>
        <w:rPr>
          <w:b w:val="0"/>
          <w:bCs w:val="0"/>
        </w:rPr>
      </w: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本报告期股东大会情况" w:id="139"/>
      <w:bookmarkEnd w:id="139"/>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19"/>
        <w:gridCol w:w="1277"/>
        <w:gridCol w:w="1699"/>
        <w:gridCol w:w="1136"/>
        <w:gridCol w:w="1274"/>
        <w:gridCol w:w="2763"/>
      </w:tblGrid>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6"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6"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1"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 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37"/>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40.48%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2019-020</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年第一次临时股东 大会决议公告；巨潮资讯网。</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 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37"/>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39.16%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2019-039</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年度股东大会决议 公告；巨潮资讯网。</w:t>
            </w: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 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37"/>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39.94%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2019-051</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年第二次临时股东 大会决议公告；巨潮资讯网。</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 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37"/>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40.87%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2019-070</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年第三次临时股东 大会决议公告；巨潮资讯网。</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bookmarkStart w:name="2、表决权恢复的优先股股东请求召开临时股东大会" w:id="140"/>
      <w:bookmarkEnd w:id="140"/>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五、报告期内独立董事履行职责的情况" w:id="141"/>
      <w:bookmarkEnd w:id="141"/>
      <w:r>
        <w:rPr>
          <w:b w:val="0"/>
          <w:bCs w:val="0"/>
        </w:rPr>
      </w: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独立董事出席董事会及股东大会的情况" w:id="142"/>
      <w:bookmarkEnd w:id="142"/>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5"/>
        <w:gridCol w:w="1162"/>
        <w:gridCol w:w="1164"/>
        <w:gridCol w:w="1162"/>
        <w:gridCol w:w="1165"/>
        <w:gridCol w:w="1164"/>
      </w:tblGrid>
      <w:tr>
        <w:trPr>
          <w:trHeight w:val="401" w:hRule="exact"/>
        </w:trPr>
        <w:tc>
          <w:tcPr>
            <w:tcW w:w="957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7"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曹德骏</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沈逸</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任立勇</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bl>
    <w:p>
      <w:pPr>
        <w:spacing w:line="357" w:lineRule="auto" w:before="49"/>
        <w:ind w:left="152" w:right="8054"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不适用</w:t>
      </w:r>
    </w:p>
    <w:p>
      <w:pPr>
        <w:spacing w:line="240" w:lineRule="auto" w:before="6"/>
        <w:rPr>
          <w:rFonts w:ascii="宋体" w:hAnsi="宋体" w:cs="宋体" w:eastAsia="宋体" w:hint="default"/>
          <w:sz w:val="20"/>
          <w:szCs w:val="20"/>
        </w:rPr>
      </w:pPr>
    </w:p>
    <w:p>
      <w:pPr>
        <w:pStyle w:val="Heading4"/>
        <w:spacing w:line="240" w:lineRule="auto"/>
        <w:ind w:right="0"/>
        <w:jc w:val="both"/>
        <w:rPr>
          <w:b w:val="0"/>
          <w:bCs w:val="0"/>
        </w:rPr>
      </w:pPr>
      <w:bookmarkStart w:name="2、独立董事对公司有关事项提出异议的情况" w:id="143"/>
      <w:bookmarkEnd w:id="143"/>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5"/>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6"/>
        <w:rPr>
          <w:rFonts w:ascii="宋体" w:hAnsi="宋体" w:cs="宋体" w:eastAsia="宋体" w:hint="default"/>
          <w:sz w:val="21"/>
          <w:szCs w:val="21"/>
        </w:rPr>
      </w:pPr>
    </w:p>
    <w:p>
      <w:pPr>
        <w:pStyle w:val="Heading4"/>
        <w:spacing w:line="240" w:lineRule="auto"/>
        <w:ind w:right="0"/>
        <w:jc w:val="both"/>
        <w:rPr>
          <w:b w:val="0"/>
          <w:bCs w:val="0"/>
        </w:rPr>
      </w:pPr>
      <w:bookmarkStart w:name="3、独立董事履行职责的其他说明" w:id="144"/>
      <w:bookmarkEnd w:id="144"/>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7"/>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独立董事对公司有关建议被采纳或未被采纳的说明</w:t>
      </w:r>
    </w:p>
    <w:p>
      <w:pPr>
        <w:spacing w:line="316" w:lineRule="auto" w:before="39"/>
        <w:ind w:left="152" w:right="1130" w:firstLine="360"/>
        <w:jc w:val="both"/>
        <w:rPr>
          <w:rFonts w:ascii="宋体" w:hAnsi="宋体" w:cs="宋体" w:eastAsia="宋体" w:hint="default"/>
          <w:sz w:val="18"/>
          <w:szCs w:val="18"/>
        </w:rPr>
      </w:pPr>
      <w:r>
        <w:rPr>
          <w:rFonts w:ascii="宋体" w:hAnsi="宋体" w:cs="宋体" w:eastAsia="宋体" w:hint="default"/>
          <w:spacing w:val="-2"/>
          <w:sz w:val="18"/>
          <w:szCs w:val="18"/>
        </w:rPr>
        <w:t>报告期内，公司独立董事根据《公司法》、《公司章程》、《公司独立董事工作制度》等的规定，切实履行独立董事职</w:t>
      </w:r>
      <w:r>
        <w:rPr>
          <w:rFonts w:ascii="宋体" w:hAnsi="宋体" w:cs="宋体" w:eastAsia="宋体" w:hint="default"/>
          <w:sz w:val="18"/>
          <w:szCs w:val="18"/>
        </w:rPr>
        <w:t> </w:t>
      </w:r>
      <w:r>
        <w:rPr>
          <w:rFonts w:ascii="宋体" w:hAnsi="宋体" w:cs="宋体" w:eastAsia="宋体" w:hint="default"/>
          <w:spacing w:val="-2"/>
          <w:sz w:val="18"/>
          <w:szCs w:val="18"/>
        </w:rPr>
        <w:t>责，对公司日常经营及日常管理等情况进行了解和监督，积极参加相关会议，与公司其他董事、监事、高管及外部审计机构</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进行良好的沟通交流，对关联交易、募集资金使用等情况发表独立意见，得到了公司的重视和采纳，对促进公司相关业务规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范化、提升公司治理水平及保护中小股东权益起到了积极作用。</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bookmarkStart w:name="六、董事会下设专门委员会在报告期内履行职责情况" w:id="145"/>
      <w:bookmarkEnd w:id="145"/>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513"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、审计委员会 报告期内，公司董事会审计委员会共召开了</w:t>
      </w:r>
      <w:r>
        <w:rPr>
          <w:rFonts w:ascii="Times New Roman" w:hAnsi="Times New Roman" w:cs="Times New Roman" w:eastAsia="Times New Roman" w:hint="default"/>
          <w:sz w:val="18"/>
          <w:szCs w:val="18"/>
        </w:rPr>
        <w:t>5</w:t>
      </w:r>
      <w:r>
        <w:rPr>
          <w:rFonts w:ascii="宋体" w:hAnsi="宋体" w:cs="宋体" w:eastAsia="宋体" w:hint="default"/>
          <w:sz w:val="18"/>
          <w:szCs w:val="18"/>
        </w:rPr>
        <w:t>次会议，审议并通过了《公司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年度财务报告》、《公司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年度内部</w:t>
      </w:r>
    </w:p>
    <w:p>
      <w:pPr>
        <w:spacing w:line="228" w:lineRule="exact"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控制自我评价报告》、《公司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年度募集资金存放与使用情况的审计报告》、《公司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年度关联交易及关联资金往来的</w:t>
      </w:r>
    </w:p>
    <w:p>
      <w:pPr>
        <w:spacing w:line="300" w:lineRule="auto" w:before="63"/>
        <w:ind w:left="152" w:right="1050" w:firstLine="0"/>
        <w:jc w:val="both"/>
        <w:rPr>
          <w:rFonts w:ascii="宋体" w:hAnsi="宋体" w:cs="宋体" w:eastAsia="宋体" w:hint="default"/>
          <w:sz w:val="18"/>
          <w:szCs w:val="18"/>
        </w:rPr>
      </w:pPr>
      <w:r>
        <w:rPr>
          <w:rFonts w:ascii="宋体" w:hAnsi="宋体" w:cs="宋体" w:eastAsia="宋体" w:hint="default"/>
          <w:spacing w:val="-2"/>
          <w:sz w:val="18"/>
          <w:szCs w:val="18"/>
        </w:rPr>
        <w:t>审计报告》、《公司内部审计</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年度工作总结及</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年度工作计划》、《公司</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年一季度财务报告》、《公司</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年第</w:t>
      </w:r>
      <w:r>
        <w:rPr>
          <w:rFonts w:ascii="宋体" w:hAnsi="宋体" w:cs="宋体" w:eastAsia="宋体" w:hint="default"/>
          <w:spacing w:val="-58"/>
          <w:sz w:val="18"/>
          <w:szCs w:val="18"/>
        </w:rPr>
        <w:t> </w:t>
      </w:r>
      <w:r>
        <w:rPr>
          <w:rFonts w:ascii="宋体" w:hAnsi="宋体" w:cs="宋体" w:eastAsia="宋体" w:hint="default"/>
          <w:spacing w:val="-2"/>
          <w:sz w:val="18"/>
          <w:szCs w:val="18"/>
        </w:rPr>
        <w:t>一季度募集资金存放与使用情况的审计报告》、《公司</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年第一季度关联交易及关联资金往来的审计报告》、《公司内部</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审计</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年一季度工作总结及第二季度工作计划》、《公司</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年半年度财务报告》、《公司</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年半年度募集资金存放与</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使用情况的审计报告》、《公司</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年半年度关联交易及关联资金往来的审计报告》、《公司内部审计</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年半年度工作总</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结及第三季度工作计划》、《公司</w:t>
      </w:r>
      <w:r>
        <w:rPr>
          <w:rFonts w:ascii="Times New Roman" w:hAnsi="Times New Roman" w:cs="Times New Roman" w:eastAsia="Times New Roman" w:hint="default"/>
          <w:sz w:val="18"/>
          <w:szCs w:val="18"/>
        </w:rPr>
        <w:t>2019</w:t>
      </w:r>
      <w:r>
        <w:rPr>
          <w:rFonts w:ascii="宋体" w:hAnsi="宋体" w:cs="宋体" w:eastAsia="宋体" w:hint="default"/>
          <w:sz w:val="18"/>
          <w:szCs w:val="18"/>
        </w:rPr>
        <w:t>年三季度财务报告》、《公司</w:t>
      </w:r>
      <w:r>
        <w:rPr>
          <w:rFonts w:ascii="Times New Roman" w:hAnsi="Times New Roman" w:cs="Times New Roman" w:eastAsia="Times New Roman" w:hint="default"/>
          <w:sz w:val="18"/>
          <w:szCs w:val="18"/>
        </w:rPr>
        <w:t>2019</w:t>
      </w:r>
      <w:r>
        <w:rPr>
          <w:rFonts w:ascii="宋体" w:hAnsi="宋体" w:cs="宋体" w:eastAsia="宋体" w:hint="default"/>
          <w:sz w:val="18"/>
          <w:szCs w:val="18"/>
        </w:rPr>
        <w:t>年三季度募集资金存放与使用情况的审计报告》、</w:t>
      </w:r>
    </w:p>
    <w:p>
      <w:pPr>
        <w:spacing w:before="13"/>
        <w:ind w:left="152" w:right="0" w:firstLine="0"/>
        <w:jc w:val="both"/>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9</w:t>
      </w:r>
      <w:r>
        <w:rPr>
          <w:rFonts w:ascii="宋体" w:hAnsi="宋体" w:cs="宋体" w:eastAsia="宋体" w:hint="default"/>
          <w:sz w:val="18"/>
          <w:szCs w:val="18"/>
        </w:rPr>
        <w:t>年第三季度关联</w:t>
      </w:r>
      <w:r>
        <w:rPr>
          <w:rFonts w:ascii="宋体" w:hAnsi="宋体" w:cs="宋体" w:eastAsia="宋体" w:hint="default"/>
          <w:spacing w:val="-3"/>
          <w:sz w:val="18"/>
          <w:szCs w:val="18"/>
        </w:rPr>
        <w:t>交</w:t>
      </w:r>
      <w:r>
        <w:rPr>
          <w:rFonts w:ascii="宋体" w:hAnsi="宋体" w:cs="宋体" w:eastAsia="宋体" w:hint="default"/>
          <w:sz w:val="18"/>
          <w:szCs w:val="18"/>
        </w:rPr>
        <w:t>易及关联资金往来的审计报告</w:t>
      </w:r>
      <w:r>
        <w:rPr>
          <w:rFonts w:ascii="宋体" w:hAnsi="宋体" w:cs="宋体" w:eastAsia="宋体" w:hint="default"/>
          <w:spacing w:val="-89"/>
          <w:sz w:val="18"/>
          <w:szCs w:val="18"/>
        </w:rPr>
        <w:t>》</w:t>
      </w:r>
      <w:r>
        <w:rPr>
          <w:rFonts w:ascii="宋体" w:hAnsi="宋体" w:cs="宋体" w:eastAsia="宋体" w:hint="default"/>
          <w:spacing w:val="-178"/>
          <w:sz w:val="18"/>
          <w:szCs w:val="18"/>
        </w:rPr>
        <w:t>、</w:t>
      </w:r>
      <w:r>
        <w:rPr>
          <w:rFonts w:ascii="宋体" w:hAnsi="宋体" w:cs="宋体" w:eastAsia="宋体" w:hint="default"/>
          <w:sz w:val="18"/>
          <w:szCs w:val="18"/>
        </w:rPr>
        <w:t>《公司内部审计</w:t>
      </w:r>
      <w:r>
        <w:rPr>
          <w:rFonts w:ascii="Times New Roman" w:hAnsi="Times New Roman" w:cs="Times New Roman" w:eastAsia="Times New Roman" w:hint="default"/>
          <w:spacing w:val="1"/>
          <w:sz w:val="18"/>
          <w:szCs w:val="18"/>
        </w:rPr>
        <w:t>2019</w:t>
      </w:r>
      <w:r>
        <w:rPr>
          <w:rFonts w:ascii="宋体" w:hAnsi="宋体" w:cs="宋体" w:eastAsia="宋体" w:hint="default"/>
          <w:sz w:val="18"/>
          <w:szCs w:val="18"/>
        </w:rPr>
        <w:t>年三季</w:t>
      </w:r>
      <w:r>
        <w:rPr>
          <w:rFonts w:ascii="宋体" w:hAnsi="宋体" w:cs="宋体" w:eastAsia="宋体" w:hint="default"/>
          <w:spacing w:val="-3"/>
          <w:sz w:val="18"/>
          <w:szCs w:val="18"/>
        </w:rPr>
        <w:t>度</w:t>
      </w:r>
      <w:r>
        <w:rPr>
          <w:rFonts w:ascii="宋体" w:hAnsi="宋体" w:cs="宋体" w:eastAsia="宋体" w:hint="default"/>
          <w:sz w:val="18"/>
          <w:szCs w:val="18"/>
        </w:rPr>
        <w:t>工作总结及第四季度工作计划</w:t>
      </w:r>
      <w:r>
        <w:rPr>
          <w:rFonts w:ascii="宋体" w:hAnsi="宋体" w:cs="宋体" w:eastAsia="宋体" w:hint="default"/>
          <w:spacing w:val="-89"/>
          <w:sz w:val="18"/>
          <w:szCs w:val="18"/>
        </w:rPr>
        <w:t>》</w:t>
      </w:r>
      <w:r>
        <w:rPr>
          <w:rFonts w:ascii="宋体" w:hAnsi="宋体" w:cs="宋体" w:eastAsia="宋体" w:hint="default"/>
          <w:sz w:val="18"/>
          <w:szCs w:val="18"/>
        </w:rPr>
        <w:t>、</w:t>
      </w:r>
    </w:p>
    <w:p>
      <w:pPr>
        <w:spacing w:before="63"/>
        <w:ind w:left="152" w:right="0" w:firstLine="0"/>
        <w:jc w:val="both"/>
        <w:rPr>
          <w:rFonts w:ascii="宋体" w:hAnsi="宋体" w:cs="宋体" w:eastAsia="宋体" w:hint="default"/>
          <w:sz w:val="18"/>
          <w:szCs w:val="18"/>
        </w:rPr>
      </w:pPr>
      <w:r>
        <w:rPr>
          <w:rFonts w:ascii="宋体" w:hAnsi="宋体" w:cs="宋体" w:eastAsia="宋体" w:hint="default"/>
          <w:sz w:val="18"/>
          <w:szCs w:val="18"/>
        </w:rPr>
        <w:t>《续聘会计师事务所的议案》等。</w:t>
      </w:r>
    </w:p>
    <w:p>
      <w:pPr>
        <w:spacing w:line="340" w:lineRule="auto" w:before="115"/>
        <w:ind w:left="513"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、薪酬与考核委员会 报告期内，公司董事会薪酬与考核委员会召开了</w:t>
      </w:r>
      <w:r>
        <w:rPr>
          <w:rFonts w:ascii="Times New Roman" w:hAnsi="Times New Roman" w:cs="Times New Roman" w:eastAsia="Times New Roman" w:hint="default"/>
          <w:sz w:val="18"/>
          <w:szCs w:val="18"/>
        </w:rPr>
        <w:t>1</w:t>
      </w:r>
      <w:r>
        <w:rPr>
          <w:rFonts w:ascii="宋体" w:hAnsi="宋体" w:cs="宋体" w:eastAsia="宋体" w:hint="default"/>
          <w:sz w:val="18"/>
          <w:szCs w:val="18"/>
        </w:rPr>
        <w:t>次会议，讨论了公司高级管理人员的</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年度工作绩效，并确定了薪</w:t>
      </w:r>
    </w:p>
    <w:p>
      <w:pPr>
        <w:spacing w:line="215" w:lineRule="exact" w:before="0"/>
        <w:ind w:left="513" w:right="1133" w:hanging="361"/>
        <w:jc w:val="left"/>
        <w:rPr>
          <w:rFonts w:ascii="宋体" w:hAnsi="宋体" w:cs="宋体" w:eastAsia="宋体" w:hint="default"/>
          <w:sz w:val="18"/>
          <w:szCs w:val="18"/>
        </w:rPr>
      </w:pPr>
      <w:r>
        <w:rPr>
          <w:rFonts w:ascii="宋体" w:hAnsi="宋体" w:cs="宋体" w:eastAsia="宋体" w:hint="default"/>
          <w:sz w:val="18"/>
          <w:szCs w:val="18"/>
        </w:rPr>
        <w:t>酬方案提交董事会审议。</w:t>
      </w:r>
    </w:p>
    <w:p>
      <w:pPr>
        <w:spacing w:line="338" w:lineRule="auto" w:before="117"/>
        <w:ind w:left="513"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、提名委员会 报告期内，公司董事会提名委员会召开了</w:t>
      </w:r>
      <w:r>
        <w:rPr>
          <w:rFonts w:ascii="Times New Roman" w:hAnsi="Times New Roman" w:cs="Times New Roman" w:eastAsia="Times New Roman" w:hint="default"/>
          <w:sz w:val="18"/>
          <w:szCs w:val="18"/>
        </w:rPr>
        <w:t>3</w:t>
      </w:r>
      <w:r>
        <w:rPr>
          <w:rFonts w:ascii="宋体" w:hAnsi="宋体" w:cs="宋体" w:eastAsia="宋体" w:hint="default"/>
          <w:sz w:val="18"/>
          <w:szCs w:val="18"/>
        </w:rPr>
        <w:t>次会议，审议并通过了《关于提名公司第七届董事会董事候选人的议案》、</w:t>
      </w:r>
    </w:p>
    <w:p>
      <w:pPr>
        <w:spacing w:line="217" w:lineRule="exact"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《关于聘任魏洪宽先生为公司副总经理的议案》、《关于同意聘任董贵山先生为公司总工程师的议案》、《关于同意聘任刘</w:t>
      </w:r>
    </w:p>
    <w:p>
      <w:pPr>
        <w:spacing w:line="316" w:lineRule="auto" w:before="76"/>
        <w:ind w:left="152" w:right="1129" w:firstLine="0"/>
        <w:jc w:val="left"/>
        <w:rPr>
          <w:rFonts w:ascii="宋体" w:hAnsi="宋体" w:cs="宋体" w:eastAsia="宋体" w:hint="default"/>
          <w:sz w:val="18"/>
          <w:szCs w:val="18"/>
        </w:rPr>
      </w:pPr>
      <w:r>
        <w:rPr>
          <w:rFonts w:ascii="宋体" w:hAnsi="宋体" w:cs="宋体" w:eastAsia="宋体" w:hint="default"/>
          <w:spacing w:val="-2"/>
          <w:sz w:val="18"/>
          <w:szCs w:val="18"/>
        </w:rPr>
        <w:t>志惠女士为公司财务总监的议案》、《关于同意聘任王忠海先生为公司总经理的议案》、《关于同意聘任公司副总经理的议</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案》、《关于提名任立勇先生为公司第七届董事会独立董事候选人的议案》、《关于同意聘任刘志惠女士为公司第七届董事</w:t>
      </w:r>
    </w:p>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r>
        <w:rPr/>
        <w:pict>
          <v:group style="position:absolute;margin-left:384.070007pt;margin-top:615.315979pt;width:149.7pt;height:15.65pt;mso-position-horizontal-relative:page;mso-position-vertical-relative:page;z-index:-1076464" coordorigin="7681,12306" coordsize="2994,313">
            <v:shape style="position:absolute;left:7681;top:12306;width:2994;height:313" coordorigin="7681,12306" coordsize="2994,313" path="m7681,12619l10675,12619,10675,12306,7681,12306,7681,12619xe" filled="true" fillcolor="#ffffff" stroked="false">
              <v:path arrowok="t"/>
              <v:fill type="solid"/>
            </v:shape>
            <w10:wrap type="none"/>
          </v:group>
        </w:pict>
      </w: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会秘书的议案》等。</w:t>
      </w:r>
    </w:p>
    <w:p>
      <w:pPr>
        <w:spacing w:line="240" w:lineRule="auto" w:before="4"/>
        <w:rPr>
          <w:rFonts w:ascii="宋体" w:hAnsi="宋体" w:cs="宋体" w:eastAsia="宋体" w:hint="default"/>
          <w:sz w:val="25"/>
          <w:szCs w:val="25"/>
        </w:rPr>
      </w:pPr>
    </w:p>
    <w:p>
      <w:pPr>
        <w:pStyle w:val="Heading2"/>
        <w:spacing w:line="240" w:lineRule="auto"/>
        <w:ind w:right="1133"/>
        <w:jc w:val="left"/>
        <w:rPr>
          <w:b w:val="0"/>
          <w:bCs w:val="0"/>
        </w:rPr>
      </w:pPr>
      <w:bookmarkStart w:name="七、监事会工作情况" w:id="146"/>
      <w:bookmarkEnd w:id="146"/>
      <w:r>
        <w:rPr>
          <w:b w:val="0"/>
          <w:bCs w:val="0"/>
        </w:rPr>
      </w:r>
      <w:r>
        <w:rPr/>
        <w:t>七、监事会工作情况</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5"/>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bookmarkStart w:name="八、高级管理人员的考评及激励情况" w:id="147"/>
      <w:bookmarkEnd w:id="147"/>
      <w:r>
        <w:rPr>
          <w:b w:val="0"/>
          <w:bCs w:val="0"/>
        </w:rPr>
      </w:r>
      <w:r>
        <w:rPr/>
        <w:t>八、高级管理人员的考评及激励情况</w:t>
      </w:r>
      <w:r>
        <w:rPr>
          <w:b w:val="0"/>
          <w:bCs w:val="0"/>
        </w:rPr>
      </w:r>
    </w:p>
    <w:p>
      <w:pPr>
        <w:spacing w:line="240" w:lineRule="auto" w:before="4"/>
        <w:rPr>
          <w:rFonts w:ascii="宋体" w:hAnsi="宋体" w:cs="宋体" w:eastAsia="宋体" w:hint="default"/>
          <w:b/>
          <w:bCs/>
          <w:sz w:val="26"/>
          <w:szCs w:val="26"/>
        </w:rPr>
      </w:pPr>
    </w:p>
    <w:p>
      <w:pPr>
        <w:spacing w:line="319" w:lineRule="auto" w:before="0"/>
        <w:ind w:left="152" w:right="1131" w:firstLine="360"/>
        <w:jc w:val="both"/>
        <w:rPr>
          <w:rFonts w:ascii="宋体" w:hAnsi="宋体" w:cs="宋体" w:eastAsia="宋体" w:hint="default"/>
          <w:sz w:val="18"/>
          <w:szCs w:val="18"/>
        </w:rPr>
      </w:pPr>
      <w:r>
        <w:rPr>
          <w:rFonts w:ascii="宋体" w:hAnsi="宋体" w:cs="宋体" w:eastAsia="宋体" w:hint="default"/>
          <w:spacing w:val="-2"/>
          <w:sz w:val="18"/>
          <w:szCs w:val="18"/>
        </w:rPr>
        <w:t>公司建立了公正、有效的高级管理人员的绩效评价标准和激励约束机制。报告期内，公司董事会和薪酬与考核委员会按</w:t>
      </w:r>
      <w:r>
        <w:rPr>
          <w:rFonts w:ascii="宋体" w:hAnsi="宋体" w:cs="宋体" w:eastAsia="宋体" w:hint="default"/>
          <w:sz w:val="18"/>
          <w:szCs w:val="18"/>
        </w:rPr>
        <w:t> </w:t>
      </w:r>
      <w:r>
        <w:rPr>
          <w:rFonts w:ascii="宋体" w:hAnsi="宋体" w:cs="宋体" w:eastAsia="宋体" w:hint="default"/>
          <w:spacing w:val="-2"/>
          <w:sz w:val="18"/>
          <w:szCs w:val="18"/>
        </w:rPr>
        <w:t>照公司《董事会薪酬与考核委员会实施细则》的规定及要求，按年度对公司高级管理人员的业绩和履职情况进行考评。报告</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期内，公司董事会依据公司年度经营业绩状况，高级管理人员的岗位职责和年度工作目标完成情况，经过综合考评，根据考</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评结果拟定高级管理人员的薪酬绩效初步方案并提请审议批准，促进了高级管理人员良好地履行职责。</w:t>
      </w:r>
    </w:p>
    <w:p>
      <w:pPr>
        <w:spacing w:line="240" w:lineRule="auto" w:before="9"/>
        <w:rPr>
          <w:rFonts w:ascii="宋体" w:hAnsi="宋体" w:cs="宋体" w:eastAsia="宋体" w:hint="default"/>
          <w:sz w:val="20"/>
          <w:szCs w:val="20"/>
        </w:rPr>
      </w:pPr>
    </w:p>
    <w:p>
      <w:pPr>
        <w:pStyle w:val="Heading2"/>
        <w:spacing w:line="240" w:lineRule="auto"/>
        <w:ind w:right="1133"/>
        <w:jc w:val="left"/>
        <w:rPr>
          <w:b w:val="0"/>
          <w:bCs w:val="0"/>
        </w:rPr>
      </w:pPr>
      <w:bookmarkStart w:name="九、内部控制评价报告" w:id="148"/>
      <w:bookmarkEnd w:id="148"/>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报告期内发现的内部控制重大缺陷的具体情况" w:id="149"/>
      <w:bookmarkEnd w:id="149"/>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2、内控自我评价报告" w:id="150"/>
      <w:bookmarkEnd w:id="150"/>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835"/>
        <w:gridCol w:w="3695"/>
        <w:gridCol w:w="3040"/>
      </w:tblGrid>
      <w:tr>
        <w:trPr>
          <w:trHeight w:val="404"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73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161" w:hRule="exact"/>
        </w:trPr>
        <w:tc>
          <w:tcPr>
            <w:tcW w:w="283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35" w:type="dxa"/>
            <w:gridSpan w:val="2"/>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《成都卫士通信息产业股份有限公司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年内部控制自我</w:t>
            </w:r>
            <w:r>
              <w:rPr>
                <w:rFonts w:ascii="宋体" w:hAnsi="宋体" w:cs="宋体" w:eastAsia="宋体" w:hint="default"/>
                <w:spacing w:val="-3"/>
                <w:sz w:val="18"/>
                <w:szCs w:val="18"/>
              </w:rPr>
              <w:t>评</w:t>
            </w:r>
            <w:r>
              <w:rPr>
                <w:rFonts w:ascii="宋体" w:hAnsi="宋体" w:cs="宋体" w:eastAsia="宋体" w:hint="default"/>
                <w:sz w:val="18"/>
                <w:szCs w:val="18"/>
              </w:rPr>
              <w:t>价报告</w:t>
            </w:r>
            <w:r>
              <w:rPr>
                <w:rFonts w:ascii="宋体" w:hAnsi="宋体" w:cs="宋体" w:eastAsia="宋体" w:hint="default"/>
                <w:spacing w:val="-92"/>
                <w:sz w:val="18"/>
                <w:szCs w:val="18"/>
              </w:rPr>
              <w:t>》</w:t>
            </w:r>
            <w:r>
              <w:rPr>
                <w:rFonts w:ascii="宋体" w:hAnsi="宋体" w:cs="宋体" w:eastAsia="宋体" w:hint="default"/>
                <w:sz w:val="18"/>
                <w:szCs w:val="18"/>
              </w:rPr>
              <w:t>，巨潮资讯网</w:t>
            </w:r>
          </w:p>
          <w:p>
            <w:pPr>
              <w:pStyle w:val="TableParagraph"/>
              <w:spacing w:line="240" w:lineRule="auto" w:before="60"/>
              <w:ind w:left="16"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pacing w:val="1"/>
                  <w:sz w:val="18"/>
                  <w:szCs w:val="18"/>
                </w:rPr>
                <w:t>h</w:t>
              </w:r>
              <w:r>
                <w:rPr>
                  <w:rFonts w:ascii="Times New Roman" w:hAnsi="Times New Roman" w:cs="Times New Roman" w:eastAsia="Times New Roman" w:hint="default"/>
                  <w:sz w:val="18"/>
                  <w:szCs w:val="18"/>
                </w:rPr>
                <w:t>tt</w:t>
              </w:r>
              <w:r>
                <w:rPr>
                  <w:rFonts w:ascii="Times New Roman" w:hAnsi="Times New Roman" w:cs="Times New Roman" w:eastAsia="Times New Roman" w:hint="default"/>
                  <w:spacing w:val="1"/>
                  <w:sz w:val="18"/>
                  <w:szCs w:val="18"/>
                </w:rPr>
                <w:t>p</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2"/>
                  <w:sz w:val="18"/>
                  <w:szCs w:val="18"/>
                </w:rPr>
                <w:t>/</w:t>
              </w:r>
            </w:hyperlink>
            <w:r>
              <w:rPr>
                <w:rFonts w:ascii="宋体" w:hAnsi="宋体" w:cs="宋体" w:eastAsia="宋体" w:hint="default"/>
                <w:spacing w:val="-92"/>
                <w:sz w:val="18"/>
                <w:szCs w:val="18"/>
              </w:rPr>
              <w:t>）。</w:t>
            </w:r>
            <w:r>
              <w:rPr>
                <w:rFonts w:ascii="宋体" w:hAnsi="宋体" w:cs="宋体" w:eastAsia="宋体" w:hint="default"/>
                <w:sz w:val="18"/>
                <w:szCs w:val="18"/>
              </w:rPr>
            </w:r>
          </w:p>
        </w:tc>
      </w:tr>
      <w:tr>
        <w:trPr>
          <w:trHeight w:val="391" w:hRule="exact"/>
        </w:trPr>
        <w:tc>
          <w:tcPr>
            <w:tcW w:w="28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735" w:type="dxa"/>
            <w:gridSpan w:val="2"/>
            <w:vMerge/>
            <w:tcBorders>
              <w:left w:val="single" w:sz="10" w:space="0" w:color="D2D2D2"/>
              <w:right w:val="single" w:sz="4" w:space="0" w:color="000000"/>
            </w:tcBorders>
          </w:tcPr>
          <w:p>
            <w:pPr/>
          </w:p>
        </w:tc>
      </w:tr>
      <w:tr>
        <w:trPr>
          <w:trHeight w:val="161" w:hRule="exact"/>
        </w:trPr>
        <w:tc>
          <w:tcPr>
            <w:tcW w:w="283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35" w:type="dxa"/>
            <w:gridSpan w:val="2"/>
            <w:vMerge/>
            <w:tcBorders>
              <w:left w:val="single" w:sz="10" w:space="0" w:color="D2D2D2"/>
              <w:bottom w:val="single" w:sz="4" w:space="0" w:color="000000"/>
              <w:right w:val="single" w:sz="4" w:space="0" w:color="000000"/>
            </w:tcBorders>
          </w:tcPr>
          <w:p>
            <w:pPr/>
          </w:p>
        </w:tc>
      </w:tr>
      <w:tr>
        <w:trPr>
          <w:trHeight w:val="715"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 合并财务报表资产总额的比例</w:t>
            </w:r>
          </w:p>
        </w:tc>
        <w:tc>
          <w:tcPr>
            <w:tcW w:w="673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 合并财务报表营业收入的比例</w:t>
            </w:r>
          </w:p>
        </w:tc>
        <w:tc>
          <w:tcPr>
            <w:tcW w:w="673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8"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390" w:hRule="exact"/>
        </w:trPr>
        <w:tc>
          <w:tcPr>
            <w:tcW w:w="2835" w:type="dxa"/>
            <w:tcBorders>
              <w:top w:val="single" w:sz="4" w:space="0" w:color="000000"/>
              <w:left w:val="single" w:sz="4" w:space="0" w:color="000000"/>
              <w:bottom w:val="nil" w:sz="6" w:space="0" w:color="auto"/>
              <w:right w:val="single" w:sz="4" w:space="0" w:color="000000"/>
            </w:tcBorders>
            <w:shd w:val="clear" w:color="auto" w:fill="D2D2D2"/>
          </w:tcPr>
          <w:p>
            <w:pPr/>
          </w:p>
        </w:tc>
        <w:tc>
          <w:tcPr>
            <w:tcW w:w="3695" w:type="dxa"/>
            <w:vMerge w:val="restart"/>
            <w:tcBorders>
              <w:top w:val="single" w:sz="4" w:space="0" w:color="000000"/>
              <w:left w:val="single" w:sz="10" w:space="0" w:color="D2D2D2"/>
              <w:right w:val="single" w:sz="14" w:space="0" w:color="FFFFFF"/>
            </w:tcBorders>
          </w:tcPr>
          <w:p>
            <w:pPr>
              <w:pStyle w:val="TableParagraph"/>
              <w:spacing w:line="307" w:lineRule="auto" w:before="49"/>
              <w:ind w:left="16" w:right="-41"/>
              <w:jc w:val="left"/>
              <w:rPr>
                <w:rFonts w:ascii="宋体" w:hAnsi="宋体" w:cs="宋体" w:eastAsia="宋体" w:hint="default"/>
                <w:sz w:val="18"/>
                <w:szCs w:val="18"/>
              </w:rPr>
            </w:pPr>
            <w:r>
              <w:rPr>
                <w:rFonts w:ascii="宋体" w:hAnsi="宋体" w:cs="宋体" w:eastAsia="宋体" w:hint="default"/>
                <w:spacing w:val="-8"/>
                <w:sz w:val="18"/>
                <w:szCs w:val="18"/>
              </w:rPr>
              <w:t>出现以下情形的（包括但不限于），一般应认定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9"/>
                <w:sz w:val="18"/>
                <w:szCs w:val="18"/>
              </w:rPr>
              <w:t>为财务报告内部控制重大缺陷：（</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）发现董事、</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监事和高级管理人员重大舞弊；（</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）发现当期</w:t>
            </w:r>
            <w:r>
              <w:rPr>
                <w:rFonts w:ascii="宋体" w:hAnsi="宋体" w:cs="宋体" w:eastAsia="宋体" w:hint="default"/>
                <w:spacing w:val="-73"/>
                <w:sz w:val="18"/>
                <w:szCs w:val="18"/>
              </w:rPr>
              <w:t> </w:t>
            </w:r>
            <w:r>
              <w:rPr>
                <w:rFonts w:ascii="宋体" w:hAnsi="宋体" w:cs="宋体" w:eastAsia="宋体" w:hint="default"/>
                <w:sz w:val="18"/>
                <w:szCs w:val="18"/>
              </w:rPr>
              <w:t>财务报表存在重大错报，而内部控制在运行过 </w:t>
            </w:r>
            <w:r>
              <w:rPr>
                <w:rFonts w:ascii="宋体" w:hAnsi="宋体" w:cs="宋体" w:eastAsia="宋体" w:hint="default"/>
                <w:spacing w:val="-5"/>
                <w:sz w:val="18"/>
                <w:szCs w:val="18"/>
              </w:rPr>
              <w:t>程中未能发现该错报；（</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）公司审计委员会和</w:t>
            </w:r>
            <w:r>
              <w:rPr>
                <w:rFonts w:ascii="宋体" w:hAnsi="宋体" w:cs="宋体" w:eastAsia="宋体" w:hint="default"/>
                <w:spacing w:val="-76"/>
                <w:sz w:val="18"/>
                <w:szCs w:val="18"/>
              </w:rPr>
              <w:t> </w:t>
            </w:r>
            <w:r>
              <w:rPr>
                <w:rFonts w:ascii="宋体" w:hAnsi="宋体" w:cs="宋体" w:eastAsia="宋体" w:hint="default"/>
                <w:spacing w:val="-5"/>
                <w:sz w:val="18"/>
                <w:szCs w:val="18"/>
              </w:rPr>
              <w:t>内部审计机构对内部控制的监督无效；（</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）控</w:t>
            </w:r>
            <w:r>
              <w:rPr>
                <w:rFonts w:ascii="宋体" w:hAnsi="宋体" w:cs="宋体" w:eastAsia="宋体" w:hint="default"/>
                <w:spacing w:val="-76"/>
                <w:sz w:val="18"/>
                <w:szCs w:val="18"/>
              </w:rPr>
              <w:t> </w:t>
            </w:r>
            <w:r>
              <w:rPr>
                <w:rFonts w:ascii="宋体" w:hAnsi="宋体" w:cs="宋体" w:eastAsia="宋体" w:hint="default"/>
                <w:spacing w:val="-15"/>
                <w:sz w:val="18"/>
                <w:szCs w:val="18"/>
              </w:rPr>
              <w:t>制环境无效；（</w:t>
            </w:r>
            <w:r>
              <w:rPr>
                <w:rFonts w:ascii="Times New Roman" w:hAnsi="Times New Roman" w:cs="Times New Roman" w:eastAsia="Times New Roman" w:hint="default"/>
                <w:spacing w:val="-15"/>
                <w:sz w:val="18"/>
                <w:szCs w:val="18"/>
              </w:rPr>
              <w:t>5</w:t>
            </w:r>
            <w:r>
              <w:rPr>
                <w:rFonts w:ascii="宋体" w:hAnsi="宋体" w:cs="宋体" w:eastAsia="宋体" w:hint="default"/>
                <w:spacing w:val="-15"/>
                <w:sz w:val="18"/>
                <w:szCs w:val="18"/>
              </w:rPr>
              <w:t>）</w:t>
            </w:r>
            <w:r>
              <w:rPr>
                <w:rFonts w:ascii="宋体" w:hAnsi="宋体" w:cs="宋体" w:eastAsia="宋体" w:hint="default"/>
                <w:spacing w:val="-37"/>
                <w:sz w:val="18"/>
                <w:szCs w:val="18"/>
              </w:rPr>
              <w:t> </w:t>
            </w:r>
            <w:r>
              <w:rPr>
                <w:rFonts w:ascii="宋体" w:hAnsi="宋体" w:cs="宋体" w:eastAsia="宋体" w:hint="default"/>
                <w:spacing w:val="-11"/>
                <w:sz w:val="18"/>
                <w:szCs w:val="18"/>
              </w:rPr>
              <w:t>风险评估职能无效；（</w:t>
            </w:r>
            <w:r>
              <w:rPr>
                <w:rFonts w:ascii="Times New Roman" w:hAnsi="Times New Roman" w:cs="Times New Roman" w:eastAsia="Times New Roman" w:hint="default"/>
                <w:spacing w:val="-11"/>
                <w:sz w:val="18"/>
                <w:szCs w:val="18"/>
              </w:rPr>
              <w:t>6</w:t>
            </w:r>
            <w:r>
              <w:rPr>
                <w:rFonts w:ascii="宋体" w:hAnsi="宋体" w:cs="宋体" w:eastAsia="宋体" w:hint="default"/>
                <w:spacing w:val="-11"/>
                <w:sz w:val="18"/>
                <w:szCs w:val="18"/>
              </w:rPr>
              <w:t>）</w:t>
            </w:r>
            <w:r>
              <w:rPr>
                <w:rFonts w:ascii="宋体" w:hAnsi="宋体" w:cs="宋体" w:eastAsia="宋体" w:hint="default"/>
                <w:spacing w:val="-37"/>
                <w:sz w:val="18"/>
                <w:szCs w:val="18"/>
              </w:rPr>
              <w:t> </w:t>
            </w:r>
            <w:r>
              <w:rPr>
                <w:rFonts w:ascii="宋体" w:hAnsi="宋体" w:cs="宋体" w:eastAsia="宋体" w:hint="default"/>
                <w:sz w:val="18"/>
                <w:szCs w:val="18"/>
              </w:rPr>
              <w:t>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经发现并报告给管理层的重大缺陷在合理的时 </w:t>
            </w:r>
            <w:r>
              <w:rPr>
                <w:rFonts w:ascii="宋体" w:hAnsi="宋体" w:cs="宋体" w:eastAsia="宋体" w:hint="default"/>
                <w:spacing w:val="-5"/>
                <w:sz w:val="18"/>
                <w:szCs w:val="18"/>
              </w:rPr>
              <w:t>间后未加以改正；（</w:t>
            </w:r>
            <w:r>
              <w:rPr>
                <w:rFonts w:ascii="Times New Roman" w:hAnsi="Times New Roman" w:cs="Times New Roman" w:eastAsia="Times New Roman" w:hint="default"/>
                <w:spacing w:val="-5"/>
                <w:sz w:val="18"/>
                <w:szCs w:val="18"/>
              </w:rPr>
              <w:t>7</w:t>
            </w:r>
            <w:r>
              <w:rPr>
                <w:rFonts w:ascii="宋体" w:hAnsi="宋体" w:cs="宋体" w:eastAsia="宋体" w:hint="default"/>
                <w:spacing w:val="-5"/>
                <w:sz w:val="18"/>
                <w:szCs w:val="18"/>
              </w:rPr>
              <w:t>）因会计差错导致的监管</w:t>
            </w:r>
            <w:r>
              <w:rPr>
                <w:rFonts w:ascii="宋体" w:hAnsi="宋体" w:cs="宋体" w:eastAsia="宋体" w:hint="default"/>
                <w:spacing w:val="-76"/>
                <w:sz w:val="18"/>
                <w:szCs w:val="18"/>
              </w:rPr>
              <w:t> </w:t>
            </w:r>
            <w:r>
              <w:rPr>
                <w:rFonts w:ascii="宋体" w:hAnsi="宋体" w:cs="宋体" w:eastAsia="宋体" w:hint="default"/>
                <w:spacing w:val="-5"/>
                <w:sz w:val="18"/>
                <w:szCs w:val="18"/>
              </w:rPr>
              <w:t>机构处罚。出现以下情形的（包括但不限于），</w:t>
            </w:r>
          </w:p>
        </w:tc>
        <w:tc>
          <w:tcPr>
            <w:tcW w:w="3040" w:type="dxa"/>
            <w:vMerge w:val="restart"/>
            <w:tcBorders>
              <w:top w:val="single" w:sz="4" w:space="0" w:color="000000"/>
              <w:left w:val="single" w:sz="14" w:space="0" w:color="FFFFFF"/>
              <w:right w:val="single" w:sz="4" w:space="0" w:color="000000"/>
            </w:tcBorders>
          </w:tcPr>
          <w:p>
            <w:pPr>
              <w:pStyle w:val="TableParagraph"/>
              <w:spacing w:line="316" w:lineRule="auto" w:before="49"/>
              <w:ind w:left="-1" w:right="20"/>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性作判定。如果缺陷发生的可能性较 </w:t>
            </w:r>
            <w:r>
              <w:rPr>
                <w:rFonts w:ascii="宋体" w:hAnsi="宋体" w:cs="宋体" w:eastAsia="宋体" w:hint="default"/>
                <w:spacing w:val="-4"/>
                <w:sz w:val="18"/>
                <w:szCs w:val="18"/>
              </w:rPr>
              <w:t>小，会降低工作效率或效果、或加大效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果的不确定性、或使之偏离预期目标为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一般缺陷；如果缺陷发生的可能性较 </w:t>
            </w:r>
            <w:r>
              <w:rPr>
                <w:rFonts w:ascii="宋体" w:hAnsi="宋体" w:cs="宋体" w:eastAsia="宋体" w:hint="default"/>
                <w:spacing w:val="-4"/>
                <w:sz w:val="18"/>
                <w:szCs w:val="18"/>
              </w:rPr>
              <w:t>高，会显著降低工作效率或效果、或显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著加大效果的不确定性、或使之显著偏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离预期目标为重要缺陷；如果缺陷发生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的可能性高，会严重降低工作效率或效</w:t>
            </w:r>
          </w:p>
        </w:tc>
      </w:tr>
      <w:tr>
        <w:trPr>
          <w:trHeight w:val="391" w:hRule="exact"/>
        </w:trPr>
        <w:tc>
          <w:tcPr>
            <w:tcW w:w="28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695" w:type="dxa"/>
            <w:vMerge/>
            <w:tcBorders>
              <w:left w:val="single" w:sz="10" w:space="0" w:color="D2D2D2"/>
              <w:right w:val="single" w:sz="14" w:space="0" w:color="FFFFFF"/>
            </w:tcBorders>
          </w:tcPr>
          <w:p>
            <w:pPr/>
          </w:p>
        </w:tc>
        <w:tc>
          <w:tcPr>
            <w:tcW w:w="3040" w:type="dxa"/>
            <w:vMerge/>
            <w:tcBorders>
              <w:left w:val="single" w:sz="14" w:space="0" w:color="FFFFFF"/>
              <w:right w:val="single" w:sz="4" w:space="0" w:color="000000"/>
            </w:tcBorders>
          </w:tcPr>
          <w:p>
            <w:pPr/>
          </w:p>
        </w:tc>
      </w:tr>
      <w:tr>
        <w:trPr>
          <w:trHeight w:val="1390" w:hRule="exact"/>
        </w:trPr>
        <w:tc>
          <w:tcPr>
            <w:tcW w:w="2835" w:type="dxa"/>
            <w:tcBorders>
              <w:top w:val="nil" w:sz="6" w:space="0" w:color="auto"/>
              <w:left w:val="single" w:sz="4" w:space="0" w:color="000000"/>
              <w:bottom w:val="single" w:sz="4" w:space="0" w:color="000000"/>
              <w:right w:val="single" w:sz="4" w:space="0" w:color="000000"/>
            </w:tcBorders>
            <w:shd w:val="clear" w:color="auto" w:fill="D2D2D2"/>
          </w:tcPr>
          <w:p>
            <w:pPr/>
          </w:p>
        </w:tc>
        <w:tc>
          <w:tcPr>
            <w:tcW w:w="3695" w:type="dxa"/>
            <w:vMerge/>
            <w:tcBorders>
              <w:left w:val="single" w:sz="10" w:space="0" w:color="D2D2D2"/>
              <w:bottom w:val="single" w:sz="4" w:space="0" w:color="000000"/>
              <w:right w:val="single" w:sz="14" w:space="0" w:color="FFFFFF"/>
            </w:tcBorders>
          </w:tcPr>
          <w:p>
            <w:pPr/>
          </w:p>
        </w:tc>
        <w:tc>
          <w:tcPr>
            <w:tcW w:w="3040" w:type="dxa"/>
            <w:vMerge/>
            <w:tcBorders>
              <w:left w:val="single" w:sz="14" w:space="0" w:color="FFFFFF"/>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0"/>
          <w:szCs w:val="10"/>
        </w:rPr>
      </w:pPr>
    </w:p>
    <w:p>
      <w:pPr>
        <w:spacing w:line="624" w:lineRule="exact"/>
        <w:ind w:left="6701"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149.7pt;height:31.2pt;mso-position-horizontal-relative:char;mso-position-vertical-relative:line" coordorigin="0,0" coordsize="2994,624">
            <v:group style="position:absolute;left:0;top:0;width:2994;height:312" coordorigin="0,0" coordsize="2994,312">
              <v:shape style="position:absolute;left:0;top:0;width:2994;height:312" coordorigin="0,0" coordsize="2994,312" path="m0,312l2993,312,2993,0,0,0,0,312xe" filled="true" fillcolor="#ffffff" stroked="false">
                <v:path arrowok="t"/>
                <v:fill type="solid"/>
              </v:shape>
            </v:group>
            <v:group style="position:absolute;left:0;top:312;width:2994;height:312" coordorigin="0,312" coordsize="2994,312">
              <v:shape style="position:absolute;left:0;top:312;width:2994;height:312" coordorigin="0,312" coordsize="2994,312" path="m0,624l2993,624,2993,312,0,312,0,624xe" filled="true" fillcolor="#ffffff" stroked="false">
                <v:path arrowok="t"/>
                <v:fill type="solid"/>
              </v:shape>
            </v:group>
          </v:group>
        </w:pict>
      </w:r>
      <w:r>
        <w:rPr>
          <w:rFonts w:ascii="宋体" w:hAnsi="宋体" w:cs="宋体" w:eastAsia="宋体" w:hint="default"/>
          <w:position w:val="-11"/>
          <w:sz w:val="20"/>
          <w:szCs w:val="2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4"/>
          <w:szCs w:val="24"/>
        </w:rPr>
      </w:pPr>
    </w:p>
    <w:p>
      <w:pPr>
        <w:spacing w:before="44"/>
        <w:ind w:left="0" w:right="1138" w:firstLine="0"/>
        <w:jc w:val="right"/>
        <w:rPr>
          <w:rFonts w:ascii="宋体" w:hAnsi="宋体" w:cs="宋体" w:eastAsia="宋体" w:hint="default"/>
          <w:sz w:val="18"/>
          <w:szCs w:val="18"/>
        </w:rPr>
      </w:pPr>
      <w:r>
        <w:rPr/>
        <w:pict>
          <v:shape style="position:absolute;margin-left:56.459999pt;margin-top:-206.098297pt;width:479.2pt;height:477.9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4"/>
                    <w:gridCol w:w="3695"/>
                    <w:gridCol w:w="3040"/>
                  </w:tblGrid>
                  <w:tr>
                    <w:trPr>
                      <w:trHeight w:val="2547"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69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8"/>
                          <w:ind w:left="24" w:right="35"/>
                          <w:jc w:val="both"/>
                          <w:rPr>
                            <w:rFonts w:ascii="宋体" w:hAnsi="宋体" w:cs="宋体" w:eastAsia="宋体" w:hint="default"/>
                            <w:sz w:val="18"/>
                            <w:szCs w:val="18"/>
                          </w:rPr>
                        </w:pPr>
                        <w:r>
                          <w:rPr>
                            <w:rFonts w:ascii="宋体" w:hAnsi="宋体" w:cs="宋体" w:eastAsia="宋体" w:hint="default"/>
                            <w:spacing w:val="-5"/>
                            <w:w w:val="99"/>
                            <w:sz w:val="18"/>
                            <w:szCs w:val="18"/>
                          </w:rPr>
                          <w:t>被认定为</w:t>
                        </w: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重要缺陷</w:t>
                        </w: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，以及存在</w:t>
                        </w: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重大缺陷</w:t>
                        </w: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的强</w:t>
                        </w:r>
                        <w:r>
                          <w:rPr>
                            <w:rFonts w:ascii="宋体" w:hAnsi="宋体" w:cs="宋体" w:eastAsia="宋体" w:hint="default"/>
                            <w:spacing w:val="-68"/>
                            <w:w w:val="99"/>
                            <w:sz w:val="18"/>
                            <w:szCs w:val="18"/>
                          </w:rPr>
                          <w:t> </w:t>
                        </w:r>
                        <w:r>
                          <w:rPr>
                            <w:rFonts w:ascii="宋体" w:hAnsi="宋体" w:cs="宋体" w:eastAsia="宋体" w:hint="default"/>
                            <w:spacing w:val="-5"/>
                            <w:sz w:val="18"/>
                            <w:szCs w:val="18"/>
                          </w:rPr>
                          <w:t>烈迹象：（</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）未按照会计准则选择和应用会计</w:t>
                        </w:r>
                        <w:r>
                          <w:rPr>
                            <w:rFonts w:ascii="宋体" w:hAnsi="宋体" w:cs="宋体" w:eastAsia="宋体" w:hint="default"/>
                            <w:spacing w:val="-76"/>
                            <w:sz w:val="18"/>
                            <w:szCs w:val="18"/>
                          </w:rPr>
                          <w:t> </w:t>
                        </w:r>
                        <w:r>
                          <w:rPr>
                            <w:rFonts w:ascii="宋体" w:hAnsi="宋体" w:cs="宋体" w:eastAsia="宋体" w:hint="default"/>
                            <w:spacing w:val="-9"/>
                            <w:sz w:val="18"/>
                            <w:szCs w:val="18"/>
                          </w:rPr>
                          <w:t>政策；（</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）关键岗位人员舞弊；（</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）合规性监</w:t>
                        </w:r>
                        <w:r>
                          <w:rPr>
                            <w:rFonts w:ascii="宋体" w:hAnsi="宋体" w:cs="宋体" w:eastAsia="宋体" w:hint="default"/>
                            <w:spacing w:val="-71"/>
                            <w:sz w:val="18"/>
                            <w:szCs w:val="18"/>
                          </w:rPr>
                          <w:t> </w:t>
                        </w:r>
                        <w:r>
                          <w:rPr>
                            <w:rFonts w:ascii="宋体" w:hAnsi="宋体" w:cs="宋体" w:eastAsia="宋体" w:hint="default"/>
                            <w:sz w:val="18"/>
                            <w:szCs w:val="18"/>
                          </w:rPr>
                          <w:t>管职能失效，违反法规的行为可能对财务报告 </w:t>
                        </w:r>
                        <w:r>
                          <w:rPr>
                            <w:rFonts w:ascii="宋体" w:hAnsi="宋体" w:cs="宋体" w:eastAsia="宋体" w:hint="default"/>
                            <w:spacing w:val="-5"/>
                            <w:sz w:val="18"/>
                            <w:szCs w:val="18"/>
                          </w:rPr>
                          <w:t>的可靠性产生重大影响；（</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）已向管理层汇报</w:t>
                        </w:r>
                        <w:r>
                          <w:rPr>
                            <w:rFonts w:ascii="宋体" w:hAnsi="宋体" w:cs="宋体" w:eastAsia="宋体" w:hint="default"/>
                            <w:spacing w:val="-76"/>
                            <w:sz w:val="18"/>
                            <w:szCs w:val="18"/>
                          </w:rPr>
                          <w:t> </w:t>
                        </w:r>
                        <w:r>
                          <w:rPr>
                            <w:rFonts w:ascii="宋体" w:hAnsi="宋体" w:cs="宋体" w:eastAsia="宋体" w:hint="default"/>
                            <w:sz w:val="18"/>
                            <w:szCs w:val="18"/>
                          </w:rPr>
                          <w:t>但经过合理期限后，管理层仍然没有对重要缺 陷进行纠正。一般缺陷是指除上述重大缺陷、 重要缺陷之外的其他控制缺陷。</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3" w:right="20"/>
                          <w:jc w:val="left"/>
                          <w:rPr>
                            <w:rFonts w:ascii="宋体" w:hAnsi="宋体" w:cs="宋体" w:eastAsia="宋体" w:hint="default"/>
                            <w:sz w:val="18"/>
                            <w:szCs w:val="18"/>
                          </w:rPr>
                        </w:pPr>
                        <w:r>
                          <w:rPr>
                            <w:rFonts w:ascii="宋体" w:hAnsi="宋体" w:cs="宋体" w:eastAsia="宋体" w:hint="default"/>
                            <w:spacing w:val="-4"/>
                            <w:sz w:val="18"/>
                            <w:szCs w:val="18"/>
                          </w:rPr>
                          <w:t>果、或严重加大效果的不确定性、或使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之严重偏离预期目标为重大缺陷。</w:t>
                        </w:r>
                      </w:p>
                    </w:tc>
                  </w:tr>
                  <w:tr>
                    <w:trPr>
                      <w:trHeight w:val="5394"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695" w:type="dxa"/>
                        <w:tcBorders>
                          <w:top w:val="single" w:sz="4" w:space="0" w:color="000000"/>
                          <w:left w:val="single" w:sz="4" w:space="0" w:color="000000"/>
                          <w:bottom w:val="single" w:sz="4" w:space="0" w:color="000000"/>
                          <w:right w:val="single" w:sz="1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9" w:lineRule="auto"/>
                          <w:ind w:left="24" w:right="17"/>
                          <w:jc w:val="left"/>
                          <w:rPr>
                            <w:rFonts w:ascii="宋体" w:hAnsi="宋体" w:cs="宋体" w:eastAsia="宋体" w:hint="default"/>
                            <w:sz w:val="18"/>
                            <w:szCs w:val="18"/>
                          </w:rPr>
                        </w:pPr>
                        <w:r>
                          <w:rPr>
                            <w:rFonts w:ascii="宋体" w:hAnsi="宋体" w:cs="宋体" w:eastAsia="宋体" w:hint="default"/>
                            <w:spacing w:val="-4"/>
                            <w:sz w:val="18"/>
                            <w:szCs w:val="18"/>
                          </w:rPr>
                          <w:t>定量标准以营业收入、资产总额作为衡量指标</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内部控制缺陷可能导致或导致的损失与利润表 相关的，以营业收入指标衡量。如果该缺陷单 独或连同其他缺陷可能导致的财务报告错报金 额小于营业收入的</w:t>
                        </w:r>
                        <w:r>
                          <w:rPr>
                            <w:rFonts w:ascii="宋体" w:hAnsi="宋体" w:cs="宋体" w:eastAsia="宋体" w:hint="default"/>
                            <w:spacing w:val="-40"/>
                            <w:sz w:val="18"/>
                            <w:szCs w:val="18"/>
                          </w:rPr>
                          <w:t> </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，则认定为一般缺陷；如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果超过营业收入的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但小于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，则为重要缺 </w:t>
                        </w:r>
                        <w:r>
                          <w:rPr>
                            <w:rFonts w:ascii="宋体" w:hAnsi="宋体" w:cs="宋体" w:eastAsia="宋体" w:hint="default"/>
                            <w:spacing w:val="-4"/>
                            <w:sz w:val="18"/>
                            <w:szCs w:val="18"/>
                          </w:rPr>
                          <w:t>陷；如果超过营业收入的</w:t>
                        </w:r>
                        <w:r>
                          <w:rPr>
                            <w:rFonts w:ascii="宋体" w:hAnsi="宋体" w:cs="宋体" w:eastAsia="宋体" w:hint="default"/>
                            <w:spacing w:val="-38"/>
                            <w:sz w:val="18"/>
                            <w:szCs w:val="18"/>
                          </w:rPr>
                          <w:t> </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，则认定为重大缺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陷。内部控制缺陷可能导致或导致的损失与资 产管理相关的，以资产总额指标衡量。如果该 缺陷单独或连同其他缺陷可能导致的财务报告 错报金额小于资产总额的</w:t>
                        </w:r>
                        <w:r>
                          <w:rPr>
                            <w:rFonts w:ascii="宋体" w:hAnsi="宋体" w:cs="宋体" w:eastAsia="宋体" w:hint="default"/>
                            <w:spacing w:val="-40"/>
                            <w:sz w:val="18"/>
                            <w:szCs w:val="18"/>
                          </w:rPr>
                          <w:t> </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，则认定为一般缺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陷；如果超过资产总额的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认定 为重要缺陷；如果超过资产总额</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，则认定 为重大缺陷。</w:t>
                        </w:r>
                      </w:p>
                    </w:tc>
                    <w:tc>
                      <w:tcPr>
                        <w:tcW w:w="3040" w:type="dxa"/>
                        <w:tcBorders>
                          <w:top w:val="single" w:sz="4" w:space="0" w:color="000000"/>
                          <w:left w:val="single" w:sz="14" w:space="0" w:color="FFFFFF"/>
                          <w:bottom w:val="single" w:sz="4" w:space="0" w:color="000000"/>
                          <w:right w:val="single" w:sz="4" w:space="0" w:color="000000"/>
                        </w:tcBorders>
                      </w:tcPr>
                      <w:p>
                        <w:pPr>
                          <w:pStyle w:val="TableParagraph"/>
                          <w:spacing w:line="312" w:lineRule="exact" w:before="9"/>
                          <w:ind w:left="-1" w:right="20"/>
                          <w:jc w:val="left"/>
                          <w:rPr>
                            <w:rFonts w:ascii="宋体" w:hAnsi="宋体" w:cs="宋体" w:eastAsia="宋体" w:hint="default"/>
                            <w:sz w:val="18"/>
                            <w:szCs w:val="18"/>
                          </w:rPr>
                        </w:pPr>
                        <w:r>
                          <w:rPr>
                            <w:rFonts w:ascii="宋体" w:hAnsi="宋体" w:cs="宋体" w:eastAsia="宋体" w:hint="default"/>
                            <w:spacing w:val="-4"/>
                            <w:sz w:val="18"/>
                            <w:szCs w:val="18"/>
                          </w:rPr>
                          <w:t>定量标准以营业收入、资产总额作为衡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量指标。内部控制缺陷可能导致或导致</w:t>
                        </w:r>
                      </w:p>
                      <w:p>
                        <w:pPr>
                          <w:pStyle w:val="TableParagraph"/>
                          <w:spacing w:line="79" w:lineRule="exact"/>
                          <w:ind w:left="-15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 w:right="0"/>
                          <w:jc w:val="left"/>
                          <w:rPr>
                            <w:rFonts w:ascii="宋体" w:hAnsi="宋体" w:cs="宋体" w:eastAsia="宋体" w:hint="default"/>
                            <w:sz w:val="18"/>
                            <w:szCs w:val="18"/>
                          </w:rPr>
                        </w:pPr>
                        <w:r>
                          <w:rPr>
                            <w:rFonts w:ascii="宋体" w:hAnsi="宋体" w:cs="宋体" w:eastAsia="宋体" w:hint="default"/>
                            <w:spacing w:val="-4"/>
                            <w:sz w:val="18"/>
                            <w:szCs w:val="18"/>
                          </w:rPr>
                          <w:t>的损失与利润报表相关的，以营业收入</w:t>
                        </w:r>
                      </w:p>
                      <w:p>
                        <w:pPr>
                          <w:pStyle w:val="TableParagraph"/>
                          <w:spacing w:line="309" w:lineRule="auto" w:before="76"/>
                          <w:ind w:left="-1" w:right="19"/>
                          <w:jc w:val="left"/>
                          <w:rPr>
                            <w:rFonts w:ascii="宋体" w:hAnsi="宋体" w:cs="宋体" w:eastAsia="宋体" w:hint="default"/>
                            <w:sz w:val="18"/>
                            <w:szCs w:val="18"/>
                          </w:rPr>
                        </w:pPr>
                        <w:r>
                          <w:rPr>
                            <w:rFonts w:ascii="宋体" w:hAnsi="宋体" w:cs="宋体" w:eastAsia="宋体" w:hint="default"/>
                            <w:spacing w:val="-4"/>
                            <w:sz w:val="18"/>
                            <w:szCs w:val="18"/>
                          </w:rPr>
                          <w:t>指标衡量。如果该缺陷单独或连同其他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缺陷可能导致的财务报告错报金额小 于营业收入的</w:t>
                        </w:r>
                        <w:r>
                          <w:rPr>
                            <w:rFonts w:ascii="宋体" w:hAnsi="宋体" w:cs="宋体" w:eastAsia="宋体" w:hint="default"/>
                            <w:spacing w:val="-44"/>
                            <w:sz w:val="18"/>
                            <w:szCs w:val="18"/>
                          </w:rPr>
                          <w:t> </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，则认定为一般缺陷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如果超过营业收入的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认 定为重要缺陷；如果超过营业收入的 </w:t>
                        </w:r>
                        <w:r>
                          <w:rPr>
                            <w:rFonts w:ascii="Times New Roman" w:hAnsi="Times New Roman" w:cs="Times New Roman" w:eastAsia="Times New Roman" w:hint="default"/>
                            <w:sz w:val="18"/>
                            <w:szCs w:val="18"/>
                          </w:rPr>
                          <w:t>5%</w:t>
                        </w:r>
                        <w:r>
                          <w:rPr>
                            <w:rFonts w:ascii="宋体" w:hAnsi="宋体" w:cs="宋体" w:eastAsia="宋体" w:hint="default"/>
                            <w:sz w:val="18"/>
                            <w:szCs w:val="18"/>
                          </w:rPr>
                          <w:t>，则认定为重大缺陷。内部控制缺 陷可能导致或导致的损失与资产管理 </w:t>
                        </w:r>
                        <w:r>
                          <w:rPr>
                            <w:rFonts w:ascii="宋体" w:hAnsi="宋体" w:cs="宋体" w:eastAsia="宋体" w:hint="default"/>
                            <w:spacing w:val="-4"/>
                            <w:sz w:val="18"/>
                            <w:szCs w:val="18"/>
                          </w:rPr>
                          <w:t>相关的，以资产总额指标衡量。如果该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缺陷单独或连同其他缺陷可能导致的 财务报告错报金额小于资产总额的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，则认定为一般缺陷；如果超过资 产总额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2.5%</w:t>
                        </w:r>
                        <w:r>
                          <w:rPr>
                            <w:rFonts w:ascii="宋体" w:hAnsi="宋体" w:cs="宋体" w:eastAsia="宋体" w:hint="default"/>
                            <w:spacing w:val="-5"/>
                            <w:sz w:val="18"/>
                            <w:szCs w:val="18"/>
                          </w:rPr>
                          <w:t>，则认定为重要</w:t>
                        </w:r>
                        <w:r>
                          <w:rPr>
                            <w:rFonts w:ascii="宋体" w:hAnsi="宋体" w:cs="宋体" w:eastAsia="宋体" w:hint="default"/>
                            <w:sz w:val="18"/>
                            <w:szCs w:val="18"/>
                          </w:rPr>
                          <w:t> 缺陷；如果超过资产总额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，则认 定为重大缺陷。</w:t>
                        </w: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4"/>
        <w:ind w:right="1133"/>
        <w:jc w:val="left"/>
        <w:rPr>
          <w:b w:val="0"/>
          <w:bCs w:val="0"/>
        </w:rPr>
      </w:pPr>
      <w:bookmarkStart w:name="十、内部控制审计报告或鉴证报告" w:id="151"/>
      <w:bookmarkEnd w:id="151"/>
      <w:r>
        <w:rPr>
          <w:b w:val="0"/>
          <w:bCs w:val="0"/>
        </w:rPr>
      </w: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4" w:right="1133"/>
        <w:jc w:val="left"/>
        <w:rPr>
          <w:b w:val="0"/>
          <w:bCs w:val="0"/>
        </w:rPr>
      </w:pPr>
      <w:bookmarkStart w:name="第十一节 公司债券相关情况" w:id="152"/>
      <w:bookmarkEnd w:id="152"/>
      <w:r>
        <w:rPr>
          <w:b w:val="0"/>
          <w:bCs w:val="0"/>
        </w:rPr>
      </w:r>
      <w:bookmarkStart w:name="_bookmark10" w:id="153"/>
      <w:bookmarkEnd w:id="153"/>
      <w:r>
        <w:rPr>
          <w:b w:val="0"/>
          <w:bCs w:val="0"/>
        </w:rPr>
      </w:r>
      <w:r>
        <w:rPr/>
        <w:t>第十一节</w:t>
      </w:r>
      <w:r>
        <w:rPr>
          <w:spacing w:val="-3"/>
        </w:rPr>
        <w:t> </w:t>
      </w:r>
      <w:r>
        <w:rPr/>
        <w:t>公司债券相关情况</w:t>
      </w:r>
      <w:r>
        <w:rPr>
          <w:b w:val="0"/>
          <w:bCs w:val="0"/>
        </w:rPr>
      </w:r>
    </w:p>
    <w:p>
      <w:pPr>
        <w:spacing w:line="240" w:lineRule="auto" w:before="9"/>
        <w:rPr>
          <w:rFonts w:ascii="宋体" w:hAnsi="宋体" w:cs="宋体" w:eastAsia="宋体" w:hint="default"/>
          <w:b/>
          <w:bCs/>
          <w:sz w:val="42"/>
          <w:szCs w:val="42"/>
        </w:rPr>
      </w:pPr>
    </w:p>
    <w:p>
      <w:pPr>
        <w:spacing w:line="357" w:lineRule="auto" w:before="0"/>
        <w:ind w:left="152" w:right="211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1133"/>
        <w:jc w:val="left"/>
        <w:rPr>
          <w:b w:val="0"/>
          <w:bCs w:val="0"/>
        </w:rPr>
      </w:pPr>
      <w:bookmarkStart w:name="第十二节 财务报告" w:id="154"/>
      <w:bookmarkEnd w:id="154"/>
      <w:r>
        <w:rPr>
          <w:b w:val="0"/>
          <w:bCs w:val="0"/>
        </w:rPr>
      </w:r>
      <w:bookmarkStart w:name="_bookmark11" w:id="155"/>
      <w:bookmarkEnd w:id="155"/>
      <w:r>
        <w:rPr>
          <w:b w:val="0"/>
          <w:bCs w:val="0"/>
        </w:rPr>
      </w:r>
      <w:r>
        <w:rPr/>
        <w:t>第十二节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bookmarkStart w:name="一、审计报告" w:id="156"/>
      <w:bookmarkEnd w:id="156"/>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84"/>
        <w:gridCol w:w="7586"/>
      </w:tblGrid>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7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带强调事项段的无保留意见</w:t>
            </w: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7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7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7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[2020]003538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4"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7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钟平修、曹云华</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2"/>
          <w:szCs w:val="12"/>
        </w:rPr>
      </w:pPr>
    </w:p>
    <w:p>
      <w:pPr>
        <w:spacing w:line="316" w:lineRule="auto" w:before="0"/>
        <w:ind w:left="506" w:right="0" w:hanging="354"/>
        <w:jc w:val="left"/>
        <w:rPr>
          <w:rFonts w:ascii="宋体" w:hAnsi="宋体" w:cs="宋体" w:eastAsia="宋体" w:hint="default"/>
          <w:sz w:val="18"/>
          <w:szCs w:val="18"/>
        </w:rPr>
      </w:pPr>
      <w:r>
        <w:rPr>
          <w:rFonts w:ascii="宋体" w:hAnsi="宋体" w:cs="宋体" w:eastAsia="宋体" w:hint="default"/>
          <w:b/>
          <w:bCs/>
          <w:w w:val="95"/>
          <w:sz w:val="18"/>
          <w:szCs w:val="18"/>
        </w:rPr>
        <w:t>成都卫士通信息产业股份有限公司全体股东：</w:t>
      </w:r>
      <w:r>
        <w:rPr>
          <w:rFonts w:ascii="宋体" w:hAnsi="宋体" w:cs="宋体" w:eastAsia="宋体" w:hint="default"/>
          <w:b/>
          <w:bCs/>
          <w:spacing w:val="6"/>
          <w:w w:val="95"/>
          <w:sz w:val="18"/>
          <w:szCs w:val="18"/>
        </w:rPr>
        <w:t> </w:t>
      </w:r>
      <w:r>
        <w:rPr>
          <w:rFonts w:ascii="宋体" w:hAnsi="宋体" w:cs="宋体" w:eastAsia="宋体" w:hint="default"/>
          <w:b/>
          <w:bCs/>
          <w:spacing w:val="6"/>
          <w:w w:val="95"/>
          <w:sz w:val="18"/>
          <w:szCs w:val="18"/>
        </w:rPr>
      </w:r>
      <w:r>
        <w:rPr>
          <w:rFonts w:ascii="宋体" w:hAnsi="宋体" w:cs="宋体" w:eastAsia="宋体" w:hint="default"/>
          <w:b/>
          <w:bCs/>
          <w:sz w:val="18"/>
          <w:szCs w:val="18"/>
        </w:rPr>
        <w:t>一、审计意见</w:t>
      </w:r>
      <w:r>
        <w:rPr>
          <w:rFonts w:ascii="宋体" w:hAnsi="宋体" w:cs="宋体" w:eastAsia="宋体" w:hint="default"/>
          <w:sz w:val="18"/>
          <w:szCs w:val="18"/>
        </w:rPr>
      </w:r>
    </w:p>
    <w:p>
      <w:pPr>
        <w:spacing w:before="49"/>
        <w:ind w:left="15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审计报告正文</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766" w:space="514"/>
            <w:col w:w="6650"/>
          </w:cols>
        </w:sectPr>
      </w:pPr>
    </w:p>
    <w:p>
      <w:pPr>
        <w:spacing w:line="300" w:lineRule="auto" w:before="19"/>
        <w:ind w:left="152" w:right="1130" w:firstLine="360"/>
        <w:jc w:val="both"/>
        <w:rPr>
          <w:rFonts w:ascii="宋体" w:hAnsi="宋体" w:cs="宋体" w:eastAsia="宋体" w:hint="default"/>
          <w:sz w:val="18"/>
          <w:szCs w:val="18"/>
        </w:rPr>
      </w:pPr>
      <w:r>
        <w:rPr>
          <w:rFonts w:ascii="宋体" w:hAnsi="宋体" w:cs="宋体" w:eastAsia="宋体" w:hint="default"/>
          <w:sz w:val="18"/>
          <w:szCs w:val="18"/>
        </w:rPr>
        <w:t>我们审计了成都卫士通信息产业股份有限公司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贵公司</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r>
        <w:rPr>
          <w:rFonts w:ascii="Times New Roman" w:hAnsi="Times New Roman" w:cs="Times New Roman" w:eastAsia="Times New Roman" w:hint="default"/>
          <w:sz w:val="18"/>
          <w:szCs w:val="18"/>
        </w:rPr>
        <w:t>“</w:t>
      </w:r>
      <w:r>
        <w:rPr>
          <w:rFonts w:ascii="宋体" w:hAnsi="宋体" w:cs="宋体" w:eastAsia="宋体" w:hint="default"/>
          <w:sz w:val="18"/>
          <w:szCs w:val="18"/>
        </w:rPr>
        <w:t>卫士通公司</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财务报表，包括</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日的合 </w:t>
      </w:r>
      <w:r>
        <w:rPr>
          <w:rFonts w:ascii="宋体" w:hAnsi="宋体" w:cs="宋体" w:eastAsia="宋体" w:hint="default"/>
          <w:spacing w:val="-2"/>
          <w:sz w:val="18"/>
          <w:szCs w:val="18"/>
        </w:rPr>
        <w:t>并及母公司资产负债表，</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年度的合并及母公司利润表、合并及母公司现金流量表、合并及母公司股东权益变动表以及相</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关财务报表附注。</w:t>
      </w:r>
    </w:p>
    <w:p>
      <w:pPr>
        <w:spacing w:line="300" w:lineRule="auto" w:before="31"/>
        <w:ind w:left="152" w:right="1128" w:firstLine="360"/>
        <w:jc w:val="both"/>
        <w:rPr>
          <w:rFonts w:ascii="宋体" w:hAnsi="宋体" w:cs="宋体" w:eastAsia="宋体" w:hint="default"/>
          <w:sz w:val="18"/>
          <w:szCs w:val="18"/>
        </w:rPr>
      </w:pPr>
      <w:r>
        <w:rPr>
          <w:rFonts w:ascii="宋体" w:hAnsi="宋体" w:cs="宋体" w:eastAsia="宋体" w:hint="default"/>
          <w:spacing w:val="-2"/>
          <w:sz w:val="18"/>
          <w:szCs w:val="18"/>
        </w:rPr>
        <w:t>我们认为，后附的财务报表在所有重大方面按照企业会计准则的规定编制，公允反映了贵公司</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日的合并及</w:t>
      </w:r>
      <w:r>
        <w:rPr>
          <w:rFonts w:ascii="宋体" w:hAnsi="宋体" w:cs="宋体" w:eastAsia="宋体" w:hint="default"/>
          <w:sz w:val="18"/>
          <w:szCs w:val="18"/>
        </w:rPr>
        <w:t> 母公司财务状况以及</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年度的合并及母公司经营成果和现金流量。</w:t>
      </w:r>
    </w:p>
    <w:p>
      <w:pPr>
        <w:spacing w:line="316" w:lineRule="auto" w:before="13"/>
        <w:ind w:left="513" w:right="1133" w:hanging="8"/>
        <w:jc w:val="left"/>
        <w:rPr>
          <w:rFonts w:ascii="宋体" w:hAnsi="宋体" w:cs="宋体" w:eastAsia="宋体" w:hint="default"/>
          <w:sz w:val="18"/>
          <w:szCs w:val="18"/>
        </w:rPr>
      </w:pPr>
      <w:r>
        <w:rPr>
          <w:rFonts w:ascii="宋体" w:hAnsi="宋体" w:cs="宋体" w:eastAsia="宋体" w:hint="default"/>
          <w:b/>
          <w:bCs/>
          <w:sz w:val="18"/>
          <w:szCs w:val="18"/>
        </w:rPr>
        <w:t>二、形成审计意见的基础</w:t>
      </w:r>
      <w:r>
        <w:rPr>
          <w:rFonts w:ascii="宋体" w:hAnsi="宋体" w:cs="宋体" w:eastAsia="宋体" w:hint="default"/>
          <w:b/>
          <w:bCs/>
          <w:w w:val="99"/>
          <w:sz w:val="18"/>
          <w:szCs w:val="18"/>
        </w:rPr>
        <w:t> </w:t>
      </w:r>
      <w:r>
        <w:rPr>
          <w:rFonts w:ascii="宋体" w:hAnsi="宋体" w:cs="宋体" w:eastAsia="宋体" w:hint="default"/>
          <w:spacing w:val="-2"/>
          <w:sz w:val="18"/>
          <w:szCs w:val="18"/>
        </w:rPr>
        <w:t>我们按照中国注册会计师审计准则的规定执行了审计工作。审计报告的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注册会计师对财务报表审计的责任</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部分进一步</w:t>
      </w:r>
    </w:p>
    <w:p>
      <w:pPr>
        <w:spacing w:line="319" w:lineRule="auto" w:before="0"/>
        <w:ind w:left="152" w:right="1130" w:firstLine="0"/>
        <w:jc w:val="both"/>
        <w:rPr>
          <w:rFonts w:ascii="宋体" w:hAnsi="宋体" w:cs="宋体" w:eastAsia="宋体" w:hint="default"/>
          <w:sz w:val="18"/>
          <w:szCs w:val="18"/>
        </w:rPr>
      </w:pPr>
      <w:r>
        <w:rPr>
          <w:rFonts w:ascii="宋体" w:hAnsi="宋体" w:cs="宋体" w:eastAsia="宋体" w:hint="default"/>
          <w:spacing w:val="-2"/>
          <w:sz w:val="18"/>
          <w:szCs w:val="18"/>
        </w:rPr>
        <w:t>阐述了我们在这些准则下的责任。按照中国注册会计师职业道德守则，我们独立于贵公司，并履行了职业道德方面的其他责</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任。我们相信，我们获取的审计证据是充分、适当的，为发表审计意见提供了基础。</w:t>
      </w:r>
    </w:p>
    <w:p>
      <w:pPr>
        <w:spacing w:line="316" w:lineRule="auto" w:before="17"/>
        <w:ind w:left="513" w:right="1133" w:hanging="8"/>
        <w:jc w:val="left"/>
        <w:rPr>
          <w:rFonts w:ascii="宋体" w:hAnsi="宋体" w:cs="宋体" w:eastAsia="宋体" w:hint="default"/>
          <w:sz w:val="18"/>
          <w:szCs w:val="18"/>
        </w:rPr>
      </w:pPr>
      <w:r>
        <w:rPr>
          <w:rFonts w:ascii="宋体" w:hAnsi="宋体" w:cs="宋体" w:eastAsia="宋体" w:hint="default"/>
          <w:b/>
          <w:bCs/>
          <w:sz w:val="18"/>
          <w:szCs w:val="18"/>
        </w:rPr>
        <w:t>三、强调事项</w:t>
      </w:r>
      <w:r>
        <w:rPr>
          <w:rFonts w:ascii="宋体" w:hAnsi="宋体" w:cs="宋体" w:eastAsia="宋体" w:hint="default"/>
          <w:b/>
          <w:bCs/>
          <w:w w:val="99"/>
          <w:sz w:val="18"/>
          <w:szCs w:val="18"/>
        </w:rPr>
        <w:t> </w:t>
      </w:r>
      <w:r>
        <w:rPr>
          <w:rFonts w:ascii="宋体" w:hAnsi="宋体" w:cs="宋体" w:eastAsia="宋体" w:hint="default"/>
          <w:spacing w:val="-2"/>
          <w:sz w:val="18"/>
          <w:szCs w:val="18"/>
        </w:rPr>
        <w:t>贵公司全资子公司中电科（北京）网络信息安全有限公司（以下简称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北京网安</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）向北京金丰科华房地产开发有限公司</w:t>
      </w:r>
    </w:p>
    <w:p>
      <w:pPr>
        <w:spacing w:line="300" w:lineRule="auto" w:before="0"/>
        <w:ind w:left="152" w:right="1128" w:firstLine="0"/>
        <w:jc w:val="both"/>
        <w:rPr>
          <w:rFonts w:ascii="宋体" w:hAnsi="宋体" w:cs="宋体" w:eastAsia="宋体" w:hint="default"/>
          <w:sz w:val="18"/>
          <w:szCs w:val="18"/>
        </w:rPr>
      </w:pPr>
      <w:r>
        <w:rPr>
          <w:rFonts w:ascii="宋体" w:hAnsi="宋体" w:cs="宋体" w:eastAsia="宋体" w:hint="default"/>
          <w:sz w:val="18"/>
          <w:szCs w:val="18"/>
        </w:rPr>
        <w:t>购买位于北京市丰台区花乡四合庄</w:t>
      </w:r>
      <w:r>
        <w:rPr>
          <w:rFonts w:ascii="Times New Roman" w:hAnsi="Times New Roman" w:cs="Times New Roman" w:eastAsia="Times New Roman" w:hint="default"/>
          <w:sz w:val="18"/>
          <w:szCs w:val="18"/>
        </w:rPr>
        <w:t>1516-15</w:t>
      </w:r>
      <w:r>
        <w:rPr>
          <w:rFonts w:ascii="宋体" w:hAnsi="宋体" w:cs="宋体" w:eastAsia="宋体" w:hint="default"/>
          <w:sz w:val="18"/>
          <w:szCs w:val="18"/>
        </w:rPr>
        <w:t>地块上</w:t>
      </w:r>
      <w:r>
        <w:rPr>
          <w:rFonts w:ascii="Times New Roman" w:hAnsi="Times New Roman" w:cs="Times New Roman" w:eastAsia="Times New Roman" w:hint="default"/>
          <w:sz w:val="18"/>
          <w:szCs w:val="18"/>
        </w:rPr>
        <w:t>5#</w:t>
      </w:r>
      <w:r>
        <w:rPr>
          <w:rFonts w:ascii="宋体" w:hAnsi="宋体" w:cs="宋体" w:eastAsia="宋体" w:hint="default"/>
          <w:sz w:val="18"/>
          <w:szCs w:val="18"/>
        </w:rPr>
        <w:t>办公商业楼由于涉诉被北京市第二中级人民法院查封，北京金丰科华房</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地产开发有限公司破产清算已被北京市丰台区人民法院受理。截至审计报告日，相关案件尚未审结。上述资产列报于</w:t>
      </w:r>
      <w:r>
        <w:rPr>
          <w:rFonts w:ascii="Times New Roman" w:hAnsi="Times New Roman" w:cs="Times New Roman" w:eastAsia="Times New Roman" w:hint="default"/>
          <w:sz w:val="18"/>
          <w:szCs w:val="18"/>
        </w:rPr>
        <w:t>“</w:t>
      </w:r>
      <w:r>
        <w:rPr>
          <w:rFonts w:ascii="宋体" w:hAnsi="宋体" w:cs="宋体" w:eastAsia="宋体" w:hint="default"/>
          <w:sz w:val="18"/>
          <w:szCs w:val="18"/>
        </w:rPr>
        <w:t>在建</w:t>
      </w:r>
      <w:r>
        <w:rPr>
          <w:rFonts w:ascii="宋体" w:hAnsi="宋体" w:cs="宋体" w:eastAsia="宋体" w:hint="default"/>
          <w:spacing w:val="-72"/>
          <w:sz w:val="18"/>
          <w:szCs w:val="18"/>
        </w:rPr>
        <w:t> </w:t>
      </w:r>
      <w:r>
        <w:rPr>
          <w:rFonts w:ascii="宋体" w:hAnsi="宋体" w:cs="宋体" w:eastAsia="宋体" w:hint="default"/>
          <w:sz w:val="18"/>
          <w:szCs w:val="18"/>
        </w:rPr>
        <w:t>工程</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日余额</w:t>
      </w:r>
      <w:r>
        <w:rPr>
          <w:rFonts w:ascii="Times New Roman" w:hAnsi="Times New Roman" w:cs="Times New Roman" w:eastAsia="Times New Roman" w:hint="default"/>
          <w:sz w:val="18"/>
          <w:szCs w:val="18"/>
        </w:rPr>
        <w:t>116,309.74</w:t>
      </w:r>
      <w:r>
        <w:rPr>
          <w:rFonts w:ascii="宋体" w:hAnsi="宋体" w:cs="宋体" w:eastAsia="宋体" w:hint="default"/>
          <w:sz w:val="18"/>
          <w:szCs w:val="18"/>
        </w:rPr>
        <w:t>万元。</w:t>
      </w:r>
    </w:p>
    <w:p>
      <w:pPr>
        <w:spacing w:line="316" w:lineRule="auto" w:before="13"/>
        <w:ind w:left="152" w:right="1135" w:firstLine="360"/>
        <w:jc w:val="both"/>
        <w:rPr>
          <w:rFonts w:ascii="宋体" w:hAnsi="宋体" w:cs="宋体" w:eastAsia="宋体" w:hint="default"/>
          <w:sz w:val="18"/>
          <w:szCs w:val="18"/>
        </w:rPr>
      </w:pPr>
      <w:r>
        <w:rPr>
          <w:rFonts w:ascii="宋体" w:hAnsi="宋体" w:cs="宋体" w:eastAsia="宋体" w:hint="default"/>
          <w:spacing w:val="-2"/>
          <w:sz w:val="18"/>
          <w:szCs w:val="18"/>
        </w:rPr>
        <w:t>我们提醒财务报表使用者关注，财务报表附注十三（二）描述了北京网安涉诉房产详细情况及最新进展情况。本段内容</w:t>
      </w:r>
      <w:r>
        <w:rPr>
          <w:rFonts w:ascii="宋体" w:hAnsi="宋体" w:cs="宋体" w:eastAsia="宋体" w:hint="default"/>
          <w:sz w:val="18"/>
          <w:szCs w:val="18"/>
        </w:rPr>
        <w:t> 不影响已发表的审计意见。</w:t>
      </w:r>
    </w:p>
    <w:p>
      <w:pPr>
        <w:spacing w:line="316" w:lineRule="auto" w:before="19"/>
        <w:ind w:left="513" w:right="1129" w:hanging="8"/>
        <w:jc w:val="left"/>
        <w:rPr>
          <w:rFonts w:ascii="宋体" w:hAnsi="宋体" w:cs="宋体" w:eastAsia="宋体" w:hint="default"/>
          <w:sz w:val="18"/>
          <w:szCs w:val="18"/>
        </w:rPr>
      </w:pPr>
      <w:r>
        <w:rPr>
          <w:rFonts w:ascii="宋体" w:hAnsi="宋体" w:cs="宋体" w:eastAsia="宋体" w:hint="default"/>
          <w:b/>
          <w:bCs/>
          <w:sz w:val="18"/>
          <w:szCs w:val="18"/>
        </w:rPr>
        <w:t>四、关键审计事项</w:t>
      </w:r>
      <w:r>
        <w:rPr>
          <w:rFonts w:ascii="宋体" w:hAnsi="宋体" w:cs="宋体" w:eastAsia="宋体" w:hint="default"/>
          <w:b/>
          <w:bCs/>
          <w:w w:val="99"/>
          <w:sz w:val="18"/>
          <w:szCs w:val="18"/>
        </w:rPr>
        <w:t> </w:t>
      </w:r>
      <w:r>
        <w:rPr>
          <w:rFonts w:ascii="宋体" w:hAnsi="宋体" w:cs="宋体" w:eastAsia="宋体" w:hint="default"/>
          <w:spacing w:val="-2"/>
          <w:sz w:val="18"/>
          <w:szCs w:val="18"/>
        </w:rPr>
        <w:t>关键审计事项是我们根据职业判断，认为对本期财务报表审计最为重要的事项。这些事项的应对以对财务报表整体进行</w:t>
      </w:r>
    </w:p>
    <w:p>
      <w:pPr>
        <w:spacing w:line="319" w:lineRule="auto" w:before="19"/>
        <w:ind w:left="513" w:right="5533" w:hanging="361"/>
        <w:jc w:val="left"/>
        <w:rPr>
          <w:rFonts w:ascii="宋体" w:hAnsi="宋体" w:cs="宋体" w:eastAsia="宋体" w:hint="default"/>
          <w:sz w:val="18"/>
          <w:szCs w:val="18"/>
        </w:rPr>
      </w:pPr>
      <w:r>
        <w:rPr>
          <w:rFonts w:ascii="宋体" w:hAnsi="宋体" w:cs="宋体" w:eastAsia="宋体" w:hint="default"/>
          <w:sz w:val="18"/>
          <w:szCs w:val="18"/>
        </w:rPr>
        <w:t>审计并形成审计意见为背景，我们不对这些事项单独发表意见。 我们确定下列事项是需要在审计报告中沟通的关键审计事项： </w:t>
      </w:r>
      <w:r>
        <w:rPr>
          <w:rFonts w:ascii="Times New Roman" w:hAnsi="Times New Roman" w:cs="Times New Roman" w:eastAsia="Times New Roman" w:hint="default"/>
          <w:sz w:val="18"/>
          <w:szCs w:val="18"/>
        </w:rPr>
        <w:t>1</w:t>
      </w:r>
      <w:r>
        <w:rPr>
          <w:rFonts w:ascii="宋体" w:hAnsi="宋体" w:cs="宋体" w:eastAsia="宋体" w:hint="default"/>
          <w:sz w:val="18"/>
          <w:szCs w:val="18"/>
        </w:rPr>
        <w:t>、收入的确认；</w:t>
      </w:r>
    </w:p>
    <w:p>
      <w:pPr>
        <w:spacing w:line="246" w:lineRule="exact" w:before="0"/>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、存货跌价准备计提。</w:t>
      </w:r>
    </w:p>
    <w:p>
      <w:pPr>
        <w:spacing w:before="63"/>
        <w:ind w:left="513" w:right="1133" w:firstLine="0"/>
        <w:jc w:val="left"/>
        <w:rPr>
          <w:rFonts w:ascii="宋体" w:hAnsi="宋体" w:cs="宋体" w:eastAsia="宋体" w:hint="default"/>
          <w:sz w:val="18"/>
          <w:szCs w:val="18"/>
        </w:rPr>
      </w:pPr>
      <w:r>
        <w:rPr>
          <w:rFonts w:ascii="宋体" w:hAnsi="宋体" w:cs="宋体" w:eastAsia="宋体" w:hint="default"/>
          <w:sz w:val="18"/>
          <w:szCs w:val="18"/>
        </w:rPr>
        <w:t>（一）收入的确认</w:t>
      </w:r>
    </w:p>
    <w:p>
      <w:pPr>
        <w:spacing w:before="76"/>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、事项描述</w:t>
      </w:r>
    </w:p>
    <w:p>
      <w:pPr>
        <w:spacing w:line="312" w:lineRule="auto" w:before="63"/>
        <w:ind w:left="152" w:right="1129"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年度，卫士通公司营业收入为</w:t>
      </w:r>
      <w:r>
        <w:rPr>
          <w:rFonts w:ascii="Times New Roman" w:hAnsi="Times New Roman" w:cs="Times New Roman" w:eastAsia="Times New Roman" w:hint="default"/>
          <w:sz w:val="18"/>
          <w:szCs w:val="18"/>
        </w:rPr>
        <w:t>210,376.00</w:t>
      </w:r>
      <w:r>
        <w:rPr>
          <w:rFonts w:ascii="宋体" w:hAnsi="宋体" w:cs="宋体" w:eastAsia="宋体" w:hint="default"/>
          <w:sz w:val="18"/>
          <w:szCs w:val="18"/>
        </w:rPr>
        <w:t>万元，较</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年度营业收入同比增长</w:t>
      </w:r>
      <w:r>
        <w:rPr>
          <w:rFonts w:ascii="Times New Roman" w:hAnsi="Times New Roman" w:cs="Times New Roman" w:eastAsia="Times New Roman" w:hint="default"/>
          <w:sz w:val="18"/>
          <w:szCs w:val="18"/>
        </w:rPr>
        <w:t>8.95%</w:t>
      </w:r>
      <w:r>
        <w:rPr>
          <w:rFonts w:ascii="宋体" w:hAnsi="宋体" w:cs="宋体" w:eastAsia="宋体" w:hint="default"/>
          <w:sz w:val="18"/>
          <w:szCs w:val="18"/>
        </w:rPr>
        <w:t>。卫士通公司销售密码产品、 </w:t>
      </w:r>
      <w:r>
        <w:rPr>
          <w:rFonts w:ascii="宋体" w:hAnsi="宋体" w:cs="宋体" w:eastAsia="宋体" w:hint="default"/>
          <w:spacing w:val="-2"/>
          <w:sz w:val="18"/>
          <w:szCs w:val="18"/>
        </w:rPr>
        <w:t>信息安全产品、安全信息产品等信息安全相关产品，在相关产品到达客户指定地点并得到客户签收后确认产品销售收入，同</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时结转产品对应的成本。信息系统集成及信息技术服务收入在资产负债表日提供服务交易的结果能够可靠估计的，采用完工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百分比法确认提供服务收入。采用完工百分比法时，合同完工进度依据已完工作的测量确定。（</w:t>
      </w:r>
      <w:r>
        <w:rPr>
          <w:rFonts w:ascii="Times New Roman" w:hAnsi="Times New Roman" w:cs="Times New Roman" w:eastAsia="Times New Roman" w:hint="default"/>
          <w:sz w:val="18"/>
          <w:szCs w:val="18"/>
        </w:rPr>
        <w:t>1</w:t>
      </w:r>
      <w:r>
        <w:rPr>
          <w:rFonts w:ascii="宋体" w:hAnsi="宋体" w:cs="宋体" w:eastAsia="宋体" w:hint="default"/>
          <w:sz w:val="18"/>
          <w:szCs w:val="18"/>
        </w:rPr>
        <w:t>）销售商品收入的发生和</w:t>
      </w:r>
    </w:p>
    <w:p>
      <w:pPr>
        <w:spacing w:after="0" w:line="312" w:lineRule="auto"/>
        <w:jc w:val="both"/>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spacing w:line="300" w:lineRule="auto" w:before="44"/>
        <w:ind w:left="152" w:right="1132" w:firstLine="0"/>
        <w:jc w:val="both"/>
        <w:rPr>
          <w:rFonts w:ascii="宋体" w:hAnsi="宋体" w:cs="宋体" w:eastAsia="宋体" w:hint="default"/>
          <w:sz w:val="18"/>
          <w:szCs w:val="18"/>
        </w:rPr>
      </w:pPr>
      <w:r>
        <w:rPr>
          <w:rFonts w:ascii="宋体" w:hAnsi="宋体" w:cs="宋体" w:eastAsia="宋体" w:hint="default"/>
          <w:sz w:val="18"/>
          <w:szCs w:val="18"/>
        </w:rPr>
        <w:t>完整，会对卫士通公司经营成果产生很大影响。（</w:t>
      </w:r>
      <w:r>
        <w:rPr>
          <w:rFonts w:ascii="Times New Roman" w:hAnsi="Times New Roman" w:cs="Times New Roman" w:eastAsia="Times New Roman" w:hint="default"/>
          <w:sz w:val="18"/>
          <w:szCs w:val="18"/>
        </w:rPr>
        <w:t>2</w:t>
      </w:r>
      <w:r>
        <w:rPr>
          <w:rFonts w:ascii="宋体" w:hAnsi="宋体" w:cs="宋体" w:eastAsia="宋体" w:hint="default"/>
          <w:sz w:val="18"/>
          <w:szCs w:val="18"/>
        </w:rPr>
        <w:t>）根据完工百分比法确认的收入涉及管理层的重大判断和估计，进而可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能影响卫士通公司是否按照完工百分比法在恰当的会计期间确认收入。因此，我们将收入的确认作为关键审计事项。</w:t>
      </w:r>
    </w:p>
    <w:p>
      <w:pPr>
        <w:spacing w:before="31"/>
        <w:ind w:left="513" w:right="1133" w:firstLine="0"/>
        <w:jc w:val="left"/>
        <w:rPr>
          <w:rFonts w:ascii="宋体" w:hAnsi="宋体" w:cs="宋体" w:eastAsia="宋体" w:hint="default"/>
          <w:sz w:val="18"/>
          <w:szCs w:val="18"/>
        </w:rPr>
      </w:pPr>
      <w:r>
        <w:rPr>
          <w:rFonts w:ascii="宋体" w:hAnsi="宋体" w:cs="宋体" w:eastAsia="宋体" w:hint="default"/>
          <w:sz w:val="18"/>
          <w:szCs w:val="18"/>
        </w:rPr>
        <w:t>关于收入确认的会计政策见附注四、（二十二）；关于收入的披露见附注六、注释</w:t>
      </w:r>
      <w:r>
        <w:rPr>
          <w:rFonts w:ascii="Times New Roman" w:hAnsi="Times New Roman" w:cs="Times New Roman" w:eastAsia="Times New Roman" w:hint="default"/>
          <w:sz w:val="18"/>
          <w:szCs w:val="18"/>
        </w:rPr>
        <w:t>31</w:t>
      </w:r>
      <w:r>
        <w:rPr>
          <w:rFonts w:ascii="宋体" w:hAnsi="宋体" w:cs="宋体" w:eastAsia="宋体" w:hint="default"/>
          <w:sz w:val="18"/>
          <w:szCs w:val="18"/>
        </w:rPr>
        <w:t>。</w:t>
      </w:r>
    </w:p>
    <w:p>
      <w:pPr>
        <w:spacing w:line="300" w:lineRule="auto" w:before="63"/>
        <w:ind w:left="51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、审计应对 我们对于收入确认所实施的重要审计程序包括：</w:t>
      </w:r>
    </w:p>
    <w:p>
      <w:pPr>
        <w:spacing w:line="300" w:lineRule="auto" w:before="31"/>
        <w:ind w:left="152" w:right="112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）了解、评估了管理层对集成服务收入、集成产品收入、软件收入、技术服务收入确认的内部控制的设计，并测试 了关键控制执行的有效性；</w:t>
      </w:r>
    </w:p>
    <w:p>
      <w:pPr>
        <w:spacing w:line="300" w:lineRule="auto" w:before="31"/>
        <w:ind w:left="152" w:right="112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）通过检查业务合同及与管理层的访谈，对与收入确认有关的重大风险及报酬转移时点进行了分析评估，进而评估 卫士通公司收入的确认政策；</w:t>
      </w:r>
    </w:p>
    <w:p>
      <w:pPr>
        <w:spacing w:before="31"/>
        <w:ind w:left="513"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）检查与收入确认相关的支持性文件，包括销售合同、订单、销售发票、客户签收单、回款情况等；</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）针对资产负债表日前后确认的销售收入核对至客户签收单等支持性文件，以评估销售收入是否在恰当的期间确认；</w:t>
      </w:r>
    </w:p>
    <w:p>
      <w:pPr>
        <w:spacing w:before="63"/>
        <w:ind w:left="513"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）按照产品类别、施工项目对毛利率进行分析，与同行业进行比对，以评估毛利率水平的合理性；</w:t>
      </w:r>
    </w:p>
    <w:p>
      <w:pPr>
        <w:spacing w:line="300" w:lineRule="auto" w:before="63"/>
        <w:ind w:left="513" w:right="157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）结合往来款检查对客户及供应商进行函证。 基于已执行的审计工作和获取的审计证据，我们认为，管理层对收入确认在财务报告中的列报与披露是适当的。</w:t>
      </w:r>
    </w:p>
    <w:p>
      <w:pPr>
        <w:spacing w:before="31"/>
        <w:ind w:left="513" w:right="1133" w:firstLine="0"/>
        <w:jc w:val="left"/>
        <w:rPr>
          <w:rFonts w:ascii="宋体" w:hAnsi="宋体" w:cs="宋体" w:eastAsia="宋体" w:hint="default"/>
          <w:sz w:val="18"/>
          <w:szCs w:val="18"/>
        </w:rPr>
      </w:pPr>
      <w:r>
        <w:rPr>
          <w:rFonts w:ascii="宋体" w:hAnsi="宋体" w:cs="宋体" w:eastAsia="宋体" w:hint="default"/>
          <w:sz w:val="18"/>
          <w:szCs w:val="18"/>
        </w:rPr>
        <w:t>（二）存货跌价准备计提</w:t>
      </w:r>
    </w:p>
    <w:p>
      <w:pPr>
        <w:spacing w:line="300" w:lineRule="auto" w:before="76"/>
        <w:ind w:left="513"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、事项描述 截至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日，卫士通公司存货在合并财务报表账面余额</w:t>
      </w:r>
      <w:r>
        <w:rPr>
          <w:rFonts w:ascii="Times New Roman" w:hAnsi="Times New Roman" w:cs="Times New Roman" w:eastAsia="Times New Roman" w:hint="default"/>
          <w:sz w:val="18"/>
          <w:szCs w:val="18"/>
        </w:rPr>
        <w:t>30,830.60</w:t>
      </w:r>
      <w:r>
        <w:rPr>
          <w:rFonts w:ascii="宋体" w:hAnsi="宋体" w:cs="宋体" w:eastAsia="宋体" w:hint="default"/>
          <w:sz w:val="18"/>
          <w:szCs w:val="18"/>
        </w:rPr>
        <w:t>万元，计提存货跌价准备</w:t>
      </w:r>
      <w:r>
        <w:rPr>
          <w:rFonts w:ascii="Times New Roman" w:hAnsi="Times New Roman" w:cs="Times New Roman" w:eastAsia="Times New Roman" w:hint="default"/>
          <w:sz w:val="18"/>
          <w:szCs w:val="18"/>
        </w:rPr>
        <w:t>1,779.28</w:t>
      </w:r>
      <w:r>
        <w:rPr>
          <w:rFonts w:ascii="宋体" w:hAnsi="宋体" w:cs="宋体" w:eastAsia="宋体" w:hint="default"/>
          <w:sz w:val="18"/>
          <w:szCs w:val="18"/>
        </w:rPr>
        <w:t>万元，存货</w:t>
      </w:r>
    </w:p>
    <w:p>
      <w:pPr>
        <w:spacing w:line="309" w:lineRule="auto" w:before="13"/>
        <w:ind w:left="152" w:right="1131" w:firstLine="0"/>
        <w:jc w:val="both"/>
        <w:rPr>
          <w:rFonts w:ascii="宋体" w:hAnsi="宋体" w:cs="宋体" w:eastAsia="宋体" w:hint="default"/>
          <w:sz w:val="18"/>
          <w:szCs w:val="18"/>
        </w:rPr>
      </w:pP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29,051.32</w:t>
      </w:r>
      <w:r>
        <w:rPr>
          <w:rFonts w:ascii="宋体" w:hAnsi="宋体" w:cs="宋体" w:eastAsia="宋体" w:hint="default"/>
          <w:sz w:val="18"/>
          <w:szCs w:val="18"/>
        </w:rPr>
        <w:t>万元，占资产总额的</w:t>
      </w:r>
      <w:r>
        <w:rPr>
          <w:rFonts w:ascii="Times New Roman" w:hAnsi="Times New Roman" w:cs="Times New Roman" w:eastAsia="Times New Roman" w:hint="default"/>
          <w:sz w:val="18"/>
          <w:szCs w:val="18"/>
        </w:rPr>
        <w:t>4.88%</w:t>
      </w:r>
      <w:r>
        <w:rPr>
          <w:rFonts w:ascii="宋体" w:hAnsi="宋体" w:cs="宋体" w:eastAsia="宋体" w:hint="default"/>
          <w:sz w:val="18"/>
          <w:szCs w:val="18"/>
        </w:rPr>
        <w:t>。如附注四、</w:t>
      </w:r>
      <w:r>
        <w:rPr>
          <w:rFonts w:ascii="Times New Roman" w:hAnsi="Times New Roman" w:cs="Times New Roman" w:eastAsia="Times New Roman" w:hint="default"/>
          <w:sz w:val="18"/>
          <w:szCs w:val="18"/>
        </w:rPr>
        <w:t>(</w:t>
      </w:r>
      <w:r>
        <w:rPr>
          <w:rFonts w:ascii="宋体" w:hAnsi="宋体" w:cs="宋体" w:eastAsia="宋体" w:hint="default"/>
          <w:sz w:val="18"/>
          <w:szCs w:val="18"/>
        </w:rPr>
        <w:t>十二</w:t>
      </w:r>
      <w:r>
        <w:rPr>
          <w:rFonts w:ascii="Times New Roman" w:hAnsi="Times New Roman" w:cs="Times New Roman" w:eastAsia="Times New Roman" w:hint="default"/>
          <w:sz w:val="18"/>
          <w:szCs w:val="18"/>
        </w:rPr>
        <w:t>)</w:t>
      </w:r>
      <w:r>
        <w:rPr>
          <w:rFonts w:ascii="宋体" w:hAnsi="宋体" w:cs="宋体" w:eastAsia="宋体" w:hint="default"/>
          <w:sz w:val="18"/>
          <w:szCs w:val="18"/>
        </w:rPr>
        <w:t>所述，卫士通公司按照单个存货成本高于可变现净值的差</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2"/>
          <w:sz w:val="18"/>
          <w:szCs w:val="18"/>
        </w:rPr>
        <w:t>额计提存货跌价准备。存货的可变现净值的确定，要求管理层对存货的售价，至完工时将发生的成本、销售费用及相关税费</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进行估计。因此，我们将存货跌价准备计提确定为关键审计事项。</w:t>
      </w:r>
    </w:p>
    <w:p>
      <w:pPr>
        <w:spacing w:line="300" w:lineRule="auto" w:before="24"/>
        <w:ind w:left="513" w:right="5713" w:firstLine="0"/>
        <w:jc w:val="left"/>
        <w:rPr>
          <w:rFonts w:ascii="宋体" w:hAnsi="宋体" w:cs="宋体" w:eastAsia="宋体" w:hint="default"/>
          <w:sz w:val="18"/>
          <w:szCs w:val="18"/>
        </w:rPr>
      </w:pPr>
      <w:r>
        <w:rPr>
          <w:rFonts w:ascii="宋体" w:hAnsi="宋体" w:cs="宋体" w:eastAsia="宋体" w:hint="default"/>
          <w:sz w:val="18"/>
          <w:szCs w:val="18"/>
        </w:rPr>
        <w:t>关于存货跌价准备计提的披露见附注六、注释</w:t>
      </w:r>
      <w:r>
        <w:rPr>
          <w:rFonts w:ascii="Times New Roman" w:hAnsi="Times New Roman" w:cs="Times New Roman" w:eastAsia="Times New Roman" w:hint="default"/>
          <w:sz w:val="18"/>
          <w:szCs w:val="18"/>
        </w:rPr>
        <w:t>6</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、审计应对 在审计存货跌价准备的过程中，我们的审计程序主要包括：</w:t>
      </w:r>
    </w:p>
    <w:p>
      <w:pPr>
        <w:spacing w:before="31"/>
        <w:ind w:left="513"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）对卫士通公司存货跌价准备相关内部控制的设计与执行进行了评估；</w:t>
      </w:r>
    </w:p>
    <w:p>
      <w:pPr>
        <w:spacing w:line="300" w:lineRule="auto" w:before="63"/>
        <w:ind w:left="152" w:right="112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）获取并评价了管理层对于存货跌价准备的计提方法和相关假设，并考虑了卫士通公司的预期销售计划等因素对存 货跌价准备的可能影响；</w:t>
      </w:r>
    </w:p>
    <w:p>
      <w:pPr>
        <w:spacing w:before="31"/>
        <w:ind w:left="513"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）对存货盘点实施监盘，检查存货的数量、状况及产品有效期等；</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）对存货周转天数以及存货库龄进行了审核并执行了分析性程序，判断是否存在较长库龄的存货导致存货减值的风</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险；</w:t>
      </w:r>
    </w:p>
    <w:p>
      <w:pPr>
        <w:spacing w:before="76"/>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）获取期末存货库龄清单，结合产品的有效期，对库龄较长的存货进行分析性复核，分析存货跌价准备是否合理；</w:t>
      </w:r>
    </w:p>
    <w:p>
      <w:pPr>
        <w:spacing w:line="300" w:lineRule="auto"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）检查了存货跌价准备相关信息在财务报表中的列报和披露。 </w:t>
      </w:r>
      <w:r>
        <w:rPr>
          <w:rFonts w:ascii="宋体" w:hAnsi="宋体" w:cs="宋体" w:eastAsia="宋体" w:hint="default"/>
          <w:spacing w:val="-4"/>
          <w:sz w:val="18"/>
          <w:szCs w:val="18"/>
        </w:rPr>
        <w:t>基于已执行的审计工作和获取的审计证据，我们认为，管理层对存货跌价准备计提在财务报告中的列报与披露是适当的。</w:t>
      </w:r>
    </w:p>
    <w:p>
      <w:pPr>
        <w:spacing w:line="316" w:lineRule="auto" w:before="31"/>
        <w:ind w:left="506" w:right="1129" w:firstLine="0"/>
        <w:jc w:val="left"/>
        <w:rPr>
          <w:rFonts w:ascii="宋体" w:hAnsi="宋体" w:cs="宋体" w:eastAsia="宋体" w:hint="default"/>
          <w:sz w:val="18"/>
          <w:szCs w:val="18"/>
        </w:rPr>
      </w:pPr>
      <w:r>
        <w:rPr>
          <w:rFonts w:ascii="宋体" w:hAnsi="宋体" w:cs="宋体" w:eastAsia="宋体" w:hint="default"/>
          <w:b/>
          <w:bCs/>
          <w:sz w:val="18"/>
          <w:szCs w:val="18"/>
        </w:rPr>
        <w:t>五、其他信息</w:t>
      </w:r>
      <w:r>
        <w:rPr>
          <w:rFonts w:ascii="宋体" w:hAnsi="宋体" w:cs="宋体" w:eastAsia="宋体" w:hint="default"/>
          <w:b/>
          <w:bCs/>
          <w:w w:val="99"/>
          <w:sz w:val="18"/>
          <w:szCs w:val="18"/>
        </w:rPr>
        <w:t> </w:t>
      </w:r>
      <w:r>
        <w:rPr>
          <w:rFonts w:ascii="宋体" w:hAnsi="宋体" w:cs="宋体" w:eastAsia="宋体" w:hint="default"/>
          <w:spacing w:val="-2"/>
          <w:sz w:val="18"/>
          <w:szCs w:val="18"/>
        </w:rPr>
        <w:t>贵公司管理层对其他信息负责。其他信息包括卫士通公司</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年年度报告中涵盖的信息，但不包括财务报表和我们的审</w:t>
      </w:r>
    </w:p>
    <w:p>
      <w:pPr>
        <w:spacing w:line="235" w:lineRule="exact"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计报告。</w:t>
      </w:r>
    </w:p>
    <w:p>
      <w:pPr>
        <w:spacing w:line="316" w:lineRule="auto" w:before="77"/>
        <w:ind w:left="506" w:right="1129" w:firstLine="0"/>
        <w:jc w:val="left"/>
        <w:rPr>
          <w:rFonts w:ascii="宋体" w:hAnsi="宋体" w:cs="宋体" w:eastAsia="宋体" w:hint="default"/>
          <w:sz w:val="18"/>
          <w:szCs w:val="18"/>
        </w:rPr>
      </w:pPr>
      <w:r>
        <w:rPr>
          <w:rFonts w:ascii="宋体" w:hAnsi="宋体" w:cs="宋体" w:eastAsia="宋体" w:hint="default"/>
          <w:sz w:val="18"/>
          <w:szCs w:val="18"/>
        </w:rPr>
        <w:t>我们对财务报表发表的审计意见不涵盖其他信息，我们也不对其他信息发表任何形式的鉴证结论。 </w:t>
      </w:r>
      <w:r>
        <w:rPr>
          <w:rFonts w:ascii="宋体" w:hAnsi="宋体" w:cs="宋体" w:eastAsia="宋体" w:hint="default"/>
          <w:spacing w:val="-2"/>
          <w:sz w:val="18"/>
          <w:szCs w:val="18"/>
        </w:rPr>
        <w:t>结合我们对财务报表的审计，我们的责任是阅读其他信息，在此过程中，考虑其他信息是否与财务报表或我们在审计过</w:t>
      </w:r>
    </w:p>
    <w:p>
      <w:pPr>
        <w:spacing w:line="316" w:lineRule="auto" w:before="19"/>
        <w:ind w:left="506" w:right="1133" w:hanging="354"/>
        <w:jc w:val="left"/>
        <w:rPr>
          <w:rFonts w:ascii="宋体" w:hAnsi="宋体" w:cs="宋体" w:eastAsia="宋体" w:hint="default"/>
          <w:sz w:val="18"/>
          <w:szCs w:val="18"/>
        </w:rPr>
      </w:pPr>
      <w:r>
        <w:rPr>
          <w:rFonts w:ascii="宋体" w:hAnsi="宋体" w:cs="宋体" w:eastAsia="宋体" w:hint="default"/>
          <w:sz w:val="18"/>
          <w:szCs w:val="18"/>
        </w:rPr>
        <w:t>程中了解的情况存在重大不一致或者似乎存在重大错报。 </w:t>
      </w:r>
      <w:r>
        <w:rPr>
          <w:rFonts w:ascii="宋体" w:hAnsi="宋体" w:cs="宋体" w:eastAsia="宋体" w:hint="default"/>
          <w:spacing w:val="-2"/>
          <w:sz w:val="18"/>
          <w:szCs w:val="18"/>
        </w:rPr>
        <w:t>基于我们已执行的工作，如果我们确定其他信息存在重大错报，我们应当报告该事实。在这方面，我们无任何事项需要</w:t>
      </w:r>
    </w:p>
    <w:p>
      <w:pPr>
        <w:spacing w:before="19"/>
        <w:ind w:left="152" w:right="1133" w:firstLine="0"/>
        <w:jc w:val="left"/>
        <w:rPr>
          <w:rFonts w:ascii="宋体" w:hAnsi="宋体" w:cs="宋体" w:eastAsia="宋体" w:hint="default"/>
          <w:sz w:val="18"/>
          <w:szCs w:val="18"/>
        </w:rPr>
      </w:pPr>
      <w:r>
        <w:rPr>
          <w:rFonts w:ascii="宋体" w:hAnsi="宋体" w:cs="宋体" w:eastAsia="宋体" w:hint="default"/>
          <w:sz w:val="18"/>
          <w:szCs w:val="18"/>
        </w:rPr>
        <w:t>报告。</w:t>
      </w:r>
    </w:p>
    <w:p>
      <w:pPr>
        <w:spacing w:line="316" w:lineRule="auto" w:before="76"/>
        <w:ind w:left="506" w:right="1040" w:firstLine="0"/>
        <w:jc w:val="left"/>
        <w:rPr>
          <w:rFonts w:ascii="宋体" w:hAnsi="宋体" w:cs="宋体" w:eastAsia="宋体" w:hint="default"/>
          <w:sz w:val="18"/>
          <w:szCs w:val="18"/>
        </w:rPr>
      </w:pPr>
      <w:r>
        <w:rPr>
          <w:rFonts w:ascii="宋体" w:hAnsi="宋体" w:cs="宋体" w:eastAsia="宋体" w:hint="default"/>
          <w:b/>
          <w:bCs/>
          <w:sz w:val="18"/>
          <w:szCs w:val="18"/>
        </w:rPr>
        <w:t>六、管理层和治理层对财务报表的责任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贵公司管理层负责按照企业会计准则的规定编制财务报表，使其实现公允反映，并设计、执行和维护必要的内部控制，</w:t>
      </w:r>
    </w:p>
    <w:p>
      <w:pPr>
        <w:spacing w:line="316" w:lineRule="auto" w:before="19"/>
        <w:ind w:left="506" w:right="1129" w:hanging="354"/>
        <w:jc w:val="left"/>
        <w:rPr>
          <w:rFonts w:ascii="宋体" w:hAnsi="宋体" w:cs="宋体" w:eastAsia="宋体" w:hint="default"/>
          <w:sz w:val="18"/>
          <w:szCs w:val="18"/>
        </w:rPr>
      </w:pPr>
      <w:r>
        <w:rPr>
          <w:rFonts w:ascii="宋体" w:hAnsi="宋体" w:cs="宋体" w:eastAsia="宋体" w:hint="default"/>
          <w:sz w:val="18"/>
          <w:szCs w:val="18"/>
        </w:rPr>
        <w:t>以使财务报表不存在由于舞弊或错误导致的重大错报。 </w:t>
      </w:r>
      <w:r>
        <w:rPr>
          <w:rFonts w:ascii="宋体" w:hAnsi="宋体" w:cs="宋体" w:eastAsia="宋体" w:hint="default"/>
          <w:spacing w:val="-2"/>
          <w:sz w:val="18"/>
          <w:szCs w:val="18"/>
        </w:rPr>
        <w:t>在编制财务报表时，贵公司管理层负责评估贵公司的持续经营能力，披露与持续经营相关的事项（如适用），并运用持</w:t>
      </w:r>
    </w:p>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line="319" w:lineRule="auto" w:before="44"/>
        <w:ind w:left="506" w:right="4634" w:hanging="354"/>
        <w:jc w:val="left"/>
        <w:rPr>
          <w:rFonts w:ascii="宋体" w:hAnsi="宋体" w:cs="宋体" w:eastAsia="宋体" w:hint="default"/>
          <w:sz w:val="18"/>
          <w:szCs w:val="18"/>
        </w:rPr>
      </w:pPr>
      <w:r>
        <w:rPr>
          <w:rFonts w:ascii="宋体" w:hAnsi="宋体" w:cs="宋体" w:eastAsia="宋体" w:hint="default"/>
          <w:sz w:val="18"/>
          <w:szCs w:val="18"/>
        </w:rPr>
        <w:t>续经营假设，除非管理层计划清算贵公司、终止运营或别无其他现实的选择。 治理层负责监督贵公司的财务报告过程。 </w:t>
      </w:r>
      <w:r>
        <w:rPr>
          <w:rFonts w:ascii="宋体" w:hAnsi="宋体" w:cs="宋体" w:eastAsia="宋体" w:hint="default"/>
          <w:b/>
          <w:bCs/>
          <w:sz w:val="18"/>
          <w:szCs w:val="18"/>
        </w:rPr>
        <w:t>七、注册会计师对财务报表审计的责任</w:t>
      </w:r>
      <w:r>
        <w:rPr>
          <w:rFonts w:ascii="宋体" w:hAnsi="宋体" w:cs="宋体" w:eastAsia="宋体" w:hint="default"/>
          <w:sz w:val="18"/>
          <w:szCs w:val="18"/>
        </w:rPr>
      </w:r>
    </w:p>
    <w:p>
      <w:pPr>
        <w:spacing w:line="316" w:lineRule="auto" w:before="17"/>
        <w:ind w:left="152" w:right="1130" w:firstLine="353"/>
        <w:jc w:val="both"/>
        <w:rPr>
          <w:rFonts w:ascii="宋体" w:hAnsi="宋体" w:cs="宋体" w:eastAsia="宋体" w:hint="default"/>
          <w:sz w:val="18"/>
          <w:szCs w:val="18"/>
        </w:rPr>
      </w:pPr>
      <w:r>
        <w:rPr>
          <w:rFonts w:ascii="宋体" w:hAnsi="宋体" w:cs="宋体" w:eastAsia="宋体" w:hint="default"/>
          <w:spacing w:val="-2"/>
          <w:sz w:val="18"/>
          <w:szCs w:val="18"/>
        </w:rPr>
        <w:t>我们的目标是对财务报表整体是否不存在由于舞弊或错误导致的重大错报获取合理保证，并出具包含审计意见的审计报</w:t>
      </w:r>
      <w:r>
        <w:rPr>
          <w:rFonts w:ascii="宋体" w:hAnsi="宋体" w:cs="宋体" w:eastAsia="宋体" w:hint="default"/>
          <w:sz w:val="18"/>
          <w:szCs w:val="18"/>
        </w:rPr>
        <w:t> </w:t>
      </w:r>
      <w:r>
        <w:rPr>
          <w:rFonts w:ascii="宋体" w:hAnsi="宋体" w:cs="宋体" w:eastAsia="宋体" w:hint="default"/>
          <w:spacing w:val="-2"/>
          <w:sz w:val="18"/>
          <w:szCs w:val="18"/>
        </w:rPr>
        <w:t>告。合理保证是高水平的保证，但并不能保证按照审计准则执行的审计在某一重大错报存在时总能发现。错报可能由于舞弊</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或错误导致，如果合理预期错报单独或汇总起来可能影响财务报表使用者依据财务报表作出的经济决策，则通常认为错报是</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重大的。</w:t>
      </w:r>
    </w:p>
    <w:p>
      <w:pPr>
        <w:spacing w:before="19"/>
        <w:ind w:left="506" w:right="1133" w:firstLine="0"/>
        <w:jc w:val="left"/>
        <w:rPr>
          <w:rFonts w:ascii="宋体" w:hAnsi="宋体" w:cs="宋体" w:eastAsia="宋体" w:hint="default"/>
          <w:sz w:val="18"/>
          <w:szCs w:val="18"/>
        </w:rPr>
      </w:pPr>
      <w:r>
        <w:rPr>
          <w:rFonts w:ascii="宋体" w:hAnsi="宋体" w:cs="宋体" w:eastAsia="宋体" w:hint="default"/>
          <w:sz w:val="18"/>
          <w:szCs w:val="18"/>
        </w:rPr>
        <w:t>在按照审计准则执行审计工作的过程中，我们运用职业判断，并保持职业怀疑。同时，我们也执行以下工作：</w:t>
      </w:r>
    </w:p>
    <w:p>
      <w:pPr>
        <w:spacing w:line="309" w:lineRule="auto" w:before="76"/>
        <w:ind w:left="152" w:right="1132"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、识别和评估由于舞弊或错误导致的财务报表重大错报风险，设计和实施审计程序以应对这些风险，并获取充分、适 </w:t>
      </w:r>
      <w:r>
        <w:rPr>
          <w:rFonts w:ascii="宋体" w:hAnsi="宋体" w:cs="宋体" w:eastAsia="宋体" w:hint="default"/>
          <w:spacing w:val="-2"/>
          <w:sz w:val="18"/>
          <w:szCs w:val="18"/>
        </w:rPr>
        <w:t>当的审计证据，作为发表审计意见的基础。由于舞弊可能涉及串通、伪造、故意遗漏、虚假陈述或凌驾于内部控制之上，未</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能发现由于舞弊导致的重大错报的风险高于未能发现由于错误导致的重大错报的风险。</w:t>
      </w:r>
    </w:p>
    <w:p>
      <w:pPr>
        <w:spacing w:before="24"/>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、了解与审计相关的内部控制，以设计恰当的审计程序，但目的并非对内部控制的有效性发表意见。</w:t>
      </w:r>
    </w:p>
    <w:p>
      <w:pPr>
        <w:spacing w:before="63"/>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、评价管理层选用会计政策的恰当性和作出会计估计及相关披露的合理性。</w:t>
      </w:r>
    </w:p>
    <w:p>
      <w:pPr>
        <w:spacing w:line="312" w:lineRule="auto" w:before="63"/>
        <w:ind w:left="152" w:right="113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、对管理层使用持续经营假设的恰当性得出结论。同时，根据获取的审计证据，就可能导致对贵公司持续经营能力产 </w:t>
      </w:r>
      <w:r>
        <w:rPr>
          <w:rFonts w:ascii="宋体" w:hAnsi="宋体" w:cs="宋体" w:eastAsia="宋体" w:hint="default"/>
          <w:spacing w:val="-2"/>
          <w:sz w:val="18"/>
          <w:szCs w:val="18"/>
        </w:rPr>
        <w:t>生重大疑虑的事项或情况是否存在重大不确定性得出结论。如果我们得出结论认为存在重大不确定性，审计准则要求我们在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审计报告中提请报告使用者注意财务报表中的相关披露；如果披露不充分，我们应当发表非无保留意见。我们的结论基于截</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至审计报告日可获得的信息。然而，未来的事项或情况可能导致贵公司不能持续经营。</w:t>
      </w:r>
    </w:p>
    <w:p>
      <w:pPr>
        <w:spacing w:before="22"/>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、评价财务报表的总体列报、结构和内容，并评价财务报表是否公允反映相关交易和事项。</w:t>
      </w:r>
    </w:p>
    <w:p>
      <w:pPr>
        <w:spacing w:line="300" w:lineRule="auto" w:before="63"/>
        <w:ind w:left="152" w:right="1133"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、就贵公司中实体或业务活动的财务信息获取充分、适当的审计证据，以对财务报表发表意见。我们负责指导、监督 和执行集团审计。我们对审计意见承担全部责任。</w:t>
      </w:r>
    </w:p>
    <w:p>
      <w:pPr>
        <w:spacing w:line="316" w:lineRule="auto" w:before="31"/>
        <w:ind w:left="152" w:right="1132" w:firstLine="360"/>
        <w:jc w:val="both"/>
        <w:rPr>
          <w:rFonts w:ascii="宋体" w:hAnsi="宋体" w:cs="宋体" w:eastAsia="宋体" w:hint="default"/>
          <w:sz w:val="18"/>
          <w:szCs w:val="18"/>
        </w:rPr>
      </w:pPr>
      <w:r>
        <w:rPr>
          <w:rFonts w:ascii="宋体" w:hAnsi="宋体" w:cs="宋体" w:eastAsia="宋体" w:hint="default"/>
          <w:spacing w:val="-2"/>
          <w:sz w:val="18"/>
          <w:szCs w:val="18"/>
        </w:rPr>
        <w:t>我们与治理层就计划的审计范围、时间安排和重大审计发现等事项进行沟通，包括沟通我们在审计中识别出的值得关注</w:t>
      </w:r>
      <w:r>
        <w:rPr>
          <w:rFonts w:ascii="宋体" w:hAnsi="宋体" w:cs="宋体" w:eastAsia="宋体" w:hint="default"/>
          <w:sz w:val="18"/>
          <w:szCs w:val="18"/>
        </w:rPr>
        <w:t> 的内部控制缺陷。</w:t>
      </w:r>
    </w:p>
    <w:p>
      <w:pPr>
        <w:spacing w:line="316" w:lineRule="auto" w:before="19"/>
        <w:ind w:left="152" w:right="1132" w:firstLine="360"/>
        <w:jc w:val="both"/>
        <w:rPr>
          <w:rFonts w:ascii="宋体" w:hAnsi="宋体" w:cs="宋体" w:eastAsia="宋体" w:hint="default"/>
          <w:sz w:val="18"/>
          <w:szCs w:val="18"/>
        </w:rPr>
      </w:pPr>
      <w:r>
        <w:rPr>
          <w:rFonts w:ascii="宋体" w:hAnsi="宋体" w:cs="宋体" w:eastAsia="宋体" w:hint="default"/>
          <w:spacing w:val="-2"/>
          <w:sz w:val="18"/>
          <w:szCs w:val="18"/>
        </w:rPr>
        <w:t>我们还就已遵守与独立性相关的职业道德要求向治理层提供声明，并与治理层沟通可能被合理认为影响我们独立性的所</w:t>
      </w:r>
      <w:r>
        <w:rPr>
          <w:rFonts w:ascii="宋体" w:hAnsi="宋体" w:cs="宋体" w:eastAsia="宋体" w:hint="default"/>
          <w:sz w:val="18"/>
          <w:szCs w:val="18"/>
        </w:rPr>
        <w:t> 有关系和其他事项，以及相关的防范措施（如适用）。</w:t>
      </w:r>
    </w:p>
    <w:p>
      <w:pPr>
        <w:spacing w:line="316" w:lineRule="auto" w:before="19"/>
        <w:ind w:left="152" w:right="1130" w:firstLine="360"/>
        <w:jc w:val="both"/>
        <w:rPr>
          <w:rFonts w:ascii="宋体" w:hAnsi="宋体" w:cs="宋体" w:eastAsia="宋体" w:hint="default"/>
          <w:sz w:val="18"/>
          <w:szCs w:val="18"/>
        </w:rPr>
      </w:pPr>
      <w:r>
        <w:rPr>
          <w:rFonts w:ascii="宋体" w:hAnsi="宋体" w:cs="宋体" w:eastAsia="宋体" w:hint="default"/>
          <w:spacing w:val="-2"/>
          <w:sz w:val="18"/>
          <w:szCs w:val="18"/>
        </w:rPr>
        <w:t>从与治理层沟通过的事项中，我们确定哪些事项对本期财务报表审计最为重要，因而构成关键审计事项。我们在审计报</w:t>
      </w:r>
      <w:r>
        <w:rPr>
          <w:rFonts w:ascii="宋体" w:hAnsi="宋体" w:cs="宋体" w:eastAsia="宋体" w:hint="default"/>
          <w:sz w:val="18"/>
          <w:szCs w:val="18"/>
        </w:rPr>
        <w:t> </w:t>
      </w:r>
      <w:r>
        <w:rPr>
          <w:rFonts w:ascii="宋体" w:hAnsi="宋体" w:cs="宋体" w:eastAsia="宋体" w:hint="default"/>
          <w:spacing w:val="-2"/>
          <w:sz w:val="18"/>
          <w:szCs w:val="18"/>
        </w:rPr>
        <w:t>告中描述这些事项，除非法律法规禁止公开披露这些事项，或在极少数情形下，如果合理预期在审计报告中沟通某事项造成</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的负面后果超过在公众利益方面产生的益处，我们确定不应在审计报告中沟通该事项。</w:t>
      </w:r>
    </w:p>
    <w:p>
      <w:pPr>
        <w:tabs>
          <w:tab w:pos="5587" w:val="left" w:leader="none"/>
        </w:tabs>
        <w:spacing w:before="19"/>
        <w:ind w:left="712" w:right="1133" w:firstLine="0"/>
        <w:jc w:val="left"/>
        <w:rPr>
          <w:rFonts w:ascii="宋体" w:hAnsi="宋体" w:cs="宋体" w:eastAsia="宋体" w:hint="default"/>
          <w:sz w:val="18"/>
          <w:szCs w:val="18"/>
        </w:rPr>
      </w:pPr>
      <w:r>
        <w:rPr>
          <w:rFonts w:ascii="宋体" w:hAnsi="宋体" w:cs="宋体" w:eastAsia="宋体" w:hint="default"/>
          <w:spacing w:val="-1"/>
          <w:sz w:val="18"/>
          <w:szCs w:val="18"/>
        </w:rPr>
        <w:t>大华会计师事务所</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特殊普通合伙</w:t>
      </w:r>
      <w:r>
        <w:rPr>
          <w:rFonts w:ascii="Times New Roman" w:hAnsi="Times New Roman" w:cs="Times New Roman" w:eastAsia="Times New Roman" w:hint="default"/>
          <w:spacing w:val="-1"/>
          <w:sz w:val="18"/>
          <w:szCs w:val="18"/>
        </w:rPr>
        <w:t>)</w:t>
        <w:tab/>
      </w:r>
      <w:r>
        <w:rPr>
          <w:rFonts w:ascii="宋体" w:hAnsi="宋体" w:cs="宋体" w:eastAsia="宋体" w:hint="default"/>
          <w:spacing w:val="-1"/>
          <w:sz w:val="18"/>
          <w:szCs w:val="18"/>
        </w:rPr>
        <w:t>中国注册会计师：钟平修</w:t>
      </w:r>
    </w:p>
    <w:p>
      <w:pPr>
        <w:tabs>
          <w:tab w:pos="5618" w:val="left" w:leader="none"/>
        </w:tabs>
        <w:spacing w:before="63"/>
        <w:ind w:left="712" w:right="1133" w:firstLine="0"/>
        <w:jc w:val="left"/>
        <w:rPr>
          <w:rFonts w:ascii="宋体" w:hAnsi="宋体" w:cs="宋体" w:eastAsia="宋体" w:hint="default"/>
          <w:sz w:val="18"/>
          <w:szCs w:val="18"/>
        </w:rPr>
      </w:pPr>
      <w:r>
        <w:rPr>
          <w:rFonts w:ascii="宋体" w:hAnsi="宋体" w:cs="宋体" w:eastAsia="宋体" w:hint="default"/>
          <w:spacing w:val="-1"/>
          <w:sz w:val="18"/>
          <w:szCs w:val="18"/>
        </w:rPr>
        <w:t>中国</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北京</w:t>
        <w:tab/>
        <w:t>（项目合伙人）</w:t>
      </w:r>
    </w:p>
    <w:p>
      <w:pPr>
        <w:spacing w:line="316" w:lineRule="auto" w:before="63"/>
        <w:ind w:left="5587" w:right="3339" w:firstLine="0"/>
        <w:jc w:val="left"/>
        <w:rPr>
          <w:rFonts w:ascii="宋体" w:hAnsi="宋体" w:cs="宋体" w:eastAsia="宋体" w:hint="default"/>
          <w:sz w:val="18"/>
          <w:szCs w:val="18"/>
        </w:rPr>
      </w:pPr>
      <w:r>
        <w:rPr>
          <w:rFonts w:ascii="宋体" w:hAnsi="宋体" w:cs="宋体" w:eastAsia="宋体" w:hint="default"/>
          <w:sz w:val="18"/>
          <w:szCs w:val="18"/>
        </w:rPr>
        <w:t>中国注册会计师：曹云华 二〇二〇年四月二十七日</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bookmarkStart w:name="二、财务报表" w:id="157"/>
      <w:bookmarkEnd w:id="157"/>
      <w:r>
        <w:rPr>
          <w:b w:val="0"/>
          <w:bCs w:val="0"/>
        </w:rPr>
      </w:r>
      <w:r>
        <w:rPr/>
        <w:t>二、财务报表</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财务附注中报表的单位为：元</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1、合并资产负债表" w:id="158"/>
      <w:bookmarkEnd w:id="158"/>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编制单位：成都卫士通信息产业股份有限公司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753" w:space="323"/>
            <w:col w:w="1642" w:space="3202"/>
            <w:col w:w="201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819"/>
        <w:gridCol w:w="2412"/>
        <w:gridCol w:w="2326"/>
      </w:tblGrid>
      <w:tr>
        <w:trPr>
          <w:trHeight w:val="403"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2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797"/>
        <w:gridCol w:w="2423"/>
        <w:gridCol w:w="2338"/>
      </w:tblGrid>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1,499,545,065.00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1,945,556,008.67</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546,101,869.69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229,064,408.57</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1,519,745,709.28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1,722,557,405.12</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98,628,366.95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77,708,983.32</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64,421,456.20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67,416,500.37</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290,513,173.37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309,816,827.24</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70,735,458.24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57,007,487.67</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4,089,691,098.73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4,409,127,620.96</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28,795,629.56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31,418,091.71</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2,528,373.48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797"/>
        <w:gridCol w:w="2423"/>
        <w:gridCol w:w="2338"/>
      </w:tblGrid>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309,875,547.72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263,195,958.75</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1,176,786,119.27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1,174,009,876.86</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97,622,132.26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98,507,941.37</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97,548,790.91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70,532,316.59</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7,991.91</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215,440.34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147,408.17</w:t>
            </w: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91,105,235.43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72,903,806.70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62,456,675.83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98,427,870.88</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1,866,933,944.80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1,811,151,262.94</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5,956,625,043.53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6,220,278,883.90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125,479,387.70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133,333,862.32</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956,996,862.57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1,042,370,788.71</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105,159,492.79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87,737,208.94</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33,094,019.16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26,777,560.23</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58,702,700.79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100,748,010.32</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35,402,811.25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48,233,428.23</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797"/>
        <w:gridCol w:w="2423"/>
        <w:gridCol w:w="2338"/>
      </w:tblGrid>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1,314,835,274.26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1,689,200,858.75</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39,149,670.15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76,398,360.22</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39,149,670.15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76,398,360.22</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1,353,984,944.41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1,765,599,218.97</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838,336,028.00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838,336,028.00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2,591,349,841.73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2,591,160,188.47</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-271,626.52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55,640,199.90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53,927,961.69</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1,065,739,548.74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924,261,339.03</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4,550,793,991.85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4,406,885,517.19</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51,846,107.27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47,794,147.74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819"/>
        <w:gridCol w:w="2412"/>
        <w:gridCol w:w="2338"/>
      </w:tblGrid>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4,602,640,099.12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4,454,679,664.93</w:t>
            </w:r>
          </w:p>
        </w:tc>
      </w:tr>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5,956,625,043.53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6,220,278,883.90</w:t>
            </w:r>
          </w:p>
        </w:tc>
      </w:tr>
    </w:tbl>
    <w:p>
      <w:pPr>
        <w:spacing w:line="240" w:lineRule="auto" w:before="11"/>
        <w:rPr>
          <w:rFonts w:ascii="Times New Roman" w:hAnsi="Times New Roman" w:cs="Times New Roman" w:eastAsia="Times New Roman" w:hint="default"/>
          <w:sz w:val="22"/>
          <w:szCs w:val="22"/>
        </w:rPr>
      </w:pPr>
    </w:p>
    <w:p>
      <w:pPr>
        <w:tabs>
          <w:tab w:pos="3334" w:val="left" w:leader="none"/>
          <w:tab w:pos="7566" w:val="left" w:leader="none"/>
        </w:tabs>
        <w:spacing w:before="44"/>
        <w:ind w:left="0" w:right="1225" w:firstLine="0"/>
        <w:jc w:val="right"/>
        <w:rPr>
          <w:rFonts w:ascii="宋体" w:hAnsi="宋体" w:cs="宋体" w:eastAsia="宋体" w:hint="default"/>
          <w:sz w:val="18"/>
          <w:szCs w:val="18"/>
        </w:rPr>
      </w:pPr>
      <w:r>
        <w:rPr>
          <w:rFonts w:ascii="宋体" w:hAnsi="宋体" w:cs="宋体" w:eastAsia="宋体" w:hint="default"/>
          <w:sz w:val="18"/>
          <w:szCs w:val="18"/>
        </w:rPr>
        <w:t>法定代表人：卿昱</w:t>
        <w:tab/>
      </w:r>
      <w:r>
        <w:rPr>
          <w:rFonts w:ascii="宋体" w:hAnsi="宋体" w:cs="宋体" w:eastAsia="宋体" w:hint="default"/>
          <w:spacing w:val="-1"/>
          <w:sz w:val="18"/>
          <w:szCs w:val="18"/>
        </w:rPr>
        <w:t>主管会计工作负责人：刘志惠</w:t>
        <w:tab/>
      </w:r>
      <w:r>
        <w:rPr>
          <w:rFonts w:ascii="宋体" w:hAnsi="宋体" w:cs="宋体" w:eastAsia="宋体" w:hint="default"/>
          <w:sz w:val="18"/>
          <w:szCs w:val="18"/>
        </w:rPr>
        <w:t>会计机构负责人：周天文</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2、母公司资产负债表" w:id="159"/>
      <w:bookmarkEnd w:id="159"/>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97"/>
        <w:gridCol w:w="2423"/>
        <w:gridCol w:w="2338"/>
      </w:tblGrid>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98,342,460.09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505,016,454.52</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12,346,897.06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46,497,048.57</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361,145,582.55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212,042,479.14</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9,339,741.45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5,378,078.05</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29,711,438.00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84,334,267.62</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40,254,350.51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42,383,164.72</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105,733,539.21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531,543.03</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656,874,008.87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896,183,035.65</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3,368,030,193.43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3,378,702,655.58</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2,528,373.48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797"/>
        <w:gridCol w:w="2423"/>
        <w:gridCol w:w="2338"/>
      </w:tblGrid>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141,846,680.77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138,027,045.15</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1,912,630.20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13,158,046.50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5,354,195.42</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51,255,323.25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37,667,654.12</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91,143.03</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28,837,258.37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27,251,346.17</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3,605,655,875.80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3,591,006,669.67</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4,262,529,884.67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4,487,189,705.32</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250,000,000.00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7,796,200.00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474,550,797.05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417,956,474.16</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15,095,752.01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10,909,495.16</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8,258,286.27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7,049,727.67</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5,427,953.81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7,425,218.87</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32,584,930.33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49,027,139.37</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535,917,719.47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750,164,255.23</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797"/>
        <w:gridCol w:w="2423"/>
        <w:gridCol w:w="2338"/>
      </w:tblGrid>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10,220,171.65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25,709,171.66</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10,220,171.65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25,709,171.66</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546,137,891.12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775,873,426.89</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838,336,028.00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838,336,028.00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2,662,430,356.78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2,662,430,356.78</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-271,626.52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55,640,199.90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53,927,961.69</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160,257,035.39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157,421,931.96</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3,716,391,993.55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3,711,316,278.43</w:t>
            </w: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4,262,529,884.67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4,487,189,705.32</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33"/>
        <w:jc w:val="left"/>
        <w:rPr>
          <w:b w:val="0"/>
          <w:bCs w:val="0"/>
        </w:rPr>
      </w:pPr>
      <w:bookmarkStart w:name="3、合并利润表" w:id="160"/>
      <w:bookmarkEnd w:id="160"/>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97"/>
        <w:gridCol w:w="2423"/>
        <w:gridCol w:w="2336"/>
      </w:tblGrid>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2,103,759,987.90</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1,930,998,380.73</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2,103,759,987.90</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1,930,998,380.73</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797"/>
        <w:gridCol w:w="2423"/>
        <w:gridCol w:w="2336"/>
      </w:tblGrid>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1,984,493,784.00</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1,793,579,759.19</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1,419,198,764.60</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1,254,943,283.94</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提取保险责任合同准备金净额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13,100,729.06</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14,204,280.82</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248,574,586.24</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231,582,582.64</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141,128,649.83</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143,212,445.96</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191,595,542.22</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192,665,350.81</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-29,104,487.95</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-43,028,184.98</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452,331.38</w:t>
            </w: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802"/>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29,794,533.66</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43,206,851.57</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71,656,320.57</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62,828,575.38</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-2,622,462.15</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-3,988,314.96</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-2,622,462.15</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-4,188,314.96</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-32,382,317.80</w:t>
            </w: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-8,093,813.89</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-90,896,965.86</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-20,699.46</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147,823,930.63</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105,341,216.64</w:t>
            </w: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6,337,939.61</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23,655,268.73</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1,535,936.89</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570,346.37</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152,625,933.35</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128,426,139.00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-6,331,167.78</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3,943,873.66</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158,957,101.13</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124,482,265.34</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158,957,101.13</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124,482,265.34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797"/>
        <w:gridCol w:w="2423"/>
        <w:gridCol w:w="2336"/>
      </w:tblGrid>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155,765,488.34</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120,204,513.73</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3,191,612.79</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4,277,751.61</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528,373.48</w:t>
            </w: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528,373.48</w:t>
            </w: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528,373.48</w:t>
            </w: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528,373.48</w:t>
            </w: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持有至到期投资重分类为可供出售金融资产损</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159,485,474.61</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124,482,265.34</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156,293,861.82</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120,204,513.73</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3,191,612.79</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4,277,751.61</w:t>
            </w: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0.1858</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0.1434</w:t>
            </w: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0.1858</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0.1434</w:t>
            </w:r>
          </w:p>
        </w:tc>
      </w:tr>
    </w:tbl>
    <w:p>
      <w:pPr>
        <w:tabs>
          <w:tab w:pos="3487" w:val="left" w:leader="none"/>
          <w:tab w:pos="7718" w:val="left" w:leader="none"/>
        </w:tabs>
        <w:spacing w:line="588" w:lineRule="auto" w:before="49"/>
        <w:ind w:left="152" w:right="1225"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 </w:t>
      </w:r>
      <w:r>
        <w:rPr>
          <w:rFonts w:ascii="宋体" w:hAnsi="宋体" w:cs="宋体" w:eastAsia="宋体" w:hint="default"/>
          <w:spacing w:val="-3"/>
          <w:sz w:val="18"/>
          <w:szCs w:val="18"/>
        </w:rPr>
        <w:t>元。 </w:t>
      </w:r>
      <w:r>
        <w:rPr>
          <w:rFonts w:ascii="宋体" w:hAnsi="宋体" w:cs="宋体" w:eastAsia="宋体" w:hint="default"/>
          <w:sz w:val="18"/>
          <w:szCs w:val="18"/>
        </w:rPr>
        <w:t>法定代表人：卿昱</w:t>
        <w:tab/>
      </w:r>
      <w:r>
        <w:rPr>
          <w:rFonts w:ascii="宋体" w:hAnsi="宋体" w:cs="宋体" w:eastAsia="宋体" w:hint="default"/>
          <w:spacing w:val="-1"/>
          <w:sz w:val="18"/>
          <w:szCs w:val="18"/>
        </w:rPr>
        <w:t>主管会计工作负责人：刘志惠</w:t>
        <w:tab/>
      </w:r>
      <w:r>
        <w:rPr>
          <w:rFonts w:ascii="宋体" w:hAnsi="宋体" w:cs="宋体" w:eastAsia="宋体" w:hint="default"/>
          <w:sz w:val="18"/>
          <w:szCs w:val="18"/>
        </w:rPr>
        <w:t>会计机构负责人：周天文</w:t>
      </w:r>
    </w:p>
    <w:p>
      <w:pPr>
        <w:spacing w:after="0" w:line="588"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4、母公司利润表" w:id="161"/>
      <w:bookmarkEnd w:id="161"/>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97"/>
        <w:gridCol w:w="2423"/>
        <w:gridCol w:w="2338"/>
      </w:tblGrid>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357,444,976.82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313,785,978.83</w:t>
            </w: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193,615,987.42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196,801,228.06</w:t>
            </w:r>
          </w:p>
        </w:tc>
      </w:tr>
      <w:tr>
        <w:trPr>
          <w:trHeight w:val="40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2,992,175.21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3,552,825.73</w:t>
            </w: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43,451,106.93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46,626,487.06</w:t>
            </w:r>
          </w:p>
        </w:tc>
      </w:tr>
      <w:tr>
        <w:trPr>
          <w:trHeight w:val="40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48,144,943.51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48,762,154.88</w:t>
            </w: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74,541,617.91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86,906,522.27</w:t>
            </w:r>
          </w:p>
        </w:tc>
      </w:tr>
      <w:tr>
        <w:trPr>
          <w:trHeight w:val="40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-480,031.51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-1,266,067.92</w:t>
            </w: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190,312.50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5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707,156.89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1,307,742.04</w:t>
            </w: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22,419,786.53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28,026,756.78</w:t>
            </w:r>
          </w:p>
        </w:tc>
      </w:tr>
      <w:tr>
        <w:trPr>
          <w:trHeight w:val="40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1,095,813.55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46,011,685.04</w:t>
            </w: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-2,622,462.15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-4,188,314.96</w:t>
            </w:r>
          </w:p>
        </w:tc>
      </w:tr>
      <w:tr>
        <w:trPr>
          <w:trHeight w:val="71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3"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以摊余成本计量的金融资产终止确认收益（损 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-334,078.85</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-4,164,609.60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-5,032,065.17</w:t>
            </w: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14,196,088.98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1,409,205.40</w:t>
            </w: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1,372,329.64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16,674,415.94</w:t>
            </w:r>
          </w:p>
        </w:tc>
      </w:tr>
      <w:tr>
        <w:trPr>
          <w:trHeight w:val="40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31,948.76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67,164.31</w:t>
            </w: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15,536,469.86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18,016,457.03</w:t>
            </w:r>
          </w:p>
        </w:tc>
      </w:tr>
      <w:tr>
        <w:trPr>
          <w:trHeight w:val="40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-1,585,912.20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-10,323,810.19</w:t>
            </w:r>
          </w:p>
        </w:tc>
      </w:tr>
      <w:tr>
        <w:trPr>
          <w:trHeight w:val="404"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17,122,382.06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28,340,267.22</w:t>
            </w:r>
          </w:p>
        </w:tc>
      </w:tr>
      <w:tr>
        <w:trPr>
          <w:trHeight w:val="40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4"/>
              <w:jc w:val="right"/>
              <w:rPr>
                <w:rFonts w:ascii="宋体" w:hAnsi="宋体" w:cs="宋体" w:eastAsia="宋体" w:hint="default"/>
                <w:sz w:val="18"/>
                <w:szCs w:val="18"/>
              </w:rPr>
            </w:pPr>
            <w:r>
              <w:rPr>
                <w:rFonts w:ascii="宋体" w:hAnsi="宋体" w:cs="宋体" w:eastAsia="宋体" w:hint="default"/>
                <w:spacing w:val="-1"/>
                <w:sz w:val="18"/>
                <w:szCs w:val="18"/>
              </w:rPr>
              <w:t>（一）持续经营净利润（净亏损以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17,122,382.06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28,340,267.22</w:t>
            </w: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4"/>
              <w:jc w:val="right"/>
              <w:rPr>
                <w:rFonts w:ascii="宋体" w:hAnsi="宋体" w:cs="宋体" w:eastAsia="宋体" w:hint="default"/>
                <w:sz w:val="18"/>
                <w:szCs w:val="18"/>
              </w:rPr>
            </w:pPr>
            <w:r>
              <w:rPr>
                <w:rFonts w:ascii="宋体" w:hAnsi="宋体" w:cs="宋体" w:eastAsia="宋体" w:hint="default"/>
                <w:spacing w:val="-1"/>
                <w:sz w:val="18"/>
                <w:szCs w:val="18"/>
              </w:rPr>
              <w:t>（二）终止经营净利润（净亏损以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528,373.48</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528,373.48</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797"/>
        <w:gridCol w:w="2423"/>
        <w:gridCol w:w="2338"/>
      </w:tblGrid>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528,373.48</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持有至到期投资重分类为可供出售金融资产损</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17,650,755.54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2" w:right="0"/>
              <w:jc w:val="left"/>
              <w:rPr>
                <w:rFonts w:ascii="Times New Roman" w:hAnsi="Times New Roman" w:cs="Times New Roman" w:eastAsia="Times New Roman" w:hint="default"/>
                <w:sz w:val="18"/>
                <w:szCs w:val="18"/>
              </w:rPr>
            </w:pPr>
            <w:r>
              <w:rPr>
                <w:rFonts w:ascii="Times New Roman"/>
                <w:sz w:val="18"/>
              </w:rPr>
              <w:t>28,340,267.22</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5、合并现金流量表" w:id="162"/>
      <w:bookmarkEnd w:id="162"/>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97"/>
        <w:gridCol w:w="2423"/>
        <w:gridCol w:w="2338"/>
      </w:tblGrid>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122" w:right="0"/>
              <w:jc w:val="left"/>
              <w:rPr>
                <w:rFonts w:ascii="Times New Roman" w:hAnsi="Times New Roman" w:cs="Times New Roman" w:eastAsia="Times New Roman" w:hint="default"/>
                <w:sz w:val="18"/>
                <w:szCs w:val="18"/>
              </w:rPr>
            </w:pPr>
            <w:r>
              <w:rPr>
                <w:rFonts w:ascii="Times New Roman"/>
                <w:sz w:val="18"/>
              </w:rPr>
              <w:t>2,214,313,096.05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7" w:right="0"/>
              <w:jc w:val="left"/>
              <w:rPr>
                <w:rFonts w:ascii="Times New Roman" w:hAnsi="Times New Roman" w:cs="Times New Roman" w:eastAsia="Times New Roman" w:hint="default"/>
                <w:sz w:val="18"/>
                <w:szCs w:val="18"/>
              </w:rPr>
            </w:pPr>
            <w:r>
              <w:rPr>
                <w:rFonts w:ascii="Times New Roman"/>
                <w:sz w:val="18"/>
              </w:rPr>
              <w:t>1,946,153,873.75</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713"/>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713"/>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797"/>
        <w:gridCol w:w="2423"/>
        <w:gridCol w:w="2338"/>
      </w:tblGrid>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32,435,330.58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18,593,961.04</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63,631,097.91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162,782,725.27</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2,310,379,524.54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2,127,530,560.06</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1,668,025,311.88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1,373,748,309.17</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410,903,195.60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375,564,270.96</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113,097,155.67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176,298,883.58</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216,239,898.72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169,050,138.86</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2,408,265,561.87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2,094,661,602.57</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-97,886,037.33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32,868,957.49</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714"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3,838.00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2,535.56</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3,838.00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202,535.56</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83,769,127.77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153,205,012.36</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83,769,127.77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162,205,012.36</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-83,765,289.77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-162,002,476.80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1,050,000.00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1,050,000.00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819"/>
        <w:gridCol w:w="2412"/>
        <w:gridCol w:w="2338"/>
      </w:tblGrid>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250,000,000.00</w:t>
            </w:r>
          </w:p>
        </w:tc>
      </w:tr>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250,000,000.00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12,765,352.92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41,916,801.40</w:t>
            </w:r>
          </w:p>
        </w:tc>
      </w:tr>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7,680.18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15,708,255.71</w:t>
            </w:r>
          </w:p>
        </w:tc>
      </w:tr>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262,773,033.10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57,625,057.11</w:t>
            </w:r>
          </w:p>
        </w:tc>
      </w:tr>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-261,723,033.10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192,374,942.89</w:t>
            </w:r>
          </w:p>
        </w:tc>
      </w:tr>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-443,374,360.20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63,241,423.58</w:t>
            </w:r>
          </w:p>
        </w:tc>
      </w:tr>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1,931,298,590.37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1,868,057,166.79</w:t>
            </w:r>
          </w:p>
        </w:tc>
      </w:tr>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1,487,924,230.17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1,931,298,590.37</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33"/>
        <w:jc w:val="left"/>
        <w:rPr>
          <w:b w:val="0"/>
          <w:bCs w:val="0"/>
        </w:rPr>
      </w:pPr>
      <w:bookmarkStart w:name="6、母公司现金流量表" w:id="163"/>
      <w:bookmarkEnd w:id="163"/>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97"/>
        <w:gridCol w:w="2423"/>
        <w:gridCol w:w="2338"/>
      </w:tblGrid>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277,478,174.40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503,151,412.80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8,163,523.56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7,935,011.24</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6,182,421.80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54,812,810.85</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291,824,119.76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565,899,234.89</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182,734,775.00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132,733,006.41</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102,337,533.43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112,952,322.84</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21,636,228.09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29,152,949.49</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59,918,577.20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171,597,500.80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366,627,113.72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446,435,779.54</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-74,802,993.96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119,463,455.35</w:t>
            </w: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10,753,000.00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52,952,930.59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30,200,000.00</w:t>
            </w:r>
          </w:p>
        </w:tc>
      </w:tr>
      <w:tr>
        <w:trPr>
          <w:trHeight w:val="714"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318.00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797"/>
        <w:gridCol w:w="2423"/>
        <w:gridCol w:w="2338"/>
      </w:tblGrid>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63,706,248.59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30,200,500.00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30,860,502.36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18,415,156.01</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101,950,000.00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24,682,992.68</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132,810,502.36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43,098,148.69</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-69,104,253.77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-12,897,648.69</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250,000,000.00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250,000,000.00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250,000,000.00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12,765,352.92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41,916,801.40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7,680.18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25,263.03</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262,773,033.10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41,942,064.43</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-262,773,033.10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208,057,935.57</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-406,680,280.83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314,623,742.23</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505,000,340.44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190,376,598.21</w:t>
            </w: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98,320,059.61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505,000,340.44</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7、合并所有者权益变动表" w:id="164"/>
      <w:bookmarkEnd w:id="164"/>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41"/>
        <w:gridCol w:w="494"/>
        <w:gridCol w:w="466"/>
        <w:gridCol w:w="466"/>
        <w:gridCol w:w="468"/>
        <w:gridCol w:w="682"/>
        <w:gridCol w:w="487"/>
        <w:gridCol w:w="583"/>
        <w:gridCol w:w="584"/>
        <w:gridCol w:w="583"/>
        <w:gridCol w:w="583"/>
        <w:gridCol w:w="586"/>
        <w:gridCol w:w="584"/>
        <w:gridCol w:w="583"/>
        <w:gridCol w:w="586"/>
        <w:gridCol w:w="578"/>
      </w:tblGrid>
      <w:tr>
        <w:trPr>
          <w:trHeight w:val="401" w:hRule="exact"/>
        </w:trPr>
        <w:tc>
          <w:tcPr>
            <w:tcW w:w="1241" w:type="dxa"/>
            <w:vMerge w:val="restart"/>
            <w:tcBorders>
              <w:top w:val="single" w:sz="4" w:space="0" w:color="000000"/>
              <w:left w:val="single" w:sz="4" w:space="0" w:color="000000"/>
              <w:right w:val="single" w:sz="4" w:space="0" w:color="000000"/>
            </w:tcBorders>
            <w:shd w:val="clear" w:color="auto" w:fill="D2D2D2"/>
          </w:tcPr>
          <w:p>
            <w:pPr/>
          </w:p>
        </w:tc>
        <w:tc>
          <w:tcPr>
            <w:tcW w:w="831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96"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151" w:hRule="exact"/>
        </w:trPr>
        <w:tc>
          <w:tcPr>
            <w:tcW w:w="1241" w:type="dxa"/>
            <w:vMerge/>
            <w:tcBorders>
              <w:left w:val="single" w:sz="4" w:space="0" w:color="000000"/>
              <w:bottom w:val="nil" w:sz="6" w:space="0" w:color="auto"/>
              <w:right w:val="single" w:sz="4" w:space="0" w:color="000000"/>
            </w:tcBorders>
            <w:shd w:val="clear" w:color="auto" w:fill="D2D2D2"/>
          </w:tcPr>
          <w:p>
            <w:pPr/>
          </w:p>
        </w:tc>
        <w:tc>
          <w:tcPr>
            <w:tcW w:w="7149" w:type="dxa"/>
            <w:gridSpan w:val="13"/>
            <w:vMerge/>
            <w:tcBorders>
              <w:left w:val="single" w:sz="4" w:space="0" w:color="000000"/>
              <w:bottom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0"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tcBorders>
              <w:left w:val="single" w:sz="4" w:space="0" w:color="000000"/>
              <w:right w:val="single" w:sz="4" w:space="0" w:color="000000"/>
            </w:tcBorders>
            <w:shd w:val="clear" w:color="auto" w:fill="D2D2D2"/>
          </w:tcPr>
          <w:p>
            <w:pPr/>
          </w:p>
        </w:tc>
      </w:tr>
      <w:tr>
        <w:trPr>
          <w:trHeight w:val="205" w:hRule="exact"/>
        </w:trPr>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94" w:type="dxa"/>
            <w:vMerge w:val="restart"/>
            <w:tcBorders>
              <w:top w:val="single" w:sz="4" w:space="0" w:color="000000"/>
              <w:left w:val="single" w:sz="4" w:space="0" w:color="000000"/>
              <w:right w:val="single" w:sz="4" w:space="0" w:color="000000"/>
            </w:tcBorders>
            <w:shd w:val="clear" w:color="auto" w:fill="D2D2D2"/>
          </w:tcPr>
          <w:p>
            <w:pPr/>
          </w:p>
        </w:tc>
        <w:tc>
          <w:tcPr>
            <w:tcW w:w="14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48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57" w:right="59"/>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000000"/>
              <w:left w:val="single" w:sz="4" w:space="0" w:color="000000"/>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63" w:hRule="exact"/>
        </w:trPr>
        <w:tc>
          <w:tcPr>
            <w:tcW w:w="1241" w:type="dxa"/>
            <w:vMerge/>
            <w:tcBorders>
              <w:left w:val="single" w:sz="4" w:space="0" w:color="000000"/>
              <w:bottom w:val="single" w:sz="18" w:space="0" w:color="FFFFFF"/>
              <w:right w:val="single" w:sz="4" w:space="0" w:color="000000"/>
            </w:tcBorders>
            <w:shd w:val="clear" w:color="auto" w:fill="D2D2D2"/>
          </w:tcPr>
          <w:p>
            <w:pPr/>
          </w:p>
        </w:tc>
        <w:tc>
          <w:tcPr>
            <w:tcW w:w="494" w:type="dxa"/>
            <w:vMerge/>
            <w:tcBorders>
              <w:left w:val="single" w:sz="4" w:space="0" w:color="000000"/>
              <w:bottom w:val="single" w:sz="18" w:space="0" w:color="FFFFFF"/>
              <w:right w:val="single" w:sz="4" w:space="0" w:color="000000"/>
            </w:tcBorders>
            <w:shd w:val="clear" w:color="auto" w:fill="D2D2D2"/>
          </w:tcPr>
          <w:p>
            <w:pPr/>
          </w:p>
        </w:tc>
        <w:tc>
          <w:tcPr>
            <w:tcW w:w="1400" w:type="dxa"/>
            <w:gridSpan w:val="3"/>
            <w:vMerge/>
            <w:tcBorders>
              <w:left w:val="single" w:sz="4" w:space="0" w:color="000000"/>
              <w:bottom w:val="single" w:sz="18" w:space="0" w:color="FFFFFF"/>
              <w:right w:val="single" w:sz="4" w:space="0" w:color="000000"/>
            </w:tcBorders>
            <w:shd w:val="clear" w:color="auto" w:fill="D2D2D2"/>
          </w:tcPr>
          <w:p>
            <w:pPr/>
          </w:p>
        </w:tc>
        <w:tc>
          <w:tcPr>
            <w:tcW w:w="68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4"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487"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5" w:hRule="exact"/>
        </w:trPr>
        <w:tc>
          <w:tcPr>
            <w:tcW w:w="1241" w:type="dxa"/>
            <w:vMerge w:val="restart"/>
            <w:tcBorders>
              <w:top w:val="single" w:sz="18" w:space="0" w:color="FFFFFF"/>
              <w:left w:val="single" w:sz="4" w:space="0" w:color="000000"/>
              <w:right w:val="single" w:sz="4" w:space="0" w:color="000000"/>
            </w:tcBorders>
            <w:shd w:val="clear" w:color="auto" w:fill="D2D2D2"/>
          </w:tcPr>
          <w:p>
            <w:pPr/>
          </w:p>
        </w:tc>
        <w:tc>
          <w:tcPr>
            <w:tcW w:w="494" w:type="dxa"/>
            <w:vMerge w:val="restart"/>
            <w:tcBorders>
              <w:top w:val="single" w:sz="18" w:space="0" w:color="FFFFFF"/>
              <w:left w:val="single" w:sz="4" w:space="0" w:color="000000"/>
              <w:right w:val="single" w:sz="4" w:space="0" w:color="000000"/>
            </w:tcBorders>
            <w:shd w:val="clear" w:color="auto" w:fill="D2D2D2"/>
          </w:tcPr>
          <w:p>
            <w:pPr>
              <w:pStyle w:val="TableParagraph"/>
              <w:spacing w:line="240" w:lineRule="auto" w:before="19"/>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18" w:space="0" w:color="FFFFFF"/>
              <w:left w:val="single" w:sz="4" w:space="0" w:color="000000"/>
              <w:right w:val="single" w:sz="4" w:space="0" w:color="000000"/>
            </w:tcBorders>
            <w:shd w:val="clear" w:color="auto" w:fill="D2D2D2"/>
          </w:tcPr>
          <w:p>
            <w:pPr>
              <w:pStyle w:val="TableParagraph"/>
              <w:spacing w:line="316" w:lineRule="auto" w:before="65"/>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vMerge w:val="restart"/>
            <w:tcBorders>
              <w:top w:val="single" w:sz="18" w:space="0" w:color="FFFFFF"/>
              <w:left w:val="single" w:sz="4" w:space="0" w:color="000000"/>
              <w:right w:val="single" w:sz="4" w:space="0" w:color="000000"/>
            </w:tcBorders>
            <w:shd w:val="clear" w:color="auto" w:fill="D2D2D2"/>
          </w:tcPr>
          <w:p>
            <w:pPr>
              <w:pStyle w:val="TableParagraph"/>
              <w:spacing w:line="316" w:lineRule="auto" w:before="65"/>
              <w:ind w:left="139" w:right="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18" w:space="0" w:color="FFFFFF"/>
              <w:left w:val="single" w:sz="4" w:space="0" w:color="000000"/>
              <w:bottom w:val="nil" w:sz="6" w:space="0" w:color="auto"/>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487"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2"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2" w:type="dxa"/>
            <w:vMerge/>
            <w:tcBorders>
              <w:left w:val="single" w:sz="4" w:space="0" w:color="000000"/>
              <w:right w:val="single" w:sz="4" w:space="0" w:color="000000"/>
            </w:tcBorders>
            <w:shd w:val="clear" w:color="auto" w:fill="D2D2D2"/>
          </w:tcPr>
          <w:p>
            <w:pPr/>
          </w:p>
        </w:tc>
        <w:tc>
          <w:tcPr>
            <w:tcW w:w="487"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45" w:hRule="exact"/>
        </w:trPr>
        <w:tc>
          <w:tcPr>
            <w:tcW w:w="1241" w:type="dxa"/>
            <w:vMerge/>
            <w:tcBorders>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tcBorders>
              <w:left w:val="single" w:sz="4" w:space="0" w:color="000000"/>
              <w:bottom w:val="single" w:sz="18" w:space="0" w:color="FFFFFF"/>
              <w:right w:val="single" w:sz="4" w:space="0" w:color="000000"/>
            </w:tcBorders>
            <w:shd w:val="clear" w:color="auto" w:fill="D2D2D2"/>
          </w:tcPr>
          <w:p>
            <w:pPr/>
          </w:p>
        </w:tc>
        <w:tc>
          <w:tcPr>
            <w:tcW w:w="682" w:type="dxa"/>
            <w:vMerge/>
            <w:tcBorders>
              <w:left w:val="single" w:sz="4" w:space="0" w:color="000000"/>
              <w:bottom w:val="single" w:sz="18" w:space="0" w:color="FFFFFF"/>
              <w:right w:val="single" w:sz="4" w:space="0" w:color="000000"/>
            </w:tcBorders>
            <w:shd w:val="clear" w:color="auto" w:fill="D2D2D2"/>
          </w:tcPr>
          <w:p>
            <w:pPr/>
          </w:p>
        </w:tc>
        <w:tc>
          <w:tcPr>
            <w:tcW w:w="487"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16"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single" w:sz="18" w:space="0" w:color="FFFFFF"/>
              <w:left w:val="single" w:sz="4" w:space="0" w:color="000000"/>
              <w:right w:val="single" w:sz="4" w:space="0" w:color="000000"/>
            </w:tcBorders>
            <w:shd w:val="clear" w:color="auto" w:fill="D2D2D2"/>
          </w:tcPr>
          <w:p>
            <w:pPr/>
          </w:p>
        </w:tc>
        <w:tc>
          <w:tcPr>
            <w:tcW w:w="682" w:type="dxa"/>
            <w:vMerge w:val="restart"/>
            <w:tcBorders>
              <w:top w:val="single" w:sz="18" w:space="0" w:color="FFFFFF"/>
              <w:left w:val="single" w:sz="4" w:space="0" w:color="000000"/>
              <w:right w:val="single" w:sz="4" w:space="0" w:color="000000"/>
            </w:tcBorders>
            <w:shd w:val="clear" w:color="auto" w:fill="D2D2D2"/>
          </w:tcPr>
          <w:p>
            <w:pPr/>
          </w:p>
        </w:tc>
        <w:tc>
          <w:tcPr>
            <w:tcW w:w="487"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78" w:type="dxa"/>
            <w:vMerge/>
            <w:tcBorders>
              <w:left w:val="single" w:sz="4" w:space="0" w:color="000000"/>
              <w:bottom w:val="nil" w:sz="6" w:space="0" w:color="auto"/>
              <w:right w:val="single" w:sz="4" w:space="0" w:color="000000"/>
            </w:tcBorders>
            <w:shd w:val="clear" w:color="auto" w:fill="D2D2D2"/>
          </w:tcPr>
          <w:p>
            <w:pPr/>
          </w:p>
        </w:tc>
      </w:tr>
      <w:tr>
        <w:trPr>
          <w:trHeight w:val="96" w:hRule="exact"/>
        </w:trPr>
        <w:tc>
          <w:tcPr>
            <w:tcW w:w="1241"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8" w:type="dxa"/>
            <w:vMerge/>
            <w:tcBorders>
              <w:left w:val="single" w:sz="4" w:space="0" w:color="000000"/>
              <w:bottom w:val="single" w:sz="4" w:space="0" w:color="000000"/>
              <w:right w:val="single" w:sz="4" w:space="0" w:color="000000"/>
            </w:tcBorders>
            <w:shd w:val="clear" w:color="auto" w:fill="D2D2D2"/>
          </w:tcPr>
          <w:p>
            <w:pPr/>
          </w:p>
        </w:tc>
        <w:tc>
          <w:tcPr>
            <w:tcW w:w="682" w:type="dxa"/>
            <w:vMerge/>
            <w:tcBorders>
              <w:left w:val="single" w:sz="4" w:space="0" w:color="000000"/>
              <w:bottom w:val="single" w:sz="4" w:space="0" w:color="000000"/>
              <w:right w:val="single" w:sz="4" w:space="0" w:color="000000"/>
            </w:tcBorders>
            <w:shd w:val="clear" w:color="auto" w:fill="D2D2D2"/>
          </w:tcPr>
          <w:p>
            <w:pPr/>
          </w:p>
        </w:tc>
        <w:tc>
          <w:tcPr>
            <w:tcW w:w="487"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838,3</w:t>
            </w:r>
          </w:p>
          <w:p>
            <w:pPr>
              <w:pStyle w:val="TableParagraph"/>
              <w:spacing w:line="240" w:lineRule="auto" w:before="102"/>
              <w:ind w:left="49" w:right="0"/>
              <w:jc w:val="left"/>
              <w:rPr>
                <w:rFonts w:ascii="Times New Roman" w:hAnsi="Times New Roman" w:cs="Times New Roman" w:eastAsia="Times New Roman" w:hint="default"/>
                <w:sz w:val="18"/>
                <w:szCs w:val="18"/>
              </w:rPr>
            </w:pPr>
            <w:r>
              <w:rPr>
                <w:rFonts w:ascii="Times New Roman"/>
                <w:sz w:val="18"/>
              </w:rPr>
              <w:t>36,02</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8.00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2,591,1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60,188.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w:t>
            </w:r>
          </w:p>
        </w:tc>
        <w:tc>
          <w:tcPr>
            <w:tcW w:w="487" w:type="dxa"/>
            <w:vMerge w:val="restart"/>
            <w:tcBorders>
              <w:top w:val="single" w:sz="22" w:space="0" w:color="D2D2D2"/>
              <w:left w:val="single" w:sz="4" w:space="0" w:color="000000"/>
              <w:right w:val="single" w:sz="4" w:space="0" w:color="000000"/>
            </w:tcBorders>
          </w:tcPr>
          <w:p>
            <w:pPr/>
          </w:p>
        </w:tc>
        <w:tc>
          <w:tcPr>
            <w:tcW w:w="583"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2"/>
              <w:ind w:left="146" w:right="0"/>
              <w:jc w:val="left"/>
              <w:rPr>
                <w:rFonts w:ascii="Times New Roman" w:hAnsi="Times New Roman" w:cs="Times New Roman" w:eastAsia="Times New Roman" w:hint="default"/>
                <w:sz w:val="18"/>
                <w:szCs w:val="18"/>
              </w:rPr>
            </w:pPr>
            <w:r>
              <w:rPr>
                <w:rFonts w:ascii="Times New Roman"/>
                <w:sz w:val="18"/>
              </w:rPr>
              <w:t>00.00</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53,927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,961.6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83" w:type="dxa"/>
            <w:vMerge w:val="restart"/>
            <w:tcBorders>
              <w:top w:val="single" w:sz="22" w:space="0" w:color="D2D2D2"/>
              <w:left w:val="single" w:sz="4" w:space="0" w:color="000000"/>
              <w:right w:val="single" w:sz="4" w:space="0" w:color="000000"/>
            </w:tcBorders>
          </w:tcPr>
          <w:p>
            <w:pPr/>
          </w:p>
        </w:tc>
        <w:tc>
          <w:tcPr>
            <w:tcW w:w="586" w:type="dxa"/>
            <w:vMerge w:val="restart"/>
            <w:tcBorders>
              <w:top w:val="single" w:sz="22" w:space="0" w:color="D2D2D2"/>
              <w:left w:val="single" w:sz="4" w:space="0" w:color="000000"/>
              <w:right w:val="single" w:sz="4" w:space="0" w:color="000000"/>
            </w:tcBorders>
          </w:tcPr>
          <w:p>
            <w:pPr>
              <w:pStyle w:val="TableParagraph"/>
              <w:spacing w:line="240" w:lineRule="auto" w:before="68"/>
              <w:ind w:left="60" w:right="0"/>
              <w:jc w:val="left"/>
              <w:rPr>
                <w:rFonts w:ascii="Times New Roman" w:hAnsi="Times New Roman" w:cs="Times New Roman" w:eastAsia="Times New Roman" w:hint="default"/>
                <w:sz w:val="18"/>
                <w:szCs w:val="18"/>
              </w:rPr>
            </w:pPr>
            <w:r>
              <w:rPr>
                <w:rFonts w:ascii="Times New Roman"/>
                <w:sz w:val="18"/>
              </w:rPr>
              <w:t>924,26</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1,339.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03</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4,406,</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885,51</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7.19</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47,794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,147.7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78" w:type="dxa"/>
            <w:vMerge w:val="restart"/>
            <w:tcBorders>
              <w:top w:val="single" w:sz="40" w:space="0" w:color="D2D2D2"/>
              <w:left w:val="single" w:sz="4" w:space="0" w:color="000000"/>
              <w:right w:val="single" w:sz="4" w:space="0" w:color="000000"/>
            </w:tcBorders>
          </w:tcPr>
          <w:p>
            <w:pPr>
              <w:pStyle w:val="TableParagraph"/>
              <w:spacing w:line="240" w:lineRule="auto" w:before="45"/>
              <w:ind w:left="75" w:right="0"/>
              <w:jc w:val="center"/>
              <w:rPr>
                <w:rFonts w:ascii="Times New Roman" w:hAnsi="Times New Roman" w:cs="Times New Roman" w:eastAsia="Times New Roman" w:hint="default"/>
                <w:sz w:val="18"/>
                <w:szCs w:val="18"/>
              </w:rPr>
            </w:pPr>
            <w:r>
              <w:rPr>
                <w:rFonts w:ascii="Times New Roman"/>
                <w:sz w:val="18"/>
              </w:rPr>
              <w:t>4,454,</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679,66</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4.93</w:t>
            </w:r>
          </w:p>
        </w:tc>
      </w:tr>
      <w:tr>
        <w:trPr>
          <w:trHeight w:val="703"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487"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487"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加：会计政策变</w:t>
            </w:r>
            <w:r>
              <w:rPr>
                <w:rFonts w:ascii="宋体" w:hAnsi="宋体" w:cs="宋体" w:eastAsia="宋体" w:hint="default"/>
                <w:sz w:val="18"/>
                <w:szCs w:val="18"/>
              </w:rPr>
              <w:t> 更</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682"/>
        <w:gridCol w:w="487"/>
        <w:gridCol w:w="583"/>
        <w:gridCol w:w="584"/>
        <w:gridCol w:w="583"/>
        <w:gridCol w:w="583"/>
        <w:gridCol w:w="586"/>
        <w:gridCol w:w="584"/>
        <w:gridCol w:w="583"/>
        <w:gridCol w:w="586"/>
        <w:gridCol w:w="578"/>
      </w:tblGrid>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37" w:firstLine="180"/>
              <w:jc w:val="left"/>
              <w:rPr>
                <w:rFonts w:ascii="宋体" w:hAnsi="宋体" w:cs="宋体" w:eastAsia="宋体" w:hint="default"/>
                <w:sz w:val="18"/>
                <w:szCs w:val="18"/>
              </w:rPr>
            </w:pPr>
            <w:r>
              <w:rPr>
                <w:rFonts w:ascii="宋体" w:hAnsi="宋体" w:cs="宋体" w:eastAsia="宋体" w:hint="default"/>
                <w:sz w:val="18"/>
                <w:szCs w:val="18"/>
              </w:rPr>
              <w:t>同一控制下 企业合并</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838,3</w:t>
            </w:r>
          </w:p>
          <w:p>
            <w:pPr>
              <w:pStyle w:val="TableParagraph"/>
              <w:spacing w:line="240" w:lineRule="auto" w:before="102"/>
              <w:ind w:left="55" w:right="0"/>
              <w:jc w:val="left"/>
              <w:rPr>
                <w:rFonts w:ascii="Times New Roman" w:hAnsi="Times New Roman" w:cs="Times New Roman" w:eastAsia="Times New Roman" w:hint="default"/>
                <w:sz w:val="18"/>
                <w:szCs w:val="18"/>
              </w:rPr>
            </w:pPr>
            <w:r>
              <w:rPr>
                <w:rFonts w:ascii="Times New Roman"/>
                <w:sz w:val="18"/>
              </w:rPr>
              <w:t>36,02</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2,591,1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60,188.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w:t>
            </w:r>
          </w:p>
        </w:tc>
        <w:tc>
          <w:tcPr>
            <w:tcW w:w="48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2"/>
              <w:ind w:left="146" w:right="0"/>
              <w:jc w:val="left"/>
              <w:rPr>
                <w:rFonts w:ascii="Times New Roman" w:hAnsi="Times New Roman" w:cs="Times New Roman" w:eastAsia="Times New Roman" w:hint="default"/>
                <w:sz w:val="18"/>
                <w:szCs w:val="18"/>
              </w:rPr>
            </w:pPr>
            <w:r>
              <w:rPr>
                <w:rFonts w:ascii="Times New Roman"/>
                <w:sz w:val="18"/>
              </w:rPr>
              <w:t>00.00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53,927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,961.6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924,26</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1,339.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4,406,</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885,51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7.19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47,794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,147.7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center"/>
              <w:rPr>
                <w:rFonts w:ascii="Times New Roman" w:hAnsi="Times New Roman" w:cs="Times New Roman" w:eastAsia="Times New Roman" w:hint="default"/>
                <w:sz w:val="18"/>
                <w:szCs w:val="18"/>
              </w:rPr>
            </w:pPr>
            <w:r>
              <w:rPr>
                <w:rFonts w:ascii="Times New Roman"/>
                <w:sz w:val="18"/>
              </w:rPr>
              <w:t>4,454,</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679,66</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4.93</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189,653</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.26</w:t>
            </w:r>
          </w:p>
        </w:tc>
        <w:tc>
          <w:tcPr>
            <w:tcW w:w="48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528,37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3.48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1,712,</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238.21</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141,47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8,209.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71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143,90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8,474.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66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4,051,</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959.53</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147,96</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0,434.</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19</w:t>
            </w: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528,37</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3.48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155,76</w:t>
            </w:r>
          </w:p>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sz w:val="18"/>
              </w:rPr>
              <w:t>5,488.</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34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156,29</w:t>
            </w:r>
          </w:p>
          <w:p>
            <w:pPr>
              <w:pStyle w:val="TableParagraph"/>
              <w:spacing w:line="240" w:lineRule="auto" w:before="103"/>
              <w:ind w:left="100" w:right="0"/>
              <w:jc w:val="left"/>
              <w:rPr>
                <w:rFonts w:ascii="Times New Roman" w:hAnsi="Times New Roman" w:cs="Times New Roman" w:eastAsia="Times New Roman" w:hint="default"/>
                <w:sz w:val="18"/>
                <w:szCs w:val="18"/>
              </w:rPr>
            </w:pPr>
            <w:r>
              <w:rPr>
                <w:rFonts w:ascii="Times New Roman"/>
                <w:sz w:val="18"/>
              </w:rPr>
              <w:t>3,861.</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82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3,191,</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612.79</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159,48</w:t>
            </w:r>
          </w:p>
          <w:p>
            <w:pPr>
              <w:pStyle w:val="TableParagraph"/>
              <w:spacing w:line="240" w:lineRule="auto" w:before="103"/>
              <w:ind w:left="95" w:right="0"/>
              <w:jc w:val="left"/>
              <w:rPr>
                <w:rFonts w:ascii="Times New Roman" w:hAnsi="Times New Roman" w:cs="Times New Roman" w:eastAsia="Times New Roman" w:hint="default"/>
                <w:sz w:val="18"/>
                <w:szCs w:val="18"/>
              </w:rPr>
            </w:pPr>
            <w:r>
              <w:rPr>
                <w:rFonts w:ascii="Times New Roman"/>
                <w:sz w:val="18"/>
              </w:rPr>
              <w:t>5,474.</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61</w:t>
            </w: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189,653</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.26</w:t>
            </w:r>
          </w:p>
        </w:tc>
        <w:tc>
          <w:tcPr>
            <w:tcW w:w="48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189,65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3.26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860,34</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6.74</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1,050,</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000.00</w:t>
            </w: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1,050,</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000.00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5" w:right="0"/>
              <w:jc w:val="left"/>
              <w:rPr>
                <w:rFonts w:ascii="Times New Roman" w:hAnsi="Times New Roman" w:cs="Times New Roman" w:eastAsia="Times New Roman" w:hint="default"/>
                <w:sz w:val="18"/>
                <w:szCs w:val="18"/>
              </w:rPr>
            </w:pPr>
            <w:r>
              <w:rPr>
                <w:rFonts w:ascii="Times New Roman"/>
                <w:sz w:val="18"/>
              </w:rPr>
              <w:t>1,050,</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000.00</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189,653</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.26</w:t>
            </w:r>
          </w:p>
        </w:tc>
        <w:tc>
          <w:tcPr>
            <w:tcW w:w="48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189,65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3.26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-189,6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53.26</w:t>
            </w: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1,712,</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238.21</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-14,28</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7,278.</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63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-12,57</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5,040.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42</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-12,57</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5,040.</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42</w:t>
            </w: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1,712,</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238.21</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-1,712,</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238.21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20"/>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-12,57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5,040.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42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-12,57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5,040.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42</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-12,57</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5,040.</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42</w:t>
            </w: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682"/>
        <w:gridCol w:w="487"/>
        <w:gridCol w:w="583"/>
        <w:gridCol w:w="584"/>
        <w:gridCol w:w="583"/>
        <w:gridCol w:w="583"/>
        <w:gridCol w:w="586"/>
        <w:gridCol w:w="584"/>
        <w:gridCol w:w="583"/>
        <w:gridCol w:w="586"/>
        <w:gridCol w:w="578"/>
      </w:tblGrid>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2" w:right="19"/>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838,3</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36,02</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49,841.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73</w:t>
            </w:r>
          </w:p>
        </w:tc>
        <w:tc>
          <w:tcPr>
            <w:tcW w:w="48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-271,6</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26.52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55,640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,199.9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1,065,</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739,54</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8.74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4,550,</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793,99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1.85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51,846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4,602,</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640,09</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9.12</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90"/>
        <w:gridCol w:w="500"/>
        <w:gridCol w:w="449"/>
        <w:gridCol w:w="449"/>
        <w:gridCol w:w="493"/>
        <w:gridCol w:w="576"/>
        <w:gridCol w:w="576"/>
        <w:gridCol w:w="578"/>
        <w:gridCol w:w="576"/>
        <w:gridCol w:w="576"/>
        <w:gridCol w:w="578"/>
        <w:gridCol w:w="588"/>
        <w:gridCol w:w="567"/>
        <w:gridCol w:w="569"/>
        <w:gridCol w:w="641"/>
        <w:gridCol w:w="653"/>
      </w:tblGrid>
      <w:tr>
        <w:trPr>
          <w:trHeight w:val="401" w:hRule="exact"/>
        </w:trPr>
        <w:tc>
          <w:tcPr>
            <w:tcW w:w="1190" w:type="dxa"/>
            <w:vMerge w:val="restart"/>
            <w:tcBorders>
              <w:top w:val="single" w:sz="4" w:space="0" w:color="000000"/>
              <w:left w:val="single" w:sz="4" w:space="0" w:color="000000"/>
              <w:right w:val="single" w:sz="4" w:space="0" w:color="000000"/>
            </w:tcBorders>
            <w:shd w:val="clear" w:color="auto" w:fill="D2D2D2"/>
          </w:tcPr>
          <w:p>
            <w:pPr/>
          </w:p>
        </w:tc>
        <w:tc>
          <w:tcPr>
            <w:tcW w:w="83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252" w:hRule="exact"/>
        </w:trPr>
        <w:tc>
          <w:tcPr>
            <w:tcW w:w="1190" w:type="dxa"/>
            <w:vMerge/>
            <w:tcBorders>
              <w:left w:val="single" w:sz="4" w:space="0" w:color="000000"/>
              <w:right w:val="single" w:sz="4" w:space="0" w:color="000000"/>
            </w:tcBorders>
            <w:shd w:val="clear" w:color="auto" w:fill="D2D2D2"/>
          </w:tcPr>
          <w:p>
            <w:pPr/>
          </w:p>
        </w:tc>
        <w:tc>
          <w:tcPr>
            <w:tcW w:w="7076"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190" w:type="dxa"/>
            <w:vMerge/>
            <w:tcBorders>
              <w:left w:val="single" w:sz="4" w:space="0" w:color="000000"/>
              <w:bottom w:val="single" w:sz="4" w:space="0" w:color="FFFFFF"/>
              <w:right w:val="single" w:sz="4" w:space="0" w:color="000000"/>
            </w:tcBorders>
            <w:shd w:val="clear" w:color="auto" w:fill="D2D2D2"/>
          </w:tcPr>
          <w:p>
            <w:pPr/>
          </w:p>
        </w:tc>
        <w:tc>
          <w:tcPr>
            <w:tcW w:w="7076" w:type="dxa"/>
            <w:gridSpan w:val="13"/>
            <w:vMerge/>
            <w:tcBorders>
              <w:left w:val="single" w:sz="4" w:space="0" w:color="000000"/>
              <w:bottom w:val="single" w:sz="4" w:space="0" w:color="FFFFFF"/>
              <w:right w:val="single" w:sz="4" w:space="0" w:color="000000"/>
            </w:tcBorders>
            <w:shd w:val="clear" w:color="auto" w:fill="D2D2D2"/>
          </w:tcPr>
          <w:p>
            <w:pPr/>
          </w:p>
        </w:tc>
        <w:tc>
          <w:tcPr>
            <w:tcW w:w="641" w:type="dxa"/>
            <w:vMerge/>
            <w:tcBorders>
              <w:left w:val="single" w:sz="4" w:space="0" w:color="000000"/>
              <w:bottom w:val="single" w:sz="4" w:space="0" w:color="FFFFFF"/>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19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00" w:type="dxa"/>
            <w:vMerge w:val="restart"/>
            <w:tcBorders>
              <w:top w:val="single" w:sz="4" w:space="0" w:color="FFFFFF"/>
              <w:left w:val="single" w:sz="4" w:space="0" w:color="000000"/>
              <w:right w:val="single" w:sz="4" w:space="0" w:color="000000"/>
            </w:tcBorders>
            <w:shd w:val="clear" w:color="auto" w:fill="D2D2D2"/>
          </w:tcPr>
          <w:p>
            <w:pPr/>
          </w:p>
        </w:tc>
        <w:tc>
          <w:tcPr>
            <w:tcW w:w="1390"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tcBorders>
              <w:top w:val="single" w:sz="4" w:space="0" w:color="FFFFFF"/>
              <w:left w:val="single" w:sz="4" w:space="0" w:color="000000"/>
              <w:bottom w:val="nil" w:sz="6" w:space="0" w:color="auto"/>
              <w:right w:val="single" w:sz="4" w:space="0" w:color="000000"/>
            </w:tcBorders>
            <w:shd w:val="clear" w:color="auto" w:fill="D2D2D2"/>
          </w:tcPr>
          <w:p>
            <w:pPr/>
          </w:p>
        </w:tc>
        <w:tc>
          <w:tcPr>
            <w:tcW w:w="576" w:type="dxa"/>
            <w:tcBorders>
              <w:top w:val="single" w:sz="4" w:space="0" w:color="FFFFFF"/>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tcBorders>
              <w:top w:val="single" w:sz="4" w:space="0" w:color="FFFFFF"/>
              <w:left w:val="single" w:sz="4" w:space="0" w:color="000000"/>
              <w:bottom w:val="nil" w:sz="6" w:space="0" w:color="auto"/>
              <w:right w:val="single" w:sz="4" w:space="0" w:color="000000"/>
            </w:tcBorders>
            <w:shd w:val="clear" w:color="auto" w:fill="D2D2D2"/>
          </w:tcPr>
          <w:p>
            <w:pPr/>
          </w:p>
        </w:tc>
        <w:tc>
          <w:tcPr>
            <w:tcW w:w="576" w:type="dxa"/>
            <w:tcBorders>
              <w:top w:val="single" w:sz="4" w:space="0" w:color="FFFFFF"/>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7" w:type="dxa"/>
            <w:vMerge w:val="restart"/>
            <w:tcBorders>
              <w:top w:val="single" w:sz="4" w:space="0" w:color="FFFFFF"/>
              <w:left w:val="single" w:sz="4" w:space="0" w:color="000000"/>
              <w:right w:val="single" w:sz="4" w:space="0" w:color="000000"/>
            </w:tcBorders>
            <w:shd w:val="clear" w:color="auto" w:fill="D2D2D2"/>
          </w:tcPr>
          <w:p>
            <w:pPr/>
          </w:p>
        </w:tc>
        <w:tc>
          <w:tcPr>
            <w:tcW w:w="569" w:type="dxa"/>
            <w:vMerge w:val="restart"/>
            <w:tcBorders>
              <w:top w:val="single" w:sz="4" w:space="0" w:color="FFFFFF"/>
              <w:left w:val="single" w:sz="4" w:space="0" w:color="000000"/>
              <w:right w:val="single" w:sz="4" w:space="0" w:color="000000"/>
            </w:tcBorders>
            <w:shd w:val="clear" w:color="auto" w:fill="D2D2D2"/>
          </w:tcPr>
          <w:p>
            <w:pPr/>
          </w:p>
        </w:tc>
        <w:tc>
          <w:tcPr>
            <w:tcW w:w="641" w:type="dxa"/>
            <w:vMerge w:val="restart"/>
            <w:tcBorders>
              <w:top w:val="single" w:sz="4" w:space="0" w:color="FFFFFF"/>
              <w:left w:val="single" w:sz="4" w:space="0" w:color="000000"/>
              <w:right w:val="single" w:sz="4" w:space="0" w:color="000000"/>
            </w:tcBorders>
            <w:shd w:val="clear" w:color="auto" w:fill="D2D2D2"/>
          </w:tcPr>
          <w:p>
            <w:pPr>
              <w:pStyle w:val="TableParagraph"/>
              <w:spacing w:line="314" w:lineRule="auto" w:before="49"/>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tcBorders>
              <w:left w:val="single" w:sz="4" w:space="0" w:color="000000"/>
              <w:right w:val="single" w:sz="4" w:space="0" w:color="000000"/>
            </w:tcBorders>
            <w:shd w:val="clear" w:color="auto" w:fill="D2D2D2"/>
          </w:tcPr>
          <w:p>
            <w:pPr/>
          </w:p>
        </w:tc>
      </w:tr>
      <w:tr>
        <w:trPr>
          <w:trHeight w:val="164" w:hRule="exact"/>
        </w:trPr>
        <w:tc>
          <w:tcPr>
            <w:tcW w:w="1190" w:type="dxa"/>
            <w:vMerge/>
            <w:tcBorders>
              <w:left w:val="single" w:sz="4" w:space="0" w:color="000000"/>
              <w:bottom w:val="nil" w:sz="6" w:space="0" w:color="auto"/>
              <w:right w:val="single" w:sz="4" w:space="0" w:color="000000"/>
            </w:tcBorders>
            <w:shd w:val="clear" w:color="auto" w:fill="D2D2D2"/>
          </w:tcPr>
          <w:p>
            <w:pPr/>
          </w:p>
        </w:tc>
        <w:tc>
          <w:tcPr>
            <w:tcW w:w="500" w:type="dxa"/>
            <w:vMerge/>
            <w:tcBorders>
              <w:left w:val="single" w:sz="4" w:space="0" w:color="000000"/>
              <w:bottom w:val="nil" w:sz="6" w:space="0" w:color="auto"/>
              <w:right w:val="single" w:sz="4" w:space="0" w:color="000000"/>
            </w:tcBorders>
            <w:shd w:val="clear" w:color="auto" w:fill="D2D2D2"/>
          </w:tcPr>
          <w:p>
            <w:pPr/>
          </w:p>
        </w:tc>
        <w:tc>
          <w:tcPr>
            <w:tcW w:w="1390" w:type="dxa"/>
            <w:gridSpan w:val="3"/>
            <w:vMerge/>
            <w:tcBorders>
              <w:left w:val="single" w:sz="4" w:space="0" w:color="000000"/>
              <w:bottom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tcBorders>
              <w:left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1" w:hRule="exact"/>
        </w:trPr>
        <w:tc>
          <w:tcPr>
            <w:tcW w:w="1190" w:type="dxa"/>
            <w:vMerge w:val="restart"/>
            <w:tcBorders>
              <w:top w:val="nil" w:sz="6" w:space="0" w:color="auto"/>
              <w:left w:val="single" w:sz="4" w:space="0" w:color="000000"/>
              <w:right w:val="single" w:sz="4" w:space="0" w:color="000000"/>
            </w:tcBorders>
            <w:shd w:val="clear" w:color="auto" w:fill="D2D2D2"/>
          </w:tcPr>
          <w:p>
            <w:pPr/>
          </w:p>
        </w:tc>
        <w:tc>
          <w:tcPr>
            <w:tcW w:w="5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7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9"/>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9"/>
              <w:ind w:left="129" w:right="3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2" w:hRule="exact"/>
        </w:trPr>
        <w:tc>
          <w:tcPr>
            <w:tcW w:w="1190" w:type="dxa"/>
            <w:vMerge/>
            <w:tcBorders>
              <w:left w:val="single" w:sz="4" w:space="0" w:color="000000"/>
              <w:right w:val="single" w:sz="4" w:space="0" w:color="000000"/>
            </w:tcBorders>
            <w:shd w:val="clear" w:color="auto" w:fill="D2D2D2"/>
          </w:tcPr>
          <w:p>
            <w:pPr/>
          </w:p>
        </w:tc>
        <w:tc>
          <w:tcPr>
            <w:tcW w:w="500" w:type="dxa"/>
            <w:vMerge/>
            <w:tcBorders>
              <w:left w:val="single" w:sz="4" w:space="0" w:color="000000"/>
              <w:bottom w:val="nil" w:sz="6" w:space="0" w:color="auto"/>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33" w:hRule="exact"/>
        </w:trPr>
        <w:tc>
          <w:tcPr>
            <w:tcW w:w="1190" w:type="dxa"/>
            <w:vMerge/>
            <w:tcBorders>
              <w:left w:val="single" w:sz="4" w:space="0" w:color="000000"/>
              <w:right w:val="single" w:sz="4" w:space="0" w:color="000000"/>
            </w:tcBorders>
            <w:shd w:val="clear" w:color="auto" w:fill="D2D2D2"/>
          </w:tcPr>
          <w:p>
            <w:pPr/>
          </w:p>
        </w:tc>
        <w:tc>
          <w:tcPr>
            <w:tcW w:w="500" w:type="dxa"/>
            <w:vMerge w:val="restart"/>
            <w:tcBorders>
              <w:top w:val="nil" w:sz="6" w:space="0" w:color="auto"/>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r>
      <w:tr>
        <w:trPr>
          <w:trHeight w:val="218" w:hRule="exact"/>
        </w:trPr>
        <w:tc>
          <w:tcPr>
            <w:tcW w:w="1190" w:type="dxa"/>
            <w:vMerge/>
            <w:tcBorders>
              <w:left w:val="single" w:sz="4" w:space="0" w:color="000000"/>
              <w:bottom w:val="single" w:sz="4" w:space="0" w:color="000000"/>
              <w:right w:val="single" w:sz="4" w:space="0" w:color="000000"/>
            </w:tcBorders>
            <w:shd w:val="clear" w:color="auto" w:fill="D2D2D2"/>
          </w:tcPr>
          <w:p>
            <w:pPr/>
          </w:p>
        </w:tc>
        <w:tc>
          <w:tcPr>
            <w:tcW w:w="500"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0" w:type="dxa"/>
            <w:vMerge w:val="restart"/>
            <w:tcBorders>
              <w:top w:val="single" w:sz="4" w:space="0" w:color="000000"/>
              <w:left w:val="single" w:sz="9" w:space="0" w:color="D2D2D2"/>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838,3</w:t>
            </w:r>
          </w:p>
          <w:p>
            <w:pPr>
              <w:pStyle w:val="TableParagraph"/>
              <w:spacing w:line="240" w:lineRule="auto" w:before="103"/>
              <w:ind w:left="57" w:right="0"/>
              <w:jc w:val="left"/>
              <w:rPr>
                <w:rFonts w:ascii="Times New Roman" w:hAnsi="Times New Roman" w:cs="Times New Roman" w:eastAsia="Times New Roman" w:hint="default"/>
                <w:sz w:val="18"/>
                <w:szCs w:val="18"/>
              </w:rPr>
            </w:pPr>
            <w:r>
              <w:rPr>
                <w:rFonts w:ascii="Times New Roman"/>
                <w:sz w:val="18"/>
              </w:rPr>
              <w:t>36,02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2,558,</w:t>
            </w:r>
          </w:p>
          <w:p>
            <w:pPr>
              <w:pStyle w:val="TableParagraph"/>
              <w:spacing w:line="240" w:lineRule="auto" w:before="103"/>
              <w:ind w:left="29" w:right="0"/>
              <w:jc w:val="center"/>
              <w:rPr>
                <w:rFonts w:ascii="Times New Roman" w:hAnsi="Times New Roman" w:cs="Times New Roman" w:eastAsia="Times New Roman" w:hint="default"/>
                <w:sz w:val="18"/>
                <w:szCs w:val="18"/>
              </w:rPr>
            </w:pPr>
            <w:r>
              <w:rPr>
                <w:rFonts w:ascii="Times New Roman"/>
                <w:sz w:val="18"/>
              </w:rPr>
              <w:t>348,30</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8.95</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3"/>
              <w:ind w:left="139" w:right="0"/>
              <w:jc w:val="left"/>
              <w:rPr>
                <w:rFonts w:ascii="Times New Roman" w:hAnsi="Times New Roman" w:cs="Times New Roman" w:eastAsia="Times New Roman" w:hint="default"/>
                <w:sz w:val="18"/>
                <w:szCs w:val="18"/>
              </w:rPr>
            </w:pPr>
            <w:r>
              <w:rPr>
                <w:rFonts w:ascii="Times New Roman"/>
                <w:sz w:val="18"/>
              </w:rPr>
              <w:t>00.00</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51,093</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,934.9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78" w:type="dxa"/>
            <w:vMerge w:val="restart"/>
            <w:tcBorders>
              <w:top w:val="single" w:sz="22" w:space="0" w:color="D2D2D2"/>
              <w:left w:val="single" w:sz="4" w:space="0" w:color="000000"/>
              <w:right w:val="single" w:sz="4" w:space="0" w:color="000000"/>
            </w:tcBorders>
          </w:tcPr>
          <w:p>
            <w:pPr/>
          </w:p>
        </w:tc>
        <w:tc>
          <w:tcPr>
            <w:tcW w:w="588" w:type="dxa"/>
            <w:vMerge w:val="restart"/>
            <w:tcBorders>
              <w:top w:val="single" w:sz="22" w:space="0" w:color="D2D2D2"/>
              <w:left w:val="single" w:sz="4" w:space="0" w:color="000000"/>
              <w:right w:val="single" w:sz="4" w:space="0" w:color="000000"/>
            </w:tcBorders>
          </w:tcPr>
          <w:p>
            <w:pPr>
              <w:pStyle w:val="TableParagraph"/>
              <w:spacing w:line="240" w:lineRule="auto" w:before="68"/>
              <w:ind w:left="62" w:right="0"/>
              <w:jc w:val="left"/>
              <w:rPr>
                <w:rFonts w:ascii="Times New Roman" w:hAnsi="Times New Roman" w:cs="Times New Roman" w:eastAsia="Times New Roman" w:hint="default"/>
                <w:sz w:val="18"/>
                <w:szCs w:val="18"/>
              </w:rPr>
            </w:pPr>
            <w:r>
              <w:rPr>
                <w:rFonts w:ascii="Times New Roman"/>
                <w:sz w:val="18"/>
              </w:rPr>
              <w:t>848,80</w:t>
            </w:r>
          </w:p>
          <w:p>
            <w:pPr>
              <w:pStyle w:val="TableParagraph"/>
              <w:spacing w:line="240" w:lineRule="auto" w:before="103"/>
              <w:ind w:left="105" w:right="0"/>
              <w:jc w:val="left"/>
              <w:rPr>
                <w:rFonts w:ascii="Times New Roman" w:hAnsi="Times New Roman" w:cs="Times New Roman" w:eastAsia="Times New Roman" w:hint="default"/>
                <w:sz w:val="18"/>
                <w:szCs w:val="18"/>
              </w:rPr>
            </w:pPr>
            <w:r>
              <w:rPr>
                <w:rFonts w:ascii="Times New Roman"/>
                <w:sz w:val="18"/>
              </w:rPr>
              <w:t>7,653.</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42</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4,295,</w:t>
            </w:r>
          </w:p>
          <w:p>
            <w:pPr>
              <w:pStyle w:val="TableParagraph"/>
              <w:spacing w:line="240" w:lineRule="auto" w:before="103"/>
              <w:ind w:left="17" w:right="0"/>
              <w:jc w:val="center"/>
              <w:rPr>
                <w:rFonts w:ascii="Times New Roman" w:hAnsi="Times New Roman" w:cs="Times New Roman" w:eastAsia="Times New Roman" w:hint="default"/>
                <w:sz w:val="18"/>
                <w:szCs w:val="18"/>
              </w:rPr>
            </w:pPr>
            <w:r>
              <w:rPr>
                <w:rFonts w:ascii="Times New Roman"/>
                <w:sz w:val="18"/>
              </w:rPr>
              <w:t>785,92</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5.34</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92,011,</w:t>
            </w:r>
          </w:p>
          <w:p>
            <w:pPr>
              <w:pStyle w:val="TableParagraph"/>
              <w:spacing w:line="240" w:lineRule="auto" w:before="103"/>
              <w:ind w:left="117" w:right="0"/>
              <w:jc w:val="left"/>
              <w:rPr>
                <w:rFonts w:ascii="Times New Roman" w:hAnsi="Times New Roman" w:cs="Times New Roman" w:eastAsia="Times New Roman" w:hint="default"/>
                <w:sz w:val="18"/>
                <w:szCs w:val="18"/>
              </w:rPr>
            </w:pPr>
            <w:r>
              <w:rPr>
                <w:rFonts w:ascii="Times New Roman"/>
                <w:sz w:val="18"/>
              </w:rPr>
              <w:t>268.33</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4,387,7</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97,193.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w:t>
            </w:r>
          </w:p>
        </w:tc>
      </w:tr>
      <w:tr>
        <w:trPr>
          <w:trHeight w:val="704" w:hRule="exact"/>
        </w:trPr>
        <w:tc>
          <w:tcPr>
            <w:tcW w:w="1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87"/>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50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715"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7"/>
              <w:jc w:val="left"/>
              <w:rPr>
                <w:rFonts w:ascii="宋体" w:hAnsi="宋体" w:cs="宋体" w:eastAsia="宋体" w:hint="default"/>
                <w:sz w:val="18"/>
                <w:szCs w:val="18"/>
              </w:rPr>
            </w:pPr>
            <w:r>
              <w:rPr>
                <w:rFonts w:ascii="宋体" w:hAnsi="宋体" w:cs="宋体" w:eastAsia="宋体" w:hint="default"/>
                <w:sz w:val="18"/>
                <w:szCs w:val="18"/>
              </w:rPr>
              <w:t>加：会计政策 变更</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7"/>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7"/>
              <w:jc w:val="left"/>
              <w:rPr>
                <w:rFonts w:ascii="宋体" w:hAnsi="宋体" w:cs="宋体" w:eastAsia="宋体" w:hint="default"/>
                <w:sz w:val="18"/>
                <w:szCs w:val="18"/>
              </w:rPr>
            </w:pPr>
            <w:r>
              <w:rPr>
                <w:rFonts w:ascii="宋体" w:hAnsi="宋体" w:cs="宋体" w:eastAsia="宋体" w:hint="default"/>
                <w:sz w:val="18"/>
                <w:szCs w:val="18"/>
              </w:rPr>
              <w:t>同一控制下企 业合并</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5"/>
              <w:jc w:val="right"/>
              <w:rPr>
                <w:rFonts w:ascii="宋体" w:hAnsi="宋体" w:cs="宋体" w:eastAsia="宋体" w:hint="default"/>
                <w:sz w:val="18"/>
                <w:szCs w:val="18"/>
              </w:rPr>
            </w:pPr>
            <w:r>
              <w:rPr>
                <w:rFonts w:ascii="宋体" w:hAnsi="宋体" w:cs="宋体" w:eastAsia="宋体" w:hint="default"/>
                <w:sz w:val="18"/>
                <w:szCs w:val="18"/>
              </w:rPr>
              <w:t>其他</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838,3</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36,02</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8.00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2,558,</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348,30</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8.95</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51,093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,934.9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848,80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7,653.</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42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4,295,</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785,92</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5.34</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92,011,</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268.33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4,387,7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97,193.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w:t>
            </w:r>
          </w:p>
        </w:tc>
      </w:tr>
      <w:tr>
        <w:trPr>
          <w:trHeight w:val="1339"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32,811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,879.5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2,834,</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026.72</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75,453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,685.6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111,09</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9,591.</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85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-44,217</w:t>
            </w:r>
          </w:p>
          <w:p>
            <w:pPr>
              <w:pStyle w:val="TableParagraph"/>
              <w:spacing w:line="240" w:lineRule="auto" w:before="102"/>
              <w:ind w:left="72" w:right="0"/>
              <w:jc w:val="left"/>
              <w:rPr>
                <w:rFonts w:ascii="Times New Roman" w:hAnsi="Times New Roman" w:cs="Times New Roman" w:eastAsia="Times New Roman" w:hint="default"/>
                <w:sz w:val="18"/>
                <w:szCs w:val="18"/>
              </w:rPr>
            </w:pPr>
            <w:r>
              <w:rPr>
                <w:rFonts w:ascii="Times New Roman"/>
                <w:sz w:val="18"/>
              </w:rPr>
              <w:t>,120.59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66,882,</w:t>
            </w:r>
          </w:p>
          <w:p>
            <w:pPr>
              <w:pStyle w:val="TableParagraph"/>
              <w:spacing w:line="240" w:lineRule="auto" w:before="102"/>
              <w:ind w:left="127" w:right="0"/>
              <w:jc w:val="left"/>
              <w:rPr>
                <w:rFonts w:ascii="Times New Roman" w:hAnsi="Times New Roman" w:cs="Times New Roman" w:eastAsia="Times New Roman" w:hint="default"/>
                <w:sz w:val="18"/>
                <w:szCs w:val="18"/>
              </w:rPr>
            </w:pPr>
            <w:r>
              <w:rPr>
                <w:rFonts w:ascii="Times New Roman"/>
                <w:sz w:val="18"/>
              </w:rPr>
              <w:t>471.26</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120,20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4,513.</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73</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120,20</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4,513.</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73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4,277,7</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51.61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124,482</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,265.34</w:t>
            </w: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32,811</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,879.5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32,811</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,879.5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-48,494</w:t>
            </w:r>
          </w:p>
          <w:p>
            <w:pPr>
              <w:pStyle w:val="TableParagraph"/>
              <w:spacing w:line="240" w:lineRule="auto" w:before="103"/>
              <w:ind w:left="72" w:right="0"/>
              <w:jc w:val="left"/>
              <w:rPr>
                <w:rFonts w:ascii="Times New Roman" w:hAnsi="Times New Roman" w:cs="Times New Roman" w:eastAsia="Times New Roman" w:hint="default"/>
                <w:sz w:val="18"/>
                <w:szCs w:val="18"/>
              </w:rPr>
            </w:pPr>
            <w:r>
              <w:rPr>
                <w:rFonts w:ascii="Times New Roman"/>
                <w:sz w:val="18"/>
              </w:rPr>
              <w:t>,872.20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-15,682</w:t>
            </w:r>
          </w:p>
          <w:p>
            <w:pPr>
              <w:pStyle w:val="TableParagraph"/>
              <w:spacing w:line="240" w:lineRule="auto" w:before="103"/>
              <w:ind w:left="81" w:right="0"/>
              <w:jc w:val="left"/>
              <w:rPr>
                <w:rFonts w:ascii="Times New Roman" w:hAnsi="Times New Roman" w:cs="Times New Roman" w:eastAsia="Times New Roman" w:hint="default"/>
                <w:sz w:val="18"/>
                <w:szCs w:val="18"/>
              </w:rPr>
            </w:pPr>
            <w:r>
              <w:rPr>
                <w:rFonts w:ascii="Times New Roman"/>
                <w:sz w:val="18"/>
              </w:rPr>
              <w:t>,992.68</w:t>
            </w: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32,811</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,879.5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32,811</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,879.5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-48,494</w:t>
            </w:r>
          </w:p>
          <w:p>
            <w:pPr>
              <w:pStyle w:val="TableParagraph"/>
              <w:spacing w:line="240" w:lineRule="auto" w:before="102"/>
              <w:ind w:left="72" w:right="0"/>
              <w:jc w:val="left"/>
              <w:rPr>
                <w:rFonts w:ascii="Times New Roman" w:hAnsi="Times New Roman" w:cs="Times New Roman" w:eastAsia="Times New Roman" w:hint="default"/>
                <w:sz w:val="18"/>
                <w:szCs w:val="18"/>
              </w:rPr>
            </w:pPr>
            <w:r>
              <w:rPr>
                <w:rFonts w:ascii="Times New Roman"/>
                <w:sz w:val="18"/>
              </w:rPr>
              <w:t>,872.20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-15,682</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,992.68</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2,834,</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026.72</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-44,75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0,828.</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12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-41,91</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6,801.</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40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-41,916</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,801.40</w:t>
            </w: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2,834,</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026.72</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-2,834,</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026.72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1"/>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-41,91</w:t>
            </w:r>
          </w:p>
          <w:p>
            <w:pPr>
              <w:pStyle w:val="TableParagraph"/>
              <w:spacing w:line="240" w:lineRule="auto" w:before="103"/>
              <w:ind w:left="105" w:right="0"/>
              <w:jc w:val="left"/>
              <w:rPr>
                <w:rFonts w:ascii="Times New Roman" w:hAnsi="Times New Roman" w:cs="Times New Roman" w:eastAsia="Times New Roman" w:hint="default"/>
                <w:sz w:val="18"/>
                <w:szCs w:val="18"/>
              </w:rPr>
            </w:pPr>
            <w:r>
              <w:rPr>
                <w:rFonts w:ascii="Times New Roman"/>
                <w:sz w:val="18"/>
              </w:rPr>
              <w:t>6,801.</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40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-41,91</w:t>
            </w:r>
          </w:p>
          <w:p>
            <w:pPr>
              <w:pStyle w:val="TableParagraph"/>
              <w:spacing w:line="240" w:lineRule="auto" w:before="103"/>
              <w:ind w:left="84" w:right="0"/>
              <w:jc w:val="left"/>
              <w:rPr>
                <w:rFonts w:ascii="Times New Roman" w:hAnsi="Times New Roman" w:cs="Times New Roman" w:eastAsia="Times New Roman" w:hint="default"/>
                <w:sz w:val="18"/>
                <w:szCs w:val="18"/>
              </w:rPr>
            </w:pPr>
            <w:r>
              <w:rPr>
                <w:rFonts w:ascii="Times New Roman"/>
                <w:sz w:val="18"/>
              </w:rPr>
              <w:t>6,801.</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40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-41,916</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,801.40</w:t>
            </w: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838,3</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36,02</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8.00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center"/>
              <w:rPr>
                <w:rFonts w:ascii="Times New Roman" w:hAnsi="Times New Roman" w:cs="Times New Roman" w:eastAsia="Times New Roman" w:hint="default"/>
                <w:sz w:val="18"/>
                <w:szCs w:val="18"/>
              </w:rPr>
            </w:pPr>
            <w:r>
              <w:rPr>
                <w:rFonts w:ascii="Times New Roman"/>
                <w:sz w:val="18"/>
              </w:rPr>
              <w:t>2,591,</w:t>
            </w:r>
          </w:p>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160,18</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8.47</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00.00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53,927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,961.6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924,26</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1,339.</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03</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 w:right="0"/>
              <w:jc w:val="center"/>
              <w:rPr>
                <w:rFonts w:ascii="Times New Roman" w:hAnsi="Times New Roman" w:cs="Times New Roman" w:eastAsia="Times New Roman" w:hint="default"/>
                <w:sz w:val="18"/>
                <w:szCs w:val="18"/>
              </w:rPr>
            </w:pPr>
            <w:r>
              <w:rPr>
                <w:rFonts w:ascii="Times New Roman"/>
                <w:sz w:val="18"/>
              </w:rPr>
              <w:t>4,406,</w:t>
            </w:r>
          </w:p>
          <w:p>
            <w:pPr>
              <w:pStyle w:val="TableParagraph"/>
              <w:spacing w:line="240" w:lineRule="auto" w:before="102"/>
              <w:ind w:left="17" w:right="0"/>
              <w:jc w:val="center"/>
              <w:rPr>
                <w:rFonts w:ascii="Times New Roman" w:hAnsi="Times New Roman" w:cs="Times New Roman" w:eastAsia="Times New Roman" w:hint="default"/>
                <w:sz w:val="18"/>
                <w:szCs w:val="18"/>
              </w:rPr>
            </w:pPr>
            <w:r>
              <w:rPr>
                <w:rFonts w:ascii="Times New Roman"/>
                <w:sz w:val="18"/>
              </w:rPr>
              <w:t>885,51</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7.19</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47,794,</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147.74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4,454,6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79,664.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93</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33"/>
        <w:jc w:val="left"/>
        <w:rPr>
          <w:b w:val="0"/>
          <w:bCs w:val="0"/>
        </w:rPr>
      </w:pPr>
      <w:bookmarkStart w:name="8、母公司所有者权益变动表" w:id="165"/>
      <w:bookmarkEnd w:id="165"/>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83"/>
        <w:gridCol w:w="640"/>
        <w:gridCol w:w="605"/>
        <w:gridCol w:w="603"/>
        <w:gridCol w:w="605"/>
        <w:gridCol w:w="727"/>
        <w:gridCol w:w="728"/>
        <w:gridCol w:w="725"/>
        <w:gridCol w:w="727"/>
        <w:gridCol w:w="727"/>
        <w:gridCol w:w="615"/>
        <w:gridCol w:w="710"/>
        <w:gridCol w:w="862"/>
      </w:tblGrid>
      <w:tr>
        <w:trPr>
          <w:trHeight w:val="403" w:hRule="exact"/>
        </w:trPr>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04" w:hRule="exact"/>
        </w:trPr>
        <w:tc>
          <w:tcPr>
            <w:tcW w:w="12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268" w:right="20"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155"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283" w:type="dxa"/>
            <w:vMerge/>
            <w:tcBorders>
              <w:left w:val="single" w:sz="4" w:space="0" w:color="000000"/>
              <w:bottom w:val="nil" w:sz="6" w:space="0" w:color="auto"/>
              <w:right w:val="single" w:sz="4" w:space="0" w:color="000000"/>
            </w:tcBorders>
            <w:shd w:val="clear" w:color="auto" w:fill="D2D2D2"/>
          </w:tcPr>
          <w:p>
            <w:pPr/>
          </w:p>
        </w:tc>
        <w:tc>
          <w:tcPr>
            <w:tcW w:w="6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tcBorders>
              <w:left w:val="single" w:sz="4" w:space="0" w:color="000000"/>
              <w:right w:val="single" w:sz="4" w:space="0" w:color="000000"/>
            </w:tcBorders>
            <w:shd w:val="clear" w:color="auto" w:fill="D2D2D2"/>
          </w:tcPr>
          <w:p>
            <w:pPr/>
          </w:p>
        </w:tc>
      </w:tr>
      <w:tr>
        <w:trPr>
          <w:trHeight w:val="202" w:hRule="exact"/>
        </w:trPr>
        <w:tc>
          <w:tcPr>
            <w:tcW w:w="1283" w:type="dxa"/>
            <w:vMerge w:val="restart"/>
            <w:tcBorders>
              <w:top w:val="nil" w:sz="6" w:space="0" w:color="auto"/>
              <w:left w:val="single" w:sz="4" w:space="0" w:color="000000"/>
              <w:right w:val="single" w:sz="4" w:space="0" w:color="000000"/>
            </w:tcBorders>
            <w:shd w:val="clear" w:color="auto" w:fill="D2D2D2"/>
          </w:tcPr>
          <w:p>
            <w:pPr/>
          </w:p>
        </w:tc>
        <w:tc>
          <w:tcPr>
            <w:tcW w:w="640"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r>
      <w:tr>
        <w:trPr>
          <w:trHeight w:val="184" w:hRule="exact"/>
        </w:trPr>
        <w:tc>
          <w:tcPr>
            <w:tcW w:w="1283" w:type="dxa"/>
            <w:vMerge/>
            <w:tcBorders>
              <w:left w:val="single" w:sz="4" w:space="0" w:color="000000"/>
              <w:bottom w:val="single" w:sz="4" w:space="0" w:color="000000"/>
              <w:right w:val="single" w:sz="4" w:space="0" w:color="000000"/>
            </w:tcBorders>
            <w:shd w:val="clear" w:color="auto" w:fill="D2D2D2"/>
          </w:tcPr>
          <w:p>
            <w:pPr/>
          </w:p>
        </w:tc>
        <w:tc>
          <w:tcPr>
            <w:tcW w:w="640"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3"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84" w:hRule="exact"/>
        </w:trPr>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vMerge w:val="restart"/>
            <w:tcBorders>
              <w:top w:val="single" w:sz="4" w:space="0" w:color="000000"/>
              <w:left w:val="single" w:sz="10" w:space="0" w:color="D2D2D2"/>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838,33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6,028.0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18" w:space="0" w:color="D2D2D2"/>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2,662,43</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0,356.78</w:t>
            </w:r>
          </w:p>
        </w:tc>
        <w:tc>
          <w:tcPr>
            <w:tcW w:w="728" w:type="dxa"/>
            <w:vMerge w:val="restart"/>
            <w:tcBorders>
              <w:top w:val="single" w:sz="18" w:space="0" w:color="D2D2D2"/>
              <w:left w:val="single" w:sz="4" w:space="0" w:color="000000"/>
              <w:right w:val="single" w:sz="4" w:space="0" w:color="000000"/>
            </w:tcBorders>
          </w:tcPr>
          <w:p>
            <w:pPr/>
          </w:p>
        </w:tc>
        <w:tc>
          <w:tcPr>
            <w:tcW w:w="725" w:type="dxa"/>
            <w:vMerge w:val="restart"/>
            <w:tcBorders>
              <w:top w:val="single" w:sz="18" w:space="0" w:color="D2D2D2"/>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2"/>
              <w:ind w:left="467" w:right="0"/>
              <w:jc w:val="left"/>
              <w:rPr>
                <w:rFonts w:ascii="Times New Roman" w:hAnsi="Times New Roman" w:cs="Times New Roman" w:eastAsia="Times New Roman" w:hint="default"/>
                <w:sz w:val="18"/>
                <w:szCs w:val="18"/>
              </w:rPr>
            </w:pPr>
            <w:r>
              <w:rPr>
                <w:rFonts w:ascii="Times New Roman"/>
                <w:sz w:val="18"/>
              </w:rPr>
              <w:t>.00</w:t>
            </w:r>
          </w:p>
        </w:tc>
        <w:tc>
          <w:tcPr>
            <w:tcW w:w="727" w:type="dxa"/>
            <w:vMerge w:val="restart"/>
            <w:tcBorders>
              <w:top w:val="single" w:sz="18" w:space="0" w:color="D2D2D2"/>
              <w:left w:val="single" w:sz="4" w:space="0" w:color="000000"/>
              <w:right w:val="single" w:sz="4" w:space="0" w:color="000000"/>
            </w:tcBorders>
          </w:tcPr>
          <w:p>
            <w:pPr/>
          </w:p>
        </w:tc>
        <w:tc>
          <w:tcPr>
            <w:tcW w:w="727" w:type="dxa"/>
            <w:vMerge w:val="restart"/>
            <w:tcBorders>
              <w:top w:val="single" w:sz="18" w:space="0" w:color="D2D2D2"/>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53,927,9</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61.69</w:t>
            </w:r>
          </w:p>
        </w:tc>
        <w:tc>
          <w:tcPr>
            <w:tcW w:w="615" w:type="dxa"/>
            <w:vMerge w:val="restart"/>
            <w:tcBorders>
              <w:top w:val="single" w:sz="18" w:space="0" w:color="D2D2D2"/>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157,42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1,931.9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18" w:space="0" w:color="D2D2D2"/>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3,711,316,</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278.43</w:t>
            </w:r>
          </w:p>
        </w:tc>
      </w:tr>
      <w:tr>
        <w:trPr>
          <w:trHeight w:val="703" w:hRule="exact"/>
        </w:trPr>
        <w:tc>
          <w:tcPr>
            <w:tcW w:w="12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40"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83"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716"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加：会计政策变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更</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其他</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838,33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6,028.0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2,662,43</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0,356.78</w:t>
            </w:r>
          </w:p>
        </w:tc>
        <w:tc>
          <w:tcPr>
            <w:tcW w:w="728"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2"/>
              <w:ind w:left="467" w:right="0"/>
              <w:jc w:val="left"/>
              <w:rPr>
                <w:rFonts w:ascii="Times New Roman" w:hAnsi="Times New Roman" w:cs="Times New Roman" w:eastAsia="Times New Roman" w:hint="default"/>
                <w:sz w:val="18"/>
                <w:szCs w:val="18"/>
              </w:rPr>
            </w:pPr>
            <w:r>
              <w:rPr>
                <w:rFonts w:ascii="Times New Roman"/>
                <w:sz w:val="18"/>
              </w:rPr>
              <w:t>.00</w:t>
            </w: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53,927,9</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61.69</w:t>
            </w:r>
          </w:p>
        </w:tc>
        <w:tc>
          <w:tcPr>
            <w:tcW w:w="6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157,42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1,931.9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3,711,316,</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278.43</w:t>
            </w:r>
          </w:p>
        </w:tc>
      </w:tr>
      <w:tr>
        <w:trPr>
          <w:trHeight w:val="703" w:hRule="exact"/>
        </w:trPr>
        <w:tc>
          <w:tcPr>
            <w:tcW w:w="12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40"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83"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528,373.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48</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1,712,23</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8.21</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2,835,1</w:t>
            </w:r>
          </w:p>
          <w:p>
            <w:pPr>
              <w:pStyle w:val="TableParagraph"/>
              <w:spacing w:line="240" w:lineRule="auto" w:before="105"/>
              <w:ind w:left="156" w:right="0"/>
              <w:jc w:val="center"/>
              <w:rPr>
                <w:rFonts w:ascii="Times New Roman" w:hAnsi="Times New Roman" w:cs="Times New Roman" w:eastAsia="Times New Roman" w:hint="default"/>
                <w:sz w:val="18"/>
                <w:szCs w:val="18"/>
              </w:rPr>
            </w:pPr>
            <w:r>
              <w:rPr>
                <w:rFonts w:ascii="Times New Roman"/>
                <w:sz w:val="18"/>
              </w:rPr>
              <w:t>03.43</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5,075,715.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528,373.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48</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17,122,</w:t>
            </w:r>
          </w:p>
          <w:p>
            <w:pPr>
              <w:pStyle w:val="TableParagraph"/>
              <w:spacing w:line="240" w:lineRule="auto" w:before="102"/>
              <w:ind w:left="88" w:right="0"/>
              <w:jc w:val="left"/>
              <w:rPr>
                <w:rFonts w:ascii="Times New Roman" w:hAnsi="Times New Roman" w:cs="Times New Roman" w:eastAsia="Times New Roman" w:hint="default"/>
                <w:sz w:val="18"/>
                <w:szCs w:val="18"/>
              </w:rPr>
            </w:pPr>
            <w:r>
              <w:rPr>
                <w:rFonts w:ascii="Times New Roman"/>
                <w:sz w:val="18"/>
              </w:rPr>
              <w:t>382.06</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17,650,75</w:t>
            </w:r>
          </w:p>
          <w:p>
            <w:pPr>
              <w:pStyle w:val="TableParagraph"/>
              <w:spacing w:line="240" w:lineRule="auto" w:before="102"/>
              <w:ind w:left="515" w:right="0"/>
              <w:jc w:val="left"/>
              <w:rPr>
                <w:rFonts w:ascii="Times New Roman" w:hAnsi="Times New Roman" w:cs="Times New Roman" w:eastAsia="Times New Roman" w:hint="default"/>
                <w:sz w:val="18"/>
                <w:szCs w:val="18"/>
              </w:rPr>
            </w:pPr>
            <w:r>
              <w:rPr>
                <w:rFonts w:ascii="Times New Roman"/>
                <w:sz w:val="18"/>
              </w:rPr>
              <w:t>5.54</w:t>
            </w: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1,712,23</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8.21</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-14,287</w:t>
            </w:r>
          </w:p>
          <w:p>
            <w:pPr>
              <w:pStyle w:val="TableParagraph"/>
              <w:spacing w:line="240" w:lineRule="auto" w:before="102"/>
              <w:ind w:left="43" w:right="0"/>
              <w:jc w:val="left"/>
              <w:rPr>
                <w:rFonts w:ascii="Times New Roman" w:hAnsi="Times New Roman" w:cs="Times New Roman" w:eastAsia="Times New Roman" w:hint="default"/>
                <w:sz w:val="18"/>
                <w:szCs w:val="18"/>
              </w:rPr>
            </w:pPr>
            <w:r>
              <w:rPr>
                <w:rFonts w:ascii="Times New Roman"/>
                <w:sz w:val="18"/>
              </w:rPr>
              <w:t>,278.63</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-12,575,04</w:t>
            </w:r>
          </w:p>
          <w:p>
            <w:pPr>
              <w:pStyle w:val="TableParagraph"/>
              <w:spacing w:line="240" w:lineRule="auto" w:before="102"/>
              <w:ind w:left="515" w:right="0"/>
              <w:jc w:val="left"/>
              <w:rPr>
                <w:rFonts w:ascii="Times New Roman" w:hAnsi="Times New Roman" w:cs="Times New Roman" w:eastAsia="Times New Roman" w:hint="default"/>
                <w:sz w:val="18"/>
                <w:szCs w:val="18"/>
              </w:rPr>
            </w:pPr>
            <w:r>
              <w:rPr>
                <w:rFonts w:ascii="Times New Roman"/>
                <w:sz w:val="18"/>
              </w:rPr>
              <w:t>0.42</w:t>
            </w: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1,712,23</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8.21</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-1,712,</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238.21</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-12,575</w:t>
            </w:r>
          </w:p>
          <w:p>
            <w:pPr>
              <w:pStyle w:val="TableParagraph"/>
              <w:spacing w:line="240" w:lineRule="auto" w:before="103"/>
              <w:ind w:left="43" w:right="0"/>
              <w:jc w:val="left"/>
              <w:rPr>
                <w:rFonts w:ascii="Times New Roman" w:hAnsi="Times New Roman" w:cs="Times New Roman" w:eastAsia="Times New Roman" w:hint="default"/>
                <w:sz w:val="18"/>
                <w:szCs w:val="18"/>
              </w:rPr>
            </w:pPr>
            <w:r>
              <w:rPr>
                <w:rFonts w:ascii="Times New Roman"/>
                <w:sz w:val="18"/>
              </w:rPr>
              <w:t>,040.42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-12,575,04</w:t>
            </w:r>
          </w:p>
          <w:p>
            <w:pPr>
              <w:pStyle w:val="TableParagraph"/>
              <w:spacing w:line="240" w:lineRule="auto" w:before="103"/>
              <w:ind w:left="515" w:right="0"/>
              <w:jc w:val="left"/>
              <w:rPr>
                <w:rFonts w:ascii="Times New Roman" w:hAnsi="Times New Roman" w:cs="Times New Roman" w:eastAsia="Times New Roman" w:hint="default"/>
                <w:sz w:val="18"/>
                <w:szCs w:val="18"/>
              </w:rPr>
            </w:pPr>
            <w:r>
              <w:rPr>
                <w:rFonts w:ascii="Times New Roman"/>
                <w:sz w:val="18"/>
              </w:rPr>
              <w:t>0.42</w:t>
            </w: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838,33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6,028.0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2,662,43</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0,356.78</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-271,626</w:t>
            </w:r>
          </w:p>
          <w:p>
            <w:pPr>
              <w:pStyle w:val="TableParagraph"/>
              <w:spacing w:line="240" w:lineRule="auto" w:before="102"/>
              <w:ind w:left="467" w:right="0"/>
              <w:jc w:val="left"/>
              <w:rPr>
                <w:rFonts w:ascii="Times New Roman" w:hAnsi="Times New Roman" w:cs="Times New Roman" w:eastAsia="Times New Roman" w:hint="default"/>
                <w:sz w:val="18"/>
                <w:szCs w:val="18"/>
              </w:rPr>
            </w:pPr>
            <w:r>
              <w:rPr>
                <w:rFonts w:ascii="Times New Roman"/>
                <w:sz w:val="18"/>
              </w:rPr>
              <w:t>.52</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55,640,1</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99.90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160,25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7,035.3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3,716,391,</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993.55</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20"/>
        <w:gridCol w:w="593"/>
        <w:gridCol w:w="574"/>
        <w:gridCol w:w="572"/>
        <w:gridCol w:w="571"/>
        <w:gridCol w:w="686"/>
        <w:gridCol w:w="686"/>
        <w:gridCol w:w="684"/>
        <w:gridCol w:w="782"/>
        <w:gridCol w:w="665"/>
        <w:gridCol w:w="797"/>
        <w:gridCol w:w="797"/>
        <w:gridCol w:w="931"/>
      </w:tblGrid>
      <w:tr>
        <w:trPr>
          <w:trHeight w:val="399" w:hRule="exact"/>
        </w:trPr>
        <w:tc>
          <w:tcPr>
            <w:tcW w:w="1220" w:type="dxa"/>
            <w:vMerge w:val="restart"/>
            <w:tcBorders>
              <w:top w:val="single" w:sz="4" w:space="0" w:color="000000"/>
              <w:left w:val="single" w:sz="4" w:space="0" w:color="000000"/>
              <w:right w:val="single" w:sz="4" w:space="0" w:color="000000"/>
            </w:tcBorders>
            <w:shd w:val="clear" w:color="auto" w:fill="D2D2D2"/>
          </w:tcPr>
          <w:p>
            <w:pPr/>
          </w:p>
        </w:tc>
        <w:tc>
          <w:tcPr>
            <w:tcW w:w="833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188" w:hRule="exact"/>
        </w:trPr>
        <w:tc>
          <w:tcPr>
            <w:tcW w:w="1220" w:type="dxa"/>
            <w:vMerge/>
            <w:tcBorders>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4" w:space="0" w:color="000000"/>
              <w:right w:val="single" w:sz="4" w:space="0" w:color="000000"/>
            </w:tcBorders>
            <w:shd w:val="clear" w:color="auto" w:fill="D2D2D2"/>
          </w:tcPr>
          <w:p>
            <w:pPr/>
          </w:p>
        </w:tc>
        <w:tc>
          <w:tcPr>
            <w:tcW w:w="17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vMerge w:val="restart"/>
            <w:tcBorders>
              <w:top w:val="single" w:sz="4" w:space="0" w:color="000000"/>
              <w:left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8" w:hRule="exact"/>
        </w:trPr>
        <w:tc>
          <w:tcPr>
            <w:tcW w:w="12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93" w:type="dxa"/>
            <w:vMerge/>
            <w:tcBorders>
              <w:left w:val="single" w:sz="4" w:space="0" w:color="000000"/>
              <w:bottom w:val="nil" w:sz="6" w:space="0" w:color="auto"/>
              <w:right w:val="single" w:sz="4" w:space="0" w:color="000000"/>
            </w:tcBorders>
            <w:shd w:val="clear" w:color="auto" w:fill="D2D2D2"/>
          </w:tcPr>
          <w:p>
            <w:pPr/>
          </w:p>
        </w:tc>
        <w:tc>
          <w:tcPr>
            <w:tcW w:w="1717" w:type="dxa"/>
            <w:gridSpan w:val="3"/>
            <w:vMerge/>
            <w:tcBorders>
              <w:left w:val="single" w:sz="4" w:space="0" w:color="000000"/>
              <w:bottom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4"/>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4"/>
              <w:ind w:left="304" w:right="32"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4"/>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6" w:hRule="exact"/>
        </w:trPr>
        <w:tc>
          <w:tcPr>
            <w:tcW w:w="1220" w:type="dxa"/>
            <w:vMerge/>
            <w:tcBorders>
              <w:left w:val="single" w:sz="4" w:space="0" w:color="000000"/>
              <w:bottom w:val="nil" w:sz="6" w:space="0" w:color="auto"/>
              <w:right w:val="single" w:sz="4" w:space="0" w:color="000000"/>
            </w:tcBorders>
            <w:shd w:val="clear" w:color="auto" w:fill="D2D2D2"/>
          </w:tcPr>
          <w:p>
            <w:pPr/>
          </w:p>
        </w:tc>
        <w:tc>
          <w:tcPr>
            <w:tcW w:w="5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1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9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91" w:right="9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tcBorders>
              <w:left w:val="single" w:sz="4" w:space="0" w:color="000000"/>
              <w:right w:val="single" w:sz="4" w:space="0" w:color="000000"/>
            </w:tcBorders>
            <w:shd w:val="clear" w:color="auto" w:fill="D2D2D2"/>
          </w:tcPr>
          <w:p>
            <w:pPr/>
          </w:p>
        </w:tc>
      </w:tr>
      <w:tr>
        <w:trPr>
          <w:trHeight w:val="197" w:hRule="exact"/>
        </w:trPr>
        <w:tc>
          <w:tcPr>
            <w:tcW w:w="1220" w:type="dxa"/>
            <w:vMerge w:val="restart"/>
            <w:tcBorders>
              <w:top w:val="nil" w:sz="6" w:space="0" w:color="auto"/>
              <w:left w:val="single" w:sz="4" w:space="0" w:color="000000"/>
              <w:right w:val="single" w:sz="4" w:space="0" w:color="000000"/>
            </w:tcBorders>
            <w:shd w:val="clear" w:color="auto" w:fill="D2D2D2"/>
          </w:tcPr>
          <w:p>
            <w:pPr/>
          </w:p>
        </w:tc>
        <w:tc>
          <w:tcPr>
            <w:tcW w:w="593"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r>
      <w:tr>
        <w:trPr>
          <w:trHeight w:val="156" w:hRule="exact"/>
        </w:trPr>
        <w:tc>
          <w:tcPr>
            <w:tcW w:w="1220" w:type="dxa"/>
            <w:vMerge/>
            <w:tcBorders>
              <w:left w:val="single" w:sz="4" w:space="0" w:color="000000"/>
              <w:right w:val="single" w:sz="4" w:space="0" w:color="000000"/>
            </w:tcBorders>
            <w:shd w:val="clear" w:color="auto" w:fill="D2D2D2"/>
          </w:tcPr>
          <w:p>
            <w:pPr/>
          </w:p>
        </w:tc>
        <w:tc>
          <w:tcPr>
            <w:tcW w:w="593" w:type="dxa"/>
            <w:vMerge w:val="restart"/>
            <w:tcBorders>
              <w:top w:val="nil" w:sz="6" w:space="0" w:color="auto"/>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220" w:type="dxa"/>
            <w:vMerge/>
            <w:tcBorders>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2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9" w:space="0" w:color="D2D2D2"/>
              <w:right w:val="single" w:sz="4" w:space="0" w:color="000000"/>
            </w:tcBorders>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838,33</w:t>
            </w:r>
          </w:p>
          <w:p>
            <w:pPr>
              <w:pStyle w:val="TableParagraph"/>
              <w:spacing w:line="240" w:lineRule="auto" w:before="102"/>
              <w:ind w:left="104" w:right="0"/>
              <w:jc w:val="left"/>
              <w:rPr>
                <w:rFonts w:ascii="Times New Roman" w:hAnsi="Times New Roman" w:cs="Times New Roman" w:eastAsia="Times New Roman" w:hint="default"/>
                <w:sz w:val="18"/>
                <w:szCs w:val="18"/>
              </w:rPr>
            </w:pPr>
            <w:r>
              <w:rPr>
                <w:rFonts w:ascii="Times New Roman"/>
                <w:sz w:val="18"/>
              </w:rPr>
              <w:t>6,028.</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2,662,4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30,356.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78</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0.00</w:t>
            </w: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51,093,</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934.97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173,832,4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92.86</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3,724,892,8</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12.61</w:t>
            </w:r>
          </w:p>
        </w:tc>
      </w:tr>
      <w:tr>
        <w:trPr>
          <w:trHeight w:val="703" w:hRule="exact"/>
        </w:trPr>
        <w:tc>
          <w:tcPr>
            <w:tcW w:w="12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20" w:type="dxa"/>
            <w:tcBorders>
              <w:top w:val="nil" w:sz="6" w:space="0" w:color="auto"/>
              <w:left w:val="single" w:sz="4" w:space="0" w:color="000000"/>
              <w:bottom w:val="single" w:sz="4" w:space="0" w:color="000000"/>
              <w:right w:val="single" w:sz="4" w:space="0" w:color="000000"/>
            </w:tcBorders>
            <w:shd w:val="clear" w:color="auto" w:fill="D2D2D2"/>
          </w:tcPr>
          <w:p>
            <w:pPr/>
          </w:p>
        </w:tc>
        <w:tc>
          <w:tcPr>
            <w:tcW w:w="593"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加：会计政策变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更</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7"/>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宋体" w:hAnsi="宋体" w:cs="宋体" w:eastAsia="宋体" w:hint="default"/>
                <w:sz w:val="18"/>
                <w:szCs w:val="18"/>
              </w:rPr>
              <w:t>其他</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2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9" w:space="0" w:color="D2D2D2"/>
              <w:right w:val="single" w:sz="4" w:space="0" w:color="000000"/>
            </w:tcBorders>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838,33</w:t>
            </w:r>
          </w:p>
          <w:p>
            <w:pPr>
              <w:pStyle w:val="TableParagraph"/>
              <w:spacing w:line="240" w:lineRule="auto" w:before="102"/>
              <w:ind w:left="104" w:right="0"/>
              <w:jc w:val="left"/>
              <w:rPr>
                <w:rFonts w:ascii="Times New Roman" w:hAnsi="Times New Roman" w:cs="Times New Roman" w:eastAsia="Times New Roman" w:hint="default"/>
                <w:sz w:val="18"/>
                <w:szCs w:val="18"/>
              </w:rPr>
            </w:pPr>
            <w:r>
              <w:rPr>
                <w:rFonts w:ascii="Times New Roman"/>
                <w:sz w:val="18"/>
              </w:rPr>
              <w:t>6,028.</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2,662,4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30,356.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78</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0.00</w:t>
            </w: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51,093,</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934.97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173,832,4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92.86</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3,724,892,8</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12.61</w:t>
            </w:r>
          </w:p>
        </w:tc>
      </w:tr>
      <w:tr>
        <w:trPr>
          <w:trHeight w:val="703" w:hRule="exact"/>
        </w:trPr>
        <w:tc>
          <w:tcPr>
            <w:tcW w:w="12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20" w:type="dxa"/>
            <w:tcBorders>
              <w:top w:val="nil" w:sz="6" w:space="0" w:color="auto"/>
              <w:left w:val="single" w:sz="4" w:space="0" w:color="000000"/>
              <w:bottom w:val="single" w:sz="4" w:space="0" w:color="000000"/>
              <w:right w:val="single" w:sz="4" w:space="0" w:color="000000"/>
            </w:tcBorders>
            <w:shd w:val="clear" w:color="auto" w:fill="D2D2D2"/>
          </w:tcPr>
          <w:p>
            <w:pPr/>
          </w:p>
        </w:tc>
        <w:tc>
          <w:tcPr>
            <w:tcW w:w="593"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1027"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2,834,0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26.72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-16,410,5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60.90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-13,576,534</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.18</w:t>
            </w:r>
          </w:p>
        </w:tc>
      </w:tr>
      <w:tr>
        <w:trPr>
          <w:trHeight w:val="71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28,340,26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7.22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28,340,267.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22</w:t>
            </w:r>
          </w:p>
        </w:tc>
      </w:tr>
      <w:tr>
        <w:trPr>
          <w:trHeight w:val="716"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2,834,0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26.72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-44,750,8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28.12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-41,916,801</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center"/>
              <w:rPr>
                <w:rFonts w:ascii="Times New Roman" w:hAnsi="Times New Roman" w:cs="Times New Roman" w:eastAsia="Times New Roman" w:hint="default"/>
                <w:sz w:val="18"/>
                <w:szCs w:val="18"/>
              </w:rPr>
            </w:pPr>
            <w:r>
              <w:rPr>
                <w:rFonts w:ascii="Times New Roman"/>
                <w:sz w:val="18"/>
              </w:rPr>
              <w:t>2,834,0</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26.72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-2,834,02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6.72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-41,916,8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01.40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-41,916,801</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w:t>
            </w:r>
          </w:p>
        </w:tc>
      </w:tr>
      <w:tr>
        <w:trPr>
          <w:trHeight w:val="404"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838,33</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6,028.</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2,662,4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30,356.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0.00</w:t>
            </w: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53,927,</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961.69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157,421,9</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31.96</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3,711,316,2</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78.43</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三、公司基本情况" w:id="166"/>
      <w:bookmarkEnd w:id="166"/>
      <w:r>
        <w:rPr>
          <w:b w:val="0"/>
          <w:bCs w:val="0"/>
        </w:rPr>
      </w:r>
      <w:r>
        <w:rPr/>
        <w:t>三、公司基本情况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566" w:right="1133"/>
        <w:jc w:val="left"/>
        <w:rPr>
          <w:b w:val="0"/>
          <w:bCs w:val="0"/>
        </w:rPr>
      </w:pPr>
      <w:r>
        <w:rPr>
          <w:rFonts w:ascii="Times New Roman" w:hAnsi="Times New Roman" w:cs="Times New Roman" w:eastAsia="Times New Roman" w:hint="default"/>
        </w:rPr>
        <w:t>1.</w:t>
      </w:r>
      <w:r>
        <w:rPr/>
        <w:t>公司历史沿革、注册地、组织形式和总部地址</w:t>
      </w:r>
      <w:r>
        <w:rPr>
          <w:b w:val="0"/>
          <w:bCs w:val="0"/>
        </w:rPr>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b/>
          <w:bCs/>
          <w:sz w:val="24"/>
          <w:szCs w:val="24"/>
        </w:rPr>
      </w:pPr>
    </w:p>
    <w:p>
      <w:pPr>
        <w:pStyle w:val="BodyText"/>
        <w:spacing w:line="256" w:lineRule="auto" w:before="36"/>
        <w:ind w:right="1126" w:firstLine="425"/>
        <w:jc w:val="both"/>
      </w:pPr>
      <w:r>
        <w:rPr>
          <w:spacing w:val="-3"/>
        </w:rPr>
        <w:t>成都卫士通信息产业股份有限公司（以下简称</w:t>
      </w:r>
      <w:r>
        <w:rPr>
          <w:rFonts w:ascii="Times New Roman" w:hAnsi="Times New Roman" w:cs="Times New Roman" w:eastAsia="Times New Roman" w:hint="default"/>
          <w:spacing w:val="-3"/>
        </w:rPr>
        <w:t>“</w:t>
      </w:r>
      <w:r>
        <w:rPr>
          <w:spacing w:val="-3"/>
        </w:rPr>
        <w:t>公司</w:t>
      </w:r>
      <w:r>
        <w:rPr>
          <w:rFonts w:ascii="Times New Roman" w:hAnsi="Times New Roman" w:cs="Times New Roman" w:eastAsia="Times New Roman" w:hint="default"/>
          <w:spacing w:val="-3"/>
        </w:rPr>
        <w:t>”</w:t>
      </w:r>
      <w:r>
        <w:rPr>
          <w:spacing w:val="-3"/>
        </w:rPr>
        <w:t>或</w:t>
      </w:r>
      <w:r>
        <w:rPr>
          <w:rFonts w:ascii="Times New Roman" w:hAnsi="Times New Roman" w:cs="Times New Roman" w:eastAsia="Times New Roman" w:hint="default"/>
          <w:spacing w:val="-3"/>
        </w:rPr>
        <w:t>“</w:t>
      </w:r>
      <w:r>
        <w:rPr>
          <w:spacing w:val="-3"/>
        </w:rPr>
        <w:t>本公司</w:t>
      </w:r>
      <w:r>
        <w:rPr>
          <w:rFonts w:ascii="Times New Roman" w:hAnsi="Times New Roman" w:cs="Times New Roman" w:eastAsia="Times New Roman" w:hint="default"/>
          <w:spacing w:val="-3"/>
        </w:rPr>
        <w:t>”</w:t>
      </w:r>
      <w:r>
        <w:rPr>
          <w:spacing w:val="-3"/>
        </w:rPr>
        <w:t>）是于</w:t>
      </w:r>
      <w:r>
        <w:rPr>
          <w:rFonts w:ascii="Times New Roman" w:hAnsi="Times New Roman" w:cs="Times New Roman" w:eastAsia="Times New Roman" w:hint="default"/>
          <w:spacing w:val="-3"/>
        </w:rPr>
        <w:t>1998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12</w:t>
      </w:r>
      <w:r>
        <w:rPr>
          <w:spacing w:val="-3"/>
        </w:rPr>
        <w:t>日经成都市经济体</w:t>
      </w:r>
      <w:r>
        <w:rPr>
          <w:w w:val="100"/>
        </w:rPr>
        <w:t> </w:t>
      </w:r>
      <w:r>
        <w:rPr>
          <w:spacing w:val="3"/>
        </w:rPr>
        <w:t>制改革委员会</w:t>
      </w:r>
      <w:r>
        <w:rPr>
          <w:rFonts w:ascii="Times New Roman" w:hAnsi="Times New Roman" w:cs="Times New Roman" w:eastAsia="Times New Roman" w:hint="default"/>
          <w:spacing w:val="3"/>
        </w:rPr>
        <w:t>“</w:t>
      </w:r>
      <w:r>
        <w:rPr>
          <w:spacing w:val="3"/>
        </w:rPr>
        <w:t>成体改</w:t>
      </w:r>
      <w:r>
        <w:rPr>
          <w:rFonts w:ascii="Times New Roman" w:hAnsi="Times New Roman" w:cs="Times New Roman" w:eastAsia="Times New Roman" w:hint="default"/>
          <w:spacing w:val="3"/>
        </w:rPr>
        <w:t>[1998]</w:t>
      </w:r>
      <w:r>
        <w:rPr>
          <w:spacing w:val="3"/>
        </w:rPr>
        <w:t>第</w:t>
      </w:r>
      <w:r>
        <w:rPr>
          <w:rFonts w:ascii="Times New Roman" w:hAnsi="Times New Roman" w:cs="Times New Roman" w:eastAsia="Times New Roman" w:hint="default"/>
          <w:spacing w:val="3"/>
        </w:rPr>
        <w:t>28</w:t>
      </w:r>
      <w:r>
        <w:rPr>
          <w:spacing w:val="3"/>
        </w:rPr>
        <w:t>号</w:t>
      </w:r>
      <w:r>
        <w:rPr>
          <w:rFonts w:ascii="Times New Roman" w:hAnsi="Times New Roman" w:cs="Times New Roman" w:eastAsia="Times New Roman" w:hint="default"/>
          <w:spacing w:val="3"/>
        </w:rPr>
        <w:t>”</w:t>
      </w:r>
      <w:r>
        <w:rPr>
          <w:spacing w:val="3"/>
        </w:rPr>
        <w:t>文批准成立的股份有限公司，取得了成都市工商行政管理局核发的</w:t>
      </w:r>
      <w:r>
        <w:rPr>
          <w:spacing w:val="-5"/>
        </w:rPr>
        <w:t> </w:t>
      </w:r>
      <w:r>
        <w:rPr>
          <w:spacing w:val="-5"/>
        </w:rPr>
      </w:r>
      <w:r>
        <w:rPr>
          <w:rFonts w:ascii="Times New Roman" w:hAnsi="Times New Roman" w:cs="Times New Roman" w:eastAsia="Times New Roman" w:hint="default"/>
        </w:rPr>
        <w:t>510109000045289</w:t>
      </w:r>
      <w:r>
        <w:rPr/>
        <w:t>号《企业法人营业执照》。公司由中国电子科技集团公司第三十研究所、西南通信研究</w:t>
      </w:r>
      <w:r>
        <w:rPr>
          <w:spacing w:val="-23"/>
        </w:rPr>
        <w:t> </w:t>
      </w:r>
      <w:r>
        <w:rPr>
          <w:spacing w:val="-23"/>
        </w:rPr>
      </w:r>
      <w:r>
        <w:rPr>
          <w:spacing w:val="5"/>
        </w:rPr>
        <w:t>所、成都西通开发公司及罗天文等</w:t>
      </w:r>
      <w:r>
        <w:rPr>
          <w:rFonts w:ascii="Times New Roman" w:hAnsi="Times New Roman" w:cs="Times New Roman" w:eastAsia="Times New Roman" w:hint="default"/>
          <w:spacing w:val="5"/>
        </w:rPr>
        <w:t>1418</w:t>
      </w:r>
      <w:r>
        <w:rPr>
          <w:spacing w:val="5"/>
        </w:rPr>
        <w:t>名自然人共同出资以发起设立方式组建，公司注册资本人民币</w:t>
      </w:r>
      <w:r>
        <w:rPr>
          <w:spacing w:val="32"/>
        </w:rPr>
        <w:t> </w:t>
      </w:r>
      <w:r>
        <w:rPr>
          <w:spacing w:val="32"/>
        </w:rPr>
      </w:r>
      <w:r>
        <w:rPr>
          <w:rFonts w:ascii="Times New Roman" w:hAnsi="Times New Roman" w:cs="Times New Roman" w:eastAsia="Times New Roman" w:hint="default"/>
        </w:rPr>
        <w:t>1,201.00</w:t>
      </w:r>
      <w:r>
        <w:rPr/>
        <w:t>万元。经过历年实施的分配方案，截至</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日，公司总股本变更为</w:t>
      </w:r>
      <w:r>
        <w:rPr>
          <w:rFonts w:ascii="Times New Roman" w:hAnsi="Times New Roman" w:cs="Times New Roman" w:eastAsia="Times New Roman" w:hint="default"/>
        </w:rPr>
        <w:t>50,098,705</w:t>
      </w:r>
      <w:r>
        <w:rPr/>
        <w:t>股。</w:t>
      </w:r>
    </w:p>
    <w:p>
      <w:pPr>
        <w:pStyle w:val="BodyText"/>
        <w:spacing w:line="256" w:lineRule="auto" w:before="5"/>
        <w:ind w:right="1126" w:firstLine="425"/>
        <w:jc w:val="both"/>
      </w:pPr>
      <w:r>
        <w:rPr/>
        <w:t>根据公司</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日召开的</w:t>
      </w:r>
      <w:r>
        <w:rPr>
          <w:rFonts w:ascii="Times New Roman" w:hAnsi="Times New Roman" w:cs="Times New Roman" w:eastAsia="Times New Roman" w:hint="default"/>
        </w:rPr>
        <w:t>2007</w:t>
      </w:r>
      <w:r>
        <w:rPr/>
        <w:t>年第三次临时股东大会决议和中国证券监督管理委员会</w:t>
      </w:r>
      <w:r>
        <w:rPr>
          <w:rFonts w:ascii="Times New Roman" w:hAnsi="Times New Roman" w:cs="Times New Roman" w:eastAsia="Times New Roman" w:hint="default"/>
        </w:rPr>
        <w:t>“</w:t>
      </w:r>
      <w:r>
        <w:rPr/>
        <w:t>证监许</w:t>
      </w:r>
      <w:r>
        <w:rPr>
          <w:w w:val="100"/>
        </w:rPr>
        <w:t> </w:t>
      </w:r>
      <w:r>
        <w:rPr>
          <w:spacing w:val="-3"/>
        </w:rPr>
        <w:t>可</w:t>
      </w:r>
      <w:r>
        <w:rPr>
          <w:rFonts w:ascii="Times New Roman" w:hAnsi="Times New Roman" w:cs="Times New Roman" w:eastAsia="Times New Roman" w:hint="default"/>
          <w:spacing w:val="-3"/>
        </w:rPr>
        <w:t>[2008]926</w:t>
      </w:r>
      <w:r>
        <w:rPr>
          <w:spacing w:val="-3"/>
        </w:rPr>
        <w:t>号</w:t>
      </w:r>
      <w:r>
        <w:rPr>
          <w:rFonts w:ascii="Times New Roman" w:hAnsi="Times New Roman" w:cs="Times New Roman" w:eastAsia="Times New Roman" w:hint="default"/>
          <w:spacing w:val="-3"/>
        </w:rPr>
        <w:t>”</w:t>
      </w:r>
      <w:r>
        <w:rPr>
          <w:spacing w:val="-3"/>
        </w:rPr>
        <w:t>文核准，公司于</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30</w:t>
      </w:r>
      <w:r>
        <w:rPr>
          <w:spacing w:val="-3"/>
        </w:rPr>
        <w:t>日首次公开发行</w:t>
      </w:r>
      <w:r>
        <w:rPr>
          <w:rFonts w:ascii="Times New Roman" w:hAnsi="Times New Roman" w:cs="Times New Roman" w:eastAsia="Times New Roman" w:hint="default"/>
          <w:spacing w:val="-3"/>
        </w:rPr>
        <w:t>17,000,000</w:t>
      </w:r>
      <w:r>
        <w:rPr>
          <w:spacing w:val="-3"/>
        </w:rPr>
        <w:t>股人民币普通股（</w:t>
      </w:r>
      <w:r>
        <w:rPr>
          <w:rFonts w:ascii="Times New Roman" w:hAnsi="Times New Roman" w:cs="Times New Roman" w:eastAsia="Times New Roman" w:hint="default"/>
          <w:spacing w:val="-3"/>
        </w:rPr>
        <w:t>A</w:t>
      </w:r>
      <w:r>
        <w:rPr>
          <w:spacing w:val="-3"/>
        </w:rPr>
        <w:t>股），发行价格</w:t>
      </w:r>
      <w:r>
        <w:rPr>
          <w:spacing w:val="-33"/>
        </w:rPr>
        <w:t> </w:t>
      </w:r>
      <w:r>
        <w:rPr>
          <w:spacing w:val="-33"/>
        </w:rPr>
      </w:r>
      <w:r>
        <w:rPr/>
        <w:t>为</w:t>
      </w:r>
      <w:r>
        <w:rPr>
          <w:rFonts w:ascii="Times New Roman" w:hAnsi="Times New Roman" w:cs="Times New Roman" w:eastAsia="Times New Roman" w:hint="default"/>
        </w:rPr>
        <w:t>12.12</w:t>
      </w:r>
      <w:r>
        <w:rPr/>
        <w:t>元</w:t>
      </w:r>
      <w:r>
        <w:rPr>
          <w:rFonts w:ascii="Times New Roman" w:hAnsi="Times New Roman" w:cs="Times New Roman" w:eastAsia="Times New Roman" w:hint="default"/>
        </w:rPr>
        <w:t>/</w:t>
      </w:r>
      <w:r>
        <w:rPr/>
        <w:t>股。公司申请增加股本</w:t>
      </w:r>
      <w:r>
        <w:rPr>
          <w:rFonts w:ascii="Times New Roman" w:hAnsi="Times New Roman" w:cs="Times New Roman" w:eastAsia="Times New Roman" w:hint="default"/>
        </w:rPr>
        <w:t>17,000,000</w:t>
      </w:r>
      <w:r>
        <w:rPr/>
        <w:t>股，变更后公司总股本增至</w:t>
      </w:r>
      <w:r>
        <w:rPr>
          <w:rFonts w:ascii="Times New Roman" w:hAnsi="Times New Roman" w:cs="Times New Roman" w:eastAsia="Times New Roman" w:hint="default"/>
        </w:rPr>
        <w:t>67,098,705</w:t>
      </w:r>
      <w:r>
        <w:rPr/>
        <w:t>股。</w:t>
      </w:r>
    </w:p>
    <w:p>
      <w:pPr>
        <w:pStyle w:val="BodyText"/>
        <w:spacing w:line="256" w:lineRule="auto" w:before="5"/>
        <w:ind w:right="1127" w:firstLine="425"/>
        <w:jc w:val="both"/>
      </w:pPr>
      <w:r>
        <w:rPr>
          <w:rFonts w:ascii="Times New Roman" w:hAnsi="Times New Roman" w:cs="Times New Roman" w:eastAsia="Times New Roman" w:hint="default"/>
        </w:rPr>
        <w:t>2009</w:t>
      </w:r>
      <w:r>
        <w:rPr/>
        <w:t>年公司实施了</w:t>
      </w:r>
      <w:r>
        <w:rPr>
          <w:rFonts w:ascii="Times New Roman" w:hAnsi="Times New Roman" w:cs="Times New Roman" w:eastAsia="Times New Roman" w:hint="default"/>
        </w:rPr>
        <w:t>2008</w:t>
      </w:r>
      <w:r>
        <w:rPr/>
        <w:t>年年度利润分配方案，以</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67,098,705</w:t>
      </w:r>
      <w:r>
        <w:rPr/>
        <w:t>股为基数，以资本</w:t>
      </w:r>
      <w:r>
        <w:rPr>
          <w:w w:val="100"/>
        </w:rPr>
        <w:t> </w:t>
      </w:r>
      <w:r>
        <w:rPr/>
        <w:t>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股，变更后公司总股本增至</w:t>
      </w:r>
      <w:r>
        <w:rPr>
          <w:rFonts w:ascii="Times New Roman" w:hAnsi="Times New Roman" w:cs="Times New Roman" w:eastAsia="Times New Roman" w:hint="default"/>
        </w:rPr>
        <w:t>80,518,446</w:t>
      </w:r>
      <w:r>
        <w:rPr/>
        <w:t>股。</w:t>
      </w:r>
    </w:p>
    <w:p>
      <w:pPr>
        <w:pStyle w:val="BodyText"/>
        <w:spacing w:line="256" w:lineRule="auto" w:before="5"/>
        <w:ind w:right="1127" w:firstLine="425"/>
        <w:jc w:val="both"/>
      </w:pPr>
      <w:r>
        <w:rPr>
          <w:rFonts w:ascii="Times New Roman" w:hAnsi="Times New Roman" w:cs="Times New Roman" w:eastAsia="Times New Roman" w:hint="default"/>
        </w:rPr>
        <w:t>2010</w:t>
      </w:r>
      <w:r>
        <w:rPr/>
        <w:t>年公司实施了</w:t>
      </w:r>
      <w:r>
        <w:rPr>
          <w:rFonts w:ascii="Times New Roman" w:hAnsi="Times New Roman" w:cs="Times New Roman" w:eastAsia="Times New Roman" w:hint="default"/>
        </w:rPr>
        <w:t>2009</w:t>
      </w:r>
      <w:r>
        <w:rPr/>
        <w:t>年年度利润分配方案，以</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80,518,446</w:t>
      </w:r>
      <w:r>
        <w:rPr/>
        <w:t>股为基数，以资本</w:t>
      </w:r>
      <w:r>
        <w:rPr>
          <w:w w:val="100"/>
        </w:rPr>
        <w:t> </w:t>
      </w:r>
      <w:r>
        <w:rPr/>
        <w:t>公积金和未分配利润向全体股东每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6.5</w:t>
      </w:r>
      <w:r>
        <w:rPr/>
        <w:t>股，变更后公司总股本增至</w:t>
      </w:r>
      <w:r>
        <w:rPr>
          <w:rFonts w:ascii="Times New Roman" w:hAnsi="Times New Roman" w:cs="Times New Roman" w:eastAsia="Times New Roman" w:hint="default"/>
        </w:rPr>
        <w:t>132,855,435</w:t>
      </w:r>
      <w:r>
        <w:rPr/>
        <w:t>股。</w:t>
      </w:r>
    </w:p>
    <w:p>
      <w:pPr>
        <w:pStyle w:val="BodyText"/>
        <w:spacing w:line="256" w:lineRule="auto" w:before="5"/>
        <w:ind w:right="1126" w:firstLine="425"/>
        <w:jc w:val="both"/>
      </w:pPr>
      <w:r>
        <w:rPr>
          <w:rFonts w:ascii="Times New Roman" w:hAnsi="Times New Roman" w:cs="Times New Roman" w:eastAsia="Times New Roman" w:hint="default"/>
          <w:spacing w:val="-2"/>
        </w:rPr>
        <w:t>2011</w:t>
      </w:r>
      <w:r>
        <w:rPr>
          <w:spacing w:val="-2"/>
        </w:rPr>
        <w:t>年公司实施了</w:t>
      </w:r>
      <w:r>
        <w:rPr>
          <w:rFonts w:ascii="Times New Roman" w:hAnsi="Times New Roman" w:cs="Times New Roman" w:eastAsia="Times New Roman" w:hint="default"/>
          <w:spacing w:val="-2"/>
        </w:rPr>
        <w:t>2010</w:t>
      </w:r>
      <w:r>
        <w:rPr>
          <w:spacing w:val="-2"/>
        </w:rPr>
        <w:t>年年度利润分配方案，以</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132,855,435</w:t>
      </w:r>
      <w:r>
        <w:rPr>
          <w:spacing w:val="-2"/>
        </w:rPr>
        <w:t>股为基数，以资本</w:t>
      </w:r>
      <w:r>
        <w:rPr>
          <w:w w:val="100"/>
        </w:rPr>
        <w:t> </w:t>
      </w:r>
      <w:r>
        <w:rPr/>
        <w:t>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股，变更后公司总股本增至</w:t>
      </w:r>
      <w:r>
        <w:rPr>
          <w:rFonts w:ascii="Times New Roman" w:hAnsi="Times New Roman" w:cs="Times New Roman" w:eastAsia="Times New Roman" w:hint="default"/>
        </w:rPr>
        <w:t>172,712,065</w:t>
      </w:r>
      <w:r>
        <w:rPr/>
        <w:t>股。</w:t>
      </w:r>
    </w:p>
    <w:p>
      <w:pPr>
        <w:pStyle w:val="BodyText"/>
        <w:spacing w:line="261" w:lineRule="auto" w:before="5"/>
        <w:ind w:right="1104" w:firstLine="425"/>
        <w:jc w:val="both"/>
      </w:pPr>
      <w:r>
        <w:rPr>
          <w:spacing w:val="2"/>
        </w:rPr>
        <w:t>根据公司于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w:t>
      </w:r>
      <w:r>
        <w:rPr>
          <w:spacing w:val="2"/>
        </w:rPr>
        <w:t>日召开的</w:t>
      </w:r>
      <w:r>
        <w:rPr>
          <w:rFonts w:ascii="Times New Roman" w:hAnsi="Times New Roman" w:cs="Times New Roman" w:eastAsia="Times New Roman" w:hint="default"/>
          <w:spacing w:val="2"/>
        </w:rPr>
        <w:t>2014</w:t>
      </w:r>
      <w:r>
        <w:rPr>
          <w:spacing w:val="2"/>
        </w:rPr>
        <w:t>年第一次临时股东大会决议和中国证券监督管理委员会证监许</w:t>
      </w:r>
      <w:r>
        <w:rPr>
          <w:w w:val="100"/>
        </w:rPr>
        <w:t> </w:t>
      </w:r>
      <w:r>
        <w:rPr/>
        <w:t>可［</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729</w:t>
      </w:r>
      <w:r>
        <w:rPr/>
        <w:t>号《关于核准成都卫士通信息产业股份有限公司向中国电子科技集团公司第三十研究所等</w:t>
      </w:r>
      <w:r>
        <w:rPr>
          <w:spacing w:val="-32"/>
        </w:rPr>
        <w:t> </w:t>
      </w:r>
      <w:r>
        <w:rPr>
          <w:spacing w:val="-32"/>
        </w:rPr>
      </w:r>
      <w:r>
        <w:rPr>
          <w:spacing w:val="-2"/>
        </w:rPr>
        <w:t>发行股份购买资产并募集配套资金的批复》，公司采取非公开发行股票的方式向中国电子科技集团公司第</w:t>
      </w:r>
      <w:r>
        <w:rPr>
          <w:spacing w:val="-44"/>
        </w:rPr>
        <w:t> </w:t>
      </w:r>
      <w:r>
        <w:rPr>
          <w:spacing w:val="-44"/>
        </w:rPr>
      </w:r>
      <w:r>
        <w:rPr>
          <w:spacing w:val="-2"/>
        </w:rPr>
        <w:t>三十研究所、四川蜀祥创业投资有限公司（现更名为四川发展投资有限公司）和成都国信安信息产业基地</w:t>
      </w:r>
      <w:r>
        <w:rPr>
          <w:spacing w:val="-43"/>
        </w:rPr>
        <w:t> </w:t>
      </w:r>
      <w:r>
        <w:rPr>
          <w:spacing w:val="-43"/>
        </w:rPr>
      </w:r>
      <w:r>
        <w:rPr>
          <w:spacing w:val="6"/>
        </w:rPr>
        <w:t>有限公司发行股份，申请增加注册资本人民币</w:t>
      </w:r>
      <w:r>
        <w:rPr>
          <w:rFonts w:ascii="Times New Roman" w:hAnsi="Times New Roman" w:cs="Times New Roman" w:eastAsia="Times New Roman" w:hint="default"/>
          <w:spacing w:val="6"/>
        </w:rPr>
        <w:t>32,662,580.00</w:t>
      </w:r>
      <w:r>
        <w:rPr>
          <w:spacing w:val="6"/>
        </w:rPr>
        <w:t>元，变更后的注册资本（股本）为人民币</w:t>
      </w:r>
      <w:r>
        <w:rPr>
          <w:spacing w:val="16"/>
        </w:rPr>
        <w:t> </w:t>
      </w:r>
      <w:r>
        <w:rPr>
          <w:spacing w:val="16"/>
        </w:rPr>
      </w:r>
      <w:r>
        <w:rPr>
          <w:rFonts w:ascii="Times New Roman" w:hAnsi="Times New Roman" w:cs="Times New Roman" w:eastAsia="Times New Roman" w:hint="default"/>
          <w:spacing w:val="-1"/>
        </w:rPr>
        <w:t>205,374,645.00</w:t>
      </w:r>
      <w:r>
        <w:rPr>
          <w:spacing w:val="-1"/>
        </w:rPr>
        <w:t>元。增资后的股权结构为中国电子科技集团公司第三十研究所出资人民币</w:t>
      </w:r>
      <w:r>
        <w:rPr>
          <w:rFonts w:ascii="Times New Roman" w:hAnsi="Times New Roman" w:cs="Times New Roman" w:eastAsia="Times New Roman" w:hint="default"/>
          <w:spacing w:val="-1"/>
        </w:rPr>
        <w:t>82,994,968.00</w:t>
      </w:r>
      <w:r>
        <w:rPr>
          <w:spacing w:val="-1"/>
        </w:rPr>
        <w:t>元，</w:t>
      </w:r>
      <w:r>
        <w:rPr>
          <w:spacing w:val="-51"/>
        </w:rPr>
        <w:t> </w:t>
      </w:r>
      <w:r>
        <w:rPr>
          <w:spacing w:val="-2"/>
        </w:rPr>
        <w:t>占注册资本</w:t>
      </w:r>
      <w:r>
        <w:rPr>
          <w:rFonts w:ascii="Times New Roman" w:hAnsi="Times New Roman" w:cs="Times New Roman" w:eastAsia="Times New Roman" w:hint="default"/>
          <w:spacing w:val="-2"/>
        </w:rPr>
        <w:t>40.40%</w:t>
      </w:r>
      <w:r>
        <w:rPr>
          <w:spacing w:val="-2"/>
        </w:rPr>
        <w:t>；成都国信安信息产业基地有限公司出资人民币</w:t>
      </w:r>
      <w:r>
        <w:rPr>
          <w:rFonts w:ascii="Times New Roman" w:hAnsi="Times New Roman" w:cs="Times New Roman" w:eastAsia="Times New Roman" w:hint="default"/>
          <w:spacing w:val="-2"/>
        </w:rPr>
        <w:t>1,715,123.00</w:t>
      </w:r>
      <w:r>
        <w:rPr>
          <w:spacing w:val="-2"/>
        </w:rPr>
        <w:t>元，占注册资本</w:t>
      </w:r>
      <w:r>
        <w:rPr>
          <w:rFonts w:ascii="Times New Roman" w:hAnsi="Times New Roman" w:cs="Times New Roman" w:eastAsia="Times New Roman" w:hint="default"/>
          <w:spacing w:val="-2"/>
        </w:rPr>
        <w:t>0.84%</w:t>
      </w:r>
      <w:r>
        <w:rPr>
          <w:spacing w:val="-2"/>
        </w:rPr>
        <w:t>；四</w:t>
      </w:r>
      <w:r>
        <w:rPr>
          <w:spacing w:val="-12"/>
        </w:rPr>
        <w:t> </w:t>
      </w:r>
      <w:r>
        <w:rPr>
          <w:spacing w:val="20"/>
        </w:rPr>
        <w:t>川发展投资有限公司出资人民币</w:t>
      </w:r>
      <w:r>
        <w:rPr>
          <w:spacing w:val="-70"/>
        </w:rPr>
        <w:t> </w:t>
      </w:r>
      <w:r>
        <w:rPr>
          <w:rFonts w:ascii="Times New Roman" w:hAnsi="Times New Roman" w:cs="Times New Roman" w:eastAsia="Times New Roman" w:hint="default"/>
        </w:rPr>
        <w:t>8,107,426.00</w:t>
      </w:r>
      <w:r>
        <w:rPr>
          <w:rFonts w:ascii="Times New Roman" w:hAnsi="Times New Roman" w:cs="Times New Roman" w:eastAsia="Times New Roman" w:hint="default"/>
          <w:spacing w:val="-19"/>
        </w:rPr>
        <w:t> </w:t>
      </w:r>
      <w:r>
        <w:rPr>
          <w:spacing w:val="10"/>
        </w:rPr>
        <w:t>元，</w:t>
      </w:r>
      <w:r>
        <w:rPr>
          <w:spacing w:val="-72"/>
        </w:rPr>
        <w:t> </w:t>
      </w:r>
      <w:r>
        <w:rPr>
          <w:spacing w:val="17"/>
        </w:rPr>
        <w:t>占注册资本</w:t>
      </w:r>
      <w:r>
        <w:rPr>
          <w:spacing w:val="-69"/>
        </w:rPr>
        <w:t> </w:t>
      </w:r>
      <w:r>
        <w:rPr>
          <w:rFonts w:ascii="Times New Roman" w:hAnsi="Times New Roman" w:cs="Times New Roman" w:eastAsia="Times New Roman" w:hint="default"/>
          <w:spacing w:val="3"/>
        </w:rPr>
        <w:t>3.95%</w:t>
      </w:r>
      <w:r>
        <w:rPr>
          <w:spacing w:val="3"/>
        </w:rPr>
        <w:t>；</w:t>
      </w:r>
      <w:r>
        <w:rPr>
          <w:spacing w:val="-75"/>
        </w:rPr>
        <w:t> </w:t>
      </w:r>
      <w:r>
        <w:rPr>
          <w:spacing w:val="19"/>
        </w:rPr>
        <w:t>其他社会公众股出资人民币</w:t>
      </w:r>
      <w:r>
        <w:rPr>
          <w:spacing w:val="-78"/>
        </w:rPr>
        <w:t> </w:t>
      </w:r>
      <w:r>
        <w:rPr>
          <w:spacing w:val="-78"/>
        </w:rPr>
      </w:r>
      <w:r>
        <w:rPr>
          <w:rFonts w:ascii="Times New Roman" w:hAnsi="Times New Roman" w:cs="Times New Roman" w:eastAsia="Times New Roman" w:hint="default"/>
          <w:spacing w:val="-7"/>
        </w:rPr>
        <w:t>112,557,128.00</w:t>
      </w:r>
      <w:r>
        <w:rPr>
          <w:spacing w:val="-7"/>
        </w:rPr>
        <w:t>元，占注册资本</w:t>
      </w:r>
      <w:r>
        <w:rPr>
          <w:rFonts w:ascii="Times New Roman" w:hAnsi="Times New Roman" w:cs="Times New Roman" w:eastAsia="Times New Roman" w:hint="default"/>
          <w:spacing w:val="-7"/>
        </w:rPr>
        <w:t>54.81%</w:t>
      </w:r>
      <w:r>
        <w:rPr>
          <w:spacing w:val="-7"/>
        </w:rPr>
        <w:t>。以上增资已经中天运会计师事务所（特殊普通合伙）审验，并于</w:t>
      </w:r>
      <w:r>
        <w:rPr>
          <w:rFonts w:ascii="Times New Roman" w:hAnsi="Times New Roman" w:cs="Times New Roman" w:eastAsia="Times New Roman" w:hint="default"/>
          <w:spacing w:val="-7"/>
        </w:rPr>
        <w:t>2014</w:t>
      </w:r>
      <w:r>
        <w:rPr>
          <w:rFonts w:ascii="Times New Roman" w:hAnsi="Times New Roman" w:cs="Times New Roman" w:eastAsia="Times New Roman" w:hint="default"/>
          <w:spacing w:val="9"/>
        </w:rPr>
        <w:t> </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日出具中天运〔</w:t>
      </w:r>
      <w:r>
        <w:rPr>
          <w:rFonts w:ascii="Times New Roman" w:hAnsi="Times New Roman" w:cs="Times New Roman" w:eastAsia="Times New Roman" w:hint="default"/>
        </w:rPr>
        <w:t>2014</w:t>
      </w:r>
      <w:r>
        <w:rPr/>
        <w:t>〕验字第</w:t>
      </w:r>
      <w:r>
        <w:rPr>
          <w:rFonts w:ascii="Times New Roman" w:hAnsi="Times New Roman" w:cs="Times New Roman" w:eastAsia="Times New Roman" w:hint="default"/>
        </w:rPr>
        <w:t>90026</w:t>
      </w:r>
      <w:r>
        <w:rPr/>
        <w:t>号验资报告。</w:t>
      </w:r>
    </w:p>
    <w:p>
      <w:pPr>
        <w:pStyle w:val="BodyText"/>
        <w:spacing w:line="261" w:lineRule="auto" w:before="0"/>
        <w:ind w:right="1104" w:firstLine="425"/>
        <w:jc w:val="both"/>
      </w:pPr>
      <w:r>
        <w:rPr>
          <w:spacing w:val="-2"/>
        </w:rPr>
        <w:t>根据中国证券监督管理委员会《关于核准成都卫士通信息产业股份有限公司向中国电子科技集团第三</w:t>
      </w:r>
      <w:r>
        <w:rPr>
          <w:w w:val="100"/>
        </w:rPr>
        <w:t> </w:t>
      </w:r>
      <w:r>
        <w:rPr>
          <w:spacing w:val="-3"/>
        </w:rPr>
        <w:t>十研究所等发行股份购买资产并募集配套资金的批复》（证监许可</w:t>
      </w:r>
      <w:r>
        <w:rPr>
          <w:rFonts w:ascii="Times New Roman" w:hAnsi="Times New Roman" w:cs="Times New Roman" w:eastAsia="Times New Roman" w:hint="default"/>
          <w:spacing w:val="-3"/>
        </w:rPr>
        <w:t>[2014]729</w:t>
      </w:r>
      <w:r>
        <w:rPr>
          <w:spacing w:val="-3"/>
        </w:rPr>
        <w:t>号）、《成都卫士通信息产业</w:t>
      </w:r>
      <w:r>
        <w:rPr>
          <w:spacing w:val="-19"/>
        </w:rPr>
        <w:t> </w:t>
      </w:r>
      <w:r>
        <w:rPr>
          <w:spacing w:val="-19"/>
        </w:rPr>
      </w:r>
      <w:r>
        <w:rPr>
          <w:spacing w:val="-2"/>
        </w:rPr>
        <w:t>股份有限公司二零一四年第一次临时股东大会决议》和《成都卫士通信息产业股份有限公司第五届董事会</w:t>
      </w:r>
      <w:r>
        <w:rPr>
          <w:spacing w:val="-44"/>
        </w:rPr>
        <w:t> </w:t>
      </w:r>
      <w:r>
        <w:rPr>
          <w:spacing w:val="-44"/>
        </w:rPr>
      </w:r>
      <w:r>
        <w:rPr/>
        <w:t>第二十四次会议决议》，公司向中国电子科技集团公司第三十研究所非公开发行人民币普通股</w:t>
      </w:r>
      <w:r>
        <w:rPr>
          <w:rFonts w:ascii="Times New Roman" w:hAnsi="Times New Roman" w:cs="Times New Roman" w:eastAsia="Times New Roman" w:hint="default"/>
        </w:rPr>
        <w:t>10,887,028</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1"/>
        </w:rPr>
      </w:r>
      <w:r>
        <w:rPr>
          <w:spacing w:val="5"/>
        </w:rPr>
        <w:t>股（每股发行价</w:t>
      </w:r>
      <w:r>
        <w:rPr>
          <w:rFonts w:ascii="Times New Roman" w:hAnsi="Times New Roman" w:cs="Times New Roman" w:eastAsia="Times New Roman" w:hint="default"/>
          <w:spacing w:val="5"/>
        </w:rPr>
        <w:t>18.05</w:t>
      </w:r>
      <w:r>
        <w:rPr>
          <w:spacing w:val="5"/>
        </w:rPr>
        <w:t>元），申请增加注册资本</w:t>
      </w:r>
      <w:r>
        <w:rPr>
          <w:rFonts w:ascii="Times New Roman" w:hAnsi="Times New Roman" w:cs="Times New Roman" w:eastAsia="Times New Roman" w:hint="default"/>
          <w:spacing w:val="5"/>
        </w:rPr>
        <w:t>10,887,028.00</w:t>
      </w:r>
      <w:r>
        <w:rPr>
          <w:spacing w:val="5"/>
        </w:rPr>
        <w:t>元，变更后的注册资本（股本）为人民币</w:t>
      </w:r>
      <w:r>
        <w:rPr>
          <w:spacing w:val="3"/>
        </w:rPr>
        <w:t> </w:t>
      </w:r>
      <w:r>
        <w:rPr>
          <w:spacing w:val="3"/>
        </w:rPr>
      </w:r>
      <w:r>
        <w:rPr>
          <w:rFonts w:ascii="Times New Roman" w:hAnsi="Times New Roman" w:cs="Times New Roman" w:eastAsia="Times New Roman" w:hint="default"/>
          <w:spacing w:val="-1"/>
        </w:rPr>
        <w:t>216,261,673.00</w:t>
      </w:r>
      <w:r>
        <w:rPr>
          <w:spacing w:val="-1"/>
        </w:rPr>
        <w:t>元。增资后的股权结构为中国电子科技集团公司第三十研究所出资人民币</w:t>
      </w:r>
      <w:r>
        <w:rPr>
          <w:rFonts w:ascii="Times New Roman" w:hAnsi="Times New Roman" w:cs="Times New Roman" w:eastAsia="Times New Roman" w:hint="default"/>
          <w:spacing w:val="-1"/>
        </w:rPr>
        <w:t>93,881,996.00</w:t>
      </w:r>
      <w:r>
        <w:rPr>
          <w:spacing w:val="-1"/>
        </w:rPr>
        <w:t>元，</w:t>
      </w:r>
      <w:r>
        <w:rPr>
          <w:spacing w:val="-51"/>
        </w:rPr>
        <w:t> </w:t>
      </w:r>
      <w:r>
        <w:rPr>
          <w:spacing w:val="-2"/>
        </w:rPr>
        <w:t>占注册资本</w:t>
      </w:r>
      <w:r>
        <w:rPr>
          <w:rFonts w:ascii="Times New Roman" w:hAnsi="Times New Roman" w:cs="Times New Roman" w:eastAsia="Times New Roman" w:hint="default"/>
          <w:spacing w:val="-2"/>
        </w:rPr>
        <w:t>43.41%</w:t>
      </w:r>
      <w:r>
        <w:rPr>
          <w:spacing w:val="-2"/>
        </w:rPr>
        <w:t>；成都国信安信息产业基地有限公司出资人民币</w:t>
      </w:r>
      <w:r>
        <w:rPr>
          <w:rFonts w:ascii="Times New Roman" w:hAnsi="Times New Roman" w:cs="Times New Roman" w:eastAsia="Times New Roman" w:hint="default"/>
          <w:spacing w:val="-2"/>
        </w:rPr>
        <w:t>1,715,123.00</w:t>
      </w:r>
      <w:r>
        <w:rPr>
          <w:spacing w:val="-2"/>
        </w:rPr>
        <w:t>元，占注册资本</w:t>
      </w:r>
      <w:r>
        <w:rPr>
          <w:rFonts w:ascii="Times New Roman" w:hAnsi="Times New Roman" w:cs="Times New Roman" w:eastAsia="Times New Roman" w:hint="default"/>
          <w:spacing w:val="-2"/>
        </w:rPr>
        <w:t>0.79%</w:t>
      </w:r>
      <w:r>
        <w:rPr>
          <w:spacing w:val="-2"/>
        </w:rPr>
        <w:t>；四</w:t>
      </w:r>
      <w:r>
        <w:rPr>
          <w:spacing w:val="-12"/>
        </w:rPr>
        <w:t> </w:t>
      </w:r>
      <w:r>
        <w:rPr>
          <w:spacing w:val="20"/>
        </w:rPr>
        <w:t>川发展投资有限公司出资人民币</w:t>
      </w:r>
      <w:r>
        <w:rPr>
          <w:spacing w:val="-70"/>
        </w:rPr>
        <w:t> </w:t>
      </w:r>
      <w:r>
        <w:rPr>
          <w:rFonts w:ascii="Times New Roman" w:hAnsi="Times New Roman" w:cs="Times New Roman" w:eastAsia="Times New Roman" w:hint="default"/>
        </w:rPr>
        <w:t>8,107,426.00</w:t>
      </w:r>
      <w:r>
        <w:rPr>
          <w:rFonts w:ascii="Times New Roman" w:hAnsi="Times New Roman" w:cs="Times New Roman" w:eastAsia="Times New Roman" w:hint="default"/>
          <w:spacing w:val="-19"/>
        </w:rPr>
        <w:t> </w:t>
      </w:r>
      <w:r>
        <w:rPr>
          <w:spacing w:val="10"/>
        </w:rPr>
        <w:t>元，</w:t>
      </w:r>
      <w:r>
        <w:rPr>
          <w:spacing w:val="-72"/>
        </w:rPr>
        <w:t> </w:t>
      </w:r>
      <w:r>
        <w:rPr>
          <w:spacing w:val="17"/>
        </w:rPr>
        <w:t>占注册资本</w:t>
      </w:r>
      <w:r>
        <w:rPr>
          <w:spacing w:val="-69"/>
        </w:rPr>
        <w:t> </w:t>
      </w:r>
      <w:r>
        <w:rPr>
          <w:rFonts w:ascii="Times New Roman" w:hAnsi="Times New Roman" w:cs="Times New Roman" w:eastAsia="Times New Roman" w:hint="default"/>
          <w:spacing w:val="3"/>
        </w:rPr>
        <w:t>3.75%</w:t>
      </w:r>
      <w:r>
        <w:rPr>
          <w:spacing w:val="3"/>
        </w:rPr>
        <w:t>；</w:t>
      </w:r>
      <w:r>
        <w:rPr>
          <w:spacing w:val="-75"/>
        </w:rPr>
        <w:t> </w:t>
      </w:r>
      <w:r>
        <w:rPr>
          <w:spacing w:val="19"/>
        </w:rPr>
        <w:t>其他社会公众股出资人民币</w:t>
      </w:r>
      <w:r>
        <w:rPr>
          <w:spacing w:val="-78"/>
        </w:rPr>
        <w:t> </w:t>
      </w:r>
      <w:r>
        <w:rPr>
          <w:spacing w:val="-78"/>
        </w:rPr>
      </w:r>
      <w:r>
        <w:rPr>
          <w:rFonts w:ascii="Times New Roman" w:hAnsi="Times New Roman" w:cs="Times New Roman" w:eastAsia="Times New Roman" w:hint="default"/>
          <w:spacing w:val="-7"/>
        </w:rPr>
        <w:t>112,557,128.00</w:t>
      </w:r>
      <w:r>
        <w:rPr>
          <w:spacing w:val="-7"/>
        </w:rPr>
        <w:t>元，占注册资本</w:t>
      </w:r>
      <w:r>
        <w:rPr>
          <w:rFonts w:ascii="Times New Roman" w:hAnsi="Times New Roman" w:cs="Times New Roman" w:eastAsia="Times New Roman" w:hint="default"/>
          <w:spacing w:val="-7"/>
        </w:rPr>
        <w:t>52.05%</w:t>
      </w:r>
      <w:r>
        <w:rPr>
          <w:spacing w:val="-7"/>
        </w:rPr>
        <w:t>。以上增资已经中天运会计师事务所（特殊普通合伙）审验，并于</w:t>
      </w:r>
      <w:r>
        <w:rPr>
          <w:rFonts w:ascii="Times New Roman" w:hAnsi="Times New Roman" w:cs="Times New Roman" w:eastAsia="Times New Roman" w:hint="default"/>
          <w:spacing w:val="-7"/>
        </w:rPr>
        <w:t>2014</w:t>
      </w:r>
      <w:r>
        <w:rPr>
          <w:rFonts w:ascii="Times New Roman" w:hAnsi="Times New Roman" w:cs="Times New Roman" w:eastAsia="Times New Roman" w:hint="default"/>
          <w:spacing w:val="9"/>
        </w:rPr>
        <w:t> </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日出具中天运〔</w:t>
      </w:r>
      <w:r>
        <w:rPr>
          <w:rFonts w:ascii="Times New Roman" w:hAnsi="Times New Roman" w:cs="Times New Roman" w:eastAsia="Times New Roman" w:hint="default"/>
        </w:rPr>
        <w:t>2014</w:t>
      </w:r>
      <w:r>
        <w:rPr/>
        <w:t>〕验字第</w:t>
      </w:r>
      <w:r>
        <w:rPr>
          <w:rFonts w:ascii="Times New Roman" w:hAnsi="Times New Roman" w:cs="Times New Roman" w:eastAsia="Times New Roman" w:hint="default"/>
        </w:rPr>
        <w:t>90041</w:t>
      </w:r>
      <w:r>
        <w:rPr/>
        <w:t>号验资报告。本公司上述变更已于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日完成工商</w:t>
      </w:r>
      <w:r>
        <w:rPr>
          <w:spacing w:val="-28"/>
        </w:rPr>
        <w:t> </w:t>
      </w:r>
      <w:r>
        <w:rPr>
          <w:spacing w:val="-28"/>
        </w:rPr>
      </w:r>
      <w:r>
        <w:rPr/>
        <w:t>变更登记手续，并取得</w:t>
      </w:r>
      <w:r>
        <w:rPr>
          <w:rFonts w:ascii="Times New Roman" w:hAnsi="Times New Roman" w:cs="Times New Roman" w:eastAsia="Times New Roman" w:hint="default"/>
        </w:rPr>
        <w:t>510109000045289</w:t>
      </w:r>
      <w:r>
        <w:rPr/>
        <w:t>号营业执照。</w:t>
      </w:r>
    </w:p>
    <w:p>
      <w:pPr>
        <w:pStyle w:val="BodyText"/>
        <w:spacing w:line="256" w:lineRule="auto" w:before="1"/>
        <w:ind w:right="1126" w:firstLine="425"/>
        <w:jc w:val="both"/>
      </w:pPr>
      <w:r>
        <w:rPr>
          <w:rFonts w:ascii="Times New Roman" w:hAnsi="Times New Roman" w:cs="Times New Roman" w:eastAsia="Times New Roman" w:hint="default"/>
          <w:spacing w:val="-2"/>
        </w:rPr>
        <w:t>2015</w:t>
      </w:r>
      <w:r>
        <w:rPr>
          <w:spacing w:val="-2"/>
        </w:rPr>
        <w:t>年公司实施了</w:t>
      </w:r>
      <w:r>
        <w:rPr>
          <w:rFonts w:ascii="Times New Roman" w:hAnsi="Times New Roman" w:cs="Times New Roman" w:eastAsia="Times New Roman" w:hint="default"/>
          <w:spacing w:val="-2"/>
        </w:rPr>
        <w:t>2014</w:t>
      </w:r>
      <w:r>
        <w:rPr>
          <w:spacing w:val="-2"/>
        </w:rPr>
        <w:t>年年度利润分配方案，以</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216,261,673</w:t>
      </w:r>
      <w:r>
        <w:rPr>
          <w:spacing w:val="-2"/>
        </w:rPr>
        <w:t>股为基数，以资本</w:t>
      </w:r>
      <w:r>
        <w:rPr>
          <w:w w:val="100"/>
        </w:rPr>
        <w:t> </w:t>
      </w:r>
      <w:r>
        <w:rPr/>
        <w:t>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股，变更后公司总股本增至</w:t>
      </w:r>
      <w:r>
        <w:rPr>
          <w:rFonts w:ascii="Times New Roman" w:hAnsi="Times New Roman" w:cs="Times New Roman" w:eastAsia="Times New Roman" w:hint="default"/>
        </w:rPr>
        <w:t>432,523,346</w:t>
      </w:r>
      <w:r>
        <w:rPr/>
        <w:t>股。</w:t>
      </w:r>
    </w:p>
    <w:p>
      <w:pPr>
        <w:pStyle w:val="BodyText"/>
        <w:spacing w:line="273" w:lineRule="auto" w:before="5"/>
        <w:ind w:right="1126" w:firstLine="425"/>
        <w:jc w:val="both"/>
      </w:pPr>
      <w:r>
        <w:rPr>
          <w:spacing w:val="-2"/>
        </w:rPr>
        <w:t>根据中国证券监督管理委员会《关于核准豁免中国电子科技网络信息安全有限公司要约收购成都卫士</w:t>
      </w:r>
      <w:r>
        <w:rPr>
          <w:w w:val="100"/>
        </w:rPr>
        <w:t> </w:t>
      </w:r>
      <w:r>
        <w:rPr>
          <w:spacing w:val="-3"/>
        </w:rPr>
        <w:t>通信息产业股份有限公司股份义务的批复》（</w:t>
      </w:r>
      <w:r>
        <w:rPr>
          <w:spacing w:val="-8"/>
        </w:rPr>
        <w:t> </w:t>
      </w:r>
      <w:r>
        <w:rPr/>
        <w:t>证监许可</w:t>
      </w:r>
      <w:r>
        <w:rPr>
          <w:rFonts w:ascii="Times New Roman" w:hAnsi="Times New Roman" w:cs="Times New Roman" w:eastAsia="Times New Roman" w:hint="default"/>
        </w:rPr>
        <w:t>[2015]2190</w:t>
      </w:r>
      <w:r>
        <w:rPr/>
        <w:t>号）、国务院国有资产监督管理委员会</w:t>
      </w:r>
    </w:p>
    <w:p>
      <w:pPr>
        <w:pStyle w:val="BodyText"/>
        <w:spacing w:line="264" w:lineRule="auto" w:before="0"/>
        <w:ind w:right="1126"/>
        <w:jc w:val="both"/>
      </w:pPr>
      <w:r>
        <w:rPr>
          <w:spacing w:val="2"/>
        </w:rPr>
        <w:t>《关于无偿划转中国电子科技集团公司第三十研究所和成都国信安信息产业基地有限公司所持成都卫士</w:t>
      </w:r>
      <w:r>
        <w:rPr>
          <w:spacing w:val="-30"/>
        </w:rPr>
        <w:t> </w:t>
      </w:r>
      <w:r>
        <w:rPr>
          <w:spacing w:val="-30"/>
        </w:rPr>
      </w:r>
      <w:r>
        <w:rPr>
          <w:spacing w:val="-3"/>
        </w:rPr>
        <w:t>通信息产业股份有限公司股份有关问题的批复》（国资产权</w:t>
      </w:r>
      <w:r>
        <w:rPr>
          <w:rFonts w:ascii="Times New Roman" w:hAnsi="Times New Roman" w:cs="Times New Roman" w:eastAsia="Times New Roman" w:hint="default"/>
          <w:spacing w:val="-3"/>
        </w:rPr>
        <w:t>[2015]877</w:t>
      </w:r>
      <w:r>
        <w:rPr>
          <w:spacing w:val="-3"/>
        </w:rPr>
        <w:t>号），中国电子科技集团公司第三十</w:t>
      </w:r>
      <w:r>
        <w:rPr>
          <w:spacing w:val="-16"/>
        </w:rPr>
        <w:t> </w:t>
      </w:r>
      <w:r>
        <w:rPr>
          <w:spacing w:val="-16"/>
        </w:rPr>
      </w:r>
      <w:r>
        <w:rPr>
          <w:spacing w:val="2"/>
        </w:rPr>
        <w:t>研究所和成都国信安信息产业基地有限公司将其分别持有的公司</w:t>
      </w:r>
      <w:r>
        <w:rPr>
          <w:spacing w:val="81"/>
        </w:rPr>
        <w:t> </w:t>
      </w:r>
      <w:r>
        <w:rPr>
          <w:rFonts w:ascii="Times New Roman" w:hAnsi="Times New Roman" w:cs="Times New Roman" w:eastAsia="Times New Roman" w:hint="default"/>
        </w:rPr>
        <w:t>18776.3992</w:t>
      </w:r>
      <w:r>
        <w:rPr/>
        <w:t>万股股份和</w:t>
      </w:r>
      <w:r>
        <w:rPr>
          <w:rFonts w:ascii="Times New Roman" w:hAnsi="Times New Roman" w:cs="Times New Roman" w:eastAsia="Times New Roman" w:hint="default"/>
        </w:rPr>
        <w:t>343.0246</w:t>
      </w:r>
      <w:r>
        <w:rPr/>
        <w:t>万股股</w:t>
      </w:r>
      <w:r>
        <w:rPr>
          <w:spacing w:val="-75"/>
        </w:rPr>
        <w:t> </w:t>
      </w:r>
      <w:r>
        <w:rPr>
          <w:spacing w:val="-75"/>
        </w:rPr>
      </w:r>
      <w:r>
        <w:rPr>
          <w:spacing w:val="-2"/>
        </w:rPr>
        <w:t>份无偿划转给中国电子科技网络信息安全有限公司持有。本次股份划转后，公司总股本不变，中国电子科</w:t>
      </w:r>
      <w:r>
        <w:rPr>
          <w:spacing w:val="-44"/>
        </w:rPr>
        <w:t> </w:t>
      </w:r>
      <w:r>
        <w:rPr>
          <w:spacing w:val="-44"/>
        </w:rPr>
      </w:r>
      <w:r>
        <w:rPr>
          <w:spacing w:val="-2"/>
        </w:rPr>
        <w:t>技集团公司第三十研究所和成都国信安信息产业基地有限公司不再持有公司股份，中国电子科技网络信息</w:t>
      </w:r>
    </w:p>
    <w:p>
      <w:pPr>
        <w:spacing w:after="0" w:line="264"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56" w:lineRule="auto" w:before="36"/>
        <w:ind w:right="1128"/>
        <w:jc w:val="both"/>
      </w:pPr>
      <w:r>
        <w:rPr/>
        <w:t>安全有限公司持有公司 </w:t>
      </w:r>
      <w:r>
        <w:rPr>
          <w:rFonts w:ascii="Times New Roman" w:hAnsi="Times New Roman" w:cs="Times New Roman" w:eastAsia="Times New Roman" w:hint="default"/>
        </w:rPr>
        <w:t>19,119.4238</w:t>
      </w:r>
      <w:r>
        <w:rPr/>
        <w:t>万股股份，占总股本的</w:t>
      </w:r>
      <w:r>
        <w:rPr>
          <w:spacing w:val="-49"/>
        </w:rPr>
        <w:t> </w:t>
      </w:r>
      <w:r>
        <w:rPr>
          <w:rFonts w:ascii="Times New Roman" w:hAnsi="Times New Roman" w:cs="Times New Roman" w:eastAsia="Times New Roman" w:hint="default"/>
        </w:rPr>
        <w:t>44.20%</w:t>
      </w:r>
      <w:r>
        <w:rPr/>
        <w:t>。公司实际控制人未发生变更，仍为中</w:t>
      </w:r>
      <w:r>
        <w:rPr>
          <w:w w:val="100"/>
        </w:rPr>
        <w:t> </w:t>
      </w:r>
      <w:r>
        <w:rPr/>
        <w:t>国电子科技集团有限公司。</w:t>
      </w:r>
    </w:p>
    <w:p>
      <w:pPr>
        <w:pStyle w:val="BodyText"/>
        <w:spacing w:line="240" w:lineRule="auto" w:before="22"/>
        <w:ind w:left="578" w:right="0"/>
        <w:jc w:val="left"/>
      </w:pPr>
      <w:r>
        <w:rPr/>
        <w:t>根据中国证券监督管理委员会《关于核准成都卫士通信息产业股份有限公司非公开发行股票的批复》</w:t>
      </w:r>
    </w:p>
    <w:p>
      <w:pPr>
        <w:pStyle w:val="BodyText"/>
        <w:spacing w:line="256" w:lineRule="auto" w:before="37"/>
        <w:ind w:right="1058"/>
        <w:jc w:val="both"/>
      </w:pPr>
      <w:r>
        <w:rPr/>
        <w:t>（证监许可</w:t>
      </w:r>
      <w:r>
        <w:rPr>
          <w:rFonts w:ascii="Times New Roman" w:hAnsi="Times New Roman" w:cs="Times New Roman" w:eastAsia="Times New Roman" w:hint="default"/>
        </w:rPr>
        <w:t>[2016]3214</w:t>
      </w:r>
      <w:r>
        <w:rPr/>
        <w:t>号）、国务院国有资产监督管理委员会《关于成都卫士通信息产业股份有限公司非</w:t>
      </w:r>
      <w:r>
        <w:rPr>
          <w:spacing w:val="-57"/>
        </w:rPr>
        <w:t> </w:t>
      </w:r>
      <w:r>
        <w:rPr>
          <w:spacing w:val="-57"/>
        </w:rPr>
      </w:r>
      <w:r>
        <w:rPr/>
        <w:t>公开发行</w:t>
      </w:r>
      <w:r>
        <w:rPr>
          <w:spacing w:val="-8"/>
        </w:rPr>
        <w:t> </w:t>
      </w:r>
      <w:r>
        <w:rPr>
          <w:rFonts w:ascii="Times New Roman" w:hAnsi="Times New Roman" w:cs="Times New Roman" w:eastAsia="Times New Roman" w:hint="default"/>
        </w:rPr>
        <w:t>A</w:t>
      </w:r>
      <w:r>
        <w:rPr>
          <w:rFonts w:ascii="Times New Roman" w:hAnsi="Times New Roman" w:cs="Times New Roman" w:eastAsia="Times New Roman" w:hint="default"/>
          <w:spacing w:val="48"/>
        </w:rPr>
        <w:t> </w:t>
      </w:r>
      <w:r>
        <w:rPr/>
        <w:t>股股票有关问题的批复》（国资产权</w:t>
      </w:r>
      <w:r>
        <w:rPr>
          <w:rFonts w:ascii="Times New Roman" w:hAnsi="Times New Roman" w:cs="Times New Roman" w:eastAsia="Times New Roman" w:hint="default"/>
        </w:rPr>
        <w:t>[2016]294</w:t>
      </w:r>
      <w:r>
        <w:rPr/>
        <w:t>号），公司通过向特定投资者非公开发行股票</w:t>
      </w:r>
      <w:r>
        <w:rPr>
          <w:spacing w:val="-92"/>
        </w:rPr>
        <w:t> </w:t>
      </w:r>
      <w:r>
        <w:rPr>
          <w:spacing w:val="-92"/>
        </w:rPr>
      </w:r>
      <w:r>
        <w:rPr>
          <w:spacing w:val="-3"/>
        </w:rPr>
        <w:t>的方式，向</w:t>
      </w:r>
      <w:r>
        <w:rPr>
          <w:rFonts w:ascii="Times New Roman" w:hAnsi="Times New Roman" w:cs="Times New Roman" w:eastAsia="Times New Roman" w:hint="default"/>
          <w:spacing w:val="-3"/>
        </w:rPr>
        <w:t>7</w:t>
      </w:r>
      <w:r>
        <w:rPr>
          <w:spacing w:val="-3"/>
        </w:rPr>
        <w:t>名特定对象发行人民币普通股</w:t>
      </w:r>
      <w:r>
        <w:rPr>
          <w:rFonts w:ascii="Times New Roman" w:hAnsi="Times New Roman" w:cs="Times New Roman" w:eastAsia="Times New Roman" w:hint="default"/>
          <w:spacing w:val="-3"/>
        </w:rPr>
        <w:t>91,436,672</w:t>
      </w:r>
      <w:r>
        <w:rPr>
          <w:spacing w:val="-3"/>
        </w:rPr>
        <w:t>股（每股发行价</w:t>
      </w:r>
      <w:r>
        <w:rPr>
          <w:rFonts w:ascii="Times New Roman" w:hAnsi="Times New Roman" w:cs="Times New Roman" w:eastAsia="Times New Roman" w:hint="default"/>
          <w:spacing w:val="-3"/>
        </w:rPr>
        <w:t>29.45</w:t>
      </w:r>
      <w:r>
        <w:rPr>
          <w:spacing w:val="-3"/>
        </w:rPr>
        <w:t>元），发行完成后公司总股本增</w:t>
      </w:r>
      <w:r>
        <w:rPr>
          <w:spacing w:val="-27"/>
        </w:rPr>
        <w:t> </w:t>
      </w:r>
      <w:r>
        <w:rPr>
          <w:spacing w:val="-27"/>
        </w:rPr>
      </w:r>
      <w:r>
        <w:rPr>
          <w:spacing w:val="-8"/>
          <w:w w:val="100"/>
        </w:rPr>
        <w:t>至</w:t>
      </w:r>
      <w:r>
        <w:rPr>
          <w:rFonts w:ascii="Times New Roman" w:hAnsi="Times New Roman" w:cs="Times New Roman" w:eastAsia="Times New Roman" w:hint="default"/>
          <w:spacing w:val="-8"/>
          <w:w w:val="100"/>
        </w:rPr>
        <w:t>523,960,018</w:t>
      </w:r>
      <w:r>
        <w:rPr>
          <w:spacing w:val="-8"/>
          <w:w w:val="100"/>
        </w:rPr>
        <w:t>股。以上增资已经中天运会计师事务所（特殊普通合伙）审验，并于</w:t>
      </w:r>
      <w:r>
        <w:rPr>
          <w:rFonts w:ascii="Times New Roman" w:hAnsi="Times New Roman" w:cs="Times New Roman" w:eastAsia="Times New Roman" w:hint="default"/>
          <w:spacing w:val="-8"/>
          <w:w w:val="100"/>
        </w:rPr>
        <w:t>2017</w:t>
      </w:r>
      <w:r>
        <w:rPr>
          <w:spacing w:val="-8"/>
          <w:w w:val="100"/>
        </w:rPr>
        <w:t>年</w:t>
      </w:r>
      <w:r>
        <w:rPr>
          <w:rFonts w:ascii="Times New Roman" w:hAnsi="Times New Roman" w:cs="Times New Roman" w:eastAsia="Times New Roman" w:hint="default"/>
          <w:spacing w:val="-8"/>
          <w:w w:val="100"/>
        </w:rPr>
        <w:t>3</w:t>
      </w:r>
      <w:r>
        <w:rPr>
          <w:spacing w:val="-8"/>
          <w:w w:val="100"/>
        </w:rPr>
        <w:t>月出具中天运</w:t>
      </w:r>
      <w:r>
        <w:rPr>
          <w:rFonts w:ascii="Times New Roman" w:hAnsi="Times New Roman" w:cs="Times New Roman" w:eastAsia="Times New Roman" w:hint="default"/>
          <w:spacing w:val="-8"/>
          <w:w w:val="100"/>
        </w:rPr>
        <w:t>[2017]</w:t>
      </w:r>
      <w:r>
        <w:rPr>
          <w:rFonts w:ascii="Times New Roman" w:hAnsi="Times New Roman" w:cs="Times New Roman" w:eastAsia="Times New Roman" w:hint="default"/>
          <w:w w:val="100"/>
        </w:rPr>
        <w:t> </w:t>
      </w:r>
      <w:r>
        <w:rPr/>
        <w:t>验字第</w:t>
      </w:r>
      <w:r>
        <w:rPr>
          <w:rFonts w:ascii="Times New Roman" w:hAnsi="Times New Roman" w:cs="Times New Roman" w:eastAsia="Times New Roman" w:hint="default"/>
        </w:rPr>
        <w:t>90017</w:t>
      </w:r>
      <w:r>
        <w:rPr/>
        <w:t>号验资报告。</w:t>
      </w:r>
    </w:p>
    <w:p>
      <w:pPr>
        <w:pStyle w:val="BodyText"/>
        <w:spacing w:line="256" w:lineRule="auto" w:before="5"/>
        <w:ind w:right="1128" w:firstLine="425"/>
        <w:jc w:val="both"/>
      </w:pPr>
      <w:r>
        <w:rPr>
          <w:rFonts w:ascii="Times New Roman" w:hAnsi="Times New Roman" w:cs="Times New Roman" w:eastAsia="Times New Roman" w:hint="default"/>
          <w:spacing w:val="-2"/>
        </w:rPr>
        <w:t>2017</w:t>
      </w:r>
      <w:r>
        <w:rPr>
          <w:spacing w:val="-2"/>
        </w:rPr>
        <w:t>年公司实施了</w:t>
      </w:r>
      <w:r>
        <w:rPr>
          <w:rFonts w:ascii="Times New Roman" w:hAnsi="Times New Roman" w:cs="Times New Roman" w:eastAsia="Times New Roman" w:hint="default"/>
          <w:spacing w:val="-2"/>
        </w:rPr>
        <w:t>2016</w:t>
      </w:r>
      <w:r>
        <w:rPr>
          <w:spacing w:val="-2"/>
        </w:rPr>
        <w:t>年年度利润分配方案，以定向增发后的总股本</w:t>
      </w:r>
      <w:r>
        <w:rPr>
          <w:rFonts w:ascii="Times New Roman" w:hAnsi="Times New Roman" w:cs="Times New Roman" w:eastAsia="Times New Roman" w:hint="default"/>
          <w:spacing w:val="-2"/>
        </w:rPr>
        <w:t>523,960,018</w:t>
      </w:r>
      <w:r>
        <w:rPr>
          <w:spacing w:val="-2"/>
        </w:rPr>
        <w:t>股为基数，以资本公</w:t>
      </w:r>
      <w:r>
        <w:rPr>
          <w:w w:val="100"/>
        </w:rPr>
        <w:t> </w:t>
      </w:r>
      <w:r>
        <w:rPr/>
        <w:t>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股，变更后公司总股本增至</w:t>
      </w:r>
      <w:r>
        <w:rPr>
          <w:rFonts w:ascii="Times New Roman" w:hAnsi="Times New Roman" w:cs="Times New Roman" w:eastAsia="Times New Roman" w:hint="default"/>
        </w:rPr>
        <w:t>838,336,028</w:t>
      </w:r>
      <w:r>
        <w:rPr/>
        <w:t>股。本公司上述变更已于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07</w:t>
      </w:r>
      <w:r>
        <w:rPr/>
        <w:t>月</w:t>
      </w:r>
      <w:r>
        <w:rPr>
          <w:spacing w:val="-27"/>
        </w:rPr>
        <w:t> </w:t>
      </w:r>
      <w:r>
        <w:rPr>
          <w:rFonts w:ascii="Times New Roman" w:hAnsi="Times New Roman" w:cs="Times New Roman" w:eastAsia="Times New Roman" w:hint="default"/>
        </w:rPr>
        <w:t>04</w:t>
      </w:r>
      <w:r>
        <w:rPr/>
        <w:t>日完成工商变更登记手续。</w:t>
      </w:r>
    </w:p>
    <w:p>
      <w:pPr>
        <w:pStyle w:val="BodyText"/>
        <w:spacing w:line="256" w:lineRule="auto" w:before="5"/>
        <w:ind w:right="1126" w:firstLine="420"/>
        <w:jc w:val="both"/>
      </w:pPr>
      <w:r>
        <w:rPr>
          <w:spacing w:val="-2"/>
        </w:rPr>
        <w:t>经过历年的派送红股、配售新股、转增股本及增发新股，截至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日，本公司累计发行股本</w:t>
      </w:r>
      <w:r>
        <w:rPr>
          <w:w w:val="100"/>
        </w:rPr>
        <w:t> </w:t>
      </w:r>
      <w:r>
        <w:rPr>
          <w:spacing w:val="-2"/>
        </w:rPr>
        <w:t>总数</w:t>
      </w:r>
      <w:r>
        <w:rPr>
          <w:rFonts w:ascii="Times New Roman" w:hAnsi="Times New Roman" w:cs="Times New Roman" w:eastAsia="Times New Roman" w:hint="default"/>
          <w:spacing w:val="-2"/>
        </w:rPr>
        <w:t>83,833.60</w:t>
      </w:r>
      <w:r>
        <w:rPr>
          <w:spacing w:val="-2"/>
        </w:rPr>
        <w:t>万股，注册资本为</w:t>
      </w:r>
      <w:r>
        <w:rPr>
          <w:rFonts w:ascii="Times New Roman" w:hAnsi="Times New Roman" w:cs="Times New Roman" w:eastAsia="Times New Roman" w:hint="default"/>
          <w:spacing w:val="-2"/>
        </w:rPr>
        <w:t>83,833.60</w:t>
      </w:r>
      <w:r>
        <w:rPr>
          <w:spacing w:val="-2"/>
        </w:rPr>
        <w:t>万元；注册地：中国（四川）自由贸易试验区成都高新区云华路</w:t>
      </w:r>
      <w:r>
        <w:rPr>
          <w:spacing w:val="-23"/>
        </w:rPr>
        <w:t> </w:t>
      </w:r>
      <w:r>
        <w:rPr>
          <w:spacing w:val="-23"/>
        </w:rPr>
      </w:r>
      <w:r>
        <w:rPr>
          <w:rFonts w:ascii="Times New Roman" w:hAnsi="Times New Roman" w:cs="Times New Roman" w:eastAsia="Times New Roman" w:hint="default"/>
        </w:rPr>
        <w:t>333</w:t>
      </w:r>
      <w:r>
        <w:rPr/>
        <w:t>号；组织形式：股份有限公司；法定代表人：卿昱；统一社会信用代码：</w:t>
      </w:r>
      <w:r>
        <w:rPr>
          <w:rFonts w:ascii="Times New Roman" w:hAnsi="Times New Roman" w:cs="Times New Roman" w:eastAsia="Times New Roman" w:hint="default"/>
        </w:rPr>
        <w:t>9151010070927392XM</w:t>
      </w:r>
      <w:r>
        <w:rPr/>
        <w:t>。</w:t>
      </w:r>
    </w:p>
    <w:p>
      <w:pPr>
        <w:pStyle w:val="BodyText"/>
        <w:spacing w:line="256" w:lineRule="auto" w:before="5"/>
        <w:ind w:right="1126" w:firstLine="420"/>
        <w:jc w:val="both"/>
      </w:pPr>
      <w:r>
        <w:rPr>
          <w:spacing w:val="-2"/>
        </w:rPr>
        <w:t>母公司为中国电子科技网络信息安全有限公司（以下或称</w:t>
      </w:r>
      <w:r>
        <w:rPr>
          <w:rFonts w:ascii="Times New Roman" w:hAnsi="Times New Roman" w:cs="Times New Roman" w:eastAsia="Times New Roman" w:hint="default"/>
          <w:spacing w:val="-2"/>
        </w:rPr>
        <w:t>“</w:t>
      </w:r>
      <w:r>
        <w:rPr>
          <w:spacing w:val="-2"/>
        </w:rPr>
        <w:t>中国网安</w:t>
      </w:r>
      <w:r>
        <w:rPr>
          <w:rFonts w:ascii="Times New Roman" w:hAnsi="Times New Roman" w:cs="Times New Roman" w:eastAsia="Times New Roman" w:hint="default"/>
          <w:spacing w:val="-2"/>
        </w:rPr>
        <w:t>”</w:t>
      </w:r>
      <w:r>
        <w:rPr>
          <w:spacing w:val="-2"/>
        </w:rPr>
        <w:t>），最终实际控制人为中国电子</w:t>
      </w:r>
      <w:r>
        <w:rPr>
          <w:w w:val="100"/>
        </w:rPr>
        <w:t> </w:t>
      </w:r>
      <w:r>
        <w:rPr/>
        <w:t>科技集团有限公司（以下简称</w:t>
      </w:r>
      <w:r>
        <w:rPr>
          <w:rFonts w:ascii="Times New Roman" w:hAnsi="Times New Roman" w:cs="Times New Roman" w:eastAsia="Times New Roman" w:hint="default"/>
        </w:rPr>
        <w:t>“</w:t>
      </w:r>
      <w:r>
        <w:rPr/>
        <w:t>电科集团</w:t>
      </w:r>
      <w:r>
        <w:rPr>
          <w:rFonts w:ascii="Times New Roman" w:hAnsi="Times New Roman" w:cs="Times New Roman" w:eastAsia="Times New Roman" w:hint="default"/>
        </w:rPr>
        <w:t>”</w:t>
      </w:r>
      <w:r>
        <w:rPr/>
        <w:t>）。</w:t>
      </w:r>
    </w:p>
    <w:p>
      <w:pPr>
        <w:pStyle w:val="Heading4"/>
        <w:spacing w:line="240" w:lineRule="auto" w:before="125"/>
        <w:ind w:left="575" w:right="1133"/>
        <w:jc w:val="left"/>
        <w:rPr>
          <w:b w:val="0"/>
          <w:bCs w:val="0"/>
        </w:rPr>
      </w:pPr>
      <w:r>
        <w:rPr>
          <w:rFonts w:ascii="Times New Roman" w:hAnsi="Times New Roman" w:cs="Times New Roman" w:eastAsia="Times New Roman" w:hint="default"/>
        </w:rPr>
        <w:t>2.</w:t>
      </w:r>
      <w:r>
        <w:rPr/>
        <w:t>公司业务性质和主要经营活动</w:t>
      </w:r>
      <w:r>
        <w:rPr>
          <w:b w:val="0"/>
          <w:bCs w:val="0"/>
        </w:rPr>
      </w:r>
    </w:p>
    <w:p>
      <w:pPr>
        <w:pStyle w:val="BodyText"/>
        <w:spacing w:line="256" w:lineRule="auto" w:before="21"/>
        <w:ind w:left="573" w:right="1133"/>
        <w:jc w:val="left"/>
      </w:pPr>
      <w:r>
        <w:rPr>
          <w:rFonts w:ascii="Times New Roman" w:hAnsi="Times New Roman" w:cs="Times New Roman" w:eastAsia="Times New Roman" w:hint="default"/>
        </w:rPr>
        <w:t>1.</w:t>
      </w:r>
      <w:r>
        <w:rPr/>
        <w:t>业务性质</w:t>
      </w:r>
      <w:r>
        <w:rPr>
          <w:spacing w:val="-103"/>
        </w:rPr>
        <w:t> </w:t>
      </w:r>
      <w:r>
        <w:rPr>
          <w:spacing w:val="-103"/>
        </w:rPr>
      </w:r>
      <w:r>
        <w:rPr>
          <w:spacing w:val="-2"/>
        </w:rPr>
        <w:t>信息安全是信息产业的重要分支，也是国家信息化建设和网络社会正常秩序的重要保障。公司的产品</w:t>
      </w:r>
    </w:p>
    <w:p>
      <w:pPr>
        <w:pStyle w:val="BodyText"/>
        <w:spacing w:line="240" w:lineRule="auto" w:before="22"/>
        <w:ind w:right="0"/>
        <w:jc w:val="both"/>
      </w:pPr>
      <w:r>
        <w:rPr/>
        <w:t>体系由密码产品、信息安全产品和安全信息产品三大类组成，以及配套的系统集成与技术服务。</w:t>
      </w:r>
    </w:p>
    <w:p>
      <w:pPr>
        <w:pStyle w:val="BodyText"/>
        <w:spacing w:line="240" w:lineRule="auto" w:before="37"/>
        <w:ind w:left="573" w:right="1133"/>
        <w:jc w:val="left"/>
      </w:pPr>
      <w:r>
        <w:rPr>
          <w:rFonts w:ascii="Times New Roman" w:hAnsi="Times New Roman" w:cs="Times New Roman" w:eastAsia="Times New Roman" w:hint="default"/>
        </w:rPr>
        <w:t>2.</w:t>
      </w:r>
      <w:r>
        <w:rPr/>
        <w:t>主要提供的产品和服务包括</w:t>
      </w:r>
    </w:p>
    <w:p>
      <w:pPr>
        <w:pStyle w:val="BodyText"/>
        <w:spacing w:line="256" w:lineRule="auto" w:before="21"/>
        <w:ind w:right="1210" w:firstLine="420"/>
        <w:jc w:val="both"/>
      </w:pPr>
      <w:r>
        <w:rPr>
          <w:spacing w:val="-2"/>
        </w:rPr>
        <w:t>（</w:t>
      </w:r>
      <w:r>
        <w:rPr>
          <w:rFonts w:ascii="Times New Roman" w:hAnsi="Times New Roman" w:cs="Times New Roman" w:eastAsia="Times New Roman" w:hint="default"/>
          <w:spacing w:val="-2"/>
        </w:rPr>
        <w:t>1</w:t>
      </w:r>
      <w:r>
        <w:rPr>
          <w:spacing w:val="-2"/>
        </w:rPr>
        <w:t>）安全产品，包括密码产品、网络安全产品、计算安全产品、安全管理中心、移动互联网安全产</w:t>
      </w:r>
      <w:r>
        <w:rPr>
          <w:w w:val="100"/>
        </w:rPr>
        <w:t> </w:t>
      </w:r>
      <w:r>
        <w:rPr/>
        <w:t>品、云安全产品、物联网安全和安全应用。产品的云化、自主可控等是重要发展方向。</w:t>
      </w:r>
    </w:p>
    <w:p>
      <w:pPr>
        <w:pStyle w:val="BodyText"/>
        <w:spacing w:line="261" w:lineRule="auto" w:before="23"/>
        <w:ind w:right="1020" w:firstLine="420"/>
        <w:jc w:val="left"/>
      </w:pPr>
      <w:r>
        <w:rPr/>
        <w:t>①密码产品。密码产品是卫士通公司一直以来的核心产品，公司密码产品具有全系列、全产业链的特</w:t>
      </w:r>
      <w:r>
        <w:rPr>
          <w:w w:val="100"/>
        </w:rPr>
        <w:t> </w:t>
      </w:r>
      <w:r>
        <w:rPr>
          <w:spacing w:val="-3"/>
        </w:rPr>
        <w:t>点。密码芯片有嵌入式安全</w:t>
      </w:r>
      <w:r>
        <w:rPr>
          <w:rFonts w:ascii="Times New Roman" w:hAnsi="Times New Roman" w:cs="Times New Roman" w:eastAsia="Times New Roman" w:hint="default"/>
          <w:spacing w:val="-3"/>
        </w:rPr>
        <w:t>SE </w:t>
      </w:r>
      <w:r>
        <w:rPr>
          <w:rFonts w:ascii="Times New Roman" w:hAnsi="Times New Roman" w:cs="Times New Roman" w:eastAsia="Times New Roman" w:hint="default"/>
          <w:spacing w:val="-4"/>
        </w:rPr>
        <w:t>IP</w:t>
      </w:r>
      <w:r>
        <w:rPr>
          <w:spacing w:val="-4"/>
        </w:rPr>
        <w:t>、高速可编程安全芯片、超低功耗安全芯片、移动终端安全芯片和物理噪</w:t>
      </w:r>
      <w:r>
        <w:rPr>
          <w:spacing w:val="-71"/>
        </w:rPr>
        <w:t> </w:t>
      </w:r>
      <w:r>
        <w:rPr>
          <w:spacing w:val="-71"/>
        </w:rPr>
      </w:r>
      <w:r>
        <w:rPr>
          <w:spacing w:val="-3"/>
        </w:rPr>
        <w:t>声源芯片等；密码模块有</w:t>
      </w:r>
      <w:r>
        <w:rPr>
          <w:rFonts w:ascii="Times New Roman" w:hAnsi="Times New Roman" w:cs="Times New Roman" w:eastAsia="Times New Roman" w:hint="default"/>
          <w:spacing w:val="-3"/>
        </w:rPr>
        <w:t>TF</w:t>
      </w:r>
      <w:r>
        <w:rPr>
          <w:spacing w:val="-3"/>
        </w:rPr>
        <w:t>密码模块、</w:t>
      </w:r>
      <w:r>
        <w:rPr>
          <w:rFonts w:ascii="Times New Roman" w:hAnsi="Times New Roman" w:cs="Times New Roman" w:eastAsia="Times New Roman" w:hint="default"/>
          <w:spacing w:val="-3"/>
        </w:rPr>
        <w:t>PCI-E</w:t>
      </w:r>
      <w:r>
        <w:rPr>
          <w:spacing w:val="-3"/>
        </w:rPr>
        <w:t>系列密码卡和软件密码模块等；密码整机有金融数据密码机、</w:t>
      </w:r>
      <w:r>
        <w:rPr>
          <w:spacing w:val="-20"/>
        </w:rPr>
        <w:t> </w:t>
      </w:r>
      <w:r>
        <w:rPr>
          <w:spacing w:val="-20"/>
        </w:rPr>
      </w:r>
      <w:r>
        <w:rPr/>
        <w:t>服务器密码机、签名验签服务器等；密码系统有密钥管理系统、证书管理系统和密码中间件等。</w:t>
      </w:r>
    </w:p>
    <w:p>
      <w:pPr>
        <w:pStyle w:val="BodyText"/>
        <w:spacing w:line="264" w:lineRule="auto" w:before="18"/>
        <w:ind w:right="1126" w:firstLine="420"/>
        <w:jc w:val="both"/>
      </w:pPr>
      <w:r>
        <w:rPr>
          <w:spacing w:val="-2"/>
        </w:rPr>
        <w:t>②网络安全产品。公司重点发展通用、常用和核心的网络安全产品。保障通信网络安全的产品有交换</w:t>
      </w:r>
      <w:r>
        <w:rPr>
          <w:w w:val="100"/>
        </w:rPr>
        <w:t> </w:t>
      </w:r>
      <w:r>
        <w:rPr/>
        <w:t>机、</w:t>
      </w:r>
      <w:r>
        <w:rPr>
          <w:rFonts w:ascii="Times New Roman" w:hAnsi="Times New Roman" w:cs="Times New Roman" w:eastAsia="Times New Roman" w:hint="default"/>
        </w:rPr>
        <w:t>IPSec VPN</w:t>
      </w:r>
      <w:r>
        <w:rPr/>
        <w:t>、</w:t>
      </w:r>
      <w:r>
        <w:rPr>
          <w:rFonts w:ascii="Times New Roman" w:hAnsi="Times New Roman" w:cs="Times New Roman" w:eastAsia="Times New Roman" w:hint="default"/>
        </w:rPr>
        <w:t>SSL</w:t>
      </w:r>
      <w:r>
        <w:rPr>
          <w:rFonts w:ascii="Times New Roman" w:hAnsi="Times New Roman" w:cs="Times New Roman" w:eastAsia="Times New Roman" w:hint="default"/>
          <w:spacing w:val="-8"/>
        </w:rPr>
        <w:t> </w:t>
      </w:r>
      <w:r>
        <w:rPr>
          <w:rFonts w:ascii="Times New Roman" w:hAnsi="Times New Roman" w:cs="Times New Roman" w:eastAsia="Times New Roman" w:hint="default"/>
        </w:rPr>
        <w:t>VPN</w:t>
      </w:r>
      <w:r>
        <w:rPr/>
        <w:t>等；保障区域边界安全的产品有防火墙、网络安全隔离与信息单向导入系统、</w:t>
      </w:r>
      <w:r>
        <w:rPr>
          <w:w w:val="100"/>
        </w:rPr>
        <w:t> </w:t>
      </w:r>
      <w:r>
        <w:rPr/>
        <w:t>网络安全隔离与信息交换系统等。</w:t>
      </w:r>
    </w:p>
    <w:p>
      <w:pPr>
        <w:pStyle w:val="BodyText"/>
        <w:spacing w:line="273" w:lineRule="auto" w:before="16"/>
        <w:ind w:right="1126" w:firstLine="420"/>
        <w:jc w:val="both"/>
      </w:pPr>
      <w:r>
        <w:rPr>
          <w:spacing w:val="-2"/>
        </w:rPr>
        <w:t>③计算安全产品。包括终端安全产品、数据安全产品和认证授权产品。终端安全产品有主机监控与审</w:t>
      </w:r>
      <w:r>
        <w:rPr>
          <w:w w:val="100"/>
        </w:rPr>
        <w:t> </w:t>
      </w:r>
      <w:r>
        <w:rPr>
          <w:spacing w:val="-2"/>
        </w:rPr>
        <w:t>计系统、终端安全登录与文件保护系统等；数据安全产品有电子文档密级标识生成与管理系统和企业网盘</w:t>
      </w:r>
      <w:r>
        <w:rPr>
          <w:spacing w:val="-44"/>
        </w:rPr>
        <w:t> </w:t>
      </w:r>
      <w:r>
        <w:rPr>
          <w:spacing w:val="-44"/>
        </w:rPr>
      </w:r>
      <w:r>
        <w:rPr/>
        <w:t>等；认证授权产品有信任服务基础设施、身份认证系统和电子印章系统等。</w:t>
      </w:r>
    </w:p>
    <w:p>
      <w:pPr>
        <w:pStyle w:val="BodyText"/>
        <w:spacing w:line="273" w:lineRule="auto"/>
        <w:ind w:right="1126" w:firstLine="420"/>
        <w:jc w:val="both"/>
      </w:pPr>
      <w:r>
        <w:rPr>
          <w:spacing w:val="-2"/>
        </w:rPr>
        <w:t>④安全管理中心。覆盖密码管理、安全管理、系统管理和审计管理，有安全运行监管系统、设备集中</w:t>
      </w:r>
      <w:r>
        <w:rPr>
          <w:w w:val="100"/>
        </w:rPr>
        <w:t> </w:t>
      </w:r>
      <w:r>
        <w:rPr/>
        <w:t>管理中心和高级威胁检测分析系统等产品。</w:t>
      </w:r>
    </w:p>
    <w:p>
      <w:pPr>
        <w:pStyle w:val="BodyText"/>
        <w:spacing w:line="264" w:lineRule="auto" w:before="8"/>
        <w:ind w:right="1126" w:firstLine="420"/>
        <w:jc w:val="both"/>
      </w:pPr>
      <w:r>
        <w:rPr>
          <w:spacing w:val="-2"/>
        </w:rPr>
        <w:t>⑤移动互联网安全产品。从终端、解决方案两个方向规划业务，终端包括手机、平板两类，解决方案</w:t>
      </w:r>
      <w:r>
        <w:rPr>
          <w:w w:val="100"/>
        </w:rPr>
        <w:t> </w:t>
      </w:r>
      <w:r>
        <w:rPr>
          <w:spacing w:val="-2"/>
        </w:rPr>
        <w:t>主要针对政府、军工、司法三个行业打造移动办公整体解决方案，并在一些移动办公样板工程中推广整体</w:t>
      </w:r>
      <w:r>
        <w:rPr>
          <w:spacing w:val="-44"/>
        </w:rPr>
        <w:t> </w:t>
      </w:r>
      <w:r>
        <w:rPr>
          <w:spacing w:val="-44"/>
        </w:rPr>
      </w:r>
      <w:r>
        <w:rPr>
          <w:spacing w:val="-2"/>
        </w:rPr>
        <w:t>保障服务模式，探索业务转型路线；产品围绕</w:t>
      </w:r>
      <w:r>
        <w:rPr>
          <w:rFonts w:ascii="Times New Roman" w:hAnsi="Times New Roman" w:cs="Times New Roman" w:eastAsia="Times New Roman" w:hint="default"/>
          <w:spacing w:val="-2"/>
        </w:rPr>
        <w:t>“</w:t>
      </w:r>
      <w:r>
        <w:rPr>
          <w:spacing w:val="-2"/>
        </w:rPr>
        <w:t>安全通信、安全接入、安全管控</w:t>
      </w:r>
      <w:r>
        <w:rPr>
          <w:rFonts w:ascii="Times New Roman" w:hAnsi="Times New Roman" w:cs="Times New Roman" w:eastAsia="Times New Roman" w:hint="default"/>
          <w:spacing w:val="-2"/>
        </w:rPr>
        <w:t>”</w:t>
      </w:r>
      <w:r>
        <w:rPr>
          <w:spacing w:val="-2"/>
        </w:rPr>
        <w:t>三个方向进行研制，包括</w:t>
      </w:r>
      <w:r>
        <w:rPr>
          <w:spacing w:val="-24"/>
        </w:rPr>
        <w:t> </w:t>
      </w:r>
      <w:r>
        <w:rPr>
          <w:spacing w:val="-24"/>
        </w:rPr>
      </w:r>
      <w:r>
        <w:rPr>
          <w:spacing w:val="-3"/>
        </w:rPr>
        <w:t>政务安全手机、政务安全平板、尊御安全手机、安全移动办公系统、</w:t>
      </w:r>
      <w:r>
        <w:rPr>
          <w:rFonts w:ascii="Times New Roman" w:hAnsi="Times New Roman" w:cs="Times New Roman" w:eastAsia="Times New Roman" w:hint="default"/>
          <w:spacing w:val="-3"/>
        </w:rPr>
        <w:t>VoLTE</w:t>
      </w:r>
      <w:r>
        <w:rPr>
          <w:spacing w:val="-3"/>
        </w:rPr>
        <w:t>语音加密系统、橙讯即时通信 </w:t>
      </w:r>
      <w:r>
        <w:rPr/>
        <w:t>系统、安全接入平台和移动终端安全管控系统等。</w:t>
      </w:r>
    </w:p>
    <w:p>
      <w:pPr>
        <w:pStyle w:val="BodyText"/>
        <w:spacing w:line="273" w:lineRule="auto" w:before="16"/>
        <w:ind w:right="0" w:firstLine="420"/>
        <w:jc w:val="left"/>
      </w:pPr>
      <w:r>
        <w:rPr/>
        <w:t>⑥云安全产品。产品支持和阿里、腾讯、中国电信等主流云厂商的对接，支持公有云、社区云、私有</w:t>
      </w:r>
      <w:r>
        <w:rPr>
          <w:w w:val="100"/>
        </w:rPr>
        <w:t> </w:t>
      </w:r>
      <w:r>
        <w:rPr>
          <w:spacing w:val="-5"/>
        </w:rPr>
        <w:t>云和政务云多种部署模式，产品包括云密码机、云密码资源池管理平台、云密钥管理系统和安全云终端等。</w:t>
      </w:r>
    </w:p>
    <w:p>
      <w:pPr>
        <w:pStyle w:val="BodyText"/>
        <w:spacing w:line="240" w:lineRule="auto"/>
        <w:ind w:left="573" w:right="1133"/>
        <w:jc w:val="left"/>
      </w:pPr>
      <w:r>
        <w:rPr/>
        <w:t>⑦物联网安全产品。在物联网安全领域，重点研制安全视频加密系统和</w:t>
      </w:r>
      <w:r>
        <w:rPr>
          <w:rFonts w:ascii="Times New Roman" w:hAnsi="Times New Roman" w:cs="Times New Roman" w:eastAsia="Times New Roman" w:hint="default"/>
        </w:rPr>
        <w:t>NB-IoT</w:t>
      </w:r>
      <w:r>
        <w:rPr/>
        <w:t>加密模组。</w:t>
      </w:r>
    </w:p>
    <w:p>
      <w:pPr>
        <w:pStyle w:val="BodyText"/>
        <w:spacing w:line="240" w:lineRule="auto" w:before="21"/>
        <w:ind w:left="573" w:right="0"/>
        <w:jc w:val="left"/>
      </w:pPr>
      <w:r>
        <w:rPr/>
        <w:t>⑧安全应用。是安全与应用深度融合的产品，有可用于通用场景的安全电子邮件系统、安全即时通信</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68" w:lineRule="auto" w:before="36"/>
        <w:ind w:right="1126"/>
        <w:jc w:val="both"/>
      </w:pPr>
      <w:r>
        <w:rPr>
          <w:spacing w:val="-2"/>
        </w:rPr>
        <w:t>系统、安全会议系统和电子文档安全管理系统等产品；有专用于电子政务的电子印章系统、信任服务基础</w:t>
      </w:r>
      <w:r>
        <w:rPr>
          <w:spacing w:val="-44"/>
        </w:rPr>
        <w:t> </w:t>
      </w:r>
      <w:r>
        <w:rPr>
          <w:spacing w:val="-44"/>
        </w:rPr>
      </w:r>
      <w:r>
        <w:rPr>
          <w:spacing w:val="-2"/>
        </w:rPr>
        <w:t>设施、电子公文交换系统等；有专用于金融行业的金融数据密码机、金融</w:t>
      </w:r>
      <w:r>
        <w:rPr>
          <w:rFonts w:ascii="Times New Roman" w:hAnsi="Times New Roman" w:cs="Times New Roman" w:eastAsia="Times New Roman" w:hint="default"/>
          <w:spacing w:val="-2"/>
        </w:rPr>
        <w:t>IC</w:t>
      </w:r>
      <w:r>
        <w:rPr>
          <w:spacing w:val="-2"/>
        </w:rPr>
        <w:t>卡密钥管理系统；有专用于能</w:t>
      </w:r>
      <w:r>
        <w:rPr>
          <w:spacing w:val="-48"/>
        </w:rPr>
        <w:t> </w:t>
      </w:r>
      <w:r>
        <w:rPr>
          <w:spacing w:val="-48"/>
        </w:rPr>
      </w:r>
      <w:r>
        <w:rPr>
          <w:spacing w:val="-2"/>
        </w:rPr>
        <w:t>源行业的电力纵向加密认证装置、电力防护加密系统等；有专用于公检法的检察业务系统、公安经侦智能</w:t>
      </w:r>
      <w:r>
        <w:rPr>
          <w:spacing w:val="-44"/>
        </w:rPr>
        <w:t> </w:t>
      </w:r>
      <w:r>
        <w:rPr>
          <w:spacing w:val="-44"/>
        </w:rPr>
      </w:r>
      <w:r>
        <w:rPr/>
        <w:t>化工作平台、涉案财物集中管理信息平台、行贿档案综合管理与评估系统等。</w:t>
      </w:r>
    </w:p>
    <w:p>
      <w:pPr>
        <w:pStyle w:val="BodyText"/>
        <w:spacing w:line="256" w:lineRule="auto" w:before="12"/>
        <w:ind w:left="573" w:right="1133"/>
        <w:jc w:val="left"/>
      </w:pPr>
      <w:r>
        <w:rPr/>
        <w:t>（</w:t>
      </w:r>
      <w:r>
        <w:rPr>
          <w:rFonts w:ascii="Times New Roman" w:hAnsi="Times New Roman" w:cs="Times New Roman" w:eastAsia="Times New Roman" w:hint="default"/>
        </w:rPr>
        <w:t>2</w:t>
      </w:r>
      <w:r>
        <w:rPr/>
        <w:t>）安全服务</w:t>
      </w:r>
      <w:r>
        <w:rPr>
          <w:w w:val="100"/>
        </w:rPr>
        <w:t> </w:t>
      </w:r>
      <w:r>
        <w:rPr>
          <w:spacing w:val="-2"/>
        </w:rPr>
        <w:t>基于公司核心技术和核心产品，依托公司强大的技术支持、专家团队以及公司高安全的安全云平台，</w:t>
      </w:r>
    </w:p>
    <w:p>
      <w:pPr>
        <w:pStyle w:val="BodyText"/>
        <w:spacing w:line="266" w:lineRule="auto" w:before="22"/>
        <w:ind w:right="1126"/>
        <w:jc w:val="both"/>
      </w:pPr>
      <w:r>
        <w:rPr>
          <w:spacing w:val="-2"/>
        </w:rPr>
        <w:t>为用户提供安全运维服务、安全运营服务、监测预警服务、风险评估服务和安全咨询服务等。安全运营服</w:t>
      </w:r>
      <w:r>
        <w:rPr>
          <w:spacing w:val="-47"/>
        </w:rPr>
        <w:t> </w:t>
      </w:r>
      <w:r>
        <w:rPr>
          <w:spacing w:val="-47"/>
        </w:rPr>
      </w:r>
      <w:r>
        <w:rPr>
          <w:spacing w:val="-3"/>
        </w:rPr>
        <w:t>务包括云密码服务、云认证服务、企业微信加密服务、网站安全防护和</w:t>
      </w:r>
      <w:r>
        <w:rPr>
          <w:rFonts w:ascii="Times New Roman" w:hAnsi="Times New Roman" w:cs="Times New Roman" w:eastAsia="Times New Roman" w:hint="default"/>
          <w:spacing w:val="-3"/>
        </w:rPr>
        <w:t>SaaS/PaaS/IaaS</w:t>
      </w:r>
      <w:r>
        <w:rPr>
          <w:spacing w:val="-3"/>
        </w:rPr>
        <w:t>服务；监测预警服务</w:t>
      </w:r>
      <w:r>
        <w:rPr>
          <w:spacing w:val="-49"/>
        </w:rPr>
        <w:t> </w:t>
      </w:r>
      <w:r>
        <w:rPr>
          <w:spacing w:val="-49"/>
        </w:rPr>
      </w:r>
      <w:r>
        <w:rPr>
          <w:spacing w:val="-2"/>
        </w:rPr>
        <w:t>包括安全态势感知与监测预警服务、高级威胁监测服务、互联网舆情监测服务和安全事件分析服务等；风</w:t>
      </w:r>
      <w:r>
        <w:rPr>
          <w:spacing w:val="-44"/>
        </w:rPr>
        <w:t> </w:t>
      </w:r>
      <w:r>
        <w:rPr>
          <w:spacing w:val="-44"/>
        </w:rPr>
      </w:r>
      <w:r>
        <w:rPr/>
        <w:t>险评估服务包括系统架构评估、渗透测试和安全加固等。</w:t>
      </w:r>
    </w:p>
    <w:p>
      <w:pPr>
        <w:pStyle w:val="BodyText"/>
        <w:spacing w:line="256" w:lineRule="auto" w:before="14"/>
        <w:ind w:left="573" w:right="1133"/>
        <w:jc w:val="left"/>
      </w:pPr>
      <w:r>
        <w:rPr/>
        <w:t>（</w:t>
      </w:r>
      <w:r>
        <w:rPr>
          <w:rFonts w:ascii="Times New Roman" w:hAnsi="Times New Roman" w:cs="Times New Roman" w:eastAsia="Times New Roman" w:hint="default"/>
        </w:rPr>
        <w:t>3</w:t>
      </w:r>
      <w:r>
        <w:rPr/>
        <w:t>）安全集成</w:t>
      </w:r>
      <w:r>
        <w:rPr>
          <w:w w:val="100"/>
        </w:rPr>
        <w:t> </w:t>
      </w:r>
      <w:r>
        <w:rPr>
          <w:spacing w:val="-2"/>
        </w:rPr>
        <w:t>安全集成业务是公司依托雄厚的技术支持和强大的营销网络为各层次用户提供的系统集成及全生命</w:t>
      </w:r>
    </w:p>
    <w:p>
      <w:pPr>
        <w:pStyle w:val="BodyText"/>
        <w:spacing w:line="264" w:lineRule="auto" w:before="23"/>
        <w:ind w:left="573" w:right="1133" w:hanging="421"/>
        <w:jc w:val="left"/>
      </w:pPr>
      <w:r>
        <w:rPr/>
        <w:t>周期安全支持与服务，包括项目规划、整体解决方案设计、工程建设、用户培训及安全服务等。</w:t>
      </w:r>
      <w:r>
        <w:rPr>
          <w:w w:val="100"/>
        </w:rPr>
        <w:t> </w:t>
      </w:r>
      <w:r>
        <w:rPr>
          <w:rFonts w:ascii="Times New Roman" w:hAnsi="Times New Roman" w:cs="Times New Roman" w:eastAsia="Times New Roman" w:hint="default"/>
        </w:rPr>
        <w:t>3.</w:t>
      </w:r>
      <w:r>
        <w:rPr/>
        <w:t>经营范围</w:t>
      </w:r>
      <w:r>
        <w:rPr>
          <w:w w:val="100"/>
        </w:rPr>
        <w:t> </w:t>
      </w:r>
      <w:r>
        <w:rPr>
          <w:spacing w:val="-2"/>
        </w:rPr>
        <w:t>本公司营业范围包括通信保密与信息安全、信息网络与多媒体终端及系统产品的开发、生产、销售、</w:t>
      </w:r>
    </w:p>
    <w:p>
      <w:pPr>
        <w:pStyle w:val="BodyText"/>
        <w:spacing w:line="268" w:lineRule="auto" w:before="16"/>
        <w:ind w:right="1105"/>
        <w:jc w:val="both"/>
      </w:pPr>
      <w:r>
        <w:rPr>
          <w:spacing w:val="-2"/>
        </w:rPr>
        <w:t>工程建设（涉及前置审批的批准后方可经营）；税控收款机系列产品、金融及贸易结算电子设备、</w:t>
      </w:r>
      <w:r>
        <w:rPr>
          <w:rFonts w:ascii="Times New Roman" w:hAnsi="Times New Roman" w:cs="Times New Roman" w:eastAsia="Times New Roman" w:hint="default"/>
          <w:spacing w:val="-2"/>
        </w:rPr>
        <w:t>IC</w:t>
      </w:r>
      <w:r>
        <w:rPr>
          <w:spacing w:val="-2"/>
        </w:rPr>
        <w:t>卡机</w:t>
      </w:r>
      <w:r>
        <w:rPr>
          <w:spacing w:val="-42"/>
        </w:rPr>
        <w:t> </w:t>
      </w:r>
      <w:r>
        <w:rPr>
          <w:spacing w:val="-2"/>
        </w:rPr>
        <w:t>具设备、微型计算机系统产品及相关软件等电子信息技术产品的研制、生产、组装、销售、工程集成和技</w:t>
      </w:r>
      <w:r>
        <w:rPr>
          <w:spacing w:val="-43"/>
        </w:rPr>
        <w:t> </w:t>
      </w:r>
      <w:r>
        <w:rPr>
          <w:spacing w:val="-43"/>
        </w:rPr>
      </w:r>
      <w:r>
        <w:rPr>
          <w:spacing w:val="-2"/>
        </w:rPr>
        <w:t>术服务；无线通信系统（不含无线电发射设备）、图像设备、电子设备、电子计算机及外围设备、耗材、</w:t>
      </w:r>
      <w:r>
        <w:rPr>
          <w:spacing w:val="-21"/>
        </w:rPr>
        <w:t> </w:t>
      </w:r>
      <w:r>
        <w:rPr>
          <w:spacing w:val="-21"/>
        </w:rPr>
      </w:r>
      <w:r>
        <w:rPr>
          <w:spacing w:val="-2"/>
        </w:rPr>
        <w:t>电子元器件、专用芯片的研制、生产、销售、工程建设、系统集成及技术咨询与服务；自营和代理各类商</w:t>
      </w:r>
      <w:r>
        <w:rPr>
          <w:spacing w:val="-44"/>
        </w:rPr>
        <w:t> </w:t>
      </w:r>
      <w:r>
        <w:rPr>
          <w:spacing w:val="-44"/>
        </w:rPr>
      </w:r>
      <w:r>
        <w:rPr/>
        <w:t>品及技术的进出口业务，但国家限定公司经营或禁止进出口的商品及技术除外。</w:t>
      </w:r>
    </w:p>
    <w:p>
      <w:pPr>
        <w:pStyle w:val="BodyText"/>
        <w:spacing w:line="256" w:lineRule="auto" w:before="132"/>
        <w:ind w:left="573" w:right="4994" w:firstLine="2"/>
        <w:jc w:val="left"/>
      </w:pPr>
      <w:r>
        <w:rPr>
          <w:rFonts w:ascii="Times New Roman" w:hAnsi="Times New Roman" w:cs="Times New Roman" w:eastAsia="Times New Roman" w:hint="default"/>
          <w:b/>
          <w:bCs/>
        </w:rPr>
        <w:t>3.</w:t>
      </w:r>
      <w:r>
        <w:rPr>
          <w:rFonts w:ascii="宋体" w:hAnsi="宋体" w:cs="宋体" w:eastAsia="宋体" w:hint="default"/>
          <w:b/>
          <w:bCs/>
        </w:rPr>
        <w:t>财务报表的批准报出</w:t>
      </w:r>
      <w:r>
        <w:rPr>
          <w:rFonts w:ascii="宋体" w:hAnsi="宋体" w:cs="宋体" w:eastAsia="宋体" w:hint="default"/>
          <w:b/>
          <w:bCs/>
          <w:w w:val="100"/>
        </w:rPr>
        <w:t> </w:t>
      </w:r>
      <w:r>
        <w:rPr>
          <w:spacing w:val="-2"/>
        </w:rPr>
        <w:t>本财务报表业经公司董事会于</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04</w:t>
      </w:r>
      <w:r>
        <w:rPr>
          <w:spacing w:val="-2"/>
        </w:rPr>
        <w:t>月</w:t>
      </w:r>
      <w:r>
        <w:rPr>
          <w:rFonts w:ascii="Times New Roman" w:hAnsi="Times New Roman" w:cs="Times New Roman" w:eastAsia="Times New Roman" w:hint="default"/>
          <w:spacing w:val="-2"/>
        </w:rPr>
        <w:t>27</w:t>
      </w:r>
      <w:r>
        <w:rPr>
          <w:spacing w:val="-2"/>
        </w:rPr>
        <w:t>日批准报出。</w:t>
      </w:r>
      <w:r>
        <w:rPr>
          <w:spacing w:val="-48"/>
        </w:rPr>
        <w:t> </w:t>
      </w:r>
      <w:r>
        <w:rPr>
          <w:spacing w:val="-48"/>
        </w:rPr>
      </w:r>
      <w:r>
        <w:rPr/>
        <w:t>本期纳入合并财务报表范围的子公司共</w:t>
      </w:r>
      <w:r>
        <w:rPr>
          <w:rFonts w:ascii="Times New Roman" w:hAnsi="Times New Roman" w:cs="Times New Roman" w:eastAsia="Times New Roman" w:hint="default"/>
        </w:rPr>
        <w:t>9</w:t>
      </w:r>
      <w:r>
        <w:rPr/>
        <w:t>户，具体包括：</w:t>
      </w:r>
    </w:p>
    <w:tbl>
      <w:tblPr>
        <w:tblW w:w="0" w:type="auto"/>
        <w:jc w:val="left"/>
        <w:tblInd w:w="138" w:type="dxa"/>
        <w:tblLayout w:type="fixed"/>
        <w:tblCellMar>
          <w:top w:w="0" w:type="dxa"/>
          <w:left w:w="0" w:type="dxa"/>
          <w:bottom w:w="0" w:type="dxa"/>
          <w:right w:w="0" w:type="dxa"/>
        </w:tblCellMar>
        <w:tblLook w:val="01E0"/>
      </w:tblPr>
      <w:tblGrid>
        <w:gridCol w:w="3695"/>
        <w:gridCol w:w="1491"/>
        <w:gridCol w:w="1493"/>
        <w:gridCol w:w="1491"/>
        <w:gridCol w:w="1490"/>
      </w:tblGrid>
      <w:tr>
        <w:trPr>
          <w:trHeight w:val="341" w:hRule="exact"/>
        </w:trPr>
        <w:tc>
          <w:tcPr>
            <w:tcW w:w="3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级次</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24"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3" w:hRule="exact"/>
        </w:trPr>
        <w:tc>
          <w:tcPr>
            <w:tcW w:w="3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中电科（北京）网络信息安全有限公司</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1" w:hRule="exact"/>
        </w:trPr>
        <w:tc>
          <w:tcPr>
            <w:tcW w:w="3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成都卫士通信息安全技术有限公司</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3" w:hRule="exact"/>
        </w:trPr>
        <w:tc>
          <w:tcPr>
            <w:tcW w:w="3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四川卫士通信息安全平台技术有限公司</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1" w:hRule="exact"/>
        </w:trPr>
        <w:tc>
          <w:tcPr>
            <w:tcW w:w="3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成都三零豪赛网络安全技术有限公司</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3" w:hRule="exact"/>
        </w:trPr>
        <w:tc>
          <w:tcPr>
            <w:tcW w:w="3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z w:val="18"/>
              </w:rPr>
              <w:t>96.20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z w:val="18"/>
              </w:rPr>
              <w:t>96.20</w:t>
            </w:r>
          </w:p>
        </w:tc>
      </w:tr>
      <w:tr>
        <w:trPr>
          <w:trHeight w:val="341" w:hRule="exact"/>
        </w:trPr>
        <w:tc>
          <w:tcPr>
            <w:tcW w:w="3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成都三零瑞通移动通信有限公司</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95.50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95.50</w:t>
            </w:r>
          </w:p>
        </w:tc>
      </w:tr>
      <w:tr>
        <w:trPr>
          <w:trHeight w:val="343" w:hRule="exact"/>
        </w:trPr>
        <w:tc>
          <w:tcPr>
            <w:tcW w:w="3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成都三零嘉微电子有限公司</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z w:val="18"/>
              </w:rPr>
              <w:t>88.15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z w:val="18"/>
              </w:rPr>
              <w:t>88.15</w:t>
            </w:r>
          </w:p>
        </w:tc>
      </w:tr>
      <w:tr>
        <w:trPr>
          <w:trHeight w:val="341" w:hRule="exact"/>
        </w:trPr>
        <w:tc>
          <w:tcPr>
            <w:tcW w:w="3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上海卫士通网络安全有限公司</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75.00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75.00</w:t>
            </w:r>
          </w:p>
        </w:tc>
      </w:tr>
      <w:tr>
        <w:trPr>
          <w:trHeight w:val="343" w:hRule="exact"/>
        </w:trPr>
        <w:tc>
          <w:tcPr>
            <w:tcW w:w="3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中电科（天津）网络信息安全有限公司</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z w:val="18"/>
              </w:rPr>
              <w:t>65.00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z w:val="18"/>
              </w:rPr>
              <w:t>65.00</w:t>
            </w:r>
          </w:p>
        </w:tc>
      </w:tr>
    </w:tbl>
    <w:p>
      <w:pPr>
        <w:spacing w:line="240" w:lineRule="auto" w:before="11"/>
        <w:rPr>
          <w:rFonts w:ascii="宋体" w:hAnsi="宋体" w:cs="宋体" w:eastAsia="宋体" w:hint="default"/>
          <w:sz w:val="6"/>
          <w:szCs w:val="6"/>
        </w:rPr>
      </w:pPr>
    </w:p>
    <w:p>
      <w:pPr>
        <w:pStyle w:val="BodyText"/>
        <w:spacing w:line="273" w:lineRule="auto" w:before="36"/>
        <w:ind w:right="1126" w:firstLine="420"/>
        <w:jc w:val="both"/>
      </w:pPr>
      <w:r>
        <w:rPr>
          <w:spacing w:val="-2"/>
        </w:rPr>
        <w:t>本期纳入合并财务报表范围的主体较上期相比无变化，其中：成都三零豪赛网络安全技术有限公司本</w:t>
      </w:r>
      <w:r>
        <w:rPr>
          <w:w w:val="100"/>
        </w:rPr>
        <w:t> </w:t>
      </w:r>
      <w:r>
        <w:rPr/>
        <w:t>期已完成工商注销、上海卫士通网络安全有限公司本期已完成清算及税务注销，正在进行工商注销。</w:t>
      </w:r>
    </w:p>
    <w:p>
      <w:pPr>
        <w:spacing w:line="240" w:lineRule="auto" w:before="8"/>
        <w:rPr>
          <w:rFonts w:ascii="宋体" w:hAnsi="宋体" w:cs="宋体" w:eastAsia="宋体" w:hint="default"/>
          <w:sz w:val="21"/>
          <w:szCs w:val="21"/>
        </w:rPr>
      </w:pPr>
    </w:p>
    <w:p>
      <w:pPr>
        <w:pStyle w:val="Heading2"/>
        <w:spacing w:line="240" w:lineRule="auto"/>
        <w:ind w:right="1133"/>
        <w:jc w:val="left"/>
        <w:rPr>
          <w:b w:val="0"/>
          <w:bCs w:val="0"/>
        </w:rPr>
      </w:pPr>
      <w:bookmarkStart w:name="四、财务报表的编制基础" w:id="167"/>
      <w:bookmarkEnd w:id="167"/>
      <w:r>
        <w:rPr>
          <w:b w:val="0"/>
          <w:bCs w:val="0"/>
        </w:rPr>
      </w: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编制基础" w:id="168"/>
      <w:bookmarkEnd w:id="168"/>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right="1126" w:firstLine="420"/>
        <w:jc w:val="both"/>
        <w:rPr>
          <w:rFonts w:ascii="Times New Roman" w:hAnsi="Times New Roman" w:cs="Times New Roman" w:eastAsia="Times New Roman" w:hint="default"/>
        </w:rPr>
      </w:pPr>
      <w:r>
        <w:rPr>
          <w:spacing w:val="-2"/>
        </w:rPr>
        <w:t>本公司根据实际发生的交易和事项，按照财政部颁布的《企业会计准则</w:t>
      </w:r>
      <w:r>
        <w:rPr>
          <w:rFonts w:ascii="Times New Roman" w:hAnsi="Times New Roman" w:cs="Times New Roman" w:eastAsia="Times New Roman" w:hint="default"/>
          <w:spacing w:val="-2"/>
        </w:rPr>
        <w:t>——</w:t>
      </w:r>
      <w:r>
        <w:rPr>
          <w:spacing w:val="-2"/>
        </w:rPr>
        <w:t>基本准则》和具体企业会</w:t>
      </w:r>
      <w:r>
        <w:rPr>
          <w:w w:val="100"/>
        </w:rPr>
        <w:t> </w:t>
      </w:r>
      <w:r>
        <w:rPr>
          <w:spacing w:val="-2"/>
        </w:rPr>
        <w:t>计准则、企业会计准则应用指南、企业会计准则解释及其他相关规定（以下合称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）进行确</w:t>
      </w:r>
      <w:r>
        <w:rPr>
          <w:spacing w:val="-16"/>
        </w:rPr>
        <w:t> </w:t>
      </w:r>
      <w:r>
        <w:rPr>
          <w:spacing w:val="-16"/>
        </w:rPr>
      </w:r>
      <w:r>
        <w:rPr>
          <w:spacing w:val="-7"/>
        </w:rPr>
        <w:t>认和计量，在此基础上，结合中国证券监督管理委员会《公开发行证券的公司信息披露编报规则第</w:t>
      </w:r>
      <w:r>
        <w:rPr>
          <w:rFonts w:ascii="Times New Roman" w:hAnsi="Times New Roman" w:cs="Times New Roman" w:eastAsia="Times New Roman" w:hint="default"/>
          <w:spacing w:val="-7"/>
        </w:rPr>
        <w:t>15</w:t>
      </w:r>
      <w:r>
        <w:rPr>
          <w:spacing w:val="-7"/>
        </w:rPr>
        <w:t>号</w:t>
      </w:r>
      <w:r>
        <w:rPr>
          <w:rFonts w:ascii="Times New Roman" w:hAnsi="Times New Roman" w:cs="Times New Roman" w:eastAsia="Times New Roman" w:hint="default"/>
          <w:spacing w:val="-7"/>
        </w:rPr>
        <w:t>——</w:t>
      </w:r>
      <w:r>
        <w:rPr>
          <w:rFonts w:ascii="Times New Roman" w:hAnsi="Times New Roman" w:cs="Times New Roman" w:eastAsia="Times New Roman" w:hint="default"/>
        </w:rPr>
      </w:r>
    </w:p>
    <w:p>
      <w:pPr>
        <w:spacing w:after="0" w:line="256" w:lineRule="auto"/>
        <w:jc w:val="both"/>
        <w:rPr>
          <w:rFonts w:ascii="Times New Roman" w:hAnsi="Times New Roman" w:cs="Times New Roman" w:eastAsia="Times New Roman" w:hint="default"/>
        </w:rPr>
        <w:sectPr>
          <w:pgSz w:w="11910" w:h="16840"/>
          <w:pgMar w:header="745" w:footer="980" w:top="1060" w:bottom="1160" w:left="980" w:right="0"/>
        </w:sectPr>
      </w:pPr>
    </w:p>
    <w:p>
      <w:pPr>
        <w:spacing w:line="240" w:lineRule="auto" w:before="2"/>
        <w:rPr>
          <w:rFonts w:ascii="Times New Roman" w:hAnsi="Times New Roman" w:cs="Times New Roman" w:eastAsia="Times New Roman" w:hint="default"/>
          <w:sz w:val="28"/>
          <w:szCs w:val="28"/>
        </w:rPr>
      </w:pPr>
    </w:p>
    <w:p>
      <w:pPr>
        <w:pStyle w:val="BodyText"/>
        <w:spacing w:line="240" w:lineRule="auto" w:before="36"/>
        <w:ind w:right="1133"/>
        <w:jc w:val="left"/>
      </w:pPr>
      <w:r>
        <w:rPr/>
        <w:t>财务报告的一般规定》（</w:t>
      </w:r>
      <w:r>
        <w:rPr>
          <w:rFonts w:ascii="Times New Roman" w:hAnsi="Times New Roman" w:cs="Times New Roman" w:eastAsia="Times New Roman" w:hint="default"/>
        </w:rPr>
        <w:t>2014</w:t>
      </w:r>
      <w:r>
        <w:rPr/>
        <w:t>年修订）的规定，编制财务报表。</w:t>
      </w:r>
    </w:p>
    <w:p>
      <w:pPr>
        <w:spacing w:line="240" w:lineRule="auto" w:before="8"/>
        <w:rPr>
          <w:rFonts w:ascii="宋体" w:hAnsi="宋体" w:cs="宋体" w:eastAsia="宋体" w:hint="default"/>
          <w:sz w:val="24"/>
          <w:szCs w:val="24"/>
        </w:rPr>
      </w:pPr>
    </w:p>
    <w:p>
      <w:pPr>
        <w:pStyle w:val="Heading4"/>
        <w:spacing w:line="240" w:lineRule="auto"/>
        <w:ind w:right="1133"/>
        <w:jc w:val="left"/>
        <w:rPr>
          <w:b w:val="0"/>
          <w:bCs w:val="0"/>
        </w:rPr>
      </w:pPr>
      <w:bookmarkStart w:name="2、持续经营" w:id="169"/>
      <w:bookmarkEnd w:id="169"/>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before="0"/>
        <w:ind w:right="1169" w:firstLine="358"/>
        <w:jc w:val="both"/>
      </w:pPr>
      <w:r>
        <w:rPr>
          <w:spacing w:val="-2"/>
        </w:rPr>
        <w:t>本公司对报告期末起</w:t>
      </w:r>
      <w:r>
        <w:rPr>
          <w:rFonts w:ascii="Times New Roman" w:hAnsi="Times New Roman" w:cs="Times New Roman" w:eastAsia="Times New Roman" w:hint="default"/>
          <w:spacing w:val="-2"/>
        </w:rPr>
        <w:t>12</w:t>
      </w:r>
      <w:r>
        <w:rPr>
          <w:spacing w:val="-2"/>
        </w:rPr>
        <w:t>个月的持续经营能力进行了评价，未发现对持续经营能力产生重大怀疑的事项</w:t>
      </w:r>
      <w:r>
        <w:rPr>
          <w:w w:val="100"/>
        </w:rPr>
        <w:t> </w:t>
      </w:r>
      <w:r>
        <w:rPr/>
        <w:t>或情况。因此，本财务报表系在持续经营假设的基础上编制。</w:t>
      </w:r>
    </w:p>
    <w:p>
      <w:pPr>
        <w:spacing w:line="240" w:lineRule="auto" w:before="9"/>
        <w:rPr>
          <w:rFonts w:ascii="宋体" w:hAnsi="宋体" w:cs="宋体" w:eastAsia="宋体" w:hint="default"/>
          <w:sz w:val="22"/>
          <w:szCs w:val="22"/>
        </w:rPr>
      </w:pPr>
    </w:p>
    <w:p>
      <w:pPr>
        <w:pStyle w:val="Heading2"/>
        <w:spacing w:line="240" w:lineRule="auto"/>
        <w:ind w:right="1133"/>
        <w:jc w:val="left"/>
        <w:rPr>
          <w:b w:val="0"/>
          <w:bCs w:val="0"/>
        </w:rPr>
      </w:pPr>
      <w:bookmarkStart w:name="五、重要会计政策及会计估计" w:id="170"/>
      <w:bookmarkEnd w:id="170"/>
      <w:r>
        <w:rPr>
          <w:b w:val="0"/>
          <w:bCs w:val="0"/>
        </w:rPr>
      </w:r>
      <w:r>
        <w:rPr/>
        <w:t>五、重要会计政策及会计估计</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pStyle w:val="BodyText"/>
        <w:spacing w:line="240" w:lineRule="auto" w:before="96"/>
        <w:ind w:left="573" w:right="1133"/>
        <w:jc w:val="left"/>
      </w:pPr>
      <w:r>
        <w:rPr>
          <w:rFonts w:ascii="Times New Roman" w:hAnsi="Times New Roman" w:cs="Times New Roman" w:eastAsia="Times New Roman" w:hint="default"/>
        </w:rPr>
        <w:t>1</w:t>
      </w:r>
      <w:r>
        <w:rPr/>
        <w:t>、本公司根据生产经营特点确定具体会计政策和会计估计，主要体现在存货的计价方法（附注五、</w:t>
      </w:r>
    </w:p>
    <w:p>
      <w:pPr>
        <w:pStyle w:val="BodyText"/>
        <w:spacing w:line="240" w:lineRule="auto" w:before="21"/>
        <w:ind w:right="0"/>
        <w:jc w:val="left"/>
        <w:rPr>
          <w:rFonts w:ascii="Times New Roman" w:hAnsi="Times New Roman" w:cs="Times New Roman" w:eastAsia="Times New Roman" w:hint="default"/>
        </w:rPr>
      </w:pPr>
      <w:r>
        <w:rPr>
          <w:rFonts w:ascii="Times New Roman" w:hAnsi="Times New Roman" w:cs="Times New Roman" w:eastAsia="Times New Roman" w:hint="default"/>
        </w:rPr>
        <w:t>12</w:t>
      </w:r>
      <w:r>
        <w:rPr/>
        <w:t>）、应收款项预期信用损失计提的方法（附注五、</w:t>
      </w:r>
      <w:r>
        <w:rPr>
          <w:rFonts w:ascii="Times New Roman" w:hAnsi="Times New Roman" w:cs="Times New Roman" w:eastAsia="Times New Roman" w:hint="default"/>
        </w:rPr>
        <w:t>9-11</w:t>
      </w:r>
      <w:r>
        <w:rPr/>
        <w:t>）、固定资产折旧和无形资产摊销（附注五、</w:t>
      </w:r>
      <w:r>
        <w:rPr>
          <w:rFonts w:ascii="Times New Roman" w:hAnsi="Times New Roman" w:cs="Times New Roman" w:eastAsia="Times New Roman" w:hint="default"/>
        </w:rPr>
        <w:t>14</w:t>
      </w:r>
    </w:p>
    <w:p>
      <w:pPr>
        <w:pStyle w:val="BodyText"/>
        <w:spacing w:line="240" w:lineRule="auto" w:before="22"/>
        <w:ind w:right="1133"/>
        <w:jc w:val="left"/>
      </w:pPr>
      <w:r>
        <w:rPr/>
        <w:t>及</w:t>
      </w:r>
      <w:r>
        <w:rPr>
          <w:rFonts w:ascii="Times New Roman" w:hAnsi="Times New Roman" w:cs="Times New Roman" w:eastAsia="Times New Roman" w:hint="default"/>
        </w:rPr>
        <w:t>17</w:t>
      </w:r>
      <w:r>
        <w:rPr/>
        <w:t>）、收入的确认时点（附注五、</w:t>
      </w:r>
      <w:r>
        <w:rPr>
          <w:rFonts w:ascii="Times New Roman" w:hAnsi="Times New Roman" w:cs="Times New Roman" w:eastAsia="Times New Roman" w:hint="default"/>
        </w:rPr>
        <w:t>22</w:t>
      </w:r>
      <w:r>
        <w:rPr/>
        <w:t>）等。</w:t>
      </w:r>
    </w:p>
    <w:p>
      <w:pPr>
        <w:pStyle w:val="BodyText"/>
        <w:spacing w:line="264" w:lineRule="auto" w:before="21"/>
        <w:ind w:right="1126" w:firstLine="420"/>
        <w:jc w:val="both"/>
      </w:pPr>
      <w:r>
        <w:rPr>
          <w:rFonts w:ascii="Times New Roman" w:hAnsi="Times New Roman" w:cs="Times New Roman" w:eastAsia="Times New Roman" w:hint="default"/>
        </w:rPr>
        <w:t>2</w:t>
      </w:r>
      <w:r>
        <w:rPr/>
        <w:t>、本公司根据历史经验和其他因素，包括对未来事项的合理预期，对所采用的重要会计估计和关键</w:t>
      </w:r>
      <w:r>
        <w:rPr>
          <w:w w:val="100"/>
        </w:rPr>
        <w:t> </w:t>
      </w:r>
      <w:r>
        <w:rPr>
          <w:spacing w:val="-2"/>
        </w:rPr>
        <w:t>假设进行持续的评价。下列重要会计估计及关键假设如果发生重大变动，则可能会导致以后会计年度的资</w:t>
      </w:r>
      <w:r>
        <w:rPr>
          <w:spacing w:val="-44"/>
        </w:rPr>
        <w:t> </w:t>
      </w:r>
      <w:r>
        <w:rPr>
          <w:spacing w:val="-44"/>
        </w:rPr>
      </w:r>
      <w:r>
        <w:rPr/>
        <w:t>产和负债账面价值的重大影响：</w:t>
      </w:r>
    </w:p>
    <w:p>
      <w:pPr>
        <w:pStyle w:val="BodyText"/>
        <w:spacing w:line="266" w:lineRule="auto" w:before="16"/>
        <w:ind w:right="1126" w:firstLine="314"/>
        <w:jc w:val="both"/>
      </w:pPr>
      <w:r>
        <w:rPr>
          <w:spacing w:val="-2"/>
        </w:rPr>
        <w:t>（</w:t>
      </w:r>
      <w:r>
        <w:rPr>
          <w:rFonts w:ascii="Times New Roman" w:hAnsi="Times New Roman" w:cs="Times New Roman" w:eastAsia="Times New Roman" w:hint="default"/>
          <w:spacing w:val="-2"/>
        </w:rPr>
        <w:t>1</w:t>
      </w:r>
      <w:r>
        <w:rPr>
          <w:spacing w:val="-2"/>
        </w:rPr>
        <w:t>）应收账款和其他应收款预期信用损失。管理层根据其判断的应收账款和其他应收款的预期信用损</w:t>
      </w:r>
      <w:r>
        <w:rPr>
          <w:w w:val="100"/>
        </w:rPr>
        <w:t> </w:t>
      </w:r>
      <w:r>
        <w:rPr>
          <w:spacing w:val="-2"/>
        </w:rPr>
        <w:t>失，以此来估计应收账款和其他应收款减值准备。如发生任何事件或情况变动，显示公司未必可追回有关</w:t>
      </w:r>
      <w:r>
        <w:rPr>
          <w:spacing w:val="-42"/>
        </w:rPr>
        <w:t> </w:t>
      </w:r>
      <w:r>
        <w:rPr>
          <w:spacing w:val="-42"/>
        </w:rPr>
      </w:r>
      <w:r>
        <w:rPr>
          <w:spacing w:val="-2"/>
        </w:rPr>
        <w:t>余额，则需要使用估计，对应收账款和其他应收款计提减值准备。若预期数字与原来估计数不同，有关差</w:t>
      </w:r>
      <w:r>
        <w:rPr>
          <w:spacing w:val="-47"/>
        </w:rPr>
        <w:t> </w:t>
      </w:r>
      <w:r>
        <w:rPr>
          <w:spacing w:val="-47"/>
        </w:rPr>
      </w:r>
      <w:r>
        <w:rPr/>
        <w:t>额则会影响应收账款和其他应收款的账面价值，以及在估计变动期间的减值费用。</w:t>
      </w:r>
    </w:p>
    <w:p>
      <w:pPr>
        <w:pStyle w:val="BodyText"/>
        <w:spacing w:line="264" w:lineRule="auto" w:before="14"/>
        <w:ind w:right="1126" w:firstLine="314"/>
        <w:jc w:val="both"/>
      </w:pPr>
      <w:r>
        <w:rPr>
          <w:spacing w:val="-2"/>
        </w:rPr>
        <w:t>（</w:t>
      </w:r>
      <w:r>
        <w:rPr>
          <w:rFonts w:ascii="Times New Roman" w:hAnsi="Times New Roman" w:cs="Times New Roman" w:eastAsia="Times New Roman" w:hint="default"/>
          <w:spacing w:val="-2"/>
        </w:rPr>
        <w:t>2</w:t>
      </w:r>
      <w:r>
        <w:rPr>
          <w:spacing w:val="-2"/>
        </w:rPr>
        <w:t>）存货减值的估计。在资产负债表日对存货按照成本与可变现净值孰低计量，可变现净值的计算需</w:t>
      </w:r>
      <w:r>
        <w:rPr>
          <w:w w:val="100"/>
        </w:rPr>
        <w:t> </w:t>
      </w:r>
      <w:r>
        <w:rPr>
          <w:spacing w:val="-2"/>
        </w:rPr>
        <w:t>要利用假设和估计。如果管理层对估计售价及完工时将要发生的成本及费用等进行重新修订，将影响存货</w:t>
      </w:r>
      <w:r>
        <w:rPr>
          <w:spacing w:val="-43"/>
        </w:rPr>
        <w:t> </w:t>
      </w:r>
      <w:r>
        <w:rPr>
          <w:spacing w:val="-43"/>
        </w:rPr>
      </w:r>
      <w:r>
        <w:rPr/>
        <w:t>的可变现净值的估计，该差异将对计提的存货跌价准备产生影响。</w:t>
      </w:r>
    </w:p>
    <w:p>
      <w:pPr>
        <w:pStyle w:val="BodyText"/>
        <w:spacing w:line="256" w:lineRule="auto" w:before="16"/>
        <w:ind w:right="0" w:firstLine="314"/>
        <w:jc w:val="left"/>
      </w:pPr>
      <w:r>
        <w:rPr>
          <w:spacing w:val="-5"/>
        </w:rPr>
        <w:t>（</w:t>
      </w:r>
      <w:r>
        <w:rPr>
          <w:rFonts w:ascii="Times New Roman" w:hAnsi="Times New Roman" w:cs="Times New Roman" w:eastAsia="Times New Roman" w:hint="default"/>
          <w:spacing w:val="-5"/>
        </w:rPr>
        <w:t>3</w:t>
      </w:r>
      <w:r>
        <w:rPr>
          <w:spacing w:val="-5"/>
        </w:rPr>
        <w:t>）长期资产减值的估计。管理层在判断长期资产是否存在减值时，主要从以下方面进行评估和分析：</w:t>
      </w:r>
      <w:r>
        <w:rPr>
          <w:w w:val="100"/>
        </w:rPr>
        <w:t> </w:t>
      </w:r>
      <w:r>
        <w:rPr>
          <w:rFonts w:ascii="Times New Roman" w:hAnsi="Times New Roman" w:cs="Times New Roman" w:eastAsia="Times New Roman" w:hint="default"/>
          <w:spacing w:val="-4"/>
          <w:w w:val="100"/>
        </w:rPr>
        <w:t>(1)</w:t>
      </w:r>
      <w:r>
        <w:rPr>
          <w:spacing w:val="-4"/>
          <w:w w:val="100"/>
        </w:rPr>
        <w:t>影响资产减值的事项是否已经发生；</w:t>
      </w:r>
      <w:r>
        <w:rPr>
          <w:rFonts w:ascii="Times New Roman" w:hAnsi="Times New Roman" w:cs="Times New Roman" w:eastAsia="Times New Roman" w:hint="default"/>
          <w:spacing w:val="-4"/>
          <w:w w:val="100"/>
        </w:rPr>
        <w:t>(2)</w:t>
      </w:r>
      <w:r>
        <w:rPr>
          <w:spacing w:val="-4"/>
          <w:w w:val="100"/>
        </w:rPr>
        <w:t>资产继续使用或处置而预期可获得的现金流量现值是否低于资产</w:t>
      </w:r>
      <w:r>
        <w:rPr>
          <w:spacing w:val="-62"/>
          <w:w w:val="100"/>
        </w:rPr>
        <w:t> </w:t>
      </w:r>
      <w:r>
        <w:rPr>
          <w:spacing w:val="-62"/>
          <w:w w:val="100"/>
        </w:rPr>
      </w:r>
      <w:r>
        <w:rPr/>
        <w:t>的账面价值；</w:t>
      </w:r>
      <w:r>
        <w:rPr>
          <w:rFonts w:ascii="Times New Roman" w:hAnsi="Times New Roman" w:cs="Times New Roman" w:eastAsia="Times New Roman" w:hint="default"/>
        </w:rPr>
        <w:t>(3)</w:t>
      </w:r>
      <w:r>
        <w:rPr/>
        <w:t>预期未来现金流量现值中使用的重要假设是否适当。</w:t>
      </w:r>
    </w:p>
    <w:p>
      <w:pPr>
        <w:pStyle w:val="BodyText"/>
        <w:spacing w:line="273" w:lineRule="auto" w:before="5"/>
        <w:ind w:right="1126" w:firstLine="420"/>
        <w:jc w:val="both"/>
      </w:pPr>
      <w:r>
        <w:rPr>
          <w:spacing w:val="-2"/>
        </w:rPr>
        <w:t>公司所采用的用于确定减值的相关假设，如未来现金流量现值方法中所采用的盈利状况、折现率及增</w:t>
      </w:r>
      <w:r>
        <w:rPr>
          <w:w w:val="100"/>
        </w:rPr>
        <w:t> </w:t>
      </w:r>
      <w:r>
        <w:rPr>
          <w:spacing w:val="-2"/>
        </w:rPr>
        <w:t>长率假设发生变化，可能会对减值测试中所使用的现值产生重大影响，并导致公司的上述长期资产出现减</w:t>
      </w:r>
      <w:r>
        <w:rPr>
          <w:spacing w:val="-42"/>
        </w:rPr>
        <w:t> </w:t>
      </w:r>
      <w:r>
        <w:rPr>
          <w:spacing w:val="-42"/>
        </w:rPr>
      </w:r>
      <w:r>
        <w:rPr/>
        <w:t>值。</w:t>
      </w:r>
    </w:p>
    <w:p>
      <w:pPr>
        <w:pStyle w:val="BodyText"/>
        <w:spacing w:line="266" w:lineRule="auto"/>
        <w:ind w:right="1126" w:firstLine="314"/>
        <w:jc w:val="both"/>
      </w:pPr>
      <w:r>
        <w:rPr>
          <w:spacing w:val="-2"/>
        </w:rPr>
        <w:t>（</w:t>
      </w:r>
      <w:r>
        <w:rPr>
          <w:rFonts w:ascii="Times New Roman" w:hAnsi="Times New Roman" w:cs="Times New Roman" w:eastAsia="Times New Roman" w:hint="default"/>
          <w:spacing w:val="-2"/>
        </w:rPr>
        <w:t>4</w:t>
      </w:r>
      <w:r>
        <w:rPr>
          <w:spacing w:val="-2"/>
        </w:rPr>
        <w:t>）固定资产的预计使用寿命与预计净残值。固定资产的预计使用寿命与预计净残值的估计是将性质</w:t>
      </w:r>
      <w:r>
        <w:rPr>
          <w:w w:val="100"/>
        </w:rPr>
        <w:t> </w:t>
      </w:r>
      <w:r>
        <w:rPr>
          <w:spacing w:val="-2"/>
        </w:rPr>
        <w:t>和功能类似的固定资产过往的实际使用寿命与实际净残值作为基础。在固定资产使用过程中，其所处的经</w:t>
      </w:r>
      <w:r>
        <w:rPr>
          <w:spacing w:val="-44"/>
        </w:rPr>
        <w:t> </w:t>
      </w:r>
      <w:r>
        <w:rPr>
          <w:spacing w:val="-44"/>
        </w:rPr>
      </w:r>
      <w:r>
        <w:rPr>
          <w:spacing w:val="-2"/>
        </w:rPr>
        <w:t>济环境、技术环境以及其他环境有可能对固定资产使用寿命与预计净残值产生较大影响。如果固定资产使</w:t>
      </w:r>
      <w:r>
        <w:rPr>
          <w:spacing w:val="-44"/>
        </w:rPr>
        <w:t> </w:t>
      </w:r>
      <w:r>
        <w:rPr>
          <w:spacing w:val="-44"/>
        </w:rPr>
      </w:r>
      <w:r>
        <w:rPr/>
        <w:t>用寿命与净残值的预计数与原先估计数有差异，管理层将对其进行适当调整。</w:t>
      </w:r>
    </w:p>
    <w:p>
      <w:pPr>
        <w:pStyle w:val="BodyText"/>
        <w:spacing w:line="268" w:lineRule="auto" w:before="14"/>
        <w:ind w:right="1126" w:firstLine="314"/>
        <w:jc w:val="both"/>
      </w:pPr>
      <w:r>
        <w:rPr>
          <w:spacing w:val="-2"/>
        </w:rPr>
        <w:t>（</w:t>
      </w:r>
      <w:r>
        <w:rPr>
          <w:rFonts w:ascii="Times New Roman" w:hAnsi="Times New Roman" w:cs="Times New Roman" w:eastAsia="Times New Roman" w:hint="default"/>
          <w:spacing w:val="-2"/>
        </w:rPr>
        <w:t>5</w:t>
      </w:r>
      <w:r>
        <w:rPr>
          <w:spacing w:val="-2"/>
        </w:rPr>
        <w:t>）金融资产的公允价值。本公司对没有活跃市场的金融工具，采用包括现金流量折现法等在内的各</w:t>
      </w:r>
      <w:r>
        <w:rPr>
          <w:w w:val="100"/>
        </w:rPr>
        <w:t> </w:t>
      </w:r>
      <w:r>
        <w:rPr>
          <w:spacing w:val="-2"/>
        </w:rPr>
        <w:t>种估值技术确定其公允价值。对于法律明令限制本公司在特定期间内处置的金融资产，其公允价值是以市</w:t>
      </w:r>
      <w:r>
        <w:rPr>
          <w:spacing w:val="-43"/>
        </w:rPr>
        <w:t> </w:t>
      </w:r>
      <w:r>
        <w:rPr>
          <w:spacing w:val="-43"/>
        </w:rPr>
      </w:r>
      <w:r>
        <w:rPr>
          <w:spacing w:val="-2"/>
        </w:rPr>
        <w:t>场报价为基础并根据该工具的特征进行调整。在估值时，本公司需对诸如自身和交易对手的信用风险、市</w:t>
      </w:r>
      <w:r>
        <w:rPr>
          <w:spacing w:val="-43"/>
        </w:rPr>
        <w:t> </w:t>
      </w:r>
      <w:r>
        <w:rPr>
          <w:spacing w:val="-43"/>
        </w:rPr>
      </w:r>
      <w:r>
        <w:rPr/>
        <w:t>场波动率和相关性等方面进行估计，这些相关因素假设的变化会对金融工具的公允价值产生影响。</w:t>
      </w:r>
    </w:p>
    <w:p>
      <w:pPr>
        <w:pStyle w:val="BodyText"/>
        <w:spacing w:line="240" w:lineRule="auto" w:before="12"/>
        <w:ind w:left="467" w:right="1133"/>
        <w:jc w:val="left"/>
      </w:pPr>
      <w:r>
        <w:rPr/>
        <w:t>（</w:t>
      </w:r>
      <w:r>
        <w:rPr>
          <w:rFonts w:ascii="Times New Roman" w:hAnsi="Times New Roman" w:cs="Times New Roman" w:eastAsia="Times New Roman" w:hint="default"/>
        </w:rPr>
        <w:t>6</w:t>
      </w:r>
      <w:r>
        <w:rPr/>
        <w:t>）递延所得税资产和递延所得税负债。</w:t>
      </w:r>
    </w:p>
    <w:p>
      <w:pPr>
        <w:pStyle w:val="BodyText"/>
        <w:spacing w:line="264" w:lineRule="auto" w:before="21"/>
        <w:ind w:right="1126" w:firstLine="314"/>
        <w:jc w:val="both"/>
      </w:pPr>
      <w:r>
        <w:rPr>
          <w:spacing w:val="-2"/>
        </w:rPr>
        <w:t>（</w:t>
      </w:r>
      <w:r>
        <w:rPr>
          <w:rFonts w:ascii="Times New Roman" w:hAnsi="Times New Roman" w:cs="Times New Roman" w:eastAsia="Times New Roman" w:hint="default"/>
          <w:spacing w:val="-2"/>
        </w:rPr>
        <w:t>7</w:t>
      </w:r>
      <w:r>
        <w:rPr>
          <w:spacing w:val="-2"/>
        </w:rPr>
        <w:t>）所得税。在正常的经营活动中，很多交易和事项的最终税务处理都存在不确定性。在计提所得税</w:t>
      </w:r>
      <w:r>
        <w:rPr>
          <w:w w:val="100"/>
        </w:rPr>
        <w:t> </w:t>
      </w:r>
      <w:r>
        <w:rPr>
          <w:spacing w:val="-2"/>
        </w:rPr>
        <w:t>时需要作出重大判断。如果这些税务事项的最终认定结果与最初入账的金额存在差异，该差异将对作出上</w:t>
      </w:r>
      <w:r>
        <w:rPr>
          <w:spacing w:val="-43"/>
        </w:rPr>
        <w:t> </w:t>
      </w:r>
      <w:r>
        <w:rPr>
          <w:spacing w:val="-43"/>
        </w:rPr>
      </w:r>
      <w:r>
        <w:rPr/>
        <w:t>述最终认定期间的税金金额产生影响。</w:t>
      </w:r>
    </w:p>
    <w:p>
      <w:pPr>
        <w:spacing w:after="0" w:line="264"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1、遵循企业会计准则的声明" w:id="171"/>
      <w:bookmarkEnd w:id="171"/>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right="1126" w:firstLine="420"/>
        <w:jc w:val="both"/>
      </w:pPr>
      <w:r>
        <w:rPr>
          <w:spacing w:val="-2"/>
        </w:rPr>
        <w:t>本公司所编制的财务报表符合企业会计准则的要求，真实、完整地反映了报告期公司的财务状况、经</w:t>
      </w:r>
      <w:r>
        <w:rPr>
          <w:w w:val="100"/>
        </w:rPr>
        <w:t> </w:t>
      </w:r>
      <w:r>
        <w:rPr/>
        <w:t>营成果、现金流量等有关信息。</w:t>
      </w:r>
    </w:p>
    <w:p>
      <w:pPr>
        <w:spacing w:line="240" w:lineRule="auto" w:before="7"/>
        <w:rPr>
          <w:rFonts w:ascii="宋体" w:hAnsi="宋体" w:cs="宋体" w:eastAsia="宋体" w:hint="default"/>
          <w:sz w:val="23"/>
          <w:szCs w:val="23"/>
        </w:rPr>
      </w:pPr>
    </w:p>
    <w:p>
      <w:pPr>
        <w:pStyle w:val="Heading4"/>
        <w:spacing w:line="240" w:lineRule="auto"/>
        <w:ind w:right="1133"/>
        <w:jc w:val="left"/>
        <w:rPr>
          <w:b w:val="0"/>
          <w:bCs w:val="0"/>
        </w:rPr>
      </w:pPr>
      <w:bookmarkStart w:name="2、会计期间" w:id="172"/>
      <w:bookmarkEnd w:id="172"/>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3" w:right="1133"/>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7"/>
        <w:rPr>
          <w:rFonts w:ascii="宋体" w:hAnsi="宋体" w:cs="宋体" w:eastAsia="宋体" w:hint="default"/>
          <w:sz w:val="24"/>
          <w:szCs w:val="24"/>
        </w:rPr>
      </w:pPr>
    </w:p>
    <w:p>
      <w:pPr>
        <w:pStyle w:val="Heading4"/>
        <w:spacing w:line="240" w:lineRule="auto"/>
        <w:ind w:right="1133"/>
        <w:jc w:val="left"/>
        <w:rPr>
          <w:b w:val="0"/>
          <w:bCs w:val="0"/>
        </w:rPr>
      </w:pPr>
      <w:bookmarkStart w:name="3、营业周期" w:id="173"/>
      <w:bookmarkEnd w:id="173"/>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right="1104" w:firstLine="420"/>
        <w:jc w:val="both"/>
      </w:pPr>
      <w:r>
        <w:rPr>
          <w:spacing w:val="-2"/>
        </w:rPr>
        <w:t>本公司营业周期是指本公司签订合同，购买用于加工的软硬件资产起至实现现金或现金等价物期间。</w:t>
      </w:r>
      <w:r>
        <w:rPr>
          <w:w w:val="100"/>
        </w:rPr>
        <w:t> </w:t>
      </w:r>
      <w:r>
        <w:rPr/>
        <w:t>本公司以</w:t>
      </w:r>
      <w:r>
        <w:rPr>
          <w:rFonts w:ascii="Times New Roman" w:hAnsi="Times New Roman" w:cs="Times New Roman" w:eastAsia="Times New Roman" w:hint="default"/>
        </w:rPr>
        <w:t>12</w:t>
      </w:r>
      <w:r>
        <w:rPr/>
        <w:t>个月作为一个营业周期，并以其作为资产和负债的流动性划分标准。</w:t>
      </w:r>
    </w:p>
    <w:p>
      <w:pPr>
        <w:spacing w:line="240" w:lineRule="auto" w:before="1"/>
        <w:rPr>
          <w:rFonts w:ascii="宋体" w:hAnsi="宋体" w:cs="宋体" w:eastAsia="宋体" w:hint="default"/>
          <w:sz w:val="22"/>
          <w:szCs w:val="22"/>
        </w:rPr>
      </w:pPr>
    </w:p>
    <w:p>
      <w:pPr>
        <w:pStyle w:val="Heading4"/>
        <w:spacing w:line="240" w:lineRule="auto"/>
        <w:ind w:right="1133"/>
        <w:jc w:val="left"/>
        <w:rPr>
          <w:b w:val="0"/>
          <w:bCs w:val="0"/>
        </w:rPr>
      </w:pPr>
      <w:bookmarkStart w:name="4、记账本位币" w:id="174"/>
      <w:bookmarkEnd w:id="174"/>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3" w:right="1133"/>
        <w:jc w:val="left"/>
      </w:pPr>
      <w:r>
        <w:rPr/>
        <w:t>本公司采用人民币为记账本位币。</w:t>
      </w:r>
    </w:p>
    <w:p>
      <w:pPr>
        <w:spacing w:line="600" w:lineRule="atLeast" w:before="28"/>
        <w:ind w:left="573" w:right="1133" w:hanging="421"/>
        <w:jc w:val="left"/>
        <w:rPr>
          <w:rFonts w:ascii="宋体" w:hAnsi="宋体" w:cs="宋体" w:eastAsia="宋体" w:hint="default"/>
          <w:sz w:val="21"/>
          <w:szCs w:val="21"/>
        </w:rPr>
      </w:pPr>
      <w:bookmarkStart w:name="5、同一控制下和非同一控制下企业合并的会计处理方法" w:id="175"/>
      <w:bookmarkEnd w:id="175"/>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对于同一控制下企业合并取得的子公司，以其资产、负债（包括最终控制方收购该子公司而形成的商</w:t>
      </w:r>
    </w:p>
    <w:p>
      <w:pPr>
        <w:pStyle w:val="BodyText"/>
        <w:spacing w:line="273" w:lineRule="auto" w:before="37"/>
        <w:ind w:left="573" w:right="1133" w:hanging="421"/>
        <w:jc w:val="left"/>
      </w:pPr>
      <w:r>
        <w:rPr/>
        <w:t>誉）在最终控制方财务报表中的账面价值为基础对其财务报表进行调整。</w:t>
      </w:r>
      <w:r>
        <w:rPr>
          <w:w w:val="100"/>
        </w:rPr>
        <w:t> </w:t>
      </w:r>
      <w:r>
        <w:rPr>
          <w:spacing w:val="-2"/>
        </w:rPr>
        <w:t>对于非同一控制下企业合并取得的子公司，以购买日可辨认净资产公允价值为基础对其财务报表进行</w:t>
      </w:r>
    </w:p>
    <w:p>
      <w:pPr>
        <w:pStyle w:val="BodyText"/>
        <w:spacing w:line="240" w:lineRule="auto"/>
        <w:ind w:right="1133"/>
        <w:jc w:val="left"/>
      </w:pPr>
      <w:r>
        <w:rPr/>
        <w:t>调整</w:t>
      </w:r>
    </w:p>
    <w:p>
      <w:pPr>
        <w:pStyle w:val="BodyText"/>
        <w:spacing w:line="256" w:lineRule="auto" w:before="37"/>
        <w:ind w:left="573" w:right="1133" w:hanging="106"/>
        <w:jc w:val="left"/>
      </w:pPr>
      <w:r>
        <w:rPr/>
        <w:t>（</w:t>
      </w:r>
      <w:r>
        <w:rPr>
          <w:rFonts w:ascii="Times New Roman" w:hAnsi="Times New Roman" w:cs="Times New Roman" w:eastAsia="Times New Roman" w:hint="default"/>
        </w:rPr>
        <w:t>1</w:t>
      </w:r>
      <w:r>
        <w:rPr/>
        <w:t>）增加子公司或业务</w:t>
      </w:r>
      <w:r>
        <w:rPr>
          <w:w w:val="100"/>
        </w:rPr>
        <w:t> </w:t>
      </w:r>
      <w:r>
        <w:rPr>
          <w:spacing w:val="-2"/>
        </w:rPr>
        <w:t>在报告期内，若因同一控制下企业合并增加子公司或业务的，则调整合并资产负债表的期初数；将子</w:t>
      </w:r>
    </w:p>
    <w:p>
      <w:pPr>
        <w:pStyle w:val="BodyText"/>
        <w:spacing w:line="273" w:lineRule="auto" w:before="22"/>
        <w:ind w:right="1126"/>
        <w:jc w:val="both"/>
      </w:pPr>
      <w:r>
        <w:rPr>
          <w:spacing w:val="-2"/>
        </w:rPr>
        <w:t>公司或业务合并当期期初至报告期末的收入、费用、利润纳入合并利润表；将子公司或业务合并当期期初</w:t>
      </w:r>
      <w:r>
        <w:rPr>
          <w:spacing w:val="-43"/>
        </w:rPr>
        <w:t> </w:t>
      </w:r>
      <w:r>
        <w:rPr>
          <w:spacing w:val="-43"/>
        </w:rPr>
      </w:r>
      <w:r>
        <w:rPr>
          <w:spacing w:val="-2"/>
        </w:rPr>
        <w:t>至报告期末的现金流量纳入合并现金流量表，同时对比较报表的相关项目进行调整，视同合并后的报告主</w:t>
      </w:r>
      <w:r>
        <w:rPr>
          <w:spacing w:val="-43"/>
        </w:rPr>
        <w:t> </w:t>
      </w:r>
      <w:r>
        <w:rPr>
          <w:spacing w:val="-43"/>
        </w:rPr>
      </w:r>
      <w:r>
        <w:rPr/>
        <w:t>体自最终控制方开始控制时点起一直存在。</w:t>
      </w:r>
    </w:p>
    <w:p>
      <w:pPr>
        <w:pStyle w:val="BodyText"/>
        <w:spacing w:line="273" w:lineRule="auto"/>
        <w:ind w:right="1126" w:firstLine="420"/>
        <w:jc w:val="both"/>
      </w:pPr>
      <w:r>
        <w:rPr>
          <w:spacing w:val="-2"/>
        </w:rPr>
        <w:t>因追加投资等原因能够对同一控制下的被投资方实施控制的，视同参与合并的各方在最终控制方开始</w:t>
      </w:r>
      <w:r>
        <w:rPr>
          <w:w w:val="100"/>
        </w:rPr>
        <w:t> </w:t>
      </w:r>
      <w:r>
        <w:rPr>
          <w:spacing w:val="-2"/>
        </w:rPr>
        <w:t>控制时即以目前的状态存在进行调整。在取得被合并方控制权之前持有的股权投资，在取得原股权之日与</w:t>
      </w:r>
      <w:r>
        <w:rPr>
          <w:spacing w:val="-44"/>
        </w:rPr>
        <w:t> </w:t>
      </w:r>
      <w:r>
        <w:rPr>
          <w:spacing w:val="-44"/>
        </w:rPr>
      </w:r>
      <w:r>
        <w:rPr>
          <w:spacing w:val="-2"/>
        </w:rPr>
        <w:t>合并方和被合并方同处于同一控制之日孰晚日起至合并日之间已确认有关损益、其他综合收益以及其他净</w:t>
      </w:r>
      <w:r>
        <w:rPr>
          <w:spacing w:val="-43"/>
        </w:rPr>
        <w:t> </w:t>
      </w:r>
      <w:r>
        <w:rPr>
          <w:spacing w:val="-43"/>
        </w:rPr>
      </w:r>
      <w:r>
        <w:rPr/>
        <w:t>资产变动，分别冲减比较报表期间的期初留存收益或当期损益。</w:t>
      </w:r>
    </w:p>
    <w:p>
      <w:pPr>
        <w:pStyle w:val="BodyText"/>
        <w:spacing w:line="273" w:lineRule="auto"/>
        <w:ind w:right="1126" w:firstLine="420"/>
        <w:jc w:val="both"/>
      </w:pPr>
      <w:r>
        <w:rPr>
          <w:spacing w:val="-2"/>
        </w:rPr>
        <w:t>在报告期内，若因非同一控制下企业合并增加子公司或业务的，则不调整合并资产负债表期初数；将</w:t>
      </w:r>
      <w:r>
        <w:rPr>
          <w:w w:val="100"/>
        </w:rPr>
        <w:t> </w:t>
      </w:r>
      <w:r>
        <w:rPr>
          <w:spacing w:val="-2"/>
        </w:rPr>
        <w:t>该子公司或业务自购买日至报告期末的收入、费用、利润纳入合并利润表；该子公司或业务自购买日至报</w:t>
      </w:r>
      <w:r>
        <w:rPr>
          <w:spacing w:val="-43"/>
        </w:rPr>
        <w:t> </w:t>
      </w:r>
      <w:r>
        <w:rPr>
          <w:spacing w:val="-43"/>
        </w:rPr>
      </w:r>
      <w:r>
        <w:rPr/>
        <w:t>告期末的现金流量纳入合并现金流量表。</w:t>
      </w:r>
    </w:p>
    <w:p>
      <w:pPr>
        <w:pStyle w:val="BodyText"/>
        <w:spacing w:line="273" w:lineRule="auto"/>
        <w:ind w:right="1126" w:firstLine="420"/>
        <w:jc w:val="both"/>
      </w:pPr>
      <w:r>
        <w:rPr>
          <w:spacing w:val="-2"/>
        </w:rPr>
        <w:t>因追加投资等原因能够对非同一控制下的被投资方实施控制的，对于购买日之前持有的被购买方的股</w:t>
      </w:r>
      <w:r>
        <w:rPr>
          <w:w w:val="100"/>
        </w:rPr>
        <w:t> </w:t>
      </w:r>
      <w:r>
        <w:rPr>
          <w:spacing w:val="-2"/>
        </w:rPr>
        <w:t>权，本公司按照该股权在购买日的公允价值进行重新计量，公允价值与其账面价值的差额计入当期投资收</w:t>
      </w:r>
      <w:r>
        <w:rPr>
          <w:spacing w:val="-44"/>
        </w:rPr>
        <w:t> </w:t>
      </w:r>
      <w:r>
        <w:rPr>
          <w:spacing w:val="-44"/>
        </w:rPr>
      </w:r>
      <w:r>
        <w:rPr>
          <w:spacing w:val="-2"/>
        </w:rPr>
        <w:t>益。购买日之前持有的被购买方的股权涉及权益法核算下的其他综合收益以及除净损益、其他综合收益和</w:t>
      </w:r>
      <w:r>
        <w:rPr>
          <w:spacing w:val="-44"/>
        </w:rPr>
        <w:t> </w:t>
      </w:r>
      <w:r>
        <w:rPr>
          <w:spacing w:val="-44"/>
        </w:rPr>
      </w:r>
      <w:r>
        <w:rPr>
          <w:spacing w:val="-2"/>
        </w:rPr>
        <w:t>利润分配之外的其他所有者权益变动的，与其相关的其他综合收益、其他所有者权益变动转为购买日所属</w:t>
      </w:r>
      <w:r>
        <w:rPr>
          <w:spacing w:val="-43"/>
        </w:rPr>
        <w:t> </w:t>
      </w:r>
      <w:r>
        <w:rPr>
          <w:spacing w:val="-43"/>
        </w:rPr>
      </w:r>
      <w:r>
        <w:rPr/>
        <w:t>当期投资收益，由于被投资方重新计量设定受益计划净负债或净资产变动而产生的其他综合收益除外。</w:t>
      </w:r>
    </w:p>
    <w:p>
      <w:pPr>
        <w:pStyle w:val="BodyText"/>
        <w:spacing w:line="240" w:lineRule="auto"/>
        <w:ind w:left="467" w:right="1133"/>
        <w:jc w:val="left"/>
      </w:pPr>
      <w:r>
        <w:rPr/>
        <w:t>（</w:t>
      </w:r>
      <w:r>
        <w:rPr>
          <w:rFonts w:ascii="Times New Roman" w:hAnsi="Times New Roman" w:cs="Times New Roman" w:eastAsia="Times New Roman" w:hint="default"/>
        </w:rPr>
        <w:t>2</w:t>
      </w:r>
      <w:r>
        <w:rPr/>
        <w:t>）处置子公司或业务</w:t>
      </w:r>
    </w:p>
    <w:p>
      <w:pPr>
        <w:pStyle w:val="BodyText"/>
        <w:spacing w:line="256" w:lineRule="auto" w:before="21"/>
        <w:ind w:left="573" w:right="1133"/>
        <w:jc w:val="left"/>
      </w:pPr>
      <w:r>
        <w:rPr>
          <w:rFonts w:ascii="Times New Roman" w:hAnsi="Times New Roman" w:cs="Times New Roman" w:eastAsia="Times New Roman" w:hint="default"/>
        </w:rPr>
        <w:t>1</w:t>
      </w:r>
      <w:r>
        <w:rPr/>
        <w:t>）一般处理方法</w:t>
      </w:r>
      <w:r>
        <w:rPr>
          <w:w w:val="100"/>
        </w:rPr>
        <w:t> </w:t>
      </w:r>
      <w:r>
        <w:rPr>
          <w:spacing w:val="-2"/>
        </w:rPr>
        <w:t>在报告期内，本公司处置子公司或业务，则该子公司或业务期初至处置日的收入、费用、利润纳入合</w:t>
      </w:r>
    </w:p>
    <w:p>
      <w:pPr>
        <w:pStyle w:val="BodyText"/>
        <w:spacing w:line="240" w:lineRule="auto" w:before="22"/>
        <w:ind w:right="1133"/>
        <w:jc w:val="left"/>
      </w:pPr>
      <w:r>
        <w:rPr/>
        <w:t>并利润表；该子公司或业务期初至处置日的现金流量纳入合并现金流量表。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6" w:firstLine="420"/>
        <w:jc w:val="both"/>
      </w:pPr>
      <w:r>
        <w:rPr>
          <w:spacing w:val="-2"/>
        </w:rPr>
        <w:t>因处置部分股权投资或其他原因丧失了对被投资方控制权时，对于处置后的剩余股权投资，本公司按</w:t>
      </w:r>
      <w:r>
        <w:rPr>
          <w:w w:val="100"/>
        </w:rPr>
        <w:t> </w:t>
      </w:r>
      <w:r>
        <w:rPr>
          <w:spacing w:val="-2"/>
        </w:rPr>
        <w:t>照其在丧失控制权日的公允价值进行重新计量。处置股权取得的对价与剩余股权公允价值之和，减去按原</w:t>
      </w:r>
      <w:r>
        <w:rPr>
          <w:spacing w:val="-42"/>
        </w:rPr>
        <w:t> </w:t>
      </w:r>
      <w:r>
        <w:rPr>
          <w:spacing w:val="-42"/>
        </w:rPr>
      </w:r>
      <w:r>
        <w:rPr>
          <w:spacing w:val="-2"/>
        </w:rPr>
        <w:t>持股比例计算应享有原有子公司自购买日或合并日开始持续计算的净资产的份额与商誉之和的差额，计入</w:t>
      </w:r>
      <w:r>
        <w:rPr>
          <w:spacing w:val="-43"/>
        </w:rPr>
        <w:t> </w:t>
      </w:r>
      <w:r>
        <w:rPr>
          <w:spacing w:val="-43"/>
        </w:rPr>
      </w:r>
      <w:r>
        <w:rPr>
          <w:spacing w:val="-2"/>
        </w:rPr>
        <w:t>丧失控制权当期的投资收益。与原有子公司股权投资相关的其他综合收益或除净损益、其他综合收益及利</w:t>
      </w:r>
      <w:r>
        <w:rPr>
          <w:spacing w:val="-43"/>
        </w:rPr>
        <w:t> </w:t>
      </w:r>
      <w:r>
        <w:rPr>
          <w:spacing w:val="-43"/>
        </w:rPr>
      </w:r>
      <w:r>
        <w:rPr>
          <w:spacing w:val="-2"/>
        </w:rPr>
        <w:t>润分配之外的其他所有者权益变动，在丧失控制权时转为当期投资收益，由于被投资方重新计量设定受益</w:t>
      </w:r>
      <w:r>
        <w:rPr>
          <w:spacing w:val="-43"/>
        </w:rPr>
        <w:t> </w:t>
      </w:r>
      <w:r>
        <w:rPr>
          <w:spacing w:val="-43"/>
        </w:rPr>
      </w:r>
      <w:r>
        <w:rPr/>
        <w:t>计划净负债或净资产变动而产生的其他综合收益除外。</w:t>
      </w:r>
    </w:p>
    <w:p>
      <w:pPr>
        <w:pStyle w:val="BodyText"/>
        <w:spacing w:line="256" w:lineRule="auto"/>
        <w:ind w:left="573" w:right="1133"/>
        <w:jc w:val="left"/>
      </w:pPr>
      <w:r>
        <w:rPr>
          <w:rFonts w:ascii="Times New Roman" w:hAnsi="Times New Roman" w:cs="Times New Roman" w:eastAsia="Times New Roman" w:hint="default"/>
        </w:rPr>
        <w:t>2</w:t>
      </w:r>
      <w:r>
        <w:rPr/>
        <w:t>）分步处置子公司</w:t>
      </w:r>
      <w:r>
        <w:rPr>
          <w:w w:val="100"/>
        </w:rPr>
        <w:t> </w:t>
      </w:r>
      <w:r>
        <w:rPr>
          <w:spacing w:val="-2"/>
        </w:rPr>
        <w:t>通过多次交易分步处置对子公司股权投资直至丧失控制权的，处置对子公司股权投资的各项交易的条</w:t>
      </w:r>
    </w:p>
    <w:p>
      <w:pPr>
        <w:pStyle w:val="BodyText"/>
        <w:spacing w:line="273" w:lineRule="auto" w:before="22"/>
        <w:ind w:right="1133"/>
        <w:jc w:val="left"/>
      </w:pPr>
      <w:r>
        <w:rPr>
          <w:spacing w:val="-2"/>
        </w:rPr>
        <w:t>款、条件以及经济影响符合以下一种或多种情况，通常表明应将多次交易事项作为一揽子交易进行会计处</w:t>
      </w:r>
      <w:r>
        <w:rPr>
          <w:spacing w:val="-42"/>
        </w:rPr>
        <w:t> </w:t>
      </w:r>
      <w:r>
        <w:rPr>
          <w:spacing w:val="-42"/>
        </w:rPr>
      </w:r>
      <w:r>
        <w:rPr/>
        <w:t>理：</w:t>
      </w:r>
    </w:p>
    <w:p>
      <w:pPr>
        <w:pStyle w:val="BodyText"/>
        <w:spacing w:line="256" w:lineRule="auto"/>
        <w:ind w:left="573" w:right="1574"/>
        <w:jc w:val="left"/>
      </w:pPr>
      <w:r>
        <w:rPr>
          <w:rFonts w:ascii="Times New Roman" w:hAnsi="Times New Roman" w:cs="Times New Roman" w:eastAsia="Times New Roman" w:hint="default"/>
        </w:rPr>
        <w:t>A.</w:t>
      </w:r>
      <w:r>
        <w:rPr/>
        <w:t>这些交易是同时或者在考虑了彼此影响的情况下订立的；</w:t>
      </w:r>
      <w:r>
        <w:rPr>
          <w:w w:val="100"/>
        </w:rPr>
        <w:t> </w:t>
      </w:r>
      <w:r>
        <w:rPr>
          <w:rFonts w:ascii="Times New Roman" w:hAnsi="Times New Roman" w:cs="Times New Roman" w:eastAsia="Times New Roman" w:hint="default"/>
        </w:rPr>
        <w:t>B.</w:t>
      </w:r>
      <w:r>
        <w:rPr/>
        <w:t>这些交易整体才能达成一项完整的商业结果；</w:t>
      </w:r>
      <w:r>
        <w:rPr>
          <w:w w:val="100"/>
        </w:rPr>
        <w:t> </w:t>
      </w:r>
      <w:r>
        <w:rPr>
          <w:rFonts w:ascii="Times New Roman" w:hAnsi="Times New Roman" w:cs="Times New Roman" w:eastAsia="Times New Roman" w:hint="default"/>
        </w:rPr>
        <w:t>C.</w:t>
      </w:r>
      <w:r>
        <w:rPr/>
        <w:t>一项交易的发生取决于其他至少一项交易的发生；</w:t>
      </w:r>
      <w:r>
        <w:rPr>
          <w:w w:val="100"/>
        </w:rPr>
        <w:t> </w:t>
      </w:r>
      <w:r>
        <w:rPr>
          <w:rFonts w:ascii="Times New Roman" w:hAnsi="Times New Roman" w:cs="Times New Roman" w:eastAsia="Times New Roman" w:hint="default"/>
          <w:spacing w:val="-2"/>
        </w:rPr>
        <w:t>D.</w:t>
      </w:r>
      <w:r>
        <w:rPr>
          <w:spacing w:val="-2"/>
        </w:rPr>
        <w:t>一项交易单独看是不经济的，但是和其他交易一并考虑时是经济的。</w:t>
      </w:r>
    </w:p>
    <w:p>
      <w:pPr>
        <w:pStyle w:val="BodyText"/>
        <w:spacing w:line="273" w:lineRule="auto" w:before="5"/>
        <w:ind w:right="1126" w:firstLine="420"/>
        <w:jc w:val="both"/>
      </w:pPr>
      <w:r>
        <w:rPr>
          <w:spacing w:val="-2"/>
        </w:rPr>
        <w:t>处置对子公司股权投资直至丧失控制权的各项交易属于一揽子交易的，本公司将各项交易作为一项处</w:t>
      </w:r>
      <w:r>
        <w:rPr>
          <w:w w:val="100"/>
        </w:rPr>
        <w:t> </w:t>
      </w:r>
      <w:r>
        <w:rPr>
          <w:spacing w:val="-2"/>
        </w:rPr>
        <w:t>置子公司并丧失控制权的交易进行会计处理；但是，在丧失控制权之前每一次处置价款与处置投资对应的</w:t>
      </w:r>
      <w:r>
        <w:rPr>
          <w:spacing w:val="-43"/>
        </w:rPr>
        <w:t> </w:t>
      </w:r>
      <w:r>
        <w:rPr>
          <w:spacing w:val="-43"/>
        </w:rPr>
      </w:r>
      <w:r>
        <w:rPr>
          <w:spacing w:val="-2"/>
        </w:rPr>
        <w:t>享有该子公司净资产份额的差额，在合并财务报表中确认为其他综合收益，在丧失控制权时一并转入丧失</w:t>
      </w:r>
      <w:r>
        <w:rPr>
          <w:spacing w:val="-43"/>
        </w:rPr>
        <w:t> </w:t>
      </w:r>
      <w:r>
        <w:rPr>
          <w:spacing w:val="-43"/>
        </w:rPr>
      </w:r>
      <w:r>
        <w:rPr/>
        <w:t>控制权当期的损益。</w:t>
      </w:r>
    </w:p>
    <w:p>
      <w:pPr>
        <w:pStyle w:val="BodyText"/>
        <w:spacing w:line="273" w:lineRule="auto"/>
        <w:ind w:right="1126" w:firstLine="420"/>
        <w:jc w:val="both"/>
      </w:pPr>
      <w:r>
        <w:rPr>
          <w:spacing w:val="-2"/>
        </w:rPr>
        <w:t>处置对子公司股权投资直至丧失控制权的各项交易不属于一揽子交易的，在丧失控制权之前，按不丧</w:t>
      </w:r>
      <w:r>
        <w:rPr>
          <w:w w:val="100"/>
        </w:rPr>
        <w:t> </w:t>
      </w:r>
      <w:r>
        <w:rPr>
          <w:spacing w:val="-2"/>
        </w:rPr>
        <w:t>失控制权的情况下部分处置对子公司的股权投资的相关政策进行会计处理；在丧失控制权时，按处置子公</w:t>
      </w:r>
      <w:r>
        <w:rPr>
          <w:spacing w:val="-43"/>
        </w:rPr>
        <w:t> </w:t>
      </w:r>
      <w:r>
        <w:rPr>
          <w:spacing w:val="-43"/>
        </w:rPr>
      </w:r>
      <w:r>
        <w:rPr/>
        <w:t>司一般处理方法进行会计处理。</w:t>
      </w:r>
    </w:p>
    <w:p>
      <w:pPr>
        <w:pStyle w:val="BodyText"/>
        <w:spacing w:line="256" w:lineRule="auto"/>
        <w:ind w:left="573" w:right="1133" w:hanging="106"/>
        <w:jc w:val="left"/>
      </w:pPr>
      <w:r>
        <w:rPr/>
        <w:t>（</w:t>
      </w:r>
      <w:r>
        <w:rPr>
          <w:rFonts w:ascii="Times New Roman" w:hAnsi="Times New Roman" w:cs="Times New Roman" w:eastAsia="Times New Roman" w:hint="default"/>
        </w:rPr>
        <w:t>3</w:t>
      </w:r>
      <w:r>
        <w:rPr/>
        <w:t>）购买子公司少数股权</w:t>
      </w:r>
      <w:r>
        <w:rPr>
          <w:w w:val="100"/>
        </w:rPr>
        <w:t> </w:t>
      </w:r>
      <w:r>
        <w:rPr>
          <w:spacing w:val="-2"/>
        </w:rPr>
        <w:t>本公司因购买少数股权新取得的长期股权投资与按照新增持股比例计算应享有子公司自购买日（或合</w:t>
      </w:r>
    </w:p>
    <w:p>
      <w:pPr>
        <w:pStyle w:val="BodyText"/>
        <w:spacing w:line="273" w:lineRule="auto" w:before="22"/>
        <w:ind w:right="1133"/>
        <w:jc w:val="left"/>
      </w:pPr>
      <w:r>
        <w:rPr>
          <w:spacing w:val="-2"/>
        </w:rPr>
        <w:t>并日）开始持续计算的净资产份额之间的差额，调整合并资产负债表中的资本公积中的股本溢价，资本公</w:t>
      </w:r>
      <w:r>
        <w:rPr>
          <w:spacing w:val="-45"/>
        </w:rPr>
        <w:t> </w:t>
      </w:r>
      <w:r>
        <w:rPr>
          <w:spacing w:val="-45"/>
        </w:rPr>
      </w:r>
      <w:r>
        <w:rPr/>
        <w:t>积中的股本溢价不足冲减的，调整留存收益。</w:t>
      </w:r>
    </w:p>
    <w:p>
      <w:pPr>
        <w:pStyle w:val="BodyText"/>
        <w:spacing w:line="256" w:lineRule="auto"/>
        <w:ind w:left="573" w:right="1133" w:hanging="106"/>
        <w:jc w:val="left"/>
      </w:pPr>
      <w:r>
        <w:rPr/>
        <w:t>（</w:t>
      </w:r>
      <w:r>
        <w:rPr>
          <w:rFonts w:ascii="Times New Roman" w:hAnsi="Times New Roman" w:cs="Times New Roman" w:eastAsia="Times New Roman" w:hint="default"/>
        </w:rPr>
        <w:t>4</w:t>
      </w:r>
      <w:r>
        <w:rPr/>
        <w:t>）不丧失控制权的情况下部分处置对子公司的股权投资</w:t>
      </w:r>
      <w:r>
        <w:rPr>
          <w:w w:val="100"/>
        </w:rPr>
        <w:t> </w:t>
      </w:r>
      <w:r>
        <w:rPr>
          <w:spacing w:val="2"/>
        </w:rPr>
        <w:t>在不丧失控制权的情况下因部分处置对子公司的长期股权投资而取得的处置价款与处置长期股权投</w:t>
      </w:r>
    </w:p>
    <w:p>
      <w:pPr>
        <w:pStyle w:val="BodyText"/>
        <w:spacing w:line="273" w:lineRule="auto" w:before="22"/>
        <w:ind w:right="1133"/>
        <w:jc w:val="left"/>
      </w:pPr>
      <w:r>
        <w:rPr>
          <w:spacing w:val="-2"/>
        </w:rPr>
        <w:t>资相对应享有子公司自购买日或合并日开始持续计算的净资产份额之间的差额，调整合并资产负债表中的</w:t>
      </w:r>
      <w:r>
        <w:rPr>
          <w:spacing w:val="-43"/>
        </w:rPr>
        <w:t> </w:t>
      </w:r>
      <w:r>
        <w:rPr>
          <w:spacing w:val="-43"/>
        </w:rPr>
      </w:r>
      <w:r>
        <w:rPr/>
        <w:t>资本公积中的股本溢价，资本公积中的股本溢价不足冲减的，调整留存收益。</w:t>
      </w:r>
    </w:p>
    <w:p>
      <w:pPr>
        <w:spacing w:line="240" w:lineRule="auto" w:before="7"/>
        <w:rPr>
          <w:rFonts w:ascii="宋体" w:hAnsi="宋体" w:cs="宋体" w:eastAsia="宋体" w:hint="default"/>
          <w:sz w:val="23"/>
          <w:szCs w:val="23"/>
        </w:rPr>
      </w:pPr>
    </w:p>
    <w:p>
      <w:pPr>
        <w:pStyle w:val="Heading4"/>
        <w:spacing w:line="240" w:lineRule="auto"/>
        <w:ind w:right="1133"/>
        <w:jc w:val="left"/>
        <w:rPr>
          <w:b w:val="0"/>
          <w:bCs w:val="0"/>
        </w:rPr>
      </w:pPr>
      <w:bookmarkStart w:name="6、合并财务报表的编制方法" w:id="176"/>
      <w:bookmarkEnd w:id="176"/>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before="0"/>
        <w:ind w:left="573" w:right="1133" w:hanging="8"/>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5"/>
        </w:rPr>
        <w:t> </w:t>
      </w:r>
      <w:r>
        <w:rPr>
          <w:rFonts w:ascii="宋体" w:hAnsi="宋体" w:cs="宋体" w:eastAsia="宋体" w:hint="default"/>
          <w:b/>
          <w:bCs/>
        </w:rPr>
        <w:t>合并范围</w:t>
      </w:r>
      <w:r>
        <w:rPr>
          <w:rFonts w:ascii="宋体" w:hAnsi="宋体" w:cs="宋体" w:eastAsia="宋体" w:hint="default"/>
          <w:b/>
          <w:bCs/>
          <w:spacing w:val="-104"/>
        </w:rPr>
        <w:t> </w:t>
      </w:r>
      <w:r>
        <w:rPr>
          <w:spacing w:val="-2"/>
        </w:rPr>
        <w:t>本公司合并财务报表的合并范围以控制为基础确定，所有子公司（包括本公司所控制的单独主体）均</w:t>
      </w:r>
    </w:p>
    <w:p>
      <w:pPr>
        <w:pStyle w:val="BodyText"/>
        <w:spacing w:line="240" w:lineRule="auto" w:before="22"/>
        <w:ind w:right="1133"/>
        <w:jc w:val="left"/>
      </w:pPr>
      <w:r>
        <w:rPr/>
        <w:t>纳入合并财务报表。</w:t>
      </w:r>
    </w:p>
    <w:p>
      <w:pPr>
        <w:pStyle w:val="BodyText"/>
        <w:spacing w:line="256" w:lineRule="auto" w:before="37"/>
        <w:ind w:left="573" w:right="1133" w:hanging="8"/>
        <w:jc w:val="left"/>
      </w:pPr>
      <w:r>
        <w:rPr>
          <w:rFonts w:ascii="Times New Roman" w:hAnsi="Times New Roman" w:cs="Times New Roman" w:eastAsia="Times New Roman" w:hint="default"/>
          <w:b/>
          <w:bCs/>
        </w:rPr>
        <w:t>2.</w:t>
      </w:r>
      <w:r>
        <w:rPr>
          <w:rFonts w:ascii="Times New Roman" w:hAnsi="Times New Roman" w:cs="Times New Roman" w:eastAsia="Times New Roman" w:hint="default"/>
          <w:b/>
          <w:bCs/>
          <w:spacing w:val="35"/>
        </w:rPr>
        <w:t> </w:t>
      </w:r>
      <w:r>
        <w:rPr>
          <w:rFonts w:ascii="宋体" w:hAnsi="宋体" w:cs="宋体" w:eastAsia="宋体" w:hint="default"/>
          <w:b/>
          <w:bCs/>
        </w:rPr>
        <w:t>合并程序</w:t>
      </w:r>
      <w:r>
        <w:rPr>
          <w:rFonts w:ascii="宋体" w:hAnsi="宋体" w:cs="宋体" w:eastAsia="宋体" w:hint="default"/>
          <w:b/>
          <w:bCs/>
          <w:spacing w:val="-104"/>
        </w:rPr>
        <w:t> </w:t>
      </w:r>
      <w:r>
        <w:rPr>
          <w:spacing w:val="-2"/>
        </w:rPr>
        <w:t>本公司以自身和各子公司的财务报表为基础，根据其他有关资料，编制合并财务报表。本公司编制合</w:t>
      </w:r>
    </w:p>
    <w:p>
      <w:pPr>
        <w:pStyle w:val="BodyText"/>
        <w:spacing w:line="273" w:lineRule="auto" w:before="22"/>
        <w:ind w:right="1133"/>
        <w:jc w:val="left"/>
      </w:pPr>
      <w:r>
        <w:rPr>
          <w:spacing w:val="-2"/>
        </w:rPr>
        <w:t>并财务报表，将整个企业集团视为一个会计主体，依据相关企业会计准则的确认、计量和列报要求，按照</w:t>
      </w:r>
      <w:r>
        <w:rPr>
          <w:spacing w:val="-47"/>
        </w:rPr>
        <w:t> </w:t>
      </w:r>
      <w:r>
        <w:rPr>
          <w:spacing w:val="-47"/>
        </w:rPr>
      </w:r>
      <w:r>
        <w:rPr/>
        <w:t>统一的会计政策，反映本企业集团整体财务状况、经营成果和现金流量。</w:t>
      </w:r>
    </w:p>
    <w:p>
      <w:pPr>
        <w:pStyle w:val="BodyText"/>
        <w:spacing w:line="273" w:lineRule="auto"/>
        <w:ind w:right="1126" w:firstLine="420"/>
        <w:jc w:val="both"/>
      </w:pPr>
      <w:r>
        <w:rPr>
          <w:spacing w:val="-2"/>
        </w:rPr>
        <w:t>所有纳入合并财务报表合并范围的子公司所采用的会计政策、会计期间与本公司一致，如子公司采用</w:t>
      </w:r>
      <w:r>
        <w:rPr>
          <w:w w:val="100"/>
        </w:rPr>
        <w:t> </w:t>
      </w:r>
      <w:r>
        <w:rPr>
          <w:spacing w:val="-2"/>
        </w:rPr>
        <w:t>的会计政策、会计期间与本公司不一致的，在编制合并财务报表时，按本公司的会计政策、会计期间进行</w:t>
      </w:r>
      <w:r>
        <w:rPr>
          <w:spacing w:val="-50"/>
        </w:rPr>
        <w:t> </w:t>
      </w:r>
      <w:r>
        <w:rPr>
          <w:spacing w:val="-50"/>
        </w:rPr>
      </w:r>
      <w:r>
        <w:rPr/>
        <w:t>必要的调整。</w:t>
      </w:r>
    </w:p>
    <w:p>
      <w:pPr>
        <w:pStyle w:val="BodyText"/>
        <w:spacing w:line="273" w:lineRule="auto"/>
        <w:ind w:right="1126" w:firstLine="420"/>
        <w:jc w:val="both"/>
      </w:pPr>
      <w:r>
        <w:rPr>
          <w:spacing w:val="-2"/>
        </w:rPr>
        <w:t>合并财务报表时抵销本公司与各子公司、各子公司相互之间发生的内部交易对合并资产负债表、合并</w:t>
      </w:r>
      <w:r>
        <w:rPr>
          <w:w w:val="100"/>
        </w:rPr>
        <w:t> </w:t>
      </w:r>
      <w:r>
        <w:rPr>
          <w:spacing w:val="-2"/>
        </w:rPr>
        <w:t>利润表、合并现金流量表、合并股东权益变动表的影响。如果站在企业集团合并财务报表角度与以本公司</w:t>
      </w:r>
    </w:p>
    <w:p>
      <w:pPr>
        <w:spacing w:after="0" w:line="273"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left="573" w:right="1133" w:hanging="421"/>
        <w:jc w:val="left"/>
      </w:pPr>
      <w:r>
        <w:rPr/>
        <w:t>或子公司为会计主体对同一交易的认定不同时，从企业集团的角度对该交易予以调整。</w:t>
      </w:r>
      <w:r>
        <w:rPr>
          <w:w w:val="100"/>
        </w:rPr>
        <w:t> </w:t>
      </w:r>
      <w:r>
        <w:rPr>
          <w:spacing w:val="-2"/>
        </w:rPr>
        <w:t>子公司所有者权益、当期净损益和当期综合收益中属于少数股东的份额分别在合并资产负债表中所有</w:t>
      </w:r>
    </w:p>
    <w:p>
      <w:pPr>
        <w:pStyle w:val="BodyText"/>
        <w:spacing w:line="273" w:lineRule="auto"/>
        <w:ind w:right="1133"/>
        <w:jc w:val="left"/>
      </w:pPr>
      <w:r>
        <w:rPr>
          <w:spacing w:val="-2"/>
        </w:rPr>
        <w:t>者权益项目下、合并利润表中净利润项目下和综合收益总额项目下单独列示。子公司少数股东分担的当期</w:t>
      </w:r>
      <w:r>
        <w:rPr>
          <w:spacing w:val="-43"/>
        </w:rPr>
        <w:t> </w:t>
      </w:r>
      <w:r>
        <w:rPr>
          <w:spacing w:val="-43"/>
        </w:rPr>
      </w:r>
      <w:r>
        <w:rPr/>
        <w:t>亏损超过了少数股东在该子公司期初所有者权益中所享有份额而形成的余额，冲减少数股东权益。</w:t>
      </w:r>
    </w:p>
    <w:p>
      <w:pPr>
        <w:spacing w:line="600" w:lineRule="atLeast" w:before="0"/>
        <w:ind w:left="573" w:right="1133" w:hanging="421"/>
        <w:jc w:val="left"/>
        <w:rPr>
          <w:rFonts w:ascii="宋体" w:hAnsi="宋体" w:cs="宋体" w:eastAsia="宋体" w:hint="default"/>
          <w:sz w:val="21"/>
          <w:szCs w:val="21"/>
        </w:rPr>
      </w:pPr>
      <w:bookmarkStart w:name="7、现金及现金等价物的确定标准" w:id="177"/>
      <w:bookmarkEnd w:id="177"/>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在编制现金流量表时，将本公司库存现金以及可以随时用于支付的存款确认为现金。将同时具备期限</w:t>
      </w:r>
    </w:p>
    <w:p>
      <w:pPr>
        <w:pStyle w:val="BodyText"/>
        <w:spacing w:line="273" w:lineRule="auto" w:before="37"/>
        <w:ind w:right="1133"/>
        <w:jc w:val="left"/>
      </w:pPr>
      <w:r>
        <w:rPr>
          <w:spacing w:val="-2"/>
        </w:rPr>
        <w:t>短（一般从购买日起三个月内到期）、流动性强、易于转换为已知金额的现金、价值变动风险很小四个条</w:t>
      </w:r>
      <w:r>
        <w:rPr>
          <w:spacing w:val="-43"/>
        </w:rPr>
        <w:t> </w:t>
      </w:r>
      <w:r>
        <w:rPr>
          <w:spacing w:val="-43"/>
        </w:rPr>
      </w:r>
      <w:r>
        <w:rPr/>
        <w:t>件的投资，确定为现金等价物。</w:t>
      </w:r>
    </w:p>
    <w:p>
      <w:pPr>
        <w:spacing w:line="240" w:lineRule="auto" w:before="7"/>
        <w:rPr>
          <w:rFonts w:ascii="宋体" w:hAnsi="宋体" w:cs="宋体" w:eastAsia="宋体" w:hint="default"/>
          <w:sz w:val="23"/>
          <w:szCs w:val="23"/>
        </w:rPr>
      </w:pPr>
    </w:p>
    <w:p>
      <w:pPr>
        <w:pStyle w:val="Heading4"/>
        <w:spacing w:line="240" w:lineRule="auto"/>
        <w:ind w:right="1133"/>
        <w:jc w:val="left"/>
        <w:rPr>
          <w:b w:val="0"/>
          <w:bCs w:val="0"/>
        </w:rPr>
      </w:pPr>
      <w:bookmarkStart w:name="8、金融工具" w:id="178"/>
      <w:bookmarkEnd w:id="178"/>
      <w:r>
        <w:rPr>
          <w:b w:val="0"/>
          <w:bCs w:val="0"/>
        </w:rPr>
      </w:r>
      <w:r>
        <w:rPr>
          <w:rFonts w:ascii="Times New Roman" w:hAnsi="Times New Roman" w:cs="Times New Roman" w:eastAsia="Times New Roman" w:hint="default"/>
        </w:rPr>
        <w:t>8</w:t>
      </w:r>
      <w:r>
        <w:rPr/>
        <w:t>、金融工具</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left="573" w:right="1133"/>
        <w:jc w:val="left"/>
      </w:pPr>
      <w:r>
        <w:rPr/>
        <w:t>在本公司成为金融工具合同的一方时确认一项金融资产或金融负债。</w:t>
      </w:r>
      <w:r>
        <w:rPr>
          <w:w w:val="100"/>
        </w:rPr>
        <w:t> </w:t>
      </w:r>
      <w:r>
        <w:rPr>
          <w:spacing w:val="2"/>
        </w:rPr>
        <w:t>实际利率法是指计算金融资产或金融负债的摊余成本以及将利息收入或利息费用分摊计入各会计期</w:t>
      </w:r>
    </w:p>
    <w:p>
      <w:pPr>
        <w:pStyle w:val="BodyText"/>
        <w:spacing w:line="240" w:lineRule="auto"/>
        <w:ind w:right="1133"/>
        <w:jc w:val="left"/>
      </w:pPr>
      <w:r>
        <w:rPr/>
        <w:t>间的方法。</w:t>
      </w:r>
    </w:p>
    <w:p>
      <w:pPr>
        <w:pStyle w:val="BodyText"/>
        <w:spacing w:line="264" w:lineRule="auto" w:before="37"/>
        <w:ind w:right="1126" w:firstLine="420"/>
        <w:jc w:val="both"/>
      </w:pPr>
      <w:r>
        <w:rPr>
          <w:spacing w:val="-2"/>
        </w:rPr>
        <w:t>实际利率，是指将金融资产或金融负债在预计存续期的估计未来现金流量，折现为该金融资产账面余</w:t>
      </w:r>
      <w:r>
        <w:rPr>
          <w:w w:val="100"/>
        </w:rPr>
        <w:t> </w:t>
      </w:r>
      <w:r>
        <w:rPr>
          <w:spacing w:val="-4"/>
        </w:rPr>
        <w:t>额或该金融负债摊余成本所使用的利率。在确定实际利率时，在考虑金融资产或金融负债所有合同条款</w:t>
      </w:r>
      <w:r>
        <w:rPr>
          <w:rFonts w:ascii="Times New Roman" w:hAnsi="Times New Roman" w:cs="Times New Roman" w:eastAsia="Times New Roman" w:hint="default"/>
          <w:spacing w:val="-4"/>
        </w:rPr>
        <w:t>(</w:t>
      </w:r>
      <w:r>
        <w:rPr>
          <w:spacing w:val="-4"/>
        </w:rPr>
        <w:t>如</w:t>
      </w:r>
      <w:r>
        <w:rPr>
          <w:spacing w:val="-21"/>
        </w:rPr>
        <w:t> </w:t>
      </w:r>
      <w:r>
        <w:rPr/>
        <w:t>提前还款、展期、看涨期权或其他类似期权等</w:t>
      </w:r>
      <w:r>
        <w:rPr>
          <w:rFonts w:ascii="Times New Roman" w:hAnsi="Times New Roman" w:cs="Times New Roman" w:eastAsia="Times New Roman" w:hint="default"/>
        </w:rPr>
        <w:t>)</w:t>
      </w:r>
      <w:r>
        <w:rPr/>
        <w:t>的基础上估计预期现金流量，但不考虑预期信用损失。</w:t>
      </w:r>
    </w:p>
    <w:p>
      <w:pPr>
        <w:pStyle w:val="BodyText"/>
        <w:spacing w:line="273" w:lineRule="auto" w:before="0"/>
        <w:ind w:right="1126" w:firstLine="420"/>
        <w:jc w:val="both"/>
      </w:pPr>
      <w:r>
        <w:rPr>
          <w:spacing w:val="-2"/>
        </w:rPr>
        <w:t>金融资产或金融负债的摊余成本是以该金融资产或金融负债的初始确认金额扣除已偿还的本金，加上</w:t>
      </w:r>
      <w:r>
        <w:rPr>
          <w:w w:val="100"/>
        </w:rPr>
        <w:t> </w:t>
      </w:r>
      <w:r>
        <w:rPr>
          <w:spacing w:val="-2"/>
        </w:rPr>
        <w:t>或减去采用实际利率法将该初始确认金额与到期日金额之间的差额进行摊销形成的累计摊销额，再扣除累</w:t>
      </w:r>
      <w:r>
        <w:rPr>
          <w:spacing w:val="-43"/>
        </w:rPr>
        <w:t> </w:t>
      </w:r>
      <w:r>
        <w:rPr>
          <w:spacing w:val="-43"/>
        </w:rPr>
      </w:r>
      <w:r>
        <w:rPr/>
        <w:t>计计提的损失准备</w:t>
      </w:r>
      <w:r>
        <w:rPr>
          <w:rFonts w:ascii="Times New Roman" w:hAnsi="Times New Roman" w:cs="Times New Roman" w:eastAsia="Times New Roman" w:hint="default"/>
        </w:rPr>
        <w:t>(</w:t>
      </w:r>
      <w:r>
        <w:rPr/>
        <w:t>仅适用于金融资产</w:t>
      </w:r>
      <w:r>
        <w:rPr>
          <w:rFonts w:ascii="Times New Roman" w:hAnsi="Times New Roman" w:cs="Times New Roman" w:eastAsia="Times New Roman" w:hint="default"/>
        </w:rPr>
        <w:t>)</w:t>
      </w:r>
      <w:r>
        <w:rPr/>
        <w:t>。</w:t>
      </w:r>
    </w:p>
    <w:p>
      <w:pPr>
        <w:spacing w:line="273" w:lineRule="auto" w:before="0"/>
        <w:ind w:left="573" w:right="1133" w:hanging="6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2"/>
          <w:sz w:val="21"/>
          <w:szCs w:val="21"/>
        </w:rPr>
        <w:t> </w:t>
      </w:r>
      <w:r>
        <w:rPr>
          <w:rFonts w:ascii="宋体" w:hAnsi="宋体" w:cs="宋体" w:eastAsia="宋体" w:hint="default"/>
          <w:b/>
          <w:bCs/>
          <w:sz w:val="21"/>
          <w:szCs w:val="21"/>
        </w:rPr>
        <w:t>金融资产分类和计量</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本公司根据所管理金融资产的业务模式和金融资产的合同现金流量特征，将金融资产划分为以下三</w:t>
      </w:r>
    </w:p>
    <w:p>
      <w:pPr>
        <w:pStyle w:val="BodyText"/>
        <w:spacing w:line="240" w:lineRule="auto" w:before="8"/>
        <w:ind w:right="1133"/>
        <w:jc w:val="left"/>
      </w:pPr>
      <w:r>
        <w:rPr/>
        <w:t>类：</w:t>
      </w:r>
    </w:p>
    <w:p>
      <w:pPr>
        <w:pStyle w:val="BodyText"/>
        <w:spacing w:line="240" w:lineRule="auto" w:before="37"/>
        <w:ind w:left="467" w:right="1133"/>
        <w:jc w:val="left"/>
      </w:pPr>
      <w:r>
        <w:rPr/>
        <w:t>（</w:t>
      </w:r>
      <w:r>
        <w:rPr>
          <w:rFonts w:ascii="Times New Roman" w:hAnsi="Times New Roman" w:cs="Times New Roman" w:eastAsia="Times New Roman" w:hint="default"/>
        </w:rPr>
        <w:t>1</w:t>
      </w:r>
      <w:r>
        <w:rPr/>
        <w:t>）以摊余成本计量的金融资产。</w:t>
      </w:r>
    </w:p>
    <w:p>
      <w:pPr>
        <w:pStyle w:val="BodyText"/>
        <w:spacing w:line="240" w:lineRule="auto" w:before="21"/>
        <w:ind w:left="467" w:right="1133"/>
        <w:jc w:val="left"/>
      </w:pPr>
      <w:r>
        <w:rPr/>
        <w:t>（</w:t>
      </w:r>
      <w:r>
        <w:rPr>
          <w:rFonts w:ascii="Times New Roman" w:hAnsi="Times New Roman" w:cs="Times New Roman" w:eastAsia="Times New Roman" w:hint="default"/>
        </w:rPr>
        <w:t>2</w:t>
      </w:r>
      <w:r>
        <w:rPr/>
        <w:t>）以公允价值计量且其变动计入其他综合收益的金融资产。</w:t>
      </w:r>
    </w:p>
    <w:p>
      <w:pPr>
        <w:pStyle w:val="BodyText"/>
        <w:spacing w:line="256" w:lineRule="auto" w:before="21"/>
        <w:ind w:left="573" w:right="1133" w:hanging="106"/>
        <w:jc w:val="left"/>
      </w:pPr>
      <w:r>
        <w:rPr/>
        <w:t>（</w:t>
      </w:r>
      <w:r>
        <w:rPr>
          <w:rFonts w:ascii="Times New Roman" w:hAnsi="Times New Roman" w:cs="Times New Roman" w:eastAsia="Times New Roman" w:hint="default"/>
        </w:rPr>
        <w:t>3</w:t>
      </w:r>
      <w:r>
        <w:rPr/>
        <w:t>）以公允价值计量且其变动计入当期损益的金融资产。</w:t>
      </w:r>
      <w:r>
        <w:rPr>
          <w:w w:val="100"/>
        </w:rPr>
        <w:t> </w:t>
      </w:r>
      <w:r>
        <w:rPr>
          <w:spacing w:val="-2"/>
        </w:rPr>
        <w:t>金融资产在初始确认时以公允价值计量，但是因销售商品或提供服务等产生的应收账款或应收票据未</w:t>
      </w:r>
    </w:p>
    <w:p>
      <w:pPr>
        <w:pStyle w:val="BodyText"/>
        <w:spacing w:line="273" w:lineRule="auto" w:before="22"/>
        <w:ind w:left="573" w:right="1133" w:hanging="421"/>
        <w:jc w:val="left"/>
      </w:pPr>
      <w:r>
        <w:rPr/>
        <w:t>包含重大融资成分或不考虑不超过一年的融资成分的，按照交易价格进行初始计量。</w:t>
      </w:r>
      <w:r>
        <w:rPr>
          <w:w w:val="100"/>
        </w:rPr>
        <w:t> </w:t>
      </w:r>
      <w:r>
        <w:rPr>
          <w:spacing w:val="-2"/>
        </w:rPr>
        <w:t>对于以公允价值计量且其变动计入当期损益的金融资产，相关交易费用直接计入当期损益，其他类别</w:t>
      </w:r>
    </w:p>
    <w:p>
      <w:pPr>
        <w:pStyle w:val="BodyText"/>
        <w:spacing w:line="273" w:lineRule="auto"/>
        <w:ind w:left="573" w:right="1133" w:hanging="421"/>
        <w:jc w:val="left"/>
      </w:pPr>
      <w:r>
        <w:rPr/>
        <w:t>的金融资产相关交易费用计入其初始确认金额。</w:t>
      </w:r>
      <w:r>
        <w:rPr>
          <w:w w:val="100"/>
        </w:rPr>
        <w:t> </w:t>
      </w:r>
      <w:r>
        <w:rPr>
          <w:spacing w:val="-2"/>
        </w:rPr>
        <w:t>金融资产的后续计量取决于其分类，当且仅当本公司改变管理金融资产的业务模式时，才对所有受影</w:t>
      </w:r>
    </w:p>
    <w:p>
      <w:pPr>
        <w:pStyle w:val="BodyText"/>
        <w:spacing w:line="240" w:lineRule="auto"/>
        <w:ind w:right="1133"/>
        <w:jc w:val="left"/>
      </w:pPr>
      <w:r>
        <w:rPr/>
        <w:t>响的相关金融资产进行重分类。</w:t>
      </w:r>
    </w:p>
    <w:p>
      <w:pPr>
        <w:pStyle w:val="BodyText"/>
        <w:spacing w:line="259" w:lineRule="auto" w:before="37"/>
        <w:ind w:left="573" w:right="1133" w:hanging="106"/>
        <w:jc w:val="left"/>
      </w:pPr>
      <w:r>
        <w:rPr/>
        <w:t>（</w:t>
      </w:r>
      <w:r>
        <w:rPr>
          <w:rFonts w:ascii="Times New Roman" w:hAnsi="Times New Roman" w:cs="Times New Roman" w:eastAsia="Times New Roman" w:hint="default"/>
        </w:rPr>
        <w:t>1</w:t>
      </w:r>
      <w:r>
        <w:rPr/>
        <w:t>）分类为以摊余成本计量的金融资产</w:t>
      </w:r>
      <w:r>
        <w:rPr>
          <w:w w:val="100"/>
        </w:rPr>
        <w:t> </w:t>
      </w:r>
      <w:r>
        <w:rPr>
          <w:spacing w:val="2"/>
        </w:rPr>
        <w:t>金融资产的合同条款规定在特定日期产生的现金流量仅为对本金和以未偿付本金金额为基础的利息</w:t>
      </w:r>
    </w:p>
    <w:p>
      <w:pPr>
        <w:pStyle w:val="BodyText"/>
        <w:spacing w:line="273" w:lineRule="auto" w:before="20"/>
        <w:ind w:right="1105"/>
        <w:jc w:val="both"/>
      </w:pPr>
      <w:r>
        <w:rPr>
          <w:spacing w:val="-2"/>
        </w:rPr>
        <w:t>的支付，且管理该金融资产的业务模式是以收取合同现金流量为目标，则本公司将该金融资产分类为以摊</w:t>
      </w:r>
      <w:r>
        <w:rPr>
          <w:spacing w:val="-43"/>
        </w:rPr>
        <w:t> </w:t>
      </w:r>
      <w:r>
        <w:rPr>
          <w:spacing w:val="-43"/>
        </w:rPr>
      </w:r>
      <w:r>
        <w:rPr>
          <w:spacing w:val="-2"/>
        </w:rPr>
        <w:t>余成本计量的金融资产。本公司分类为以摊余成本计量的金融资产包括货币资金、应收票据及应收账款、</w:t>
      </w:r>
      <w:r>
        <w:rPr>
          <w:spacing w:val="-21"/>
        </w:rPr>
        <w:t> </w:t>
      </w:r>
      <w:r>
        <w:rPr>
          <w:spacing w:val="-21"/>
        </w:rPr>
      </w:r>
      <w:r>
        <w:rPr/>
        <w:t>其他应收款等。</w:t>
      </w:r>
    </w:p>
    <w:p>
      <w:pPr>
        <w:pStyle w:val="BodyText"/>
        <w:spacing w:line="273" w:lineRule="auto"/>
        <w:ind w:right="1126" w:firstLine="420"/>
        <w:jc w:val="both"/>
      </w:pPr>
      <w:r>
        <w:rPr>
          <w:spacing w:val="-2"/>
        </w:rPr>
        <w:t>本公司对此类金融资产采用实际利率法确认利息收入，按摊余成本进行后续计量，其发生减值时或终</w:t>
      </w:r>
      <w:r>
        <w:rPr>
          <w:w w:val="100"/>
        </w:rPr>
        <w:t> </w:t>
      </w:r>
      <w:r>
        <w:rPr>
          <w:spacing w:val="-2"/>
        </w:rPr>
        <w:t>止确认、修改产生的利得或损失，计入当期损益。除下列情况外，本公司根据金融资产账面余额乘以实际</w:t>
      </w:r>
      <w:r>
        <w:rPr>
          <w:spacing w:val="-47"/>
        </w:rPr>
        <w:t> </w:t>
      </w:r>
      <w:r>
        <w:rPr>
          <w:spacing w:val="-47"/>
        </w:rPr>
      </w:r>
      <w:r>
        <w:rPr/>
        <w:t>利率计算确定利息收入：</w:t>
      </w:r>
    </w:p>
    <w:p>
      <w:pPr>
        <w:pStyle w:val="BodyText"/>
        <w:spacing w:line="256" w:lineRule="auto"/>
        <w:ind w:right="1132" w:firstLine="420"/>
        <w:jc w:val="both"/>
      </w:pPr>
      <w:r>
        <w:rPr>
          <w:rFonts w:ascii="Times New Roman" w:hAnsi="Times New Roman" w:cs="Times New Roman" w:eastAsia="Times New Roman" w:hint="default"/>
        </w:rPr>
        <w:t>1</w:t>
      </w:r>
      <w:r>
        <w:rPr/>
        <w:t>）对于购入或源生的已发生信用减值的金融资产，本公司自初始确认起，按照该金融资产的摊余成</w:t>
      </w:r>
      <w:r>
        <w:rPr>
          <w:w w:val="100"/>
        </w:rPr>
        <w:t> </w:t>
      </w:r>
      <w:r>
        <w:rPr/>
        <w:t>本和经信用调整的实际利率计算确定其利息收入。</w:t>
      </w:r>
    </w:p>
    <w:p>
      <w:pPr>
        <w:spacing w:after="0" w:line="256"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66" w:lineRule="auto" w:before="36"/>
        <w:ind w:right="1107" w:firstLine="420"/>
        <w:jc w:val="both"/>
      </w:pPr>
      <w:r>
        <w:rPr>
          <w:rFonts w:ascii="Times New Roman" w:hAnsi="Times New Roman" w:cs="Times New Roman" w:eastAsia="Times New Roman" w:hint="default"/>
        </w:rPr>
        <w:t>2</w:t>
      </w:r>
      <w:r>
        <w:rPr/>
        <w:t>）对于购入或源生的未发生信用减值、但在后续期间成为已发生信用减值的金融资产，本公司在后</w:t>
      </w:r>
      <w:r>
        <w:rPr>
          <w:w w:val="100"/>
        </w:rPr>
        <w:t> </w:t>
      </w:r>
      <w:r>
        <w:rPr>
          <w:spacing w:val="-2"/>
        </w:rPr>
        <w:t>续期间，按照该金融资产的摊余成本和实际利率计算确定其利息收入。若该金融工具在后续期间因其信用</w:t>
      </w:r>
      <w:r>
        <w:rPr>
          <w:spacing w:val="-43"/>
        </w:rPr>
        <w:t> </w:t>
      </w:r>
      <w:r>
        <w:rPr>
          <w:spacing w:val="-43"/>
        </w:rPr>
      </w:r>
      <w:r>
        <w:rPr>
          <w:spacing w:val="-2"/>
        </w:rPr>
        <w:t>风险有所改善而不再存在信用减值，本公司转按实际利率乘以该金融资产账面余额来计算确定利息收入。</w:t>
      </w:r>
    </w:p>
    <w:p>
      <w:pPr>
        <w:pStyle w:val="BodyText"/>
        <w:spacing w:line="256" w:lineRule="auto" w:before="14"/>
        <w:ind w:left="573" w:right="1133"/>
        <w:jc w:val="left"/>
      </w:pPr>
      <w:r>
        <w:rPr>
          <w:rFonts w:ascii="Times New Roman" w:hAnsi="Times New Roman" w:cs="Times New Roman" w:eastAsia="Times New Roman" w:hint="default"/>
        </w:rPr>
        <w:t>(2)</w:t>
      </w:r>
      <w:r>
        <w:rPr/>
        <w:t>分类为以公允价值计量且其变动计入其他综合收益的金融资产</w:t>
      </w:r>
      <w:r>
        <w:rPr>
          <w:w w:val="100"/>
        </w:rPr>
        <w:t> </w:t>
      </w:r>
      <w:r>
        <w:rPr>
          <w:spacing w:val="2"/>
        </w:rPr>
        <w:t>金融资产的合同条款规定在特定日期产生的现金流量仅为对本金和以未偿付本金金额为基础的利息</w:t>
      </w:r>
    </w:p>
    <w:p>
      <w:pPr>
        <w:pStyle w:val="BodyText"/>
        <w:spacing w:line="273" w:lineRule="auto" w:before="22"/>
        <w:ind w:right="1126"/>
        <w:jc w:val="both"/>
      </w:pPr>
      <w:r>
        <w:rPr>
          <w:spacing w:val="-2"/>
        </w:rPr>
        <w:t>的支付，且管理该金融资产的业务模式既以收取合同现金流量为目标又以出售该金融资产为目标，则本公</w:t>
      </w:r>
      <w:r>
        <w:rPr>
          <w:spacing w:val="-44"/>
        </w:rPr>
        <w:t> </w:t>
      </w:r>
      <w:r>
        <w:rPr>
          <w:spacing w:val="-44"/>
        </w:rPr>
      </w:r>
      <w:r>
        <w:rPr/>
        <w:t>司将该金融资产分类为以公允价值计量且其变动计入其他综合收益的金融资产。</w:t>
      </w:r>
    </w:p>
    <w:p>
      <w:pPr>
        <w:pStyle w:val="BodyText"/>
        <w:spacing w:line="273" w:lineRule="auto"/>
        <w:ind w:right="1126" w:firstLine="420"/>
        <w:jc w:val="both"/>
      </w:pPr>
      <w:r>
        <w:rPr>
          <w:spacing w:val="-2"/>
        </w:rPr>
        <w:t>本公司对此类金融资产采用实际利率法确认利息收入。除利息收入、减值损失及汇兑差额确认为当期</w:t>
      </w:r>
      <w:r>
        <w:rPr>
          <w:w w:val="100"/>
        </w:rPr>
        <w:t> </w:t>
      </w:r>
      <w:r>
        <w:rPr>
          <w:spacing w:val="-2"/>
        </w:rPr>
        <w:t>损益外，其余公允价值变动计入其他综合收益。当该金融资产终止确认时，之前计入其他综合收益的累计</w:t>
      </w:r>
      <w:r>
        <w:rPr>
          <w:spacing w:val="-43"/>
        </w:rPr>
        <w:t> </w:t>
      </w:r>
      <w:r>
        <w:rPr>
          <w:spacing w:val="-43"/>
        </w:rPr>
      </w:r>
      <w:r>
        <w:rPr/>
        <w:t>利得或损失从其他综合收益中转出，计入当期损益。</w:t>
      </w:r>
    </w:p>
    <w:p>
      <w:pPr>
        <w:pStyle w:val="BodyText"/>
        <w:spacing w:line="273" w:lineRule="auto"/>
        <w:ind w:right="1126" w:firstLine="420"/>
        <w:jc w:val="both"/>
      </w:pPr>
      <w:r>
        <w:rPr>
          <w:spacing w:val="-2"/>
        </w:rPr>
        <w:t>以公允价值计量且变动计入其他综合收益的应收票据及应收账款列报为应收款项融资，其他此类金融</w:t>
      </w:r>
      <w:r>
        <w:rPr>
          <w:w w:val="100"/>
        </w:rPr>
        <w:t> </w:t>
      </w:r>
      <w:r>
        <w:rPr>
          <w:spacing w:val="-2"/>
        </w:rPr>
        <w:t>资产列报为其他债权投资，其中：自资产负债表日起一年内到期的其他债权投资列报为一年内到期的非流</w:t>
      </w:r>
      <w:r>
        <w:rPr>
          <w:spacing w:val="-43"/>
        </w:rPr>
        <w:t> </w:t>
      </w:r>
      <w:r>
        <w:rPr>
          <w:spacing w:val="-43"/>
        </w:rPr>
      </w:r>
      <w:r>
        <w:rPr/>
        <w:t>动资产，原到期日在一年以内的其他债权投资列报为其他流动资产。</w:t>
      </w:r>
    </w:p>
    <w:p>
      <w:pPr>
        <w:pStyle w:val="BodyText"/>
        <w:spacing w:line="256" w:lineRule="auto"/>
        <w:ind w:left="573" w:right="1133"/>
        <w:jc w:val="left"/>
      </w:pPr>
      <w:r>
        <w:rPr>
          <w:rFonts w:ascii="Times New Roman" w:hAnsi="Times New Roman" w:cs="Times New Roman" w:eastAsia="Times New Roman" w:hint="default"/>
        </w:rPr>
        <w:t>(3)</w:t>
      </w:r>
      <w:r>
        <w:rPr/>
        <w:t>指定为以公允价值计量且其变动计入其他综合收益的金融资产</w:t>
      </w:r>
      <w:r>
        <w:rPr>
          <w:w w:val="100"/>
        </w:rPr>
        <w:t> </w:t>
      </w:r>
      <w:r>
        <w:rPr>
          <w:spacing w:val="-2"/>
        </w:rPr>
        <w:t>在初始确认时，本公司可以单项金融资产为基础不可撤销地将非交易性权益工具投资指定为以公允价</w:t>
      </w:r>
    </w:p>
    <w:p>
      <w:pPr>
        <w:pStyle w:val="BodyText"/>
        <w:spacing w:line="273" w:lineRule="auto" w:before="22"/>
        <w:ind w:left="573" w:right="1133" w:hanging="421"/>
        <w:jc w:val="left"/>
      </w:pPr>
      <w:r>
        <w:rPr/>
        <w:t>值计量且其变动计入其他综合收益的金融资产。</w:t>
      </w:r>
      <w:r>
        <w:rPr>
          <w:w w:val="100"/>
        </w:rPr>
        <w:t> </w:t>
      </w:r>
      <w:r>
        <w:rPr>
          <w:spacing w:val="-2"/>
        </w:rPr>
        <w:t>此类金融资产的公允价值变动计入其他综合收益，不需计提减值准备。该金融资产终止确认时，之前</w:t>
      </w:r>
    </w:p>
    <w:p>
      <w:pPr>
        <w:pStyle w:val="BodyText"/>
        <w:spacing w:line="273" w:lineRule="auto"/>
        <w:ind w:right="1126"/>
        <w:jc w:val="both"/>
      </w:pPr>
      <w:r>
        <w:rPr>
          <w:spacing w:val="-2"/>
        </w:rPr>
        <w:t>计入其他综合收益的累计利得或损失从其他综合收益中转出，计入留存收益。本公司持有该权益工具投资</w:t>
      </w:r>
      <w:r>
        <w:rPr>
          <w:spacing w:val="-43"/>
        </w:rPr>
        <w:t> </w:t>
      </w:r>
      <w:r>
        <w:rPr>
          <w:spacing w:val="-43"/>
        </w:rPr>
      </w:r>
      <w:r>
        <w:rPr>
          <w:spacing w:val="-2"/>
        </w:rPr>
        <w:t>期间，在本公司收取股利的权利已经确立，与股利相关的经济利益很可能流入本公司，且股利的金额能够</w:t>
      </w:r>
      <w:r>
        <w:rPr>
          <w:spacing w:val="-45"/>
        </w:rPr>
        <w:t> </w:t>
      </w:r>
      <w:r>
        <w:rPr>
          <w:spacing w:val="-45"/>
        </w:rPr>
      </w:r>
      <w:r>
        <w:rPr/>
        <w:t>可靠计量时，确认股利收入并计入当期损益。本公司对此类金融资产在其他权益工具投资项目下列报。</w:t>
      </w:r>
    </w:p>
    <w:p>
      <w:pPr>
        <w:pStyle w:val="BodyText"/>
        <w:spacing w:line="273" w:lineRule="auto"/>
        <w:ind w:right="1126" w:firstLine="420"/>
        <w:jc w:val="both"/>
      </w:pPr>
      <w:r>
        <w:rPr>
          <w:spacing w:val="-2"/>
        </w:rPr>
        <w:t>权益工具投资满足下列条件之一的，属于以公允价值计量且其变动计入当期损益的金融资产：取得该</w:t>
      </w:r>
      <w:r>
        <w:rPr>
          <w:w w:val="100"/>
        </w:rPr>
        <w:t> </w:t>
      </w:r>
      <w:r>
        <w:rPr>
          <w:spacing w:val="-2"/>
        </w:rPr>
        <w:t>金融资产的目的主要是为了近期出售；初始确认时属于集中管理的可辨认金融资产工具组合的一部分，且</w:t>
      </w:r>
      <w:r>
        <w:rPr>
          <w:spacing w:val="-44"/>
        </w:rPr>
        <w:t> </w:t>
      </w:r>
      <w:r>
        <w:rPr>
          <w:spacing w:val="-44"/>
        </w:rPr>
      </w:r>
      <w:r>
        <w:rPr>
          <w:spacing w:val="-2"/>
        </w:rPr>
        <w:t>有客观证据表明近期实际存在短期获利模式；属于衍生工具（符合财务担保合同定义的以及被指定为有效</w:t>
      </w:r>
      <w:r>
        <w:rPr>
          <w:spacing w:val="-43"/>
        </w:rPr>
        <w:t> </w:t>
      </w:r>
      <w:r>
        <w:rPr>
          <w:spacing w:val="-43"/>
        </w:rPr>
      </w:r>
      <w:r>
        <w:rPr/>
        <w:t>套期工具的衍生工具除外）。</w:t>
      </w:r>
    </w:p>
    <w:p>
      <w:pPr>
        <w:pStyle w:val="BodyText"/>
        <w:spacing w:line="256" w:lineRule="auto" w:before="8"/>
        <w:ind w:left="573" w:right="1133"/>
        <w:jc w:val="left"/>
      </w:pPr>
      <w:r>
        <w:rPr>
          <w:rFonts w:ascii="Times New Roman" w:hAnsi="Times New Roman" w:cs="Times New Roman" w:eastAsia="Times New Roman" w:hint="default"/>
        </w:rPr>
        <w:t>(4)</w:t>
      </w:r>
      <w:r>
        <w:rPr/>
        <w:t>分类为以公允价值计量且其变动计入当期损益的金融资产</w:t>
      </w:r>
      <w:r>
        <w:rPr>
          <w:w w:val="100"/>
        </w:rPr>
        <w:t> </w:t>
      </w:r>
      <w:r>
        <w:rPr>
          <w:spacing w:val="-2"/>
        </w:rPr>
        <w:t>不符合分类为以摊余成本计量或以公允价值计量且其变动计入其他综合收益的金融资产条件、亦不指</w:t>
      </w:r>
    </w:p>
    <w:p>
      <w:pPr>
        <w:pStyle w:val="BodyText"/>
        <w:spacing w:line="273" w:lineRule="auto" w:before="22"/>
        <w:ind w:right="1144"/>
        <w:jc w:val="both"/>
      </w:pPr>
      <w:r>
        <w:rPr>
          <w:spacing w:val="2"/>
        </w:rPr>
        <w:t>定为以公允价值计量且其变动计入其他综合收益的金融资产均分类为以公允价值计量且其变动计入当期</w:t>
      </w:r>
      <w:r>
        <w:rPr>
          <w:spacing w:val="-30"/>
        </w:rPr>
        <w:t> </w:t>
      </w:r>
      <w:r>
        <w:rPr>
          <w:spacing w:val="-30"/>
        </w:rPr>
      </w:r>
      <w:r>
        <w:rPr/>
        <w:t>损益的金融资产。</w:t>
      </w:r>
    </w:p>
    <w:p>
      <w:pPr>
        <w:pStyle w:val="BodyText"/>
        <w:spacing w:line="273" w:lineRule="auto"/>
        <w:ind w:right="1126" w:firstLine="420"/>
        <w:jc w:val="both"/>
      </w:pPr>
      <w:r>
        <w:rPr>
          <w:spacing w:val="-2"/>
        </w:rPr>
        <w:t>本公司对此类金融资产采用公允价值进行后续计量，将公允价值变动形成的利得或损失以及与此类金</w:t>
      </w:r>
      <w:r>
        <w:rPr>
          <w:w w:val="100"/>
        </w:rPr>
        <w:t> </w:t>
      </w:r>
      <w:r>
        <w:rPr/>
        <w:t>融资产相关的股利和利息收入计入当期损益。</w:t>
      </w:r>
    </w:p>
    <w:p>
      <w:pPr>
        <w:pStyle w:val="BodyText"/>
        <w:spacing w:line="264" w:lineRule="auto"/>
        <w:ind w:left="573" w:right="1133"/>
        <w:jc w:val="left"/>
      </w:pPr>
      <w:r>
        <w:rPr/>
        <w:t>本公司对此类金融资产根据其流动性在交易性金融资产、其他非流动金融资产项目列报。</w:t>
      </w:r>
      <w:r>
        <w:rPr>
          <w:w w:val="100"/>
        </w:rPr>
        <w:t> </w:t>
      </w:r>
      <w:r>
        <w:rPr>
          <w:rFonts w:ascii="Times New Roman" w:hAnsi="Times New Roman" w:cs="Times New Roman" w:eastAsia="Times New Roman" w:hint="default"/>
        </w:rPr>
        <w:t>(5)</w:t>
      </w:r>
      <w:r>
        <w:rPr/>
        <w:t>指定为以公允价值计量且其变动计入当期损益的金融资产</w:t>
      </w:r>
      <w:r>
        <w:rPr>
          <w:w w:val="100"/>
        </w:rPr>
        <w:t> </w:t>
      </w:r>
      <w:r>
        <w:rPr>
          <w:spacing w:val="-2"/>
        </w:rPr>
        <w:t>在初始确认时，本公司为了消除或显著减少会计错配，可以单项金融资产为基础不可撤销地将金融资</w:t>
      </w:r>
    </w:p>
    <w:p>
      <w:pPr>
        <w:pStyle w:val="BodyText"/>
        <w:spacing w:line="273" w:lineRule="auto" w:before="16"/>
        <w:ind w:left="573" w:right="1133" w:hanging="421"/>
        <w:jc w:val="left"/>
      </w:pPr>
      <w:r>
        <w:rPr/>
        <w:t>产指定为以公允价值计量且其变动计入当期损益的金融资产。</w:t>
      </w:r>
      <w:r>
        <w:rPr>
          <w:w w:val="100"/>
        </w:rPr>
        <w:t> </w:t>
      </w:r>
      <w:r>
        <w:rPr>
          <w:spacing w:val="-2"/>
        </w:rPr>
        <w:t>混合合同包含一项或多项嵌入衍生工具，且其主合同不属于以上金融资产的，本公司可以将其整体指</w:t>
      </w:r>
    </w:p>
    <w:p>
      <w:pPr>
        <w:pStyle w:val="BodyText"/>
        <w:spacing w:line="240" w:lineRule="auto" w:before="8"/>
        <w:ind w:right="1133"/>
        <w:jc w:val="left"/>
      </w:pPr>
      <w:r>
        <w:rPr/>
        <w:t>定为以公允价值计量且其变动计入当期损益的金融工具。但下列情况除外：</w:t>
      </w:r>
    </w:p>
    <w:p>
      <w:pPr>
        <w:pStyle w:val="BodyText"/>
        <w:spacing w:line="240" w:lineRule="auto" w:before="37"/>
        <w:ind w:left="532" w:right="1133"/>
        <w:jc w:val="left"/>
      </w:pPr>
      <w:r>
        <w:rPr>
          <w:rFonts w:ascii="Times New Roman" w:hAnsi="Times New Roman" w:cs="Times New Roman" w:eastAsia="Times New Roman" w:hint="default"/>
        </w:rPr>
        <w:t>1).</w:t>
      </w:r>
      <w:r>
        <w:rPr/>
        <w:t>嵌入衍生工具不会对混合合同的现金流量产生重大改变。</w:t>
      </w:r>
    </w:p>
    <w:p>
      <w:pPr>
        <w:pStyle w:val="BodyText"/>
        <w:spacing w:line="264" w:lineRule="auto" w:before="21"/>
        <w:ind w:right="1126" w:firstLine="379"/>
        <w:jc w:val="both"/>
      </w:pPr>
      <w:r>
        <w:rPr>
          <w:rFonts w:ascii="Times New Roman" w:hAnsi="Times New Roman" w:cs="Times New Roman" w:eastAsia="Times New Roman" w:hint="default"/>
          <w:spacing w:val="-2"/>
        </w:rPr>
        <w:t>2).</w:t>
      </w:r>
      <w:r>
        <w:rPr>
          <w:spacing w:val="-2"/>
        </w:rPr>
        <w:t>在初次确定类似的混合合同是否需要分拆时，几乎不需分析就能明确其包含的嵌入衍生工具不应分</w:t>
      </w:r>
      <w:r>
        <w:rPr>
          <w:w w:val="100"/>
        </w:rPr>
        <w:t> </w:t>
      </w:r>
      <w:r>
        <w:rPr>
          <w:spacing w:val="-2"/>
        </w:rPr>
        <w:t>拆。如嵌入贷款的提前还款权，允许持有人以接近摊余成本的金额提前偿还贷款，该提前还款权不需要分</w:t>
      </w:r>
      <w:r>
        <w:rPr>
          <w:spacing w:val="-44"/>
        </w:rPr>
        <w:t> </w:t>
      </w:r>
      <w:r>
        <w:rPr>
          <w:spacing w:val="-44"/>
        </w:rPr>
      </w:r>
      <w:r>
        <w:rPr/>
        <w:t>拆。</w:t>
      </w:r>
    </w:p>
    <w:p>
      <w:pPr>
        <w:pStyle w:val="BodyText"/>
        <w:spacing w:line="273" w:lineRule="auto" w:before="16"/>
        <w:ind w:right="1126" w:firstLine="420"/>
        <w:jc w:val="both"/>
      </w:pPr>
      <w:r>
        <w:rPr>
          <w:spacing w:val="-2"/>
        </w:rPr>
        <w:t>本公司对此类金融资产采用公允价值进行后续计量，将公允价值变动形成的利得或损失以及与此类金</w:t>
      </w:r>
      <w:r>
        <w:rPr>
          <w:w w:val="100"/>
        </w:rPr>
        <w:t> </w:t>
      </w:r>
      <w:r>
        <w:rPr/>
        <w:t>融资产相关的股利和利息收入计入当期损益。</w:t>
      </w:r>
    </w:p>
    <w:p>
      <w:pPr>
        <w:pStyle w:val="BodyText"/>
        <w:spacing w:line="240" w:lineRule="auto"/>
        <w:ind w:left="573" w:right="1133"/>
        <w:jc w:val="left"/>
      </w:pPr>
      <w:r>
        <w:rPr/>
        <w:t>本公司对此类金融资产根据其流动性在交易性金融资产、其他非流动金融资产项目列报。</w:t>
      </w:r>
    </w:p>
    <w:p>
      <w:pPr>
        <w:pStyle w:val="Heading4"/>
        <w:spacing w:line="240" w:lineRule="auto" w:before="157"/>
        <w:ind w:left="566" w:right="1133"/>
        <w:jc w:val="left"/>
        <w:rPr>
          <w:b w:val="0"/>
          <w:bCs w:val="0"/>
        </w:rPr>
      </w:pPr>
      <w:r>
        <w:rPr>
          <w:rFonts w:ascii="Times New Roman" w:hAnsi="Times New Roman" w:cs="Times New Roman" w:eastAsia="Times New Roman" w:hint="default"/>
        </w:rPr>
        <w:t>2.</w:t>
      </w:r>
      <w:r>
        <w:rPr/>
        <w:t>金融负债分类和计量</w:t>
      </w:r>
      <w:r>
        <w:rPr>
          <w:b w:val="0"/>
          <w:bCs w:val="0"/>
        </w:rPr>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b/>
          <w:bCs/>
          <w:sz w:val="24"/>
          <w:szCs w:val="24"/>
        </w:rPr>
      </w:pPr>
    </w:p>
    <w:p>
      <w:pPr>
        <w:pStyle w:val="BodyText"/>
        <w:spacing w:line="273" w:lineRule="auto" w:before="36"/>
        <w:ind w:right="1126" w:firstLine="420"/>
        <w:jc w:val="both"/>
      </w:pPr>
      <w:r>
        <w:rPr>
          <w:spacing w:val="-2"/>
        </w:rPr>
        <w:t>本公司根据所发行金融工具的合同条款及其所反映的经济实质而非仅以法律形式，结合金融负债和权</w:t>
      </w:r>
      <w:r>
        <w:rPr>
          <w:w w:val="100"/>
        </w:rPr>
        <w:t> </w:t>
      </w:r>
      <w:r>
        <w:rPr>
          <w:spacing w:val="-2"/>
        </w:rPr>
        <w:t>益工具的定义，在初始确认时将该金融工具或其组成部分分类为金融负债或权益工具。金融负债在初始确</w:t>
      </w:r>
      <w:r>
        <w:rPr>
          <w:spacing w:val="-42"/>
        </w:rPr>
        <w:t> </w:t>
      </w:r>
      <w:r>
        <w:rPr>
          <w:spacing w:val="-42"/>
        </w:rPr>
      </w:r>
      <w:r>
        <w:rPr>
          <w:spacing w:val="-2"/>
        </w:rPr>
        <w:t>认时分类为：以公允价值计量且其变动计入当期损益的金融负债、其他金融负债、被指定为有效套期工具</w:t>
      </w:r>
      <w:r>
        <w:rPr>
          <w:spacing w:val="-44"/>
        </w:rPr>
        <w:t> </w:t>
      </w:r>
      <w:r>
        <w:rPr>
          <w:spacing w:val="-44"/>
        </w:rPr>
      </w:r>
      <w:r>
        <w:rPr/>
        <w:t>的衍生工具。</w:t>
      </w:r>
    </w:p>
    <w:p>
      <w:pPr>
        <w:pStyle w:val="BodyText"/>
        <w:spacing w:line="273" w:lineRule="auto"/>
        <w:ind w:right="1126" w:firstLine="420"/>
        <w:jc w:val="both"/>
      </w:pPr>
      <w:r>
        <w:rPr>
          <w:spacing w:val="-2"/>
        </w:rPr>
        <w:t>金融负债在初始确认时以公允价值计量。对于以公允价值计量且其变动计入当期损益的金融负债，相</w:t>
      </w:r>
      <w:r>
        <w:rPr>
          <w:w w:val="100"/>
        </w:rPr>
        <w:t> </w:t>
      </w:r>
      <w:r>
        <w:rPr/>
        <w:t>关的交易费用直接计入当期损益；对于其他类别的金融负债，相关交易费用计入初始确认金额。</w:t>
      </w:r>
    </w:p>
    <w:p>
      <w:pPr>
        <w:pStyle w:val="BodyText"/>
        <w:spacing w:line="240" w:lineRule="auto"/>
        <w:ind w:left="573" w:right="1133"/>
        <w:jc w:val="left"/>
      </w:pPr>
      <w:r>
        <w:rPr/>
        <w:t>金融负债的后续计量取决于其分类：</w:t>
      </w:r>
    </w:p>
    <w:p>
      <w:pPr>
        <w:pStyle w:val="BodyText"/>
        <w:spacing w:line="256" w:lineRule="auto" w:before="37"/>
        <w:ind w:left="573" w:right="1133"/>
        <w:jc w:val="left"/>
      </w:pPr>
      <w:r>
        <w:rPr>
          <w:rFonts w:ascii="Times New Roman" w:hAnsi="Times New Roman" w:cs="Times New Roman" w:eastAsia="Times New Roman" w:hint="default"/>
        </w:rPr>
        <w:t>(1)</w:t>
      </w:r>
      <w:r>
        <w:rPr/>
        <w:t>以公允价值计量且其变动计入当期损益的金融负债</w:t>
      </w:r>
      <w:r>
        <w:rPr>
          <w:w w:val="100"/>
        </w:rPr>
        <w:t> </w:t>
      </w:r>
      <w:r>
        <w:rPr>
          <w:spacing w:val="-2"/>
        </w:rPr>
        <w:t>此类金融负债包括交易性金融负债（含属于金融负债的衍生工具）和初始确认时指定为以公允价值计</w:t>
      </w:r>
    </w:p>
    <w:p>
      <w:pPr>
        <w:pStyle w:val="BodyText"/>
        <w:spacing w:line="273" w:lineRule="auto" w:before="22"/>
        <w:ind w:left="573" w:right="1133" w:hanging="421"/>
        <w:jc w:val="left"/>
      </w:pPr>
      <w:r>
        <w:rPr/>
        <w:t>量且其变动计入当期损益的金融负债。</w:t>
      </w:r>
      <w:r>
        <w:rPr>
          <w:w w:val="100"/>
        </w:rPr>
        <w:t> </w:t>
      </w:r>
      <w:r>
        <w:rPr>
          <w:spacing w:val="-2"/>
        </w:rPr>
        <w:t>满足下列条件之一的，属于交易性金融负债：承担相关金融负债的目的主要是为了在近期内出售或回</w:t>
      </w:r>
    </w:p>
    <w:p>
      <w:pPr>
        <w:pStyle w:val="BodyText"/>
        <w:spacing w:line="273" w:lineRule="auto"/>
        <w:ind w:right="1104"/>
        <w:jc w:val="both"/>
      </w:pPr>
      <w:r>
        <w:rPr>
          <w:spacing w:val="-2"/>
        </w:rPr>
        <w:t>购；属于集中管理的可辨认金融工具组合的一部分，且有客观证据表明企业近期采用短期获利方式模式；</w:t>
      </w:r>
      <w:r>
        <w:rPr>
          <w:spacing w:val="-21"/>
        </w:rPr>
        <w:t> </w:t>
      </w:r>
      <w:r>
        <w:rPr>
          <w:spacing w:val="-21"/>
        </w:rPr>
      </w:r>
      <w:r>
        <w:rPr>
          <w:spacing w:val="-2"/>
        </w:rPr>
        <w:t>属于衍生工具，但是，被指定且为有效套期工具的衍生工具、符合财务担保合同的衍生工具除外。交易性</w:t>
      </w:r>
      <w:r>
        <w:rPr>
          <w:spacing w:val="-47"/>
        </w:rPr>
        <w:t> </w:t>
      </w:r>
      <w:r>
        <w:rPr>
          <w:spacing w:val="-47"/>
        </w:rPr>
      </w:r>
      <w:r>
        <w:rPr>
          <w:spacing w:val="-2"/>
        </w:rPr>
        <w:t>金融负债（含属于金融负债的衍生工具），按照公允价值进行后续计量，除与套期会计有关外，所有公允</w:t>
      </w:r>
      <w:r>
        <w:rPr>
          <w:spacing w:val="-43"/>
        </w:rPr>
        <w:t> </w:t>
      </w:r>
      <w:r>
        <w:rPr>
          <w:spacing w:val="-43"/>
        </w:rPr>
      </w:r>
      <w:r>
        <w:rPr/>
        <w:t>价值变动均计入当期损益。</w:t>
      </w:r>
    </w:p>
    <w:p>
      <w:pPr>
        <w:pStyle w:val="BodyText"/>
        <w:spacing w:line="273" w:lineRule="auto"/>
        <w:ind w:right="1126" w:firstLine="420"/>
        <w:jc w:val="both"/>
      </w:pPr>
      <w:r>
        <w:rPr>
          <w:spacing w:val="-2"/>
        </w:rPr>
        <w:t>在初始确认时，为了提供更相关的会计信息，本公司将满足下列条件之一的金融负债不可撤销地指定</w:t>
      </w:r>
      <w:r>
        <w:rPr>
          <w:w w:val="100"/>
        </w:rPr>
        <w:t> </w:t>
      </w:r>
      <w:r>
        <w:rPr/>
        <w:t>为以公允价值计量且其变动计入当期损益的金融负债：</w:t>
      </w:r>
    </w:p>
    <w:p>
      <w:pPr>
        <w:pStyle w:val="BodyText"/>
        <w:spacing w:line="240" w:lineRule="auto"/>
        <w:ind w:left="573" w:right="1133"/>
        <w:jc w:val="left"/>
      </w:pPr>
      <w:r>
        <w:rPr>
          <w:rFonts w:ascii="Times New Roman" w:hAnsi="Times New Roman" w:cs="Times New Roman" w:eastAsia="Times New Roman" w:hint="default"/>
        </w:rPr>
        <w:t>1)</w:t>
      </w:r>
      <w:r>
        <w:rPr/>
        <w:t>能够消除或显著减少会计错配。</w:t>
      </w:r>
    </w:p>
    <w:p>
      <w:pPr>
        <w:pStyle w:val="BodyText"/>
        <w:spacing w:line="256" w:lineRule="auto" w:before="21"/>
        <w:ind w:right="1128" w:firstLine="420"/>
        <w:jc w:val="both"/>
      </w:pPr>
      <w:r>
        <w:rPr>
          <w:rFonts w:ascii="Times New Roman" w:hAnsi="Times New Roman" w:cs="Times New Roman" w:eastAsia="Times New Roman" w:hint="default"/>
          <w:spacing w:val="-1"/>
        </w:rPr>
        <w:t>2)</w:t>
      </w:r>
      <w:r>
        <w:rPr>
          <w:spacing w:val="-1"/>
        </w:rPr>
        <w:t>根据正式书面文件载明的企业风险管理或投资策略，以公允价值为基础对金融负债组合或金融资产</w:t>
      </w:r>
      <w:r>
        <w:rPr>
          <w:w w:val="100"/>
        </w:rPr>
        <w:t> </w:t>
      </w:r>
      <w:r>
        <w:rPr/>
        <w:t>和金融负债组合进行管理和业绩评价，并在企业内部以此为基础向关键管理人员报告。</w:t>
      </w:r>
    </w:p>
    <w:p>
      <w:pPr>
        <w:pStyle w:val="BodyText"/>
        <w:spacing w:line="273" w:lineRule="auto" w:before="22"/>
        <w:ind w:right="1126" w:firstLine="420"/>
        <w:jc w:val="both"/>
      </w:pPr>
      <w:r>
        <w:rPr>
          <w:spacing w:val="-2"/>
        </w:rPr>
        <w:t>本公司对此类金融负债采用公允价值进行后续计量，除由本公司自身信用风险变动引起的公允价值变</w:t>
      </w:r>
      <w:r>
        <w:rPr>
          <w:w w:val="100"/>
        </w:rPr>
        <w:t> </w:t>
      </w:r>
      <w:r>
        <w:rPr>
          <w:spacing w:val="-2"/>
        </w:rPr>
        <w:t>动计入其他综合收益之外，其他公允价值变动计入当期损益。除非由本公司自身信用风险变动引起的公允</w:t>
      </w:r>
      <w:r>
        <w:rPr>
          <w:spacing w:val="-43"/>
        </w:rPr>
        <w:t> </w:t>
      </w:r>
      <w:r>
        <w:rPr>
          <w:spacing w:val="-43"/>
        </w:rPr>
      </w:r>
      <w:r>
        <w:rPr>
          <w:spacing w:val="-2"/>
        </w:rPr>
        <w:t>价值变动计入其他综合收益会造成或扩大损益中的会计错配，本公司将所有公允价值变动（包括自身信用</w:t>
      </w:r>
      <w:r>
        <w:rPr>
          <w:spacing w:val="-43"/>
        </w:rPr>
        <w:t> </w:t>
      </w:r>
      <w:r>
        <w:rPr>
          <w:spacing w:val="-43"/>
        </w:rPr>
      </w:r>
      <w:r>
        <w:rPr/>
        <w:t>风险变动的影响金额）计入当期损益。</w:t>
      </w:r>
    </w:p>
    <w:p>
      <w:pPr>
        <w:pStyle w:val="BodyText"/>
        <w:spacing w:line="256" w:lineRule="auto" w:before="8"/>
        <w:ind w:left="573" w:right="0"/>
        <w:jc w:val="left"/>
      </w:pPr>
      <w:r>
        <w:rPr>
          <w:rFonts w:ascii="Times New Roman" w:hAnsi="Times New Roman" w:cs="Times New Roman" w:eastAsia="Times New Roman" w:hint="default"/>
        </w:rPr>
        <w:t>(2)</w:t>
      </w:r>
      <w:r>
        <w:rPr/>
        <w:t>其他金融负债</w:t>
      </w:r>
      <w:r>
        <w:rPr>
          <w:w w:val="100"/>
        </w:rPr>
        <w:t> </w:t>
      </w:r>
      <w:r>
        <w:rPr>
          <w:spacing w:val="-5"/>
        </w:rPr>
        <w:t>除下列各项外，公司将金融负债分类为以摊余成本计量的金融负债，对此类金融负债采用实际利率法，</w:t>
      </w:r>
    </w:p>
    <w:p>
      <w:pPr>
        <w:pStyle w:val="BodyText"/>
        <w:spacing w:line="240" w:lineRule="auto" w:before="22"/>
        <w:ind w:right="0"/>
        <w:jc w:val="both"/>
      </w:pPr>
      <w:r>
        <w:rPr/>
        <w:t>按照摊余成本进行后续计量，终止确认或摊销产生的利得或损失计入当期损益：</w:t>
      </w:r>
    </w:p>
    <w:p>
      <w:pPr>
        <w:pStyle w:val="BodyText"/>
        <w:spacing w:line="240" w:lineRule="auto" w:before="37"/>
        <w:ind w:left="573" w:right="1133"/>
        <w:jc w:val="left"/>
      </w:pPr>
      <w:r>
        <w:rPr>
          <w:rFonts w:ascii="Times New Roman" w:hAnsi="Times New Roman" w:cs="Times New Roman" w:eastAsia="Times New Roman" w:hint="default"/>
        </w:rPr>
        <w:t>1)</w:t>
      </w:r>
      <w:r>
        <w:rPr/>
        <w:t>以公允价值计量且其变动计入当期损益的金融负债。</w:t>
      </w:r>
    </w:p>
    <w:p>
      <w:pPr>
        <w:pStyle w:val="BodyText"/>
        <w:spacing w:line="240" w:lineRule="auto" w:before="21"/>
        <w:ind w:left="573" w:right="1133"/>
        <w:jc w:val="left"/>
      </w:pPr>
      <w:r>
        <w:rPr>
          <w:rFonts w:ascii="Times New Roman" w:hAnsi="Times New Roman" w:cs="Times New Roman" w:eastAsia="Times New Roman" w:hint="default"/>
        </w:rPr>
        <w:t>2)</w:t>
      </w:r>
      <w:r>
        <w:rPr/>
        <w:t>金融资产转移不符合终止确认条件或继续涉入被转移金融资产所形成的金融负债。</w:t>
      </w:r>
    </w:p>
    <w:p>
      <w:pPr>
        <w:pStyle w:val="BodyText"/>
        <w:spacing w:line="256" w:lineRule="auto" w:before="21"/>
        <w:ind w:right="1128" w:firstLine="420"/>
        <w:jc w:val="both"/>
      </w:pPr>
      <w:r>
        <w:rPr>
          <w:rFonts w:ascii="Times New Roman" w:hAnsi="Times New Roman" w:cs="Times New Roman" w:eastAsia="Times New Roman" w:hint="default"/>
          <w:spacing w:val="-4"/>
        </w:rPr>
        <w:t>3)</w:t>
      </w:r>
      <w:r>
        <w:rPr>
          <w:spacing w:val="-4"/>
        </w:rPr>
        <w:t>不属于本条前两类情形的财务担保合同，以及不属于本条第</w:t>
      </w:r>
      <w:r>
        <w:rPr>
          <w:rFonts w:ascii="Times New Roman" w:hAnsi="Times New Roman" w:cs="Times New Roman" w:eastAsia="Times New Roman" w:hint="default"/>
          <w:spacing w:val="-4"/>
        </w:rPr>
        <w:t>1</w:t>
      </w:r>
      <w:r>
        <w:rPr>
          <w:spacing w:val="-4"/>
        </w:rPr>
        <w:t>）类情形的以低于市场利率贷款的贷款</w:t>
      </w:r>
      <w:r>
        <w:rPr>
          <w:w w:val="100"/>
        </w:rPr>
        <w:t> </w:t>
      </w:r>
      <w:r>
        <w:rPr/>
        <w:t>承诺。</w:t>
      </w:r>
    </w:p>
    <w:p>
      <w:pPr>
        <w:pStyle w:val="BodyText"/>
        <w:spacing w:line="273" w:lineRule="auto" w:before="22"/>
        <w:ind w:right="1126" w:firstLine="420"/>
        <w:jc w:val="both"/>
      </w:pPr>
      <w:r>
        <w:rPr>
          <w:spacing w:val="-2"/>
        </w:rPr>
        <w:t>财务担保合同是指当特定债务人到期不能按照最初或修改后的债务工具条款偿付债务时，要求发行方</w:t>
      </w:r>
      <w:r>
        <w:rPr>
          <w:w w:val="100"/>
        </w:rPr>
        <w:t> </w:t>
      </w:r>
      <w:r>
        <w:rPr>
          <w:spacing w:val="-2"/>
        </w:rPr>
        <w:t>向蒙受损失的合同持有人赔付特定金额的合同。不属于指定为以公允价值计量且其变动计入当期损益的金</w:t>
      </w:r>
      <w:r>
        <w:rPr>
          <w:spacing w:val="-43"/>
        </w:rPr>
        <w:t> </w:t>
      </w:r>
      <w:r>
        <w:rPr>
          <w:spacing w:val="-43"/>
        </w:rPr>
      </w:r>
      <w:r>
        <w:rPr>
          <w:spacing w:val="-2"/>
        </w:rPr>
        <w:t>融负债的财务担保合同，在初始确认后按照损失准备金额以及初始确认金额扣除担保期内的累计摊销额后</w:t>
      </w:r>
      <w:r>
        <w:rPr>
          <w:spacing w:val="-42"/>
        </w:rPr>
        <w:t> </w:t>
      </w:r>
      <w:r>
        <w:rPr>
          <w:spacing w:val="-42"/>
        </w:rPr>
      </w:r>
      <w:r>
        <w:rPr/>
        <w:t>的余额孰高进行计量。</w:t>
      </w:r>
    </w:p>
    <w:p>
      <w:pPr>
        <w:pStyle w:val="Heading4"/>
        <w:spacing w:line="240" w:lineRule="auto" w:before="128"/>
        <w:ind w:left="566" w:right="1133"/>
        <w:jc w:val="left"/>
        <w:rPr>
          <w:b w:val="0"/>
          <w:bCs w:val="0"/>
        </w:rPr>
      </w:pPr>
      <w:r>
        <w:rPr>
          <w:rFonts w:ascii="Times New Roman" w:hAnsi="Times New Roman" w:cs="Times New Roman" w:eastAsia="Times New Roman" w:hint="default"/>
        </w:rPr>
        <w:t>3.</w:t>
      </w:r>
      <w:r>
        <w:rPr/>
        <w:t>金融资产和金融负债的终止确认</w:t>
      </w:r>
      <w:r>
        <w:rPr>
          <w:b w:val="0"/>
          <w:bCs w:val="0"/>
        </w:rPr>
      </w:r>
    </w:p>
    <w:p>
      <w:pPr>
        <w:pStyle w:val="BodyText"/>
        <w:spacing w:line="240" w:lineRule="auto" w:before="21"/>
        <w:ind w:left="573" w:right="1133"/>
        <w:jc w:val="left"/>
      </w:pPr>
      <w:r>
        <w:rPr/>
        <w:t>（</w:t>
      </w:r>
      <w:r>
        <w:rPr>
          <w:rFonts w:ascii="Times New Roman" w:hAnsi="Times New Roman" w:cs="Times New Roman" w:eastAsia="Times New Roman" w:hint="default"/>
        </w:rPr>
        <w:t>1</w:t>
      </w:r>
      <w:r>
        <w:rPr/>
        <w:t>）金融资产满足下列条件之一的，终止确认金融资产，即从其账户和资产负债表内予以转销：</w:t>
      </w:r>
    </w:p>
    <w:p>
      <w:pPr>
        <w:pStyle w:val="BodyText"/>
        <w:spacing w:line="240" w:lineRule="auto" w:before="21"/>
        <w:ind w:left="573" w:right="1133"/>
        <w:jc w:val="left"/>
      </w:pPr>
      <w:r>
        <w:rPr>
          <w:rFonts w:ascii="Times New Roman" w:hAnsi="Times New Roman" w:cs="Times New Roman" w:eastAsia="Times New Roman" w:hint="default"/>
        </w:rPr>
        <w:t>1)</w:t>
      </w:r>
      <w:r>
        <w:rPr/>
        <w:t>收取该金融资产现金流量的合同权利终止。</w:t>
      </w:r>
    </w:p>
    <w:p>
      <w:pPr>
        <w:pStyle w:val="BodyText"/>
        <w:spacing w:line="240" w:lineRule="auto" w:before="21"/>
        <w:ind w:left="573" w:right="1133"/>
        <w:jc w:val="left"/>
      </w:pPr>
      <w:r>
        <w:rPr>
          <w:rFonts w:ascii="Times New Roman" w:hAnsi="Times New Roman" w:cs="Times New Roman" w:eastAsia="Times New Roman" w:hint="default"/>
        </w:rPr>
        <w:t>2)</w:t>
      </w:r>
      <w:r>
        <w:rPr/>
        <w:t>该金融资产已转移，且该转移满足金融资产终止确认的规定。</w:t>
      </w:r>
    </w:p>
    <w:p>
      <w:pPr>
        <w:pStyle w:val="BodyText"/>
        <w:spacing w:line="264" w:lineRule="auto" w:before="21"/>
        <w:ind w:left="573" w:right="1133"/>
        <w:jc w:val="left"/>
      </w:pPr>
      <w:r>
        <w:rPr/>
        <w:t>（</w:t>
      </w:r>
      <w:r>
        <w:rPr>
          <w:rFonts w:ascii="Times New Roman" w:hAnsi="Times New Roman" w:cs="Times New Roman" w:eastAsia="Times New Roman" w:hint="default"/>
        </w:rPr>
        <w:t>2</w:t>
      </w:r>
      <w:r>
        <w:rPr/>
        <w:t>）金融负债终止确认条件</w:t>
      </w:r>
      <w:r>
        <w:rPr>
          <w:w w:val="100"/>
        </w:rPr>
        <w:t> </w:t>
      </w:r>
      <w:r>
        <w:rPr/>
        <w:t>金融负债（或其一部分）的现时义务已经解除的，则终止确认该金融负债（或该部分金融负债）。</w:t>
      </w:r>
      <w:r>
        <w:rPr>
          <w:w w:val="100"/>
        </w:rPr>
        <w:t> </w:t>
      </w:r>
      <w:r>
        <w:rPr>
          <w:spacing w:val="-2"/>
        </w:rPr>
        <w:t>本公司与借出方之间签订协议，以承担新金融负债方式替换原金融负债，且新金融负债与原金融负债</w:t>
      </w:r>
    </w:p>
    <w:p>
      <w:pPr>
        <w:pStyle w:val="BodyText"/>
        <w:spacing w:line="273" w:lineRule="auto" w:before="16"/>
        <w:ind w:right="1129"/>
        <w:jc w:val="both"/>
      </w:pPr>
      <w:r>
        <w:rPr>
          <w:spacing w:val="-2"/>
        </w:rPr>
        <w:t>的合同条款实质上不同的，或对原金融负债（或其一部分）的合同条款做出实质性修改的，则终止确认原</w:t>
      </w:r>
      <w:r>
        <w:rPr>
          <w:spacing w:val="-47"/>
        </w:rPr>
        <w:t> </w:t>
      </w:r>
      <w:r>
        <w:rPr>
          <w:spacing w:val="-47"/>
        </w:rPr>
      </w:r>
      <w:r>
        <w:rPr>
          <w:spacing w:val="-2"/>
        </w:rPr>
        <w:t>金融负债，同时确认一项新金融负债，账面价值与支付的对价（包括转出的非现金资产或承担的负债）之</w:t>
      </w:r>
    </w:p>
    <w:p>
      <w:pPr>
        <w:spacing w:after="0" w:line="273"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left="573" w:right="1133" w:hanging="421"/>
        <w:jc w:val="left"/>
      </w:pPr>
      <w:r>
        <w:rPr/>
        <w:t>间的差额，计入当期损益。</w:t>
      </w:r>
      <w:r>
        <w:rPr>
          <w:w w:val="100"/>
        </w:rPr>
        <w:t> </w:t>
      </w:r>
      <w:r>
        <w:rPr>
          <w:spacing w:val="-2"/>
        </w:rPr>
        <w:t>本公司回购金融负债一部分的，按照继续确认部分和终止确认部分在回购日各自的公允价值占整体公</w:t>
      </w:r>
    </w:p>
    <w:p>
      <w:pPr>
        <w:pStyle w:val="BodyText"/>
        <w:spacing w:line="273" w:lineRule="auto"/>
        <w:ind w:right="1133"/>
        <w:jc w:val="left"/>
      </w:pPr>
      <w:r>
        <w:rPr>
          <w:spacing w:val="-7"/>
        </w:rPr>
        <w:t>允价值的比例，对该金融负债整体的账面价值进行分配。分配给终止确认部分的账面价值与支付的对价（包</w:t>
      </w:r>
      <w:r>
        <w:rPr>
          <w:spacing w:val="-17"/>
        </w:rPr>
        <w:t> </w:t>
      </w:r>
      <w:r>
        <w:rPr>
          <w:spacing w:val="-17"/>
        </w:rPr>
      </w:r>
      <w:r>
        <w:rPr/>
        <w:t>括转出的非现金资产或承担的负债）之间的差额，应当计入当期损益。</w:t>
      </w:r>
    </w:p>
    <w:p>
      <w:pPr>
        <w:spacing w:line="256" w:lineRule="auto" w:before="7"/>
        <w:ind w:left="573" w:right="1133"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金融资产转移的确认依据和计量方法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本公司在发生金融资产转移时，评估其保留金融资产所有权上的风险和报酬的程度，并分别下列情形</w:t>
      </w:r>
    </w:p>
    <w:p>
      <w:pPr>
        <w:pStyle w:val="BodyText"/>
        <w:spacing w:line="240" w:lineRule="auto" w:before="22"/>
        <w:ind w:right="1133"/>
        <w:jc w:val="left"/>
      </w:pPr>
      <w:r>
        <w:rPr/>
        <w:t>处理：</w:t>
      </w:r>
    </w:p>
    <w:p>
      <w:pPr>
        <w:pStyle w:val="BodyText"/>
        <w:spacing w:line="256" w:lineRule="auto" w:before="37"/>
        <w:ind w:right="1133" w:firstLine="314"/>
        <w:jc w:val="left"/>
      </w:pPr>
      <w:r>
        <w:rPr>
          <w:spacing w:val="-2"/>
        </w:rPr>
        <w:t>（</w:t>
      </w:r>
      <w:r>
        <w:rPr>
          <w:rFonts w:ascii="Times New Roman" w:hAnsi="Times New Roman" w:cs="Times New Roman" w:eastAsia="Times New Roman" w:hint="default"/>
          <w:spacing w:val="-2"/>
        </w:rPr>
        <w:t>1</w:t>
      </w:r>
      <w:r>
        <w:rPr>
          <w:spacing w:val="-2"/>
        </w:rPr>
        <w:t>）转移了金融资产所有权上几乎所有风险和报酬的，则终止确认该金融资产，并将转移中产生或保</w:t>
      </w:r>
      <w:r>
        <w:rPr>
          <w:w w:val="100"/>
        </w:rPr>
        <w:t> </w:t>
      </w:r>
      <w:r>
        <w:rPr/>
        <w:t>留的权利和义务单独确认为资产或负债。</w:t>
      </w:r>
    </w:p>
    <w:p>
      <w:pPr>
        <w:pStyle w:val="BodyText"/>
        <w:spacing w:line="240" w:lineRule="auto" w:before="22"/>
        <w:ind w:left="467" w:right="1133"/>
        <w:jc w:val="left"/>
      </w:pPr>
      <w:r>
        <w:rPr/>
        <w:t>（</w:t>
      </w:r>
      <w:r>
        <w:rPr>
          <w:rFonts w:ascii="Times New Roman" w:hAnsi="Times New Roman" w:cs="Times New Roman" w:eastAsia="Times New Roman" w:hint="default"/>
        </w:rPr>
        <w:t>2</w:t>
      </w:r>
      <w:r>
        <w:rPr/>
        <w:t>）保留了金融资产所有权上几乎所有风险和报酬的，则继续确认该金融资产。</w:t>
      </w:r>
    </w:p>
    <w:p>
      <w:pPr>
        <w:pStyle w:val="BodyText"/>
        <w:spacing w:line="256" w:lineRule="auto" w:before="21"/>
        <w:ind w:right="1133" w:firstLine="314"/>
        <w:jc w:val="left"/>
      </w:pPr>
      <w:r>
        <w:rPr>
          <w:spacing w:val="-2"/>
        </w:rPr>
        <w:t>（</w:t>
      </w:r>
      <w:r>
        <w:rPr>
          <w:rFonts w:ascii="Times New Roman" w:hAnsi="Times New Roman" w:cs="Times New Roman" w:eastAsia="Times New Roman" w:hint="default"/>
          <w:spacing w:val="-2"/>
        </w:rPr>
        <w:t>3</w:t>
      </w:r>
      <w:r>
        <w:rPr>
          <w:spacing w:val="-2"/>
        </w:rPr>
        <w:t>）既没有转移也没有保留金融资产所有权上几乎所有风险和报酬的（即除本条（</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w:t>
      </w:r>
      <w:r>
        <w:rPr>
          <w:spacing w:val="-2"/>
        </w:rPr>
        <w:t>）之外的</w:t>
      </w:r>
      <w:r>
        <w:rPr>
          <w:w w:val="100"/>
        </w:rPr>
        <w:t> </w:t>
      </w:r>
      <w:r>
        <w:rPr/>
        <w:t>其他情形），则根据其是否保留了对金融资产的控制，分别下列情形处理：</w:t>
      </w:r>
    </w:p>
    <w:p>
      <w:pPr>
        <w:pStyle w:val="BodyText"/>
        <w:spacing w:line="256" w:lineRule="auto" w:before="23"/>
        <w:ind w:right="1133" w:firstLine="398"/>
        <w:jc w:val="left"/>
      </w:pPr>
      <w:r>
        <w:rPr>
          <w:rFonts w:ascii="Times New Roman" w:hAnsi="Times New Roman" w:cs="Times New Roman" w:eastAsia="Times New Roman" w:hint="default"/>
        </w:rPr>
        <w:t>1</w:t>
      </w:r>
      <w:r>
        <w:rPr/>
        <w:t>）未保留对该金融资产控制的，则终止确认该金融资产，并将转移中产生或保留的权利和义务单独</w:t>
      </w:r>
      <w:r>
        <w:rPr>
          <w:w w:val="100"/>
        </w:rPr>
        <w:t> </w:t>
      </w:r>
      <w:r>
        <w:rPr/>
        <w:t>确认为资产或负债。</w:t>
      </w:r>
    </w:p>
    <w:p>
      <w:pPr>
        <w:pStyle w:val="BodyText"/>
        <w:spacing w:line="264" w:lineRule="auto" w:before="22"/>
        <w:ind w:right="1126" w:firstLine="398"/>
        <w:jc w:val="both"/>
      </w:pPr>
      <w:r>
        <w:rPr>
          <w:rFonts w:ascii="Times New Roman" w:hAnsi="Times New Roman" w:cs="Times New Roman" w:eastAsia="Times New Roman" w:hint="default"/>
        </w:rPr>
        <w:t>2</w:t>
      </w:r>
      <w:r>
        <w:rPr/>
        <w:t>）保留了对该金融资产控制的，则按照其继续涉入被转移金融资产的程度继续确认有关金融资产，</w:t>
      </w:r>
      <w:r>
        <w:rPr>
          <w:w w:val="100"/>
        </w:rPr>
        <w:t> </w:t>
      </w:r>
      <w:r>
        <w:rPr>
          <w:spacing w:val="-2"/>
        </w:rPr>
        <w:t>并相应确认相关负债。继续涉入被转移金融资产的程度，是指本公司承担的被转移金融资产价值变动风险</w:t>
      </w:r>
      <w:r>
        <w:rPr>
          <w:spacing w:val="-43"/>
        </w:rPr>
        <w:t> </w:t>
      </w:r>
      <w:r>
        <w:rPr>
          <w:spacing w:val="-43"/>
        </w:rPr>
      </w:r>
      <w:r>
        <w:rPr/>
        <w:t>或报酬的程度。</w:t>
      </w:r>
    </w:p>
    <w:p>
      <w:pPr>
        <w:pStyle w:val="BodyText"/>
        <w:spacing w:line="273" w:lineRule="auto" w:before="16"/>
        <w:ind w:right="1126" w:firstLine="420"/>
        <w:jc w:val="both"/>
      </w:pPr>
      <w:r>
        <w:rPr>
          <w:spacing w:val="-2"/>
        </w:rPr>
        <w:t>在判断金融资产转移是否满足上述金融资产终止确认条件时，采用实质重于形式的原则。公司将金融</w:t>
      </w:r>
      <w:r>
        <w:rPr>
          <w:w w:val="100"/>
        </w:rPr>
        <w:t> </w:t>
      </w:r>
      <w:r>
        <w:rPr/>
        <w:t>资产转移区分为金融资产整体转移和部分转移。</w:t>
      </w:r>
    </w:p>
    <w:p>
      <w:pPr>
        <w:pStyle w:val="BodyText"/>
        <w:spacing w:line="240" w:lineRule="auto"/>
        <w:ind w:left="467" w:right="1133"/>
        <w:jc w:val="left"/>
      </w:pPr>
      <w:r>
        <w:rPr/>
        <w:t>（</w:t>
      </w:r>
      <w:r>
        <w:rPr>
          <w:rFonts w:ascii="Times New Roman" w:hAnsi="Times New Roman" w:cs="Times New Roman" w:eastAsia="Times New Roman" w:hint="default"/>
        </w:rPr>
        <w:t>1</w:t>
      </w:r>
      <w:r>
        <w:rPr/>
        <w:t>）金融资产整体转移满足终止确认条件的，将下列两项金额的差额计入当期损益：</w:t>
      </w:r>
    </w:p>
    <w:p>
      <w:pPr>
        <w:pStyle w:val="BodyText"/>
        <w:spacing w:line="240" w:lineRule="auto" w:before="21"/>
        <w:ind w:left="467" w:right="1133"/>
        <w:jc w:val="left"/>
      </w:pPr>
      <w:r>
        <w:rPr>
          <w:rFonts w:ascii="Times New Roman" w:hAnsi="Times New Roman" w:cs="Times New Roman" w:eastAsia="Times New Roman" w:hint="default"/>
        </w:rPr>
        <w:t>1</w:t>
      </w:r>
      <w:r>
        <w:rPr/>
        <w:t>）被转移金融资产在终止确认日的账面价值。</w:t>
      </w:r>
    </w:p>
    <w:p>
      <w:pPr>
        <w:pStyle w:val="BodyText"/>
        <w:spacing w:line="256" w:lineRule="auto" w:before="21"/>
        <w:ind w:right="1133" w:firstLine="314"/>
        <w:jc w:val="left"/>
      </w:pPr>
      <w:r>
        <w:rPr>
          <w:rFonts w:ascii="Times New Roman" w:hAnsi="Times New Roman" w:cs="Times New Roman" w:eastAsia="Times New Roman" w:hint="default"/>
          <w:spacing w:val="-2"/>
        </w:rPr>
        <w:t>2</w:t>
      </w:r>
      <w:r>
        <w:rPr>
          <w:spacing w:val="-2"/>
        </w:rPr>
        <w:t>）因转移金融资产而收到的对价，与原直接计入其他综合收益的公允价值变动累计额中对应终止确认</w:t>
      </w:r>
      <w:r>
        <w:rPr>
          <w:w w:val="100"/>
        </w:rPr>
        <w:t> </w:t>
      </w:r>
      <w:r>
        <w:rPr/>
        <w:t>部分的金额（涉及转移的金融资产为以公允价值计量且其变动计入其他综合收益的金融资产）之和。</w:t>
      </w:r>
    </w:p>
    <w:p>
      <w:pPr>
        <w:pStyle w:val="BodyText"/>
        <w:spacing w:line="266" w:lineRule="auto" w:before="22"/>
        <w:ind w:right="1021" w:firstLine="314"/>
        <w:jc w:val="both"/>
      </w:pPr>
      <w:r>
        <w:rPr>
          <w:spacing w:val="-5"/>
        </w:rPr>
        <w:t>（</w:t>
      </w:r>
      <w:r>
        <w:rPr>
          <w:rFonts w:ascii="Times New Roman" w:hAnsi="Times New Roman" w:cs="Times New Roman" w:eastAsia="Times New Roman" w:hint="default"/>
          <w:spacing w:val="-5"/>
        </w:rPr>
        <w:t>2</w:t>
      </w:r>
      <w:r>
        <w:rPr>
          <w:spacing w:val="-5"/>
        </w:rPr>
        <w:t>）金融资产部分转移且该被转移部分整体满足终止确认条件的，将转移前金融资产整体的账面价值，</w:t>
      </w:r>
      <w:r>
        <w:rPr>
          <w:w w:val="100"/>
        </w:rPr>
        <w:t> </w:t>
      </w:r>
      <w:r>
        <w:rPr>
          <w:spacing w:val="-5"/>
        </w:rPr>
        <w:t>在终止确认部分和继续确认部分（在此种情形下，所保留的服务资产应当视同继续确认金融资产的一部分）</w:t>
      </w:r>
      <w:r>
        <w:rPr>
          <w:spacing w:val="-4"/>
        </w:rPr>
        <w:t> </w:t>
      </w:r>
      <w:r>
        <w:rPr>
          <w:spacing w:val="-4"/>
        </w:rPr>
      </w:r>
      <w:r>
        <w:rPr/>
        <w:t>之间，按照转移日各自的相对公允价值进行分摊，并将下列两项金额的差额计入当期损益：</w:t>
      </w:r>
    </w:p>
    <w:p>
      <w:pPr>
        <w:pStyle w:val="BodyText"/>
        <w:spacing w:line="240" w:lineRule="auto" w:before="14"/>
        <w:ind w:left="467" w:right="1133"/>
        <w:jc w:val="left"/>
      </w:pPr>
      <w:r>
        <w:rPr>
          <w:rFonts w:ascii="Times New Roman" w:hAnsi="Times New Roman" w:cs="Times New Roman" w:eastAsia="Times New Roman" w:hint="default"/>
        </w:rPr>
        <w:t>1</w:t>
      </w:r>
      <w:r>
        <w:rPr/>
        <w:t>）终止确认部分在终止确认日的账面价值。</w:t>
      </w:r>
    </w:p>
    <w:p>
      <w:pPr>
        <w:pStyle w:val="BodyText"/>
        <w:spacing w:line="256" w:lineRule="auto" w:before="21"/>
        <w:ind w:right="1133" w:firstLine="314"/>
        <w:jc w:val="left"/>
      </w:pPr>
      <w:r>
        <w:rPr>
          <w:rFonts w:ascii="Times New Roman" w:hAnsi="Times New Roman" w:cs="Times New Roman" w:eastAsia="Times New Roman" w:hint="default"/>
          <w:spacing w:val="-2"/>
        </w:rPr>
        <w:t>2</w:t>
      </w:r>
      <w:r>
        <w:rPr>
          <w:spacing w:val="-2"/>
        </w:rPr>
        <w:t>）终止确认部分收到的对价，与原计入其他综合收益的公允价值变动累计额中对应终止确认部分的金</w:t>
      </w:r>
      <w:r>
        <w:rPr>
          <w:w w:val="100"/>
        </w:rPr>
        <w:t> </w:t>
      </w:r>
      <w:r>
        <w:rPr/>
        <w:t>额（涉及转移的金融资产为以公允价值计量且其变动计入其他综合收益的金融资产）之和。</w:t>
      </w:r>
    </w:p>
    <w:p>
      <w:pPr>
        <w:pStyle w:val="BodyText"/>
        <w:spacing w:line="264" w:lineRule="auto" w:before="22"/>
        <w:ind w:left="566" w:right="1133" w:firstLine="7"/>
        <w:jc w:val="left"/>
      </w:pPr>
      <w:r>
        <w:rPr/>
        <w:t>金融资产转移不满足终止确认条件的，继续确认该金融资产，所收到的对价确认为一项金融负债。</w:t>
      </w:r>
      <w:r>
        <w:rPr>
          <w:w w:val="100"/>
        </w:rPr>
        <w:t> </w:t>
      </w:r>
      <w:r>
        <w:rPr>
          <w:rFonts w:ascii="Times New Roman" w:hAnsi="Times New Roman" w:cs="Times New Roman" w:eastAsia="Times New Roman" w:hint="default"/>
          <w:b/>
          <w:bCs/>
        </w:rPr>
        <w:t>5.</w:t>
      </w:r>
      <w:r>
        <w:rPr>
          <w:rFonts w:ascii="宋体" w:hAnsi="宋体" w:cs="宋体" w:eastAsia="宋体" w:hint="default"/>
          <w:b/>
          <w:bCs/>
        </w:rPr>
        <w:t>金融资产和金融负债公允价值的确定方法</w:t>
      </w:r>
      <w:r>
        <w:rPr>
          <w:rFonts w:ascii="宋体" w:hAnsi="宋体" w:cs="宋体" w:eastAsia="宋体" w:hint="default"/>
          <w:b/>
          <w:bCs/>
          <w:w w:val="100"/>
        </w:rPr>
        <w:t> </w:t>
      </w:r>
      <w:r>
        <w:rPr>
          <w:spacing w:val="-2"/>
        </w:rPr>
        <w:t>存在活跃市场的金融资产或金融负债，以活跃市场的报价确定其公允价值，除非该项金融资产存在针</w:t>
      </w:r>
    </w:p>
    <w:p>
      <w:pPr>
        <w:pStyle w:val="BodyText"/>
        <w:spacing w:line="273" w:lineRule="auto" w:before="16"/>
        <w:ind w:right="0"/>
        <w:jc w:val="left"/>
      </w:pPr>
      <w:r>
        <w:rPr>
          <w:spacing w:val="-2"/>
        </w:rPr>
        <w:t>对资产本身的限售期。对于针对资产本身的限售的金融资产，按照活跃市场的报价扣除市场参与者因承担</w:t>
      </w:r>
      <w:r>
        <w:rPr>
          <w:spacing w:val="-43"/>
        </w:rPr>
        <w:t> </w:t>
      </w:r>
      <w:r>
        <w:rPr>
          <w:spacing w:val="-43"/>
        </w:rPr>
      </w:r>
      <w:r>
        <w:rPr>
          <w:spacing w:val="-2"/>
        </w:rPr>
        <w:t>指定期间内无法在公开市场上出售该金融资产的风险而要求获得的补偿金额后确定。活跃市场的报价包括</w:t>
      </w:r>
      <w:r>
        <w:rPr>
          <w:spacing w:val="-42"/>
        </w:rPr>
        <w:t> </w:t>
      </w:r>
      <w:r>
        <w:rPr>
          <w:spacing w:val="-42"/>
        </w:rPr>
      </w:r>
      <w:r>
        <w:rPr>
          <w:spacing w:val="-5"/>
        </w:rPr>
        <w:t>易于且可定期从交易所、交易商、经纪人、行业集团、定价机构或监管机构等获得相关资产或负债的报价，</w:t>
      </w:r>
      <w:r>
        <w:rPr>
          <w:spacing w:val="-7"/>
        </w:rPr>
        <w:t> </w:t>
      </w:r>
      <w:r>
        <w:rPr>
          <w:spacing w:val="-7"/>
        </w:rPr>
      </w:r>
      <w:r>
        <w:rPr/>
        <w:t>且能代表在公平交易基础上实际并经常发生的市场交易。</w:t>
      </w:r>
    </w:p>
    <w:p>
      <w:pPr>
        <w:pStyle w:val="BodyText"/>
        <w:spacing w:line="273" w:lineRule="auto"/>
        <w:ind w:left="573" w:right="1133"/>
        <w:jc w:val="left"/>
      </w:pPr>
      <w:r>
        <w:rPr/>
        <w:t>初始取得或衍生的金融资产或承担的金融负债，以市场交易价格作为确定其公允价值的基础。</w:t>
      </w:r>
      <w:r>
        <w:rPr>
          <w:w w:val="100"/>
        </w:rPr>
        <w:t> </w:t>
      </w:r>
      <w:r>
        <w:rPr>
          <w:spacing w:val="-2"/>
        </w:rPr>
        <w:t>不存在活跃市场的金融资产或金融负债，采用估值技术确定其公允价值。在估值时，本公司采用在当</w:t>
      </w:r>
    </w:p>
    <w:p>
      <w:pPr>
        <w:pStyle w:val="BodyText"/>
        <w:spacing w:line="273" w:lineRule="auto"/>
        <w:ind w:right="1126"/>
        <w:jc w:val="both"/>
      </w:pPr>
      <w:r>
        <w:rPr>
          <w:spacing w:val="-2"/>
        </w:rPr>
        <w:t>前情况下适用并且有足够可利用数据和其他信息支持的估值技术，选择与市场参与者在相关资产或负债的</w:t>
      </w:r>
      <w:r>
        <w:rPr>
          <w:spacing w:val="-43"/>
        </w:rPr>
        <w:t> </w:t>
      </w:r>
      <w:r>
        <w:rPr>
          <w:spacing w:val="-43"/>
        </w:rPr>
      </w:r>
      <w:r>
        <w:rPr>
          <w:spacing w:val="-2"/>
        </w:rPr>
        <w:t>交易中所考虑的资产或负债特征相一致的输入值，并尽可能优先使用相关可观察输入值。在相关可观察输</w:t>
      </w:r>
      <w:r>
        <w:rPr>
          <w:spacing w:val="-43"/>
        </w:rPr>
        <w:t> </w:t>
      </w:r>
      <w:r>
        <w:rPr>
          <w:spacing w:val="-43"/>
        </w:rPr>
      </w:r>
      <w:r>
        <w:rPr/>
        <w:t>入值无法取得或取得不切实可行的情况下，使用不可观察输入值。</w:t>
      </w:r>
    </w:p>
    <w:p>
      <w:pPr>
        <w:pStyle w:val="BodyText"/>
        <w:spacing w:line="256" w:lineRule="auto"/>
        <w:ind w:left="573" w:right="1133" w:hanging="8"/>
        <w:jc w:val="left"/>
      </w:pPr>
      <w:r>
        <w:rPr>
          <w:rFonts w:ascii="Times New Roman" w:hAnsi="Times New Roman" w:cs="Times New Roman" w:eastAsia="Times New Roman" w:hint="default"/>
          <w:b/>
          <w:bCs/>
        </w:rPr>
        <w:t>6.</w:t>
      </w:r>
      <w:r>
        <w:rPr>
          <w:rFonts w:ascii="宋体" w:hAnsi="宋体" w:cs="宋体" w:eastAsia="宋体" w:hint="default"/>
          <w:b/>
          <w:bCs/>
        </w:rPr>
        <w:t>金融工具减值</w:t>
      </w:r>
      <w:r>
        <w:rPr>
          <w:rFonts w:ascii="宋体" w:hAnsi="宋体" w:cs="宋体" w:eastAsia="宋体" w:hint="default"/>
          <w:b/>
          <w:bCs/>
          <w:w w:val="100"/>
        </w:rPr>
        <w:t> </w:t>
      </w:r>
      <w:r>
        <w:rPr>
          <w:spacing w:val="-2"/>
        </w:rPr>
        <w:t>本公司以预期信用损失为基础，对分类为以摊余成本计量的金融资产、分类为以公允价值计量且其变</w:t>
      </w:r>
    </w:p>
    <w:p>
      <w:pPr>
        <w:pStyle w:val="BodyText"/>
        <w:spacing w:line="240" w:lineRule="auto" w:before="22"/>
        <w:ind w:right="1133"/>
        <w:jc w:val="left"/>
      </w:pPr>
      <w:r>
        <w:rPr/>
        <w:t>动计入其他综合收益的金融资产以及财务担保合同，进行减值会计处理并确认损失准备。</w:t>
      </w:r>
    </w:p>
    <w:p>
      <w:pPr>
        <w:spacing w:after="0" w:line="240" w:lineRule="auto"/>
        <w:jc w:val="left"/>
        <w:sectPr>
          <w:footerReference w:type="default" r:id="rId14"/>
          <w:pgSz w:w="11910" w:h="16840"/>
          <w:pgMar w:footer="980" w:header="745"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05" w:firstLine="420"/>
        <w:jc w:val="both"/>
      </w:pPr>
      <w:r>
        <w:rPr>
          <w:spacing w:val="-2"/>
        </w:rPr>
        <w:t>预期信用损失，是指以发生违约的风险为权重的金融工具信用损失的加权平均值。信用损失，是指本</w:t>
      </w:r>
      <w:r>
        <w:rPr>
          <w:w w:val="100"/>
        </w:rPr>
        <w:t> </w:t>
      </w:r>
      <w:r>
        <w:rPr>
          <w:spacing w:val="-2"/>
        </w:rPr>
        <w:t>公司按照原实际利率折现的、根据合同应收的所有合同现金流量与预期收取的所有现金流量之间的差额，</w:t>
      </w:r>
      <w:r>
        <w:rPr>
          <w:spacing w:val="-21"/>
        </w:rPr>
        <w:t> </w:t>
      </w:r>
      <w:r>
        <w:rPr>
          <w:spacing w:val="-21"/>
        </w:rPr>
      </w:r>
      <w:r>
        <w:rPr>
          <w:spacing w:val="-2"/>
        </w:rPr>
        <w:t>即全部现金短缺的现值。其中，对于本公司购买或源生的已发生信用减值的金融资产，应按照该金融资产</w:t>
      </w:r>
      <w:r>
        <w:rPr>
          <w:spacing w:val="-43"/>
        </w:rPr>
        <w:t> </w:t>
      </w:r>
      <w:r>
        <w:rPr>
          <w:spacing w:val="-43"/>
        </w:rPr>
      </w:r>
      <w:r>
        <w:rPr/>
        <w:t>经信用调整的实际利率折现。</w:t>
      </w:r>
    </w:p>
    <w:p>
      <w:pPr>
        <w:pStyle w:val="BodyText"/>
        <w:spacing w:line="273" w:lineRule="auto"/>
        <w:ind w:right="1126" w:firstLine="420"/>
        <w:jc w:val="both"/>
      </w:pPr>
      <w:r>
        <w:rPr>
          <w:spacing w:val="-2"/>
        </w:rPr>
        <w:t>对由收入准则规范的交易形成的应收款项，本公司运用简化计量方法，按照相当于整个存续期内预期</w:t>
      </w:r>
      <w:r>
        <w:rPr>
          <w:w w:val="100"/>
        </w:rPr>
        <w:t> </w:t>
      </w:r>
      <w:r>
        <w:rPr/>
        <w:t>信用损失的金额计量损失准备。</w:t>
      </w:r>
    </w:p>
    <w:p>
      <w:pPr>
        <w:pStyle w:val="BodyText"/>
        <w:spacing w:line="273" w:lineRule="auto"/>
        <w:ind w:right="1126" w:firstLine="420"/>
        <w:jc w:val="both"/>
      </w:pPr>
      <w:r>
        <w:rPr>
          <w:spacing w:val="-2"/>
        </w:rPr>
        <w:t>对于购买或源生的已发生信用减值的金融资产，在资产负债表日仅将自初始确认后整个存续期内预期</w:t>
      </w:r>
      <w:r>
        <w:rPr>
          <w:w w:val="100"/>
        </w:rPr>
        <w:t> </w:t>
      </w:r>
      <w:r>
        <w:rPr>
          <w:spacing w:val="-2"/>
        </w:rPr>
        <w:t>信用损失的累计变动确认为损失准备。在每个资产负债表日，将整个存续期内预期信用损失的变动金额作</w:t>
      </w:r>
      <w:r>
        <w:rPr>
          <w:spacing w:val="-43"/>
        </w:rPr>
        <w:t> </w:t>
      </w:r>
      <w:r>
        <w:rPr>
          <w:spacing w:val="-43"/>
        </w:rPr>
      </w:r>
      <w:r>
        <w:rPr>
          <w:spacing w:val="-2"/>
        </w:rPr>
        <w:t>为减值损失或利得计入当期损益。即使该资产负债表日确定的整个存续期内预期信用损失小于初始确认时</w:t>
      </w:r>
      <w:r>
        <w:rPr>
          <w:spacing w:val="-43"/>
        </w:rPr>
        <w:t> </w:t>
      </w:r>
      <w:r>
        <w:rPr>
          <w:spacing w:val="-43"/>
        </w:rPr>
      </w:r>
      <w:r>
        <w:rPr/>
        <w:t>估计现金流量所反映的预期信用损失的金额，也将预期信用损失的有利变动确认为减值利得。</w:t>
      </w:r>
    </w:p>
    <w:p>
      <w:pPr>
        <w:pStyle w:val="BodyText"/>
        <w:spacing w:line="273" w:lineRule="auto"/>
        <w:ind w:right="1126" w:firstLine="420"/>
        <w:jc w:val="both"/>
      </w:pPr>
      <w:r>
        <w:rPr>
          <w:spacing w:val="-2"/>
        </w:rPr>
        <w:t>除上述采用简化计量方法和购买或源生的已发生信用减值以外的其他金融资产，本公司在每个资产负</w:t>
      </w:r>
      <w:r>
        <w:rPr>
          <w:w w:val="100"/>
        </w:rPr>
        <w:t> </w:t>
      </w:r>
      <w:r>
        <w:rPr>
          <w:spacing w:val="2"/>
        </w:rPr>
        <w:t>债表日评估相关金融工具的信用风险自初始确认后是否已显著增加，并按照下列情形分别计量其损失准</w:t>
      </w:r>
      <w:r>
        <w:rPr>
          <w:spacing w:val="-30"/>
        </w:rPr>
        <w:t> </w:t>
      </w:r>
      <w:r>
        <w:rPr>
          <w:spacing w:val="-30"/>
        </w:rPr>
      </w:r>
      <w:r>
        <w:rPr/>
        <w:t>备、确认预期信用损失及其变动：</w:t>
      </w:r>
    </w:p>
    <w:p>
      <w:pPr>
        <w:pStyle w:val="BodyText"/>
        <w:spacing w:line="256" w:lineRule="auto"/>
        <w:ind w:right="1126" w:firstLine="314"/>
        <w:jc w:val="both"/>
      </w:pPr>
      <w:r>
        <w:rPr>
          <w:spacing w:val="-2"/>
        </w:rPr>
        <w:t>（</w:t>
      </w:r>
      <w:r>
        <w:rPr>
          <w:rFonts w:ascii="Times New Roman" w:hAnsi="Times New Roman" w:cs="Times New Roman" w:eastAsia="Times New Roman" w:hint="default"/>
          <w:spacing w:val="-2"/>
        </w:rPr>
        <w:t>1</w:t>
      </w:r>
      <w:r>
        <w:rPr>
          <w:spacing w:val="-2"/>
        </w:rPr>
        <w:t>）如果该金融工具的信用风险自初始确认后并未显著增加，处于第一阶段，则按照相当于该金融工</w:t>
      </w:r>
      <w:r>
        <w:rPr>
          <w:w w:val="100"/>
        </w:rPr>
        <w:t> </w:t>
      </w:r>
      <w:r>
        <w:rPr/>
        <w:t>具未来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个月内预期信用损失的金额计量其损失准备，并按照账面余额和实际利率计算利息收入。</w:t>
      </w:r>
    </w:p>
    <w:p>
      <w:pPr>
        <w:pStyle w:val="BodyText"/>
        <w:spacing w:line="264" w:lineRule="auto" w:before="5"/>
        <w:ind w:right="1128" w:firstLine="314"/>
        <w:jc w:val="both"/>
      </w:pPr>
      <w:r>
        <w:rPr>
          <w:spacing w:val="-2"/>
        </w:rPr>
        <w:t>（</w:t>
      </w:r>
      <w:r>
        <w:rPr>
          <w:rFonts w:ascii="Times New Roman" w:hAnsi="Times New Roman" w:cs="Times New Roman" w:eastAsia="Times New Roman" w:hint="default"/>
          <w:spacing w:val="-2"/>
        </w:rPr>
        <w:t>2</w:t>
      </w:r>
      <w:r>
        <w:rPr>
          <w:spacing w:val="-2"/>
        </w:rPr>
        <w:t>）如果该金融工具的信用风险自初始确认后已显著增加但尚未发生信用减值的，处于第二阶段，则</w:t>
      </w:r>
      <w:r>
        <w:rPr>
          <w:w w:val="100"/>
        </w:rPr>
        <w:t> </w:t>
      </w:r>
      <w:r>
        <w:rPr>
          <w:spacing w:val="-2"/>
        </w:rPr>
        <w:t>按照相当于该金融工具整个存续期内预期信用损失的金额计量其损失准备，并按照账面余额和实际利率计</w:t>
      </w:r>
      <w:r>
        <w:rPr>
          <w:spacing w:val="-46"/>
        </w:rPr>
        <w:t> </w:t>
      </w:r>
      <w:r>
        <w:rPr>
          <w:spacing w:val="-46"/>
        </w:rPr>
      </w:r>
      <w:r>
        <w:rPr/>
        <w:t>算利息收入。</w:t>
      </w:r>
    </w:p>
    <w:p>
      <w:pPr>
        <w:pStyle w:val="BodyText"/>
        <w:spacing w:line="256" w:lineRule="auto" w:before="16"/>
        <w:ind w:right="1128" w:firstLine="314"/>
        <w:jc w:val="both"/>
      </w:pPr>
      <w:r>
        <w:rPr>
          <w:spacing w:val="-2"/>
        </w:rPr>
        <w:t>（</w:t>
      </w:r>
      <w:r>
        <w:rPr>
          <w:rFonts w:ascii="Times New Roman" w:hAnsi="Times New Roman" w:cs="Times New Roman" w:eastAsia="Times New Roman" w:hint="default"/>
          <w:spacing w:val="-2"/>
        </w:rPr>
        <w:t>3</w:t>
      </w:r>
      <w:r>
        <w:rPr>
          <w:spacing w:val="-2"/>
        </w:rPr>
        <w:t>）如果该金融工具自初始确认后已经发生信用减值的，处于第三阶段，本公司按照相当于该金融工</w:t>
      </w:r>
      <w:r>
        <w:rPr>
          <w:w w:val="100"/>
        </w:rPr>
        <w:t> </w:t>
      </w:r>
      <w:r>
        <w:rPr/>
        <w:t>具整个存续期内预期信用损失的金额计量其损失准备，并按照摊余成本和实际利率计算利息收入。</w:t>
      </w:r>
    </w:p>
    <w:p>
      <w:pPr>
        <w:pStyle w:val="BodyText"/>
        <w:spacing w:line="273" w:lineRule="auto" w:before="22"/>
        <w:ind w:right="1126" w:firstLine="420"/>
        <w:jc w:val="both"/>
      </w:pPr>
      <w:r>
        <w:rPr>
          <w:spacing w:val="-2"/>
        </w:rPr>
        <w:t>金融工具信用损失准备的增加或转回金额，作为减值损失或利得计入当期损益。除分类为以公允价值</w:t>
      </w:r>
      <w:r>
        <w:rPr>
          <w:w w:val="100"/>
        </w:rPr>
        <w:t> </w:t>
      </w:r>
      <w:r>
        <w:rPr>
          <w:spacing w:val="-2"/>
        </w:rPr>
        <w:t>计量且其变动计入其他综合收益的金融资产外，信用损失准备抵减金融资产的账面余额。对于分类为以公</w:t>
      </w:r>
      <w:r>
        <w:rPr>
          <w:spacing w:val="-44"/>
        </w:rPr>
        <w:t> </w:t>
      </w:r>
      <w:r>
        <w:rPr>
          <w:spacing w:val="-44"/>
        </w:rPr>
      </w:r>
      <w:r>
        <w:rPr>
          <w:spacing w:val="-2"/>
        </w:rPr>
        <w:t>允价值计量且其变动计入其他综合收益的金融资产，本公司在其他综合收益中确认其信用损失准备，不减</w:t>
      </w:r>
      <w:r>
        <w:rPr>
          <w:spacing w:val="-43"/>
        </w:rPr>
        <w:t> </w:t>
      </w:r>
      <w:r>
        <w:rPr>
          <w:spacing w:val="-43"/>
        </w:rPr>
      </w:r>
      <w:r>
        <w:rPr/>
        <w:t>少该金融资产在资产负债表中列示的账面价值。</w:t>
      </w:r>
    </w:p>
    <w:p>
      <w:pPr>
        <w:pStyle w:val="BodyText"/>
        <w:spacing w:line="266" w:lineRule="auto" w:before="8"/>
        <w:ind w:right="1104" w:firstLine="420"/>
        <w:jc w:val="both"/>
      </w:pPr>
      <w:r>
        <w:rPr>
          <w:spacing w:val="-2"/>
        </w:rPr>
        <w:t>本公司在前一会计期间已经按照相当于金融工具整个存续期内预期信用损失的金额计量了损失准备，</w:t>
      </w:r>
      <w:r>
        <w:rPr>
          <w:w w:val="100"/>
        </w:rPr>
        <w:t> </w:t>
      </w:r>
      <w:r>
        <w:rPr>
          <w:spacing w:val="-2"/>
        </w:rPr>
        <w:t>但在当期资产负债表日，该金融工具已不再属于自初始确认后信用风险显著增加的情形的，本公司在当期</w:t>
      </w:r>
      <w:r>
        <w:rPr>
          <w:spacing w:val="-42"/>
        </w:rPr>
        <w:t> </w:t>
      </w:r>
      <w:r>
        <w:rPr>
          <w:spacing w:val="-42"/>
        </w:rPr>
      </w:r>
      <w:r>
        <w:rPr>
          <w:spacing w:val="-2"/>
        </w:rPr>
        <w:t>资产负债表日按照相当于未来</w:t>
      </w:r>
      <w:r>
        <w:rPr>
          <w:rFonts w:ascii="Times New Roman" w:hAnsi="Times New Roman" w:cs="Times New Roman" w:eastAsia="Times New Roman" w:hint="default"/>
          <w:spacing w:val="-2"/>
        </w:rPr>
        <w:t>12</w:t>
      </w:r>
      <w:r>
        <w:rPr>
          <w:spacing w:val="-2"/>
        </w:rPr>
        <w:t>个月内预期信用损失的金额计量该金融工具的损失准备，由此形成的损失</w:t>
      </w:r>
      <w:r>
        <w:rPr>
          <w:spacing w:val="-41"/>
        </w:rPr>
        <w:t> </w:t>
      </w:r>
      <w:r>
        <w:rPr>
          <w:spacing w:val="-41"/>
        </w:rPr>
      </w:r>
      <w:r>
        <w:rPr/>
        <w:t>准备的转回金额作为减值利得计入当期损益。</w:t>
      </w:r>
    </w:p>
    <w:p>
      <w:pPr>
        <w:pStyle w:val="BodyText"/>
        <w:spacing w:line="256" w:lineRule="auto" w:before="14"/>
        <w:ind w:left="573" w:right="1133" w:hanging="106"/>
        <w:jc w:val="left"/>
      </w:pPr>
      <w:r>
        <w:rPr/>
        <w:t>（</w:t>
      </w:r>
      <w:r>
        <w:rPr>
          <w:rFonts w:ascii="Times New Roman" w:hAnsi="Times New Roman" w:cs="Times New Roman" w:eastAsia="Times New Roman" w:hint="default"/>
        </w:rPr>
        <w:t>1</w:t>
      </w:r>
      <w:r>
        <w:rPr/>
        <w:t>）信用风险显著增加</w:t>
      </w:r>
      <w:r>
        <w:rPr>
          <w:w w:val="100"/>
        </w:rPr>
        <w:t> </w:t>
      </w:r>
      <w:r>
        <w:rPr>
          <w:spacing w:val="-2"/>
        </w:rPr>
        <w:t>本公司利用可获得的合理且有依据的前瞻性信息，通过比较金融工具在资产负债表日发生违约的风险</w:t>
      </w:r>
    </w:p>
    <w:p>
      <w:pPr>
        <w:pStyle w:val="BodyText"/>
        <w:spacing w:line="273" w:lineRule="auto" w:before="22"/>
        <w:ind w:right="0"/>
        <w:jc w:val="left"/>
      </w:pPr>
      <w:r>
        <w:rPr>
          <w:spacing w:val="-2"/>
        </w:rPr>
        <w:t>与在初始确认日发生违约的风险，以确定金融工具的信用风险自初始确认后是否已显著增加。对于财务担</w:t>
      </w:r>
      <w:r>
        <w:rPr>
          <w:spacing w:val="-44"/>
        </w:rPr>
        <w:t> </w:t>
      </w:r>
      <w:r>
        <w:rPr>
          <w:spacing w:val="-44"/>
        </w:rPr>
      </w:r>
      <w:r>
        <w:rPr>
          <w:spacing w:val="-5"/>
        </w:rPr>
        <w:t>保合同，本公司在应用金融工具减值规定时，将本公司成为做出不可撤销承诺的一方之日作为初始确认日。</w:t>
      </w:r>
    </w:p>
    <w:p>
      <w:pPr>
        <w:pStyle w:val="BodyText"/>
        <w:spacing w:line="240" w:lineRule="auto"/>
        <w:ind w:left="573" w:right="1133"/>
        <w:jc w:val="left"/>
      </w:pPr>
      <w:r>
        <w:rPr/>
        <w:t>本公司在评估信用风险是否显著增加时会考虑如下因素：</w:t>
      </w:r>
    </w:p>
    <w:p>
      <w:pPr>
        <w:pStyle w:val="BodyText"/>
        <w:spacing w:line="240" w:lineRule="auto" w:before="37"/>
        <w:ind w:left="573" w:right="1133"/>
        <w:jc w:val="left"/>
      </w:pPr>
      <w:r>
        <w:rPr>
          <w:rFonts w:ascii="Times New Roman" w:hAnsi="Times New Roman" w:cs="Times New Roman" w:eastAsia="Times New Roman" w:hint="default"/>
        </w:rPr>
        <w:t>1</w:t>
      </w:r>
      <w:r>
        <w:rPr/>
        <w:t>）债务人经营成果实际或预期是否发生显著变化；</w:t>
      </w:r>
    </w:p>
    <w:p>
      <w:pPr>
        <w:pStyle w:val="BodyText"/>
        <w:spacing w:line="240" w:lineRule="auto" w:before="21"/>
        <w:ind w:left="573" w:right="1133"/>
        <w:jc w:val="left"/>
      </w:pPr>
      <w:r>
        <w:rPr>
          <w:rFonts w:ascii="Times New Roman" w:hAnsi="Times New Roman" w:cs="Times New Roman" w:eastAsia="Times New Roman" w:hint="default"/>
        </w:rPr>
        <w:t>2</w:t>
      </w:r>
      <w:r>
        <w:rPr/>
        <w:t>）债务人所处的监管、经济或技术环境是否发生显著不利变化；</w:t>
      </w:r>
    </w:p>
    <w:p>
      <w:pPr>
        <w:pStyle w:val="BodyText"/>
        <w:spacing w:line="256" w:lineRule="auto" w:before="22"/>
        <w:ind w:right="1136" w:firstLine="420"/>
        <w:jc w:val="both"/>
      </w:pPr>
      <w:r>
        <w:rPr>
          <w:rFonts w:ascii="Times New Roman" w:hAnsi="Times New Roman" w:cs="Times New Roman" w:eastAsia="Times New Roman" w:hint="default"/>
        </w:rPr>
        <w:t>3</w:t>
      </w:r>
      <w:r>
        <w:rPr/>
        <w:t>）作为债务抵押的担保物价值或第三方提供的担保或信用增级质量是否发生显著变化，这些变化预</w:t>
      </w:r>
      <w:r>
        <w:rPr>
          <w:w w:val="100"/>
        </w:rPr>
        <w:t> </w:t>
      </w:r>
      <w:r>
        <w:rPr/>
        <w:t>期将降低债务人按合同规定期限还款的经济动机或者影响违约概率；</w:t>
      </w:r>
    </w:p>
    <w:p>
      <w:pPr>
        <w:pStyle w:val="BodyText"/>
        <w:spacing w:line="240" w:lineRule="auto" w:before="22"/>
        <w:ind w:left="573" w:right="1133"/>
        <w:jc w:val="left"/>
      </w:pPr>
      <w:r>
        <w:rPr>
          <w:rFonts w:ascii="Times New Roman" w:hAnsi="Times New Roman" w:cs="Times New Roman" w:eastAsia="Times New Roman" w:hint="default"/>
        </w:rPr>
        <w:t>4</w:t>
      </w:r>
      <w:r>
        <w:rPr/>
        <w:t>）债务人预期表现和还款行为是否发生显著变化；</w:t>
      </w:r>
    </w:p>
    <w:p>
      <w:pPr>
        <w:pStyle w:val="BodyText"/>
        <w:spacing w:line="256" w:lineRule="auto" w:before="21"/>
        <w:ind w:left="573" w:right="1133"/>
        <w:jc w:val="left"/>
      </w:pPr>
      <w:r>
        <w:rPr>
          <w:rFonts w:ascii="Times New Roman" w:hAnsi="Times New Roman" w:cs="Times New Roman" w:eastAsia="Times New Roman" w:hint="default"/>
        </w:rPr>
        <w:t>5</w:t>
      </w:r>
      <w:r>
        <w:rPr/>
        <w:t>）本公司对金融工具信用管理方法是否发生变化等。</w:t>
      </w:r>
      <w:r>
        <w:rPr>
          <w:w w:val="100"/>
        </w:rPr>
        <w:t> </w:t>
      </w:r>
      <w:r>
        <w:rPr>
          <w:spacing w:val="-2"/>
        </w:rPr>
        <w:t>于资产负债表日，若本公司判断金融工具只具有较低的信用风险，则本公司假定该金融工具的信用风</w:t>
      </w:r>
    </w:p>
    <w:p>
      <w:pPr>
        <w:pStyle w:val="BodyText"/>
        <w:spacing w:line="273" w:lineRule="auto" w:before="22"/>
        <w:ind w:right="1126"/>
        <w:jc w:val="both"/>
      </w:pPr>
      <w:r>
        <w:rPr>
          <w:spacing w:val="-2"/>
        </w:rPr>
        <w:t>险自初始确认后并未显著增加。如果金融工具的违约风险较低，借款人在短期内履行其合同现金流量义务</w:t>
      </w:r>
      <w:r>
        <w:rPr>
          <w:spacing w:val="-43"/>
        </w:rPr>
        <w:t> </w:t>
      </w:r>
      <w:r>
        <w:rPr>
          <w:spacing w:val="-43"/>
        </w:rPr>
      </w:r>
      <w:r>
        <w:rPr>
          <w:spacing w:val="-2"/>
        </w:rPr>
        <w:t>的能力很强，并且即使较长时期内经济形势和经营环境存在不利变化，但未必一定降低借款人履行其合同</w:t>
      </w:r>
      <w:r>
        <w:rPr>
          <w:spacing w:val="-43"/>
        </w:rPr>
        <w:t> </w:t>
      </w:r>
      <w:r>
        <w:rPr>
          <w:spacing w:val="-43"/>
        </w:rPr>
      </w:r>
      <w:r>
        <w:rPr/>
        <w:t>现金流量义务的能力，则该金融工具被视为具有较低的信用风险。</w:t>
      </w:r>
    </w:p>
    <w:p>
      <w:pPr>
        <w:pStyle w:val="BodyText"/>
        <w:spacing w:line="240" w:lineRule="auto"/>
        <w:ind w:left="467" w:right="1133"/>
        <w:jc w:val="left"/>
      </w:pPr>
      <w:r>
        <w:rPr/>
        <w:t>（</w:t>
      </w:r>
      <w:r>
        <w:rPr>
          <w:rFonts w:ascii="Times New Roman" w:hAnsi="Times New Roman" w:cs="Times New Roman" w:eastAsia="Times New Roman" w:hint="default"/>
        </w:rPr>
        <w:t>2</w:t>
      </w:r>
      <w:r>
        <w:rPr/>
        <w:t>）已发生信用减值的金融资产</w:t>
      </w:r>
    </w:p>
    <w:p>
      <w:pPr>
        <w:spacing w:after="0" w:line="240" w:lineRule="auto"/>
        <w:jc w:val="left"/>
        <w:sectPr>
          <w:footerReference w:type="default" r:id="rId15"/>
          <w:pgSz w:w="11910" w:h="16840"/>
          <w:pgMar w:footer="980" w:header="745" w:top="1060" w:bottom="1160" w:left="980" w:right="0"/>
          <w:pgNumType w:start="101"/>
        </w:sectPr>
      </w:pPr>
    </w:p>
    <w:p>
      <w:pPr>
        <w:spacing w:line="240" w:lineRule="auto" w:before="10"/>
        <w:rPr>
          <w:rFonts w:ascii="宋体" w:hAnsi="宋体" w:cs="宋体" w:eastAsia="宋体" w:hint="default"/>
          <w:sz w:val="24"/>
          <w:szCs w:val="24"/>
        </w:rPr>
      </w:pPr>
    </w:p>
    <w:p>
      <w:pPr>
        <w:pStyle w:val="BodyText"/>
        <w:spacing w:line="273" w:lineRule="auto" w:before="36"/>
        <w:ind w:right="1126" w:firstLine="420"/>
        <w:jc w:val="both"/>
      </w:pPr>
      <w:r>
        <w:rPr>
          <w:spacing w:val="-2"/>
        </w:rPr>
        <w:t>当对金融资产预期未来现金流量具有不利影响的一项或多项事件发生时，该金融资产成为已发生信用</w:t>
      </w:r>
      <w:r>
        <w:rPr>
          <w:w w:val="100"/>
        </w:rPr>
        <w:t> </w:t>
      </w:r>
      <w:r>
        <w:rPr/>
        <w:t>减值的金融资产。金融资产已发生信用减值的证据包括下列可观察信息：</w:t>
      </w:r>
    </w:p>
    <w:p>
      <w:pPr>
        <w:pStyle w:val="BodyText"/>
        <w:spacing w:line="240" w:lineRule="auto"/>
        <w:ind w:left="573" w:right="1133"/>
        <w:jc w:val="left"/>
      </w:pPr>
      <w:r>
        <w:rPr>
          <w:rFonts w:ascii="Times New Roman" w:hAnsi="Times New Roman" w:cs="Times New Roman" w:eastAsia="Times New Roman" w:hint="default"/>
        </w:rPr>
        <w:t>1</w:t>
      </w:r>
      <w:r>
        <w:rPr/>
        <w:t>）发行方或债务人发生重大财务困难；</w:t>
      </w:r>
    </w:p>
    <w:p>
      <w:pPr>
        <w:pStyle w:val="BodyText"/>
        <w:spacing w:line="240" w:lineRule="auto" w:before="21"/>
        <w:ind w:left="573" w:right="1133"/>
        <w:jc w:val="left"/>
      </w:pPr>
      <w:r>
        <w:rPr>
          <w:rFonts w:ascii="Times New Roman" w:hAnsi="Times New Roman" w:cs="Times New Roman" w:eastAsia="Times New Roman" w:hint="default"/>
        </w:rPr>
        <w:t>2</w:t>
      </w:r>
      <w:r>
        <w:rPr/>
        <w:t>）债务人违反合同，如偿付利息或本金违约或逾期等；</w:t>
      </w:r>
    </w:p>
    <w:p>
      <w:pPr>
        <w:pStyle w:val="BodyText"/>
        <w:spacing w:line="256" w:lineRule="auto" w:before="21"/>
        <w:ind w:right="1136" w:firstLine="420"/>
        <w:jc w:val="both"/>
      </w:pPr>
      <w:r>
        <w:rPr>
          <w:rFonts w:ascii="Times New Roman" w:hAnsi="Times New Roman" w:cs="Times New Roman" w:eastAsia="Times New Roman" w:hint="default"/>
        </w:rPr>
        <w:t>3</w:t>
      </w:r>
      <w:r>
        <w:rPr/>
        <w:t>）债权人出于与债务人财务困难有关的经济或合同考虑，给予债务人在任何其他情况下都不会做出</w:t>
      </w:r>
      <w:r>
        <w:rPr>
          <w:w w:val="100"/>
        </w:rPr>
        <w:t> </w:t>
      </w:r>
      <w:r>
        <w:rPr/>
        <w:t>的让步；</w:t>
      </w:r>
    </w:p>
    <w:p>
      <w:pPr>
        <w:pStyle w:val="BodyText"/>
        <w:spacing w:line="240" w:lineRule="auto" w:before="22"/>
        <w:ind w:left="573" w:right="1133"/>
        <w:jc w:val="left"/>
      </w:pPr>
      <w:r>
        <w:rPr>
          <w:rFonts w:ascii="Times New Roman" w:hAnsi="Times New Roman" w:cs="Times New Roman" w:eastAsia="Times New Roman" w:hint="default"/>
        </w:rPr>
        <w:t>4</w:t>
      </w:r>
      <w:r>
        <w:rPr/>
        <w:t>）债务人很可能破产或进行其他财务重组；</w:t>
      </w:r>
    </w:p>
    <w:p>
      <w:pPr>
        <w:pStyle w:val="BodyText"/>
        <w:spacing w:line="264" w:lineRule="auto" w:before="21"/>
        <w:ind w:left="573" w:right="1133"/>
        <w:jc w:val="left"/>
      </w:pPr>
      <w:r>
        <w:rPr>
          <w:rFonts w:ascii="Times New Roman" w:hAnsi="Times New Roman" w:cs="Times New Roman" w:eastAsia="Times New Roman" w:hint="default"/>
        </w:rPr>
        <w:t>5</w:t>
      </w:r>
      <w:r>
        <w:rPr/>
        <w:t>）发行方或债务人财务困难导致该金融资产的活跃市场消失；</w:t>
      </w:r>
      <w:r>
        <w:rPr>
          <w:w w:val="100"/>
        </w:rPr>
        <w:t> </w:t>
      </w:r>
      <w:r>
        <w:rPr/>
        <w:t>以大幅折扣购买或源生一项金融资产，该折扣反映了发生信用损失的事实。</w:t>
      </w:r>
      <w:r>
        <w:rPr>
          <w:w w:val="100"/>
        </w:rPr>
        <w:t> </w:t>
      </w:r>
      <w:r>
        <w:rPr>
          <w:spacing w:val="-2"/>
        </w:rPr>
        <w:t>金融资产发生信用减值，有可能是多个事件的共同作用所致，未必是可单独识别的事件所致。</w:t>
      </w:r>
    </w:p>
    <w:p>
      <w:pPr>
        <w:pStyle w:val="BodyText"/>
        <w:spacing w:line="256" w:lineRule="auto" w:before="136"/>
        <w:ind w:left="573" w:right="1133" w:hanging="106"/>
        <w:jc w:val="left"/>
      </w:pPr>
      <w:r>
        <w:rPr/>
        <w:t>（</w:t>
      </w:r>
      <w:r>
        <w:rPr>
          <w:rFonts w:ascii="Times New Roman" w:hAnsi="Times New Roman" w:cs="Times New Roman" w:eastAsia="Times New Roman" w:hint="default"/>
        </w:rPr>
        <w:t>3</w:t>
      </w:r>
      <w:r>
        <w:rPr/>
        <w:t>）预期信用损失的确定</w:t>
      </w:r>
      <w:r>
        <w:rPr>
          <w:w w:val="100"/>
        </w:rPr>
        <w:t> </w:t>
      </w:r>
      <w:r>
        <w:rPr>
          <w:spacing w:val="-2"/>
        </w:rPr>
        <w:t>本公司基于单项和组合评估金融工具的预期信用损失，在评估预期信用损失时，考虑有关过去事项、</w:t>
      </w:r>
    </w:p>
    <w:p>
      <w:pPr>
        <w:pStyle w:val="BodyText"/>
        <w:spacing w:line="273" w:lineRule="auto" w:before="23"/>
        <w:ind w:left="573" w:right="0" w:hanging="421"/>
        <w:jc w:val="left"/>
      </w:pPr>
      <w:r>
        <w:rPr/>
        <w:t>当前状况以及未来经济状况预测的合理且有依据的信息。</w:t>
      </w:r>
      <w:r>
        <w:rPr>
          <w:w w:val="100"/>
        </w:rPr>
        <w:t> </w:t>
      </w:r>
      <w:r>
        <w:rPr>
          <w:spacing w:val="-5"/>
        </w:rPr>
        <w:t>本公司以共同信用风险特征为依据，将金融工具分为不同组合。本公司采用的共同信用风险特征包括：</w:t>
      </w:r>
    </w:p>
    <w:p>
      <w:pPr>
        <w:pStyle w:val="BodyText"/>
        <w:spacing w:line="273" w:lineRule="auto"/>
        <w:ind w:right="1133"/>
        <w:jc w:val="left"/>
      </w:pPr>
      <w:r>
        <w:rPr>
          <w:spacing w:val="-2"/>
        </w:rPr>
        <w:t>金融工具类型、信用风险评级、账龄组合、逾期账龄组合、合同结算周期、债务人所处行业等。相关金融</w:t>
      </w:r>
      <w:r>
        <w:rPr>
          <w:spacing w:val="-42"/>
        </w:rPr>
        <w:t> </w:t>
      </w:r>
      <w:r>
        <w:rPr>
          <w:spacing w:val="-42"/>
        </w:rPr>
      </w:r>
      <w:r>
        <w:rPr/>
        <w:t>工具的单项评估标准和组合信用风险特征详见相关金融工具的会计政策。</w:t>
      </w:r>
    </w:p>
    <w:p>
      <w:pPr>
        <w:pStyle w:val="BodyText"/>
        <w:spacing w:line="240" w:lineRule="auto"/>
        <w:ind w:left="573" w:right="1133"/>
        <w:jc w:val="left"/>
      </w:pPr>
      <w:r>
        <w:rPr/>
        <w:t>本公司按照下列方法确定相关金融工具的预期信用损失：</w:t>
      </w:r>
    </w:p>
    <w:p>
      <w:pPr>
        <w:pStyle w:val="BodyText"/>
        <w:spacing w:line="240" w:lineRule="auto" w:before="37"/>
        <w:ind w:left="573" w:right="0"/>
        <w:jc w:val="left"/>
      </w:pPr>
      <w:r>
        <w:rPr>
          <w:rFonts w:ascii="Times New Roman" w:hAnsi="Times New Roman" w:cs="Times New Roman" w:eastAsia="Times New Roman" w:hint="default"/>
        </w:rPr>
        <w:t>1</w:t>
      </w:r>
      <w:r>
        <w:rPr/>
        <w:t>）对于金融资产，信用损失为本公司应收取的合同现金流量与预期收取的现金流量之间差额的现值。</w:t>
      </w:r>
    </w:p>
    <w:p>
      <w:pPr>
        <w:pStyle w:val="BodyText"/>
        <w:spacing w:line="256" w:lineRule="auto" w:before="21"/>
        <w:ind w:right="1136" w:firstLine="420"/>
        <w:jc w:val="both"/>
      </w:pPr>
      <w:r>
        <w:rPr>
          <w:rFonts w:ascii="Times New Roman" w:hAnsi="Times New Roman" w:cs="Times New Roman" w:eastAsia="Times New Roman" w:hint="default"/>
        </w:rPr>
        <w:t>2</w:t>
      </w:r>
      <w:r>
        <w:rPr/>
        <w:t>）对于财务担保合同，信用损失为本公司就该合同持有人发生的信用损失向其做出赔付的预计付款</w:t>
      </w:r>
      <w:r>
        <w:rPr>
          <w:w w:val="100"/>
        </w:rPr>
        <w:t> </w:t>
      </w:r>
      <w:r>
        <w:rPr/>
        <w:t>额，减去本公司预期向该合同持有人、债务人或任何其他方收取的金额之间差额的现值。</w:t>
      </w:r>
    </w:p>
    <w:p>
      <w:pPr>
        <w:pStyle w:val="BodyText"/>
        <w:spacing w:line="256" w:lineRule="auto" w:before="22"/>
        <w:ind w:right="1136" w:firstLine="420"/>
        <w:jc w:val="both"/>
      </w:pPr>
      <w:r>
        <w:rPr>
          <w:rFonts w:ascii="Times New Roman" w:hAnsi="Times New Roman" w:cs="Times New Roman" w:eastAsia="Times New Roman" w:hint="default"/>
        </w:rPr>
        <w:t>3</w:t>
      </w:r>
      <w:r>
        <w:rPr/>
        <w:t>）对于资产负债表日已发生信用减值但并非购买或源生已发生信用减值的金融资产，信用损失为该</w:t>
      </w:r>
      <w:r>
        <w:rPr>
          <w:w w:val="100"/>
        </w:rPr>
        <w:t> </w:t>
      </w:r>
      <w:r>
        <w:rPr/>
        <w:t>金融资产账面余额与按原实际利率折现的估计未来现金流量的现值之间的差额。</w:t>
      </w:r>
    </w:p>
    <w:p>
      <w:pPr>
        <w:pStyle w:val="BodyText"/>
        <w:spacing w:line="273" w:lineRule="auto" w:before="22"/>
        <w:ind w:right="1126" w:firstLine="420"/>
        <w:jc w:val="both"/>
      </w:pPr>
      <w:r>
        <w:rPr>
          <w:spacing w:val="-2"/>
        </w:rPr>
        <w:t>本公司计量金融工具预期信用损失的方法反映的因素包括：通过评价一系列可能的结果而确定的无偏</w:t>
      </w:r>
      <w:r>
        <w:rPr>
          <w:w w:val="100"/>
        </w:rPr>
        <w:t> </w:t>
      </w:r>
      <w:r>
        <w:rPr>
          <w:spacing w:val="-2"/>
        </w:rPr>
        <w:t>概率加权平均金额；货币时间价值；在资产负债表日无须付出不必要的额外成本或努力即可获得的有关过</w:t>
      </w:r>
      <w:r>
        <w:rPr>
          <w:spacing w:val="-42"/>
        </w:rPr>
        <w:t> </w:t>
      </w:r>
      <w:r>
        <w:rPr>
          <w:spacing w:val="-42"/>
        </w:rPr>
      </w:r>
      <w:r>
        <w:rPr/>
        <w:t>去事项、当前状况以及未来经济状况预测的合理且有依据的信息。</w:t>
      </w:r>
    </w:p>
    <w:p>
      <w:pPr>
        <w:pStyle w:val="BodyText"/>
        <w:spacing w:line="256" w:lineRule="auto" w:before="127"/>
        <w:ind w:left="573" w:right="1133" w:hanging="106"/>
        <w:jc w:val="left"/>
      </w:pPr>
      <w:r>
        <w:rPr/>
        <w:t>（</w:t>
      </w:r>
      <w:r>
        <w:rPr>
          <w:rFonts w:ascii="Times New Roman" w:hAnsi="Times New Roman" w:cs="Times New Roman" w:eastAsia="Times New Roman" w:hint="default"/>
        </w:rPr>
        <w:t>4</w:t>
      </w:r>
      <w:r>
        <w:rPr/>
        <w:t>）减记金融资产</w:t>
      </w:r>
      <w:r>
        <w:rPr>
          <w:w w:val="100"/>
        </w:rPr>
        <w:t> </w:t>
      </w:r>
      <w:r>
        <w:rPr>
          <w:spacing w:val="-2"/>
        </w:rPr>
        <w:t>当本公司不再合理预期金融资产合同现金流量能够全部或部分收回的，直接减记该金融资产的账面余</w:t>
      </w:r>
    </w:p>
    <w:p>
      <w:pPr>
        <w:pStyle w:val="BodyText"/>
        <w:spacing w:line="240" w:lineRule="auto" w:before="22"/>
        <w:ind w:right="1133"/>
        <w:jc w:val="left"/>
      </w:pPr>
      <w:r>
        <w:rPr/>
        <w:t>额。这种减记构成相关金融资产的终止确认。</w:t>
      </w:r>
    </w:p>
    <w:p>
      <w:pPr>
        <w:spacing w:line="256" w:lineRule="auto" w:before="37"/>
        <w:ind w:left="573" w:right="1133"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金融资产及金融负债的抵销</w:t>
      </w:r>
      <w:r>
        <w:rPr>
          <w:rFonts w:ascii="宋体" w:hAnsi="宋体" w:cs="宋体" w:eastAsia="宋体" w:hint="default"/>
          <w:b/>
          <w:bCs/>
          <w:w w:val="100"/>
          <w:sz w:val="21"/>
          <w:szCs w:val="21"/>
        </w:rPr>
        <w:t> </w:t>
      </w:r>
      <w:r>
        <w:rPr>
          <w:rFonts w:ascii="宋体" w:hAnsi="宋体" w:cs="宋体" w:eastAsia="宋体" w:hint="default"/>
          <w:spacing w:val="-2"/>
          <w:sz w:val="21"/>
          <w:szCs w:val="21"/>
        </w:rPr>
        <w:t>金融资产和金融负债在资产负债表内分别列示，没有相互抵销。但是，同时满足下列条件的，以相互</w:t>
      </w:r>
    </w:p>
    <w:p>
      <w:pPr>
        <w:pStyle w:val="BodyText"/>
        <w:spacing w:line="240" w:lineRule="auto" w:before="22"/>
        <w:ind w:right="1133"/>
        <w:jc w:val="left"/>
      </w:pPr>
      <w:r>
        <w:rPr/>
        <w:t>抵销后的净额在资产负债表内列示：</w:t>
      </w:r>
    </w:p>
    <w:p>
      <w:pPr>
        <w:pStyle w:val="BodyText"/>
        <w:spacing w:line="240" w:lineRule="auto" w:before="37"/>
        <w:ind w:left="573" w:right="1133"/>
        <w:jc w:val="left"/>
      </w:pPr>
      <w:r>
        <w:rPr/>
        <w:t>（</w:t>
      </w:r>
      <w:r>
        <w:rPr>
          <w:rFonts w:ascii="Times New Roman" w:hAnsi="Times New Roman" w:cs="Times New Roman" w:eastAsia="Times New Roman" w:hint="default"/>
        </w:rPr>
        <w:t>1</w:t>
      </w:r>
      <w:r>
        <w:rPr/>
        <w:t>）本公司具有抵销已确认金额的法定权利，且该种法定权利是当前可执行的；</w:t>
      </w:r>
    </w:p>
    <w:p>
      <w:pPr>
        <w:pStyle w:val="BodyText"/>
        <w:spacing w:line="240" w:lineRule="auto" w:before="21"/>
        <w:ind w:left="573" w:right="1133"/>
        <w:jc w:val="left"/>
      </w:pPr>
      <w:r>
        <w:rPr/>
        <w:t>（</w:t>
      </w:r>
      <w:r>
        <w:rPr>
          <w:rFonts w:ascii="Times New Roman" w:hAnsi="Times New Roman" w:cs="Times New Roman" w:eastAsia="Times New Roman" w:hint="default"/>
        </w:rPr>
        <w:t>2</w:t>
      </w:r>
      <w:r>
        <w:rPr/>
        <w:t>）本公司计划以净额结算，或同时变现该金融资产和清偿该金融负债。</w:t>
      </w:r>
    </w:p>
    <w:p>
      <w:pPr>
        <w:spacing w:line="240" w:lineRule="auto" w:before="8"/>
        <w:rPr>
          <w:rFonts w:ascii="宋体" w:hAnsi="宋体" w:cs="宋体" w:eastAsia="宋体" w:hint="default"/>
          <w:sz w:val="24"/>
          <w:szCs w:val="24"/>
        </w:rPr>
      </w:pPr>
    </w:p>
    <w:p>
      <w:pPr>
        <w:pStyle w:val="Heading4"/>
        <w:spacing w:line="240" w:lineRule="auto"/>
        <w:ind w:right="1133"/>
        <w:jc w:val="left"/>
        <w:rPr>
          <w:b w:val="0"/>
          <w:bCs w:val="0"/>
        </w:rPr>
      </w:pPr>
      <w:bookmarkStart w:name="9、应收票据" w:id="179"/>
      <w:bookmarkEnd w:id="179"/>
      <w:r>
        <w:rPr>
          <w:b w:val="0"/>
          <w:bCs w:val="0"/>
        </w:rPr>
      </w:r>
      <w:r>
        <w:rPr>
          <w:rFonts w:ascii="Times New Roman" w:hAnsi="Times New Roman" w:cs="Times New Roman" w:eastAsia="Times New Roman" w:hint="default"/>
        </w:rPr>
        <w:t>9</w:t>
      </w:r>
      <w:r>
        <w:rPr/>
        <w:t>、应收票据</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right="1126" w:firstLine="420"/>
        <w:jc w:val="both"/>
      </w:pPr>
      <w:r>
        <w:rPr>
          <w:spacing w:val="-3"/>
        </w:rPr>
        <w:t>本公司对应收票据的预期信用损失的确定方法及会计处理方法详见本附注五、</w:t>
      </w:r>
      <w:r>
        <w:rPr>
          <w:rFonts w:ascii="Times New Roman" w:hAnsi="Times New Roman" w:cs="Times New Roman" w:eastAsia="Times New Roman" w:hint="default"/>
          <w:spacing w:val="-3"/>
        </w:rPr>
        <w:t>8</w:t>
      </w:r>
      <w:r>
        <w:rPr>
          <w:spacing w:val="-3"/>
        </w:rPr>
        <w:t>金融工具之</w:t>
      </w:r>
      <w:r>
        <w:rPr>
          <w:rFonts w:ascii="Times New Roman" w:hAnsi="Times New Roman" w:cs="Times New Roman" w:eastAsia="Times New Roman" w:hint="default"/>
          <w:spacing w:val="-3"/>
        </w:rPr>
        <w:t>6.</w:t>
      </w:r>
      <w:r>
        <w:rPr>
          <w:spacing w:val="-3"/>
        </w:rPr>
        <w:t>金融工具</w:t>
      </w:r>
      <w:r>
        <w:rPr>
          <w:w w:val="100"/>
        </w:rPr>
        <w:t> </w:t>
      </w:r>
      <w:r>
        <w:rPr/>
        <w:t>减值。</w:t>
      </w:r>
    </w:p>
    <w:p>
      <w:pPr>
        <w:pStyle w:val="BodyText"/>
        <w:spacing w:line="273" w:lineRule="auto" w:before="22"/>
        <w:ind w:right="1140" w:firstLine="420"/>
        <w:jc w:val="both"/>
      </w:pPr>
      <w:r>
        <w:rPr>
          <w:spacing w:val="2"/>
        </w:rPr>
        <w:t>本公司对在单项工具层面能以合理成本评估预期信用损失的充分证据的应收票据单独确定其信用损</w:t>
      </w:r>
      <w:r>
        <w:rPr>
          <w:w w:val="100"/>
        </w:rPr>
        <w:t> </w:t>
      </w:r>
      <w:r>
        <w:rPr/>
        <w:t>失。</w:t>
      </w:r>
    </w:p>
    <w:p>
      <w:pPr>
        <w:pStyle w:val="BodyText"/>
        <w:spacing w:line="273" w:lineRule="auto"/>
        <w:ind w:right="1104" w:firstLine="420"/>
        <w:jc w:val="both"/>
      </w:pPr>
      <w:r>
        <w:rPr>
          <w:spacing w:val="-2"/>
        </w:rPr>
        <w:t>当在单项工具层面无法以合理成本评估预期信用损失的充分证据时，本公司参考历史信用损失经验，</w:t>
      </w:r>
      <w:r>
        <w:rPr>
          <w:w w:val="100"/>
        </w:rPr>
        <w:t> </w:t>
      </w:r>
      <w:r>
        <w:rPr>
          <w:spacing w:val="-2"/>
        </w:rPr>
        <w:t>结合当前状况以及对未来经济状况的判断，依据信用风险特征将应收票据划分为若干组合，在组合基础上</w:t>
      </w:r>
      <w:r>
        <w:rPr>
          <w:spacing w:val="-43"/>
        </w:rPr>
        <w:t> </w:t>
      </w:r>
      <w:r>
        <w:rPr>
          <w:spacing w:val="-43"/>
        </w:rPr>
      </w:r>
      <w:r>
        <w:rPr/>
        <w:t>计算预期信用损失。确定组合的依据如下：</w:t>
      </w:r>
    </w:p>
    <w:p>
      <w:pPr>
        <w:spacing w:after="0" w:line="273" w:lineRule="auto"/>
        <w:jc w:val="both"/>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1522"/>
        <w:gridCol w:w="5067"/>
        <w:gridCol w:w="3070"/>
      </w:tblGrid>
      <w:tr>
        <w:trPr>
          <w:trHeight w:val="341"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96"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5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655"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65"/>
              <w:jc w:val="left"/>
              <w:rPr>
                <w:rFonts w:ascii="宋体" w:hAnsi="宋体" w:cs="宋体" w:eastAsia="宋体" w:hint="default"/>
                <w:sz w:val="18"/>
                <w:szCs w:val="18"/>
              </w:rPr>
            </w:pPr>
            <w:r>
              <w:rPr>
                <w:rFonts w:ascii="宋体" w:hAnsi="宋体" w:cs="宋体" w:eastAsia="宋体" w:hint="default"/>
                <w:sz w:val="18"/>
                <w:szCs w:val="18"/>
              </w:rPr>
              <w:t>无风险银行承兑票 据组合</w:t>
            </w:r>
          </w:p>
        </w:tc>
        <w:tc>
          <w:tcPr>
            <w:tcW w:w="50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8"/>
              <w:jc w:val="left"/>
              <w:rPr>
                <w:rFonts w:ascii="宋体" w:hAnsi="宋体" w:cs="宋体" w:eastAsia="宋体" w:hint="default"/>
                <w:sz w:val="18"/>
                <w:szCs w:val="18"/>
              </w:rPr>
            </w:pPr>
            <w:r>
              <w:rPr>
                <w:rFonts w:ascii="宋体" w:hAnsi="宋体" w:cs="宋体" w:eastAsia="宋体" w:hint="default"/>
                <w:sz w:val="18"/>
                <w:szCs w:val="18"/>
              </w:rPr>
              <w:t>出票人具有较高的信用评级，历史上未发生票据违约，信用损失 风险极低，在短期内履行其支付合同现金流量义务的能力很强</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不计提预期信用损失</w:t>
            </w:r>
          </w:p>
        </w:tc>
      </w:tr>
      <w:tr>
        <w:trPr>
          <w:trHeight w:val="653"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65"/>
              <w:jc w:val="left"/>
              <w:rPr>
                <w:rFonts w:ascii="宋体" w:hAnsi="宋体" w:cs="宋体" w:eastAsia="宋体" w:hint="default"/>
                <w:sz w:val="18"/>
                <w:szCs w:val="18"/>
              </w:rPr>
            </w:pPr>
            <w:r>
              <w:rPr>
                <w:rFonts w:ascii="宋体" w:hAnsi="宋体" w:cs="宋体" w:eastAsia="宋体" w:hint="default"/>
                <w:sz w:val="18"/>
                <w:szCs w:val="18"/>
              </w:rPr>
              <w:t>关联企业商业承兑 票据组合</w:t>
            </w:r>
          </w:p>
        </w:tc>
        <w:tc>
          <w:tcPr>
            <w:tcW w:w="50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8"/>
              <w:jc w:val="left"/>
              <w:rPr>
                <w:rFonts w:ascii="宋体" w:hAnsi="宋体" w:cs="宋体" w:eastAsia="宋体" w:hint="default"/>
                <w:sz w:val="18"/>
                <w:szCs w:val="18"/>
              </w:rPr>
            </w:pPr>
            <w:r>
              <w:rPr>
                <w:rFonts w:ascii="宋体" w:hAnsi="宋体" w:cs="宋体" w:eastAsia="宋体" w:hint="default"/>
                <w:sz w:val="18"/>
                <w:szCs w:val="18"/>
              </w:rPr>
              <w:t>出票人为电科集团及其下属企业，历史上未发生票据违约，信用 损失风险极低。</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不计提预期信用损失</w:t>
            </w:r>
          </w:p>
        </w:tc>
      </w:tr>
      <w:tr>
        <w:trPr>
          <w:trHeight w:val="655"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65"/>
              <w:jc w:val="left"/>
              <w:rPr>
                <w:rFonts w:ascii="宋体" w:hAnsi="宋体" w:cs="宋体" w:eastAsia="宋体" w:hint="default"/>
                <w:sz w:val="18"/>
                <w:szCs w:val="18"/>
              </w:rPr>
            </w:pPr>
            <w:r>
              <w:rPr>
                <w:rFonts w:ascii="宋体" w:hAnsi="宋体" w:cs="宋体" w:eastAsia="宋体" w:hint="default"/>
                <w:sz w:val="18"/>
                <w:szCs w:val="18"/>
              </w:rPr>
              <w:t>其他商业承兑票据 组合</w:t>
            </w:r>
          </w:p>
        </w:tc>
        <w:tc>
          <w:tcPr>
            <w:tcW w:w="5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出票人为非电科集团及其下属企业。</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71"/>
              <w:jc w:val="left"/>
              <w:rPr>
                <w:rFonts w:ascii="宋体" w:hAnsi="宋体" w:cs="宋体" w:eastAsia="宋体" w:hint="default"/>
                <w:sz w:val="18"/>
                <w:szCs w:val="18"/>
              </w:rPr>
            </w:pPr>
            <w:r>
              <w:rPr>
                <w:rFonts w:ascii="宋体" w:hAnsi="宋体" w:cs="宋体" w:eastAsia="宋体" w:hint="default"/>
                <w:sz w:val="18"/>
                <w:szCs w:val="18"/>
              </w:rPr>
              <w:t>参考历史信用损失经验计提预期信用 损失</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10、应收账款" w:id="180"/>
      <w:bookmarkEnd w:id="180"/>
      <w:r>
        <w:rPr>
          <w:b w:val="0"/>
          <w:bCs w:val="0"/>
        </w:rPr>
      </w:r>
      <w:r>
        <w:rPr>
          <w:rFonts w:ascii="Times New Roman" w:hAnsi="Times New Roman" w:cs="Times New Roman" w:eastAsia="Times New Roman" w:hint="default"/>
        </w:rPr>
        <w:t>10</w:t>
      </w:r>
      <w:r>
        <w:rPr/>
        <w:t>、应收账款</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before="0"/>
        <w:ind w:right="1126" w:firstLine="420"/>
        <w:jc w:val="both"/>
      </w:pPr>
      <w:r>
        <w:rPr>
          <w:spacing w:val="-3"/>
        </w:rPr>
        <w:t>本公司对应收账款的预期信用损失的确定方法及会计处理方法详见本附注五、</w:t>
      </w:r>
      <w:r>
        <w:rPr>
          <w:rFonts w:ascii="Times New Roman" w:hAnsi="Times New Roman" w:cs="Times New Roman" w:eastAsia="Times New Roman" w:hint="default"/>
          <w:spacing w:val="-3"/>
        </w:rPr>
        <w:t>8</w:t>
      </w:r>
      <w:r>
        <w:rPr>
          <w:spacing w:val="-3"/>
        </w:rPr>
        <w:t>金融工具之</w:t>
      </w:r>
      <w:r>
        <w:rPr>
          <w:rFonts w:ascii="Times New Roman" w:hAnsi="Times New Roman" w:cs="Times New Roman" w:eastAsia="Times New Roman" w:hint="default"/>
          <w:spacing w:val="-3"/>
        </w:rPr>
        <w:t>6.</w:t>
      </w:r>
      <w:r>
        <w:rPr>
          <w:spacing w:val="-3"/>
        </w:rPr>
        <w:t>金融工具</w:t>
      </w:r>
      <w:r>
        <w:rPr>
          <w:w w:val="100"/>
        </w:rPr>
        <w:t> </w:t>
      </w:r>
      <w:r>
        <w:rPr/>
        <w:t>减值。</w:t>
      </w:r>
    </w:p>
    <w:p>
      <w:pPr>
        <w:pStyle w:val="BodyText"/>
        <w:spacing w:line="273" w:lineRule="auto" w:before="23"/>
        <w:ind w:right="1139" w:firstLine="420"/>
        <w:jc w:val="both"/>
      </w:pPr>
      <w:r>
        <w:rPr>
          <w:spacing w:val="2"/>
        </w:rPr>
        <w:t>本公司对在单项工具层面能以合理成本评估预期信用损失的充分证据的应收账款单独确定其信用损</w:t>
      </w:r>
      <w:r>
        <w:rPr>
          <w:w w:val="100"/>
        </w:rPr>
        <w:t> </w:t>
      </w:r>
      <w:r>
        <w:rPr/>
        <w:t>失。</w:t>
      </w:r>
    </w:p>
    <w:p>
      <w:pPr>
        <w:pStyle w:val="BodyText"/>
        <w:spacing w:line="273" w:lineRule="auto"/>
        <w:ind w:right="1104" w:firstLine="420"/>
        <w:jc w:val="both"/>
      </w:pPr>
      <w:r>
        <w:rPr>
          <w:spacing w:val="-2"/>
        </w:rPr>
        <w:t>当在单项工具层面无法以合理成本评估预期信用损失的充分证据时，本公司参考历史信用损失经验，</w:t>
      </w:r>
      <w:r>
        <w:rPr>
          <w:w w:val="100"/>
        </w:rPr>
        <w:t> </w:t>
      </w:r>
      <w:r>
        <w:rPr>
          <w:spacing w:val="-2"/>
        </w:rPr>
        <w:t>结合当前状况以及对未来经济状况的判断，依据信用风险特征将应收账款划分为若干组合，在组合基础上</w:t>
      </w:r>
      <w:r>
        <w:rPr>
          <w:spacing w:val="-43"/>
        </w:rPr>
        <w:t> </w:t>
      </w:r>
      <w:r>
        <w:rPr>
          <w:spacing w:val="-43"/>
        </w:rPr>
      </w:r>
      <w:r>
        <w:rPr/>
        <w:t>计算预期信用损失。确定组合的依据如下：</w:t>
      </w:r>
    </w:p>
    <w:tbl>
      <w:tblPr>
        <w:tblW w:w="0" w:type="auto"/>
        <w:jc w:val="left"/>
        <w:tblInd w:w="138" w:type="dxa"/>
        <w:tblLayout w:type="fixed"/>
        <w:tblCellMar>
          <w:top w:w="0" w:type="dxa"/>
          <w:left w:w="0" w:type="dxa"/>
          <w:bottom w:w="0" w:type="dxa"/>
          <w:right w:w="0" w:type="dxa"/>
        </w:tblCellMar>
        <w:tblLook w:val="01E0"/>
      </w:tblPr>
      <w:tblGrid>
        <w:gridCol w:w="1522"/>
        <w:gridCol w:w="5067"/>
        <w:gridCol w:w="3070"/>
      </w:tblGrid>
      <w:tr>
        <w:trPr>
          <w:trHeight w:val="341"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96"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5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655"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50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4"/>
              <w:jc w:val="left"/>
              <w:rPr>
                <w:rFonts w:ascii="宋体" w:hAnsi="宋体" w:cs="宋体" w:eastAsia="宋体" w:hint="default"/>
                <w:sz w:val="18"/>
                <w:szCs w:val="18"/>
              </w:rPr>
            </w:pPr>
            <w:r>
              <w:rPr>
                <w:rFonts w:ascii="宋体" w:hAnsi="宋体" w:cs="宋体" w:eastAsia="宋体" w:hint="default"/>
                <w:sz w:val="18"/>
                <w:szCs w:val="18"/>
              </w:rPr>
              <w:t>本公司根据以往的历史经验对应收款项预期信用损失计提比例作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出合理估计，参考应收款项的账龄进行信用风险组合分类</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3"/>
              <w:jc w:val="left"/>
              <w:rPr>
                <w:rFonts w:ascii="宋体" w:hAnsi="宋体" w:cs="宋体" w:eastAsia="宋体" w:hint="default"/>
                <w:sz w:val="18"/>
                <w:szCs w:val="18"/>
              </w:rPr>
            </w:pPr>
            <w:r>
              <w:rPr>
                <w:rFonts w:ascii="宋体" w:hAnsi="宋体" w:cs="宋体" w:eastAsia="宋体" w:hint="default"/>
                <w:spacing w:val="9"/>
                <w:sz w:val="18"/>
                <w:szCs w:val="18"/>
              </w:rPr>
              <w:t>按账龄与整个存续期预期信用损失率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对照表计提</w:t>
            </w:r>
          </w:p>
        </w:tc>
      </w:tr>
    </w:tbl>
    <w:p>
      <w:pPr>
        <w:spacing w:line="240" w:lineRule="auto" w:before="10"/>
        <w:rPr>
          <w:rFonts w:ascii="宋体" w:hAnsi="宋体" w:cs="宋体" w:eastAsia="宋体" w:hint="default"/>
          <w:sz w:val="20"/>
          <w:szCs w:val="20"/>
        </w:rPr>
      </w:pPr>
    </w:p>
    <w:p>
      <w:pPr>
        <w:pStyle w:val="Heading4"/>
        <w:spacing w:line="240" w:lineRule="auto" w:before="36"/>
        <w:ind w:right="1133"/>
        <w:jc w:val="left"/>
        <w:rPr>
          <w:b w:val="0"/>
          <w:bCs w:val="0"/>
        </w:rPr>
      </w:pPr>
      <w:bookmarkStart w:name="11、其他应收款" w:id="181"/>
      <w:bookmarkEnd w:id="181"/>
      <w:r>
        <w:rPr>
          <w:b w:val="0"/>
          <w:bCs w:val="0"/>
        </w:rPr>
      </w:r>
      <w:r>
        <w:rPr>
          <w:rFonts w:ascii="Times New Roman" w:hAnsi="Times New Roman" w:cs="Times New Roman" w:eastAsia="Times New Roman" w:hint="default"/>
        </w:rPr>
        <w:t>11</w:t>
      </w:r>
      <w:r>
        <w:rPr/>
        <w:t>、其他应收款</w:t>
      </w:r>
      <w:r>
        <w:rPr>
          <w:b w:val="0"/>
          <w:bCs w:val="0"/>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其他应收款的预期信用损失的确定方法及会计处理方法</w:t>
      </w:r>
    </w:p>
    <w:p>
      <w:pPr>
        <w:pStyle w:val="BodyText"/>
        <w:spacing w:line="256" w:lineRule="auto" w:before="96"/>
        <w:ind w:right="1126" w:firstLine="420"/>
        <w:jc w:val="both"/>
      </w:pPr>
      <w:r>
        <w:rPr>
          <w:spacing w:val="-3"/>
        </w:rPr>
        <w:t>本公司对其他应收款的预期信用损失的确定方法及会计处理方法详见本附注五、</w:t>
      </w:r>
      <w:r>
        <w:rPr>
          <w:rFonts w:ascii="Times New Roman" w:hAnsi="Times New Roman" w:cs="Times New Roman" w:eastAsia="Times New Roman" w:hint="default"/>
          <w:spacing w:val="-3"/>
        </w:rPr>
        <w:t>8</w:t>
      </w:r>
      <w:r>
        <w:rPr>
          <w:spacing w:val="-3"/>
        </w:rPr>
        <w:t>金融工具之</w:t>
      </w:r>
      <w:r>
        <w:rPr>
          <w:rFonts w:ascii="Times New Roman" w:hAnsi="Times New Roman" w:cs="Times New Roman" w:eastAsia="Times New Roman" w:hint="default"/>
          <w:spacing w:val="-3"/>
        </w:rPr>
        <w:t>6.</w:t>
      </w:r>
      <w:r>
        <w:rPr>
          <w:spacing w:val="-3"/>
        </w:rPr>
        <w:t>金融工</w:t>
      </w:r>
      <w:r>
        <w:rPr>
          <w:w w:val="100"/>
        </w:rPr>
        <w:t> </w:t>
      </w:r>
      <w:r>
        <w:rPr/>
        <w:t>具减值。</w:t>
      </w:r>
    </w:p>
    <w:p>
      <w:pPr>
        <w:pStyle w:val="BodyText"/>
        <w:spacing w:line="273" w:lineRule="auto" w:before="22"/>
        <w:ind w:right="1140" w:firstLine="420"/>
        <w:jc w:val="both"/>
      </w:pPr>
      <w:r>
        <w:rPr>
          <w:spacing w:val="2"/>
        </w:rPr>
        <w:t>本公司对在单项工具层面能以合理成本评估预期信用损失的充分证据的其他应收款单独确定其信用</w:t>
      </w:r>
      <w:r>
        <w:rPr>
          <w:w w:val="100"/>
        </w:rPr>
        <w:t> </w:t>
      </w:r>
      <w:r>
        <w:rPr/>
        <w:t>损失。</w:t>
      </w:r>
    </w:p>
    <w:p>
      <w:pPr>
        <w:pStyle w:val="BodyText"/>
        <w:spacing w:line="273" w:lineRule="auto"/>
        <w:ind w:right="1104" w:firstLine="420"/>
        <w:jc w:val="both"/>
      </w:pPr>
      <w:r>
        <w:rPr>
          <w:spacing w:val="-2"/>
        </w:rPr>
        <w:t>当在单项工具层面无法以合理成本评估预期信用损失的充分证据时，本公司参考历史信用损失经验，</w:t>
      </w:r>
      <w:r>
        <w:rPr>
          <w:w w:val="100"/>
        </w:rPr>
        <w:t> </w:t>
      </w:r>
      <w:r>
        <w:rPr>
          <w:spacing w:val="-2"/>
        </w:rPr>
        <w:t>结合当前状况以及对未来经济状况的判断，依据信用风险特征将其他应收款划分为若干组合，在组合基础</w:t>
      </w:r>
      <w:r>
        <w:rPr>
          <w:spacing w:val="-44"/>
        </w:rPr>
        <w:t> </w:t>
      </w:r>
      <w:r>
        <w:rPr>
          <w:spacing w:val="-44"/>
        </w:rPr>
      </w:r>
      <w:r>
        <w:rPr/>
        <w:t>上计算预期信用损失。确定组合的依据如下：</w:t>
      </w:r>
    </w:p>
    <w:tbl>
      <w:tblPr>
        <w:tblW w:w="0" w:type="auto"/>
        <w:jc w:val="left"/>
        <w:tblInd w:w="138" w:type="dxa"/>
        <w:tblLayout w:type="fixed"/>
        <w:tblCellMar>
          <w:top w:w="0" w:type="dxa"/>
          <w:left w:w="0" w:type="dxa"/>
          <w:bottom w:w="0" w:type="dxa"/>
          <w:right w:w="0" w:type="dxa"/>
        </w:tblCellMar>
        <w:tblLook w:val="01E0"/>
      </w:tblPr>
      <w:tblGrid>
        <w:gridCol w:w="1522"/>
        <w:gridCol w:w="5067"/>
        <w:gridCol w:w="3070"/>
      </w:tblGrid>
      <w:tr>
        <w:trPr>
          <w:trHeight w:val="343"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96"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5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653"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2"/>
              <w:jc w:val="left"/>
              <w:rPr>
                <w:rFonts w:ascii="宋体" w:hAnsi="宋体" w:cs="宋体" w:eastAsia="宋体" w:hint="default"/>
                <w:sz w:val="18"/>
                <w:szCs w:val="18"/>
              </w:rPr>
            </w:pPr>
            <w:r>
              <w:rPr>
                <w:rFonts w:ascii="宋体" w:hAnsi="宋体" w:cs="宋体" w:eastAsia="宋体" w:hint="default"/>
                <w:spacing w:val="7"/>
                <w:sz w:val="18"/>
                <w:szCs w:val="18"/>
              </w:rPr>
              <w:t>押金及职工借款组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w:t>
            </w:r>
          </w:p>
        </w:tc>
        <w:tc>
          <w:tcPr>
            <w:tcW w:w="5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根据业务性质，认定无信用风险，主要包括押金及职工借款。</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不计提预期信用损失</w:t>
            </w:r>
          </w:p>
        </w:tc>
      </w:tr>
      <w:tr>
        <w:trPr>
          <w:trHeight w:val="968"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50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7" w:right="4"/>
              <w:jc w:val="both"/>
              <w:rPr>
                <w:rFonts w:ascii="宋体" w:hAnsi="宋体" w:cs="宋体" w:eastAsia="宋体" w:hint="default"/>
                <w:sz w:val="18"/>
                <w:szCs w:val="18"/>
              </w:rPr>
            </w:pPr>
            <w:r>
              <w:rPr>
                <w:rFonts w:ascii="宋体" w:hAnsi="宋体" w:cs="宋体" w:eastAsia="宋体" w:hint="default"/>
                <w:sz w:val="18"/>
                <w:szCs w:val="18"/>
              </w:rPr>
              <w:t>包括除上述组合之外的其他预收款，本公司根据以往的历史经验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对其他应收款计提比例作出最佳估计，参考其他应收款的账龄进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行信用风险组合分类</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7" w:right="3"/>
              <w:jc w:val="left"/>
              <w:rPr>
                <w:rFonts w:ascii="宋体" w:hAnsi="宋体" w:cs="宋体" w:eastAsia="宋体" w:hint="default"/>
                <w:sz w:val="18"/>
                <w:szCs w:val="18"/>
              </w:rPr>
            </w:pPr>
            <w:r>
              <w:rPr>
                <w:rFonts w:ascii="宋体" w:hAnsi="宋体" w:cs="宋体" w:eastAsia="宋体" w:hint="default"/>
                <w:spacing w:val="9"/>
                <w:sz w:val="18"/>
                <w:szCs w:val="18"/>
              </w:rPr>
              <w:t>按账龄与整个存续期预期信用损失率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对照表计提</w:t>
            </w:r>
          </w:p>
        </w:tc>
      </w:tr>
    </w:tbl>
    <w:p>
      <w:pPr>
        <w:spacing w:line="240" w:lineRule="auto" w:before="10"/>
        <w:rPr>
          <w:rFonts w:ascii="宋体" w:hAnsi="宋体" w:cs="宋体" w:eastAsia="宋体" w:hint="default"/>
          <w:sz w:val="20"/>
          <w:szCs w:val="20"/>
        </w:rPr>
      </w:pPr>
    </w:p>
    <w:p>
      <w:pPr>
        <w:pStyle w:val="Heading4"/>
        <w:spacing w:line="240" w:lineRule="auto" w:before="36"/>
        <w:ind w:right="1133"/>
        <w:jc w:val="left"/>
        <w:rPr>
          <w:b w:val="0"/>
          <w:bCs w:val="0"/>
        </w:rPr>
      </w:pPr>
      <w:bookmarkStart w:name="12、存货" w:id="182"/>
      <w:bookmarkEnd w:id="182"/>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73" w:right="1133" w:hanging="8"/>
        <w:jc w:val="left"/>
      </w:pPr>
      <w:r>
        <w:rPr>
          <w:rFonts w:ascii="宋体" w:hAnsi="宋体" w:cs="宋体" w:eastAsia="宋体" w:hint="default"/>
          <w:b/>
          <w:bCs/>
        </w:rPr>
        <w:t>1</w:t>
      </w:r>
      <w:r>
        <w:rPr>
          <w:rFonts w:ascii="Times New Roman" w:hAnsi="Times New Roman" w:cs="Times New Roman" w:eastAsia="Times New Roman" w:hint="default"/>
          <w:b/>
          <w:bCs/>
        </w:rPr>
        <w:t>.</w:t>
      </w:r>
      <w:r>
        <w:rPr>
          <w:rFonts w:ascii="宋体" w:hAnsi="宋体" w:cs="宋体" w:eastAsia="宋体" w:hint="default"/>
          <w:b/>
          <w:bCs/>
        </w:rPr>
        <w:t>存货的分类</w:t>
      </w:r>
      <w:r>
        <w:rPr>
          <w:rFonts w:ascii="宋体" w:hAnsi="宋体" w:cs="宋体" w:eastAsia="宋体" w:hint="default"/>
          <w:b/>
          <w:bCs/>
          <w:w w:val="100"/>
        </w:rPr>
        <w:t> </w:t>
      </w:r>
      <w:r>
        <w:rPr>
          <w:spacing w:val="-2"/>
        </w:rPr>
        <w:t>存货是指本公司在日常活动中持有以备出售的产成品或商品、处在生产过程中的在产品、在生产过程</w:t>
      </w:r>
    </w:p>
    <w:p>
      <w:pPr>
        <w:pStyle w:val="BodyText"/>
        <w:spacing w:line="240" w:lineRule="auto" w:before="22"/>
        <w:ind w:right="0"/>
        <w:jc w:val="left"/>
      </w:pPr>
      <w:r>
        <w:rPr/>
        <w:t>或提供劳务过程中耗用的材料和物料等。主要包括原材料、周转材料、在产品、自制半成品、产成品（库</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right="1133"/>
        <w:jc w:val="left"/>
      </w:pPr>
      <w:r>
        <w:rPr/>
        <w:t>存商品）、发出商品等。</w:t>
      </w:r>
    </w:p>
    <w:p>
      <w:pPr>
        <w:spacing w:line="266" w:lineRule="auto" w:before="37"/>
        <w:ind w:left="566" w:right="265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存货的计价方法</w:t>
      </w:r>
      <w:r>
        <w:rPr>
          <w:rFonts w:ascii="宋体" w:hAnsi="宋体" w:cs="宋体" w:eastAsia="宋体" w:hint="default"/>
          <w:b/>
          <w:bCs/>
          <w:w w:val="100"/>
          <w:sz w:val="21"/>
          <w:szCs w:val="21"/>
        </w:rPr>
        <w:t> </w:t>
      </w:r>
      <w:r>
        <w:rPr>
          <w:rFonts w:ascii="宋体" w:hAnsi="宋体" w:cs="宋体" w:eastAsia="宋体" w:hint="default"/>
          <w:spacing w:val="-2"/>
          <w:sz w:val="21"/>
          <w:szCs w:val="21"/>
        </w:rPr>
        <w:t>存货在取得时，按成本进行初始计量，包括采购成本、加工成本和其他成本。</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存货发出时，按先进先出法计价。</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sz w:val="21"/>
          <w:szCs w:val="21"/>
        </w:rPr>
      </w:r>
    </w:p>
    <w:p>
      <w:pPr>
        <w:pStyle w:val="BodyText"/>
        <w:spacing w:line="273" w:lineRule="auto" w:before="0"/>
        <w:ind w:right="1126" w:firstLine="420"/>
        <w:jc w:val="both"/>
      </w:pPr>
      <w:r>
        <w:rPr>
          <w:spacing w:val="-2"/>
        </w:rPr>
        <w:t>期末对存货进行全面清查后，按存货的成本与可变现净值孰低提取或调整存货跌价准备。产成品、库</w:t>
      </w:r>
      <w:r>
        <w:rPr>
          <w:w w:val="100"/>
        </w:rPr>
        <w:t> </w:t>
      </w:r>
      <w:r>
        <w:rPr>
          <w:spacing w:val="-2"/>
        </w:rPr>
        <w:t>存商品和用于出售的材料等直接用于出售的商品存货，在正常生产经营过程中，以该存货的估计售价减去</w:t>
      </w:r>
      <w:r>
        <w:rPr>
          <w:spacing w:val="-44"/>
        </w:rPr>
        <w:t> </w:t>
      </w:r>
      <w:r>
        <w:rPr>
          <w:spacing w:val="-44"/>
        </w:rPr>
      </w:r>
      <w:r>
        <w:rPr>
          <w:spacing w:val="-2"/>
        </w:rPr>
        <w:t>估计的销售费用和相关税费后的金额，确定其可变现净值；需要经过加工的材料存货，在正常生产经营过</w:t>
      </w:r>
      <w:r>
        <w:rPr>
          <w:spacing w:val="-43"/>
        </w:rPr>
        <w:t> </w:t>
      </w:r>
      <w:r>
        <w:rPr>
          <w:spacing w:val="-43"/>
        </w:rPr>
      </w:r>
      <w:r>
        <w:rPr>
          <w:spacing w:val="-2"/>
        </w:rPr>
        <w:t>程中，以所生产的产成品的估计售价减去至完工时估计将要发生的成本、估计的销售费用和相关税费后的</w:t>
      </w:r>
      <w:r>
        <w:rPr>
          <w:spacing w:val="-43"/>
        </w:rPr>
        <w:t> </w:t>
      </w:r>
      <w:r>
        <w:rPr>
          <w:spacing w:val="-43"/>
        </w:rPr>
      </w:r>
      <w:r>
        <w:rPr>
          <w:spacing w:val="-2"/>
        </w:rPr>
        <w:t>金额，确定其可变现净值；为执行销售合同或者劳务合同而持有的存货，其可变现净值以合同价格为基础</w:t>
      </w:r>
      <w:r>
        <w:rPr>
          <w:spacing w:val="-45"/>
        </w:rPr>
        <w:t> </w:t>
      </w:r>
      <w:r>
        <w:rPr>
          <w:spacing w:val="-45"/>
        </w:rPr>
      </w:r>
      <w:r>
        <w:rPr>
          <w:spacing w:val="-2"/>
        </w:rPr>
        <w:t>计算，若持有存货的数量多于销售合同订购数量的，超出部分的存货的可变现净值以一般销售价格为基础</w:t>
      </w:r>
      <w:r>
        <w:rPr>
          <w:spacing w:val="-43"/>
        </w:rPr>
        <w:t> </w:t>
      </w:r>
      <w:r>
        <w:rPr>
          <w:spacing w:val="-43"/>
        </w:rPr>
      </w:r>
      <w:r>
        <w:rPr/>
        <w:t>计算。</w:t>
      </w:r>
    </w:p>
    <w:p>
      <w:pPr>
        <w:pStyle w:val="BodyText"/>
        <w:spacing w:line="273" w:lineRule="auto" w:before="8"/>
        <w:ind w:right="1126" w:firstLine="420"/>
        <w:jc w:val="both"/>
      </w:pPr>
      <w:r>
        <w:rPr>
          <w:spacing w:val="-2"/>
        </w:rPr>
        <w:t>期末按照单个存货项目计提存货跌价准备；但对于数量繁多、单价较低的存货，按照存货类别计提存</w:t>
      </w:r>
      <w:r>
        <w:rPr>
          <w:w w:val="100"/>
        </w:rPr>
        <w:t> </w:t>
      </w:r>
      <w:r>
        <w:rPr>
          <w:spacing w:val="-2"/>
        </w:rPr>
        <w:t>货跌价准备；与在同一地区生产和销售的产品系列相关、具有相同或类似最终用途或目的，且难以与其他</w:t>
      </w:r>
      <w:r>
        <w:rPr>
          <w:spacing w:val="-44"/>
        </w:rPr>
        <w:t> </w:t>
      </w:r>
      <w:r>
        <w:rPr>
          <w:spacing w:val="-44"/>
        </w:rPr>
      </w:r>
      <w:r>
        <w:rPr/>
        <w:t>项目分开计量的存货，则合并计提存货跌价准备。</w:t>
      </w:r>
    </w:p>
    <w:p>
      <w:pPr>
        <w:pStyle w:val="BodyText"/>
        <w:spacing w:line="273" w:lineRule="auto"/>
        <w:ind w:right="1126" w:firstLine="420"/>
        <w:jc w:val="both"/>
      </w:pPr>
      <w:r>
        <w:rPr>
          <w:spacing w:val="-2"/>
        </w:rPr>
        <w:t>以前减记存货价值的影响因素已经消失的，减记的金额予以恢复，并在原已计提的存货跌价准备金额</w:t>
      </w:r>
      <w:r>
        <w:rPr>
          <w:w w:val="100"/>
        </w:rPr>
        <w:t> </w:t>
      </w:r>
      <w:r>
        <w:rPr/>
        <w:t>内转回，转回的金额计入当期损益。</w:t>
      </w:r>
    </w:p>
    <w:p>
      <w:pPr>
        <w:spacing w:line="264" w:lineRule="auto" w:before="7"/>
        <w:ind w:left="513" w:right="715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w w:val="100"/>
          <w:sz w:val="21"/>
          <w:szCs w:val="21"/>
        </w:rPr>
        <w:t> </w:t>
      </w:r>
      <w:r>
        <w:rPr>
          <w:rFonts w:ascii="宋体" w:hAnsi="宋体" w:cs="宋体" w:eastAsia="宋体" w:hint="default"/>
          <w:sz w:val="21"/>
          <w:szCs w:val="21"/>
        </w:rPr>
        <w:t>采用永续盘存制。</w:t>
      </w:r>
      <w:r>
        <w:rPr>
          <w:rFonts w:ascii="宋体" w:hAnsi="宋体" w:cs="宋体" w:eastAsia="宋体" w:hint="default"/>
          <w:w w:val="100"/>
          <w:sz w:val="21"/>
          <w:szCs w:val="21"/>
        </w:rPr>
        <w:t> </w:t>
      </w:r>
      <w:r>
        <w:rPr>
          <w:rFonts w:ascii="Times New Roman" w:hAnsi="Times New Roman" w:cs="Times New Roman" w:eastAsia="Times New Roman" w:hint="default"/>
          <w:b/>
          <w:bCs/>
          <w:spacing w:val="-1"/>
          <w:sz w:val="21"/>
          <w:szCs w:val="21"/>
        </w:rPr>
        <w:t>5.</w:t>
      </w:r>
      <w:r>
        <w:rPr>
          <w:rFonts w:ascii="宋体" w:hAnsi="宋体" w:cs="宋体" w:eastAsia="宋体" w:hint="default"/>
          <w:b/>
          <w:bCs/>
          <w:spacing w:val="-1"/>
          <w:sz w:val="21"/>
          <w:szCs w:val="21"/>
        </w:rPr>
        <w:t>低值易耗品和包装物的摊销方法</w:t>
      </w:r>
      <w:r>
        <w:rPr>
          <w:rFonts w:ascii="宋体" w:hAnsi="宋体" w:cs="宋体" w:eastAsia="宋体" w:hint="default"/>
          <w:spacing w:val="-1"/>
          <w:sz w:val="21"/>
          <w:szCs w:val="21"/>
        </w:rPr>
      </w:r>
    </w:p>
    <w:p>
      <w:pPr>
        <w:pStyle w:val="BodyText"/>
        <w:spacing w:line="273" w:lineRule="exact" w:before="0"/>
        <w:ind w:left="573" w:right="1133"/>
        <w:jc w:val="left"/>
      </w:pPr>
      <w:r>
        <w:rPr/>
        <w:t>低值易耗品和包装物均采用一次转销法</w:t>
      </w:r>
      <w:r>
        <w:rPr>
          <w:color w:val="0000CC"/>
        </w:rPr>
        <w:t>。</w:t>
      </w:r>
      <w:r>
        <w:rPr/>
      </w:r>
    </w:p>
    <w:p>
      <w:pPr>
        <w:spacing w:line="240" w:lineRule="auto" w:before="10"/>
        <w:rPr>
          <w:rFonts w:ascii="宋体" w:hAnsi="宋体" w:cs="宋体" w:eastAsia="宋体" w:hint="default"/>
          <w:sz w:val="25"/>
          <w:szCs w:val="25"/>
        </w:rPr>
      </w:pPr>
    </w:p>
    <w:p>
      <w:pPr>
        <w:pStyle w:val="Heading4"/>
        <w:spacing w:line="240" w:lineRule="auto"/>
        <w:ind w:right="1133"/>
        <w:jc w:val="left"/>
        <w:rPr>
          <w:b w:val="0"/>
          <w:bCs w:val="0"/>
        </w:rPr>
      </w:pPr>
      <w:bookmarkStart w:name="13、长期股权投资" w:id="183"/>
      <w:bookmarkEnd w:id="183"/>
      <w:r>
        <w:rPr>
          <w:b w:val="0"/>
          <w:bCs w:val="0"/>
        </w:rPr>
      </w:r>
      <w:r>
        <w:rPr>
          <w:rFonts w:ascii="Times New Roman" w:hAnsi="Times New Roman" w:cs="Times New Roman" w:eastAsia="Times New Roman" w:hint="default"/>
        </w:rPr>
        <w:t>13</w:t>
      </w:r>
      <w:r>
        <w:rPr/>
        <w:t>、长期股权投资</w:t>
      </w:r>
      <w:r>
        <w:rPr>
          <w:b w:val="0"/>
          <w:bCs w:val="0"/>
        </w:rPr>
      </w:r>
    </w:p>
    <w:p>
      <w:pPr>
        <w:spacing w:line="240" w:lineRule="auto" w:before="10"/>
        <w:rPr>
          <w:rFonts w:ascii="宋体" w:hAnsi="宋体" w:cs="宋体" w:eastAsia="宋体" w:hint="default"/>
          <w:b/>
          <w:bCs/>
          <w:sz w:val="24"/>
          <w:szCs w:val="24"/>
        </w:rPr>
      </w:pPr>
    </w:p>
    <w:p>
      <w:pPr>
        <w:spacing w:line="256" w:lineRule="auto" w:before="0"/>
        <w:ind w:left="573" w:right="1133"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初始投资成本的确定</w:t>
      </w:r>
      <w:r>
        <w:rPr>
          <w:rFonts w:ascii="宋体" w:hAnsi="宋体" w:cs="宋体" w:eastAsia="宋体" w:hint="default"/>
          <w:b/>
          <w:bCs/>
          <w:w w:val="100"/>
          <w:sz w:val="21"/>
          <w:szCs w:val="21"/>
        </w:rPr>
        <w:t> </w:t>
      </w:r>
      <w:r>
        <w:rPr>
          <w:rFonts w:ascii="宋体" w:hAnsi="宋体" w:cs="宋体" w:eastAsia="宋体" w:hint="default"/>
          <w:spacing w:val="-2"/>
          <w:sz w:val="21"/>
          <w:szCs w:val="21"/>
        </w:rPr>
        <w:t>以支付现金方式取得的长期股权投资，按照实际支付的购买价款作为初始投资成本。初始投资成本包</w:t>
      </w:r>
    </w:p>
    <w:p>
      <w:pPr>
        <w:pStyle w:val="BodyText"/>
        <w:spacing w:line="273" w:lineRule="auto" w:before="22"/>
        <w:ind w:left="573" w:right="1133" w:hanging="421"/>
        <w:jc w:val="left"/>
      </w:pPr>
      <w:r>
        <w:rPr/>
        <w:t>括与取得长期股权投资直接相关的费用、税金及其他必要支出。</w:t>
      </w:r>
      <w:r>
        <w:rPr>
          <w:w w:val="100"/>
        </w:rPr>
        <w:t> </w:t>
      </w:r>
      <w:r>
        <w:rPr>
          <w:spacing w:val="-2"/>
        </w:rPr>
        <w:t>以发行权益性证券取得的长期股权投资，按照发行权益性证券的公允价值作为初始投资成本；发行或</w:t>
      </w:r>
    </w:p>
    <w:p>
      <w:pPr>
        <w:pStyle w:val="BodyText"/>
        <w:spacing w:line="273" w:lineRule="auto"/>
        <w:ind w:left="573" w:right="1133" w:hanging="421"/>
        <w:jc w:val="left"/>
      </w:pPr>
      <w:r>
        <w:rPr/>
        <w:t>取得自身权益工具时发生的交易费用，可直接归属于权益性交易的从权益中扣减。</w:t>
      </w:r>
      <w:r>
        <w:rPr>
          <w:w w:val="100"/>
        </w:rPr>
        <w:t> </w:t>
      </w:r>
      <w:r>
        <w:rPr>
          <w:spacing w:val="-2"/>
        </w:rPr>
        <w:t>在非货币性资产交换具备商业实质和换入资产或换出资产的公允价值能够可靠计量的前提下，非货币</w:t>
      </w:r>
    </w:p>
    <w:p>
      <w:pPr>
        <w:pStyle w:val="BodyText"/>
        <w:spacing w:line="273" w:lineRule="auto"/>
        <w:ind w:right="1126"/>
        <w:jc w:val="both"/>
      </w:pPr>
      <w:r>
        <w:rPr>
          <w:spacing w:val="-2"/>
        </w:rPr>
        <w:t>性资产交换换入的长期股权投资以换出资产的公允价值为基础确定其初始投资成本，除非有确凿证据表明</w:t>
      </w:r>
      <w:r>
        <w:rPr>
          <w:spacing w:val="-43"/>
        </w:rPr>
        <w:t> </w:t>
      </w:r>
      <w:r>
        <w:rPr>
          <w:spacing w:val="-43"/>
        </w:rPr>
      </w:r>
      <w:r>
        <w:rPr>
          <w:spacing w:val="-2"/>
        </w:rPr>
        <w:t>换入资产的公允价值更加可靠；不满足上述前提的非货币性资产交换，以换出资产的账面价值和应支付的</w:t>
      </w:r>
      <w:r>
        <w:rPr>
          <w:spacing w:val="-42"/>
        </w:rPr>
        <w:t> </w:t>
      </w:r>
      <w:r>
        <w:rPr>
          <w:spacing w:val="-42"/>
        </w:rPr>
      </w:r>
      <w:r>
        <w:rPr/>
        <w:t>相关税费作为换入长期股权投资的初始投资成本。</w:t>
      </w:r>
    </w:p>
    <w:p>
      <w:pPr>
        <w:pStyle w:val="BodyText"/>
        <w:spacing w:line="240" w:lineRule="auto"/>
        <w:ind w:left="573" w:right="1133"/>
        <w:jc w:val="left"/>
      </w:pPr>
      <w:r>
        <w:rPr/>
        <w:t>通过债务重组取得的长期股权投资，其初始投资成本按照公允价值为基础确定。</w:t>
      </w:r>
    </w:p>
    <w:p>
      <w:pPr>
        <w:pStyle w:val="Heading4"/>
        <w:spacing w:line="240" w:lineRule="auto" w:before="37"/>
        <w:ind w:left="566" w:right="1133"/>
        <w:jc w:val="left"/>
        <w:rPr>
          <w:b w:val="0"/>
          <w:bCs w:val="0"/>
        </w:rPr>
      </w:pPr>
      <w:r>
        <w:rPr>
          <w:rFonts w:ascii="Times New Roman" w:hAnsi="Times New Roman" w:cs="Times New Roman" w:eastAsia="Times New Roman" w:hint="default"/>
        </w:rPr>
        <w:t>2.</w:t>
      </w:r>
      <w:r>
        <w:rPr/>
        <w:t>后续计量及损益确认</w:t>
      </w:r>
      <w:r>
        <w:rPr>
          <w:b w:val="0"/>
          <w:bCs w:val="0"/>
        </w:rPr>
      </w:r>
    </w:p>
    <w:p>
      <w:pPr>
        <w:pStyle w:val="BodyText"/>
        <w:spacing w:line="256" w:lineRule="auto" w:before="22"/>
        <w:ind w:left="573" w:right="1133"/>
        <w:jc w:val="left"/>
      </w:pPr>
      <w:r>
        <w:rPr/>
        <w:t>（</w:t>
      </w:r>
      <w:r>
        <w:rPr>
          <w:rFonts w:ascii="Times New Roman" w:hAnsi="Times New Roman" w:cs="Times New Roman" w:eastAsia="Times New Roman" w:hint="default"/>
        </w:rPr>
        <w:t>1</w:t>
      </w:r>
      <w:r>
        <w:rPr/>
        <w:t>）成本法</w:t>
      </w:r>
      <w:r>
        <w:rPr>
          <w:w w:val="100"/>
        </w:rPr>
        <w:t> </w:t>
      </w:r>
      <w:r>
        <w:rPr>
          <w:spacing w:val="-2"/>
        </w:rPr>
        <w:t>本公司能够对被投资单位实施控制的长期股权投资采用成本法核算，并按照初始投资成本计价，追加</w:t>
      </w:r>
    </w:p>
    <w:p>
      <w:pPr>
        <w:pStyle w:val="BodyText"/>
        <w:spacing w:line="273" w:lineRule="auto" w:before="22"/>
        <w:ind w:left="573" w:right="1133" w:hanging="421"/>
        <w:jc w:val="left"/>
      </w:pPr>
      <w:r>
        <w:rPr/>
        <w:t>或收回投资调整长期股权投资的成本。</w:t>
      </w:r>
      <w:r>
        <w:rPr>
          <w:w w:val="100"/>
        </w:rPr>
        <w:t> </w:t>
      </w:r>
      <w:r>
        <w:rPr>
          <w:spacing w:val="-2"/>
        </w:rPr>
        <w:t>除取得投资时实际支付的价款或对价中包含的已宣告但尚未发放的现金股利或利润外，本公司按照享</w:t>
      </w:r>
    </w:p>
    <w:p>
      <w:pPr>
        <w:pStyle w:val="BodyText"/>
        <w:spacing w:line="240" w:lineRule="auto"/>
        <w:ind w:right="1133"/>
        <w:jc w:val="left"/>
      </w:pPr>
      <w:r>
        <w:rPr/>
        <w:t>有被投资单位宣告分派的现金股利或利润确认为当期投资收益。</w:t>
      </w:r>
    </w:p>
    <w:p>
      <w:pPr>
        <w:pStyle w:val="BodyText"/>
        <w:spacing w:line="256" w:lineRule="auto" w:before="37"/>
        <w:ind w:left="573" w:right="1133"/>
        <w:jc w:val="left"/>
      </w:pPr>
      <w:r>
        <w:rPr/>
        <w:t>（</w:t>
      </w:r>
      <w:r>
        <w:rPr>
          <w:rFonts w:ascii="Times New Roman" w:hAnsi="Times New Roman" w:cs="Times New Roman" w:eastAsia="Times New Roman" w:hint="default"/>
        </w:rPr>
        <w:t>2</w:t>
      </w:r>
      <w:r>
        <w:rPr/>
        <w:t>）权益法</w:t>
      </w:r>
      <w:r>
        <w:rPr>
          <w:w w:val="100"/>
        </w:rPr>
        <w:t> </w:t>
      </w:r>
      <w:r>
        <w:rPr>
          <w:spacing w:val="-2"/>
        </w:rPr>
        <w:t>本公司对联营企业和合营企业的长期股权投资采用权益法核算；对于其中一部分通过风险投资机构、</w:t>
      </w:r>
    </w:p>
    <w:p>
      <w:pPr>
        <w:pStyle w:val="BodyText"/>
        <w:spacing w:line="273" w:lineRule="auto" w:before="22"/>
        <w:ind w:right="1126"/>
        <w:jc w:val="both"/>
      </w:pPr>
      <w:r>
        <w:rPr>
          <w:spacing w:val="-2"/>
        </w:rPr>
        <w:t>共同基金、信托公司或包括投连险基金在内的类似主体间接持有的联营企业的权益性投资，采用公允价值</w:t>
      </w:r>
      <w:r>
        <w:rPr>
          <w:spacing w:val="-42"/>
        </w:rPr>
        <w:t> </w:t>
      </w:r>
      <w:r>
        <w:rPr>
          <w:spacing w:val="-42"/>
        </w:rPr>
      </w:r>
      <w:r>
        <w:rPr/>
        <w:t>计量且其变动计入损益。</w:t>
      </w:r>
    </w:p>
    <w:p>
      <w:pPr>
        <w:spacing w:after="0" w:line="273"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6" w:firstLine="420"/>
        <w:jc w:val="both"/>
      </w:pPr>
      <w:r>
        <w:rPr>
          <w:spacing w:val="-2"/>
        </w:rPr>
        <w:t>长期股权投资的初始投资成本大于投资时应享有被投资单位可辨认净资产公允价值份额的差额，不调</w:t>
      </w:r>
      <w:r>
        <w:rPr>
          <w:w w:val="100"/>
        </w:rPr>
        <w:t> </w:t>
      </w:r>
      <w:r>
        <w:rPr>
          <w:spacing w:val="-2"/>
        </w:rPr>
        <w:t>整长期股权投资的初始投资成本；初始投资成本小于投资时应享有被投资单位可辨认净资产公允价值份额</w:t>
      </w:r>
      <w:r>
        <w:rPr>
          <w:spacing w:val="-43"/>
        </w:rPr>
        <w:t> </w:t>
      </w:r>
      <w:r>
        <w:rPr>
          <w:spacing w:val="-43"/>
        </w:rPr>
      </w:r>
      <w:r>
        <w:rPr/>
        <w:t>的差额，计入当期损益。</w:t>
      </w:r>
    </w:p>
    <w:p>
      <w:pPr>
        <w:pStyle w:val="BodyText"/>
        <w:spacing w:line="273" w:lineRule="auto"/>
        <w:ind w:right="1126" w:firstLine="420"/>
        <w:jc w:val="both"/>
      </w:pPr>
      <w:r>
        <w:rPr>
          <w:spacing w:val="2"/>
        </w:rPr>
        <w:t>本公司取得长期股权投资后，按照应享有或应分担的被投资单位实现的净损益和其他综合收益的份</w:t>
      </w:r>
      <w:r>
        <w:rPr>
          <w:w w:val="100"/>
        </w:rPr>
        <w:t> </w:t>
      </w:r>
      <w:r>
        <w:rPr>
          <w:spacing w:val="-2"/>
        </w:rPr>
        <w:t>额，分别确认投资收益和其他综合收益，同时调整长期股权投资的账面价值；并按照被投资单位宣告分派</w:t>
      </w:r>
      <w:r>
        <w:rPr>
          <w:spacing w:val="-44"/>
        </w:rPr>
        <w:t> </w:t>
      </w:r>
      <w:r>
        <w:rPr>
          <w:spacing w:val="-44"/>
        </w:rPr>
      </w:r>
      <w:r>
        <w:rPr>
          <w:spacing w:val="-2"/>
        </w:rPr>
        <w:t>的利润或现金股利计算应享有的部分，相应减少长期股权投资的账面价值；对于被投资单位除净损益、其</w:t>
      </w:r>
      <w:r>
        <w:rPr>
          <w:spacing w:val="-42"/>
        </w:rPr>
        <w:t> </w:t>
      </w:r>
      <w:r>
        <w:rPr>
          <w:spacing w:val="-42"/>
        </w:rPr>
      </w:r>
      <w:r>
        <w:rPr/>
        <w:t>他综合收益和利润分配以外所有者权益的其他变动，调整长期股权投资的账面价值并计入所有者权益。</w:t>
      </w:r>
    </w:p>
    <w:p>
      <w:pPr>
        <w:pStyle w:val="BodyText"/>
        <w:spacing w:line="273" w:lineRule="auto"/>
        <w:ind w:right="1126" w:firstLine="420"/>
        <w:jc w:val="both"/>
      </w:pPr>
      <w:r>
        <w:rPr>
          <w:spacing w:val="-2"/>
        </w:rPr>
        <w:t>本公司在确认应享有被投资单位净损益的份额时，以取得投资时被投资单位各项可辨认资产等的公允</w:t>
      </w:r>
      <w:r>
        <w:rPr>
          <w:w w:val="100"/>
        </w:rPr>
        <w:t> </w:t>
      </w:r>
      <w:r>
        <w:rPr>
          <w:spacing w:val="-2"/>
        </w:rPr>
        <w:t>价值为基础，对被投资单位的净利润进行调整后确认。本公司与联营企业、合营企业之间发生的未实现内</w:t>
      </w:r>
      <w:r>
        <w:rPr>
          <w:spacing w:val="-42"/>
        </w:rPr>
        <w:t> </w:t>
      </w:r>
      <w:r>
        <w:rPr>
          <w:spacing w:val="-42"/>
        </w:rPr>
      </w:r>
      <w:r>
        <w:rPr/>
        <w:t>部交易损益按照应享有的比例计算归属于本公司的部分予以抵销，在此基础上确认投资损益。</w:t>
      </w:r>
    </w:p>
    <w:p>
      <w:pPr>
        <w:pStyle w:val="BodyText"/>
        <w:spacing w:line="273" w:lineRule="auto"/>
        <w:ind w:right="1126" w:firstLine="420"/>
        <w:jc w:val="both"/>
      </w:pPr>
      <w:r>
        <w:rPr>
          <w:spacing w:val="-2"/>
        </w:rPr>
        <w:t>本公司确认应分担被投资单位发生的亏损时，按照以下顺序进行处理：首先，冲减长期股权投资的账</w:t>
      </w:r>
      <w:r>
        <w:rPr>
          <w:w w:val="100"/>
        </w:rPr>
        <w:t> </w:t>
      </w:r>
      <w:r>
        <w:rPr>
          <w:spacing w:val="-2"/>
        </w:rPr>
        <w:t>面价值。其次，长期股权投资的账面价值不足以冲减的，以其他实质上构成对被投资单位净投资的长期权</w:t>
      </w:r>
      <w:r>
        <w:rPr>
          <w:spacing w:val="-44"/>
        </w:rPr>
        <w:t> </w:t>
      </w:r>
      <w:r>
        <w:rPr>
          <w:spacing w:val="-44"/>
        </w:rPr>
      </w:r>
      <w:r>
        <w:rPr>
          <w:spacing w:val="-2"/>
        </w:rPr>
        <w:t>益账面价值为限继续确认投资损失，冲减长期应收项目等的账面价值。最后，经过上述处理，按照投资合</w:t>
      </w:r>
      <w:r>
        <w:rPr>
          <w:spacing w:val="-47"/>
        </w:rPr>
        <w:t> </w:t>
      </w:r>
      <w:r>
        <w:rPr>
          <w:spacing w:val="-47"/>
        </w:rPr>
      </w:r>
      <w:r>
        <w:rPr/>
        <w:t>同或协议约定企业仍承担额外义务的，按预计承担的义务确认预计负债，计入当期投资损失。</w:t>
      </w:r>
    </w:p>
    <w:p>
      <w:pPr>
        <w:pStyle w:val="BodyText"/>
        <w:spacing w:line="273" w:lineRule="auto"/>
        <w:ind w:right="1126" w:firstLine="420"/>
        <w:jc w:val="both"/>
      </w:pPr>
      <w:r>
        <w:rPr>
          <w:spacing w:val="-2"/>
        </w:rPr>
        <w:t>被投资单位以后期间实现盈利的，公司在扣除未确认的亏损分担额后，按与上述相反的顺序处理，减</w:t>
      </w:r>
      <w:r>
        <w:rPr>
          <w:w w:val="100"/>
        </w:rPr>
        <w:t> </w:t>
      </w:r>
      <w:r>
        <w:rPr>
          <w:spacing w:val="-2"/>
        </w:rPr>
        <w:t>记已确认预计负债的账面余额、恢复其他实质上构成对被投资单位净投资的长期权益及长期股权投资的账</w:t>
      </w:r>
      <w:r>
        <w:rPr>
          <w:spacing w:val="-43"/>
        </w:rPr>
        <w:t> </w:t>
      </w:r>
      <w:r>
        <w:rPr>
          <w:spacing w:val="-43"/>
        </w:rPr>
      </w:r>
      <w:r>
        <w:rPr/>
        <w:t>面价值后，恢复确认投资收益。</w:t>
      </w:r>
    </w:p>
    <w:p>
      <w:pPr>
        <w:pStyle w:val="Heading4"/>
        <w:spacing w:line="240" w:lineRule="auto" w:before="7"/>
        <w:ind w:left="566" w:right="1133"/>
        <w:jc w:val="left"/>
        <w:rPr>
          <w:b w:val="0"/>
          <w:bCs w:val="0"/>
        </w:rPr>
      </w:pPr>
      <w:r>
        <w:rPr>
          <w:rFonts w:ascii="Times New Roman" w:hAnsi="Times New Roman" w:cs="Times New Roman" w:eastAsia="Times New Roman" w:hint="default"/>
        </w:rPr>
        <w:t>3.</w:t>
      </w:r>
      <w:r>
        <w:rPr/>
        <w:t>长期股权投资核算方法的转换</w:t>
      </w:r>
      <w:r>
        <w:rPr>
          <w:b w:val="0"/>
          <w:bCs w:val="0"/>
        </w:rPr>
      </w:r>
    </w:p>
    <w:p>
      <w:pPr>
        <w:pStyle w:val="BodyText"/>
        <w:spacing w:line="256" w:lineRule="auto" w:before="21"/>
        <w:ind w:left="573" w:right="1133" w:hanging="106"/>
        <w:jc w:val="left"/>
      </w:pPr>
      <w:r>
        <w:rPr/>
        <w:t>（</w:t>
      </w:r>
      <w:r>
        <w:rPr>
          <w:rFonts w:ascii="Times New Roman" w:hAnsi="Times New Roman" w:cs="Times New Roman" w:eastAsia="Times New Roman" w:hint="default"/>
        </w:rPr>
        <w:t>1</w:t>
      </w:r>
      <w:r>
        <w:rPr/>
        <w:t>）公允价值计量转权益法核算</w:t>
      </w:r>
      <w:r>
        <w:rPr>
          <w:w w:val="100"/>
        </w:rPr>
        <w:t> </w:t>
      </w:r>
      <w:r>
        <w:rPr>
          <w:spacing w:val="-2"/>
        </w:rPr>
        <w:t>本公司原持有的对被投资单位不具有控制、共同控制或重大影响的按金融工具确认和计量准则进行会</w:t>
      </w:r>
    </w:p>
    <w:p>
      <w:pPr>
        <w:pStyle w:val="BodyText"/>
        <w:spacing w:line="264" w:lineRule="auto" w:before="22"/>
        <w:ind w:right="1126"/>
        <w:jc w:val="both"/>
      </w:pPr>
      <w:r>
        <w:rPr>
          <w:spacing w:val="2"/>
        </w:rPr>
        <w:t>计处理的权益性投资，因追加投资等原因能够对被投资单位施加重大影响或实施共同控制但不构成控制</w:t>
      </w:r>
      <w:r>
        <w:rPr>
          <w:spacing w:val="-19"/>
        </w:rPr>
        <w:t> </w:t>
      </w:r>
      <w:r>
        <w:rPr>
          <w:spacing w:val="-19"/>
        </w:rPr>
      </w:r>
      <w:r>
        <w:rPr>
          <w:spacing w:val="-2"/>
        </w:rPr>
        <w:t>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金融工具确认和计量》确定的原持有的股权投资的公允价值加上新增</w:t>
      </w:r>
      <w:r>
        <w:rPr>
          <w:spacing w:val="-41"/>
        </w:rPr>
        <w:t> </w:t>
      </w:r>
      <w:r>
        <w:rPr>
          <w:spacing w:val="-41"/>
        </w:rPr>
      </w:r>
      <w:r>
        <w:rPr/>
        <w:t>投资成本之和，作为改按权益法核算的初始投资成本。</w:t>
      </w:r>
    </w:p>
    <w:p>
      <w:pPr>
        <w:pStyle w:val="BodyText"/>
        <w:spacing w:line="273" w:lineRule="auto" w:before="16"/>
        <w:ind w:right="1126" w:firstLine="420"/>
        <w:jc w:val="both"/>
      </w:pPr>
      <w:r>
        <w:rPr>
          <w:spacing w:val="-2"/>
        </w:rPr>
        <w:t>原持有的股权投资分类为可供出售金融资产的，其公允价值与账面价值之间的差额，以及原计入其他</w:t>
      </w:r>
      <w:r>
        <w:rPr>
          <w:w w:val="100"/>
        </w:rPr>
        <w:t> </w:t>
      </w:r>
      <w:r>
        <w:rPr/>
        <w:t>综合收益的累计公允价值变动转入改按权益法核算的当期损益。</w:t>
      </w:r>
    </w:p>
    <w:p>
      <w:pPr>
        <w:pStyle w:val="BodyText"/>
        <w:spacing w:line="273" w:lineRule="auto"/>
        <w:ind w:right="1126" w:firstLine="420"/>
        <w:jc w:val="both"/>
      </w:pPr>
      <w:r>
        <w:rPr>
          <w:spacing w:val="2"/>
        </w:rPr>
        <w:t>按权益法核算的初始投资成本小于按照追加投资后全新的持股比例计算确定的应享有被投资单位在</w:t>
      </w:r>
      <w:r>
        <w:rPr>
          <w:w w:val="100"/>
        </w:rPr>
        <w:t> </w:t>
      </w:r>
      <w:r>
        <w:rPr>
          <w:spacing w:val="-2"/>
        </w:rPr>
        <w:t>追加投资日可辨认净资产公允价值份额之间的差额，调整长期股权投资的账面价值，并计入当期营业外收</w:t>
      </w:r>
      <w:r>
        <w:rPr>
          <w:spacing w:val="-44"/>
        </w:rPr>
        <w:t> </w:t>
      </w:r>
      <w:r>
        <w:rPr>
          <w:spacing w:val="-44"/>
        </w:rPr>
      </w:r>
      <w:r>
        <w:rPr/>
        <w:t>入。</w:t>
      </w:r>
    </w:p>
    <w:p>
      <w:pPr>
        <w:pStyle w:val="BodyText"/>
        <w:spacing w:line="256" w:lineRule="auto"/>
        <w:ind w:left="573" w:right="1133" w:hanging="106"/>
        <w:jc w:val="left"/>
      </w:pPr>
      <w:r>
        <w:rPr/>
        <w:t>（</w:t>
      </w:r>
      <w:r>
        <w:rPr>
          <w:rFonts w:ascii="Times New Roman" w:hAnsi="Times New Roman" w:cs="Times New Roman" w:eastAsia="Times New Roman" w:hint="default"/>
        </w:rPr>
        <w:t>2</w:t>
      </w:r>
      <w:r>
        <w:rPr/>
        <w:t>）公允价值计量或权益法核算转成本法核算</w:t>
      </w:r>
      <w:r>
        <w:rPr>
          <w:w w:val="100"/>
        </w:rPr>
        <w:t> </w:t>
      </w:r>
      <w:r>
        <w:rPr>
          <w:spacing w:val="-2"/>
        </w:rPr>
        <w:t>本公司原持有的对被投资单位不具有控制、共同控制或重大影响的按金融工具确认和计量准则进行会</w:t>
      </w:r>
    </w:p>
    <w:p>
      <w:pPr>
        <w:pStyle w:val="BodyText"/>
        <w:spacing w:line="273" w:lineRule="auto" w:before="22"/>
        <w:ind w:right="1126"/>
        <w:jc w:val="both"/>
      </w:pPr>
      <w:r>
        <w:rPr>
          <w:spacing w:val="-2"/>
        </w:rPr>
        <w:t>计处理的权益性投资，或原持有对联营企业、合营企业的长期股权投资，因追加投资等原因能够对非同一</w:t>
      </w:r>
      <w:r>
        <w:rPr>
          <w:spacing w:val="-44"/>
        </w:rPr>
        <w:t> </w:t>
      </w:r>
      <w:r>
        <w:rPr>
          <w:spacing w:val="-44"/>
        </w:rPr>
      </w:r>
      <w:r>
        <w:rPr>
          <w:spacing w:val="-2"/>
        </w:rPr>
        <w:t>控制下的被投资单位实施控制的，在编制个别财务报表时，按照原持有的股权投资账面价值加上新增投资</w:t>
      </w:r>
      <w:r>
        <w:rPr>
          <w:spacing w:val="-44"/>
        </w:rPr>
        <w:t> </w:t>
      </w:r>
      <w:r>
        <w:rPr>
          <w:spacing w:val="-44"/>
        </w:rPr>
      </w:r>
      <w:r>
        <w:rPr/>
        <w:t>成本之和，作为改按成本法核算的初始投资成本。</w:t>
      </w:r>
    </w:p>
    <w:p>
      <w:pPr>
        <w:pStyle w:val="BodyText"/>
        <w:spacing w:line="273" w:lineRule="auto"/>
        <w:ind w:right="1126" w:firstLine="420"/>
        <w:jc w:val="both"/>
      </w:pPr>
      <w:r>
        <w:rPr>
          <w:spacing w:val="-2"/>
        </w:rPr>
        <w:t>购买日之前持有的股权投资因采用权益法核算而确认的其他综合收益，在处置该项投资时采用与被投</w:t>
      </w:r>
      <w:r>
        <w:rPr>
          <w:w w:val="100"/>
        </w:rPr>
        <w:t> </w:t>
      </w:r>
      <w:r>
        <w:rPr/>
        <w:t>资单位直接处置相关资产或负债相同的基础进行会计处理。</w:t>
      </w:r>
    </w:p>
    <w:p>
      <w:pPr>
        <w:pStyle w:val="BodyText"/>
        <w:spacing w:line="256" w:lineRule="auto" w:before="8"/>
        <w:ind w:right="1128" w:firstLine="420"/>
        <w:jc w:val="both"/>
      </w:pPr>
      <w:r>
        <w:rPr>
          <w:spacing w:val="-2"/>
        </w:rPr>
        <w:t>购买日之前持有的股权投资按照《企业会计准则第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w:t>
      </w:r>
      <w:r>
        <w:rPr>
          <w:w w:val="100"/>
        </w:rPr>
        <w:t> </w:t>
      </w:r>
      <w:r>
        <w:rPr/>
        <w:t>计处理的，原计入其他综合收益的累计公允价值变动在改按成本法核算时转入当期损益。</w:t>
      </w:r>
    </w:p>
    <w:p>
      <w:pPr>
        <w:pStyle w:val="BodyText"/>
        <w:spacing w:line="256" w:lineRule="auto" w:before="22"/>
        <w:ind w:left="573" w:right="1133" w:hanging="106"/>
        <w:jc w:val="left"/>
      </w:pPr>
      <w:r>
        <w:rPr/>
        <w:t>（</w:t>
      </w:r>
      <w:r>
        <w:rPr>
          <w:rFonts w:ascii="Times New Roman" w:hAnsi="Times New Roman" w:cs="Times New Roman" w:eastAsia="Times New Roman" w:hint="default"/>
        </w:rPr>
        <w:t>3</w:t>
      </w:r>
      <w:r>
        <w:rPr/>
        <w:t>）权益法核算转公允价值计量</w:t>
      </w:r>
      <w:r>
        <w:rPr>
          <w:w w:val="100"/>
        </w:rPr>
        <w:t> </w:t>
      </w:r>
      <w:r>
        <w:rPr>
          <w:spacing w:val="-2"/>
        </w:rPr>
        <w:t>本公司因处置部分股权投资等原因丧失了对被投资单位的共同控制或重大影响的，处置后的剩余股权</w:t>
      </w:r>
    </w:p>
    <w:p>
      <w:pPr>
        <w:pStyle w:val="BodyText"/>
        <w:spacing w:line="256" w:lineRule="auto" w:before="22"/>
        <w:ind w:right="1126"/>
        <w:jc w:val="both"/>
      </w:pPr>
      <w:r>
        <w:rPr>
          <w:spacing w:val="-2"/>
        </w:rPr>
        <w:t>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金融工具确认和计量》核算，其在丧失共同控制或重大影响之日的公允价</w:t>
      </w:r>
      <w:r>
        <w:rPr>
          <w:spacing w:val="-40"/>
        </w:rPr>
        <w:t> </w:t>
      </w:r>
      <w:r>
        <w:rPr>
          <w:spacing w:val="-40"/>
        </w:rPr>
      </w:r>
      <w:r>
        <w:rPr/>
        <w:t>值与账面价值之间的差额计入当期损益。</w:t>
      </w:r>
    </w:p>
    <w:p>
      <w:pPr>
        <w:pStyle w:val="BodyText"/>
        <w:spacing w:line="273" w:lineRule="auto" w:before="22"/>
        <w:ind w:right="1126" w:firstLine="420"/>
        <w:jc w:val="both"/>
      </w:pPr>
      <w:r>
        <w:rPr>
          <w:spacing w:val="-2"/>
        </w:rPr>
        <w:t>原股权投资因采用权益法核算而确认的其他综合收益，在终止采用权益法核算时采用与被投资单位直</w:t>
      </w:r>
      <w:r>
        <w:rPr>
          <w:w w:val="100"/>
        </w:rPr>
        <w:t> </w:t>
      </w:r>
      <w:r>
        <w:rPr/>
        <w:t>接处置相关资产或负债相同的基础进行会计处理。</w:t>
      </w:r>
    </w:p>
    <w:p>
      <w:pPr>
        <w:pStyle w:val="BodyText"/>
        <w:spacing w:line="240" w:lineRule="auto"/>
        <w:ind w:left="467" w:right="1133"/>
        <w:jc w:val="left"/>
      </w:pPr>
      <w:r>
        <w:rPr/>
        <w:t>（</w:t>
      </w:r>
      <w:r>
        <w:rPr>
          <w:rFonts w:ascii="Times New Roman" w:hAnsi="Times New Roman" w:cs="Times New Roman" w:eastAsia="Times New Roman" w:hint="default"/>
        </w:rPr>
        <w:t>4</w:t>
      </w:r>
      <w:r>
        <w:rPr/>
        <w:t>）成本法转权益法</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6" w:firstLine="420"/>
        <w:jc w:val="both"/>
      </w:pPr>
      <w:r>
        <w:rPr>
          <w:spacing w:val="-2"/>
        </w:rPr>
        <w:t>本公司因处置部分权益性投资等原因丧失了对被投资单位的控制的，在编制个别财务报表时，处置后</w:t>
      </w:r>
      <w:r>
        <w:rPr>
          <w:w w:val="100"/>
        </w:rPr>
        <w:t> </w:t>
      </w:r>
      <w:r>
        <w:rPr>
          <w:spacing w:val="-2"/>
        </w:rPr>
        <w:t>的剩余股权能够对被投资单位实施共同控制或施加重大影响的，改按权益法核算，并对该剩余股权视同自</w:t>
      </w:r>
      <w:r>
        <w:rPr>
          <w:spacing w:val="-43"/>
        </w:rPr>
        <w:t> </w:t>
      </w:r>
      <w:r>
        <w:rPr>
          <w:spacing w:val="-43"/>
        </w:rPr>
      </w:r>
      <w:r>
        <w:rPr/>
        <w:t>取得时即采用权益法核算进行调整。</w:t>
      </w:r>
    </w:p>
    <w:p>
      <w:pPr>
        <w:pStyle w:val="BodyText"/>
        <w:spacing w:line="256" w:lineRule="auto"/>
        <w:ind w:left="573" w:right="1133" w:hanging="106"/>
        <w:jc w:val="left"/>
      </w:pPr>
      <w:r>
        <w:rPr/>
        <w:t>（</w:t>
      </w:r>
      <w:r>
        <w:rPr>
          <w:rFonts w:ascii="Times New Roman" w:hAnsi="Times New Roman" w:cs="Times New Roman" w:eastAsia="Times New Roman" w:hint="default"/>
        </w:rPr>
        <w:t>5</w:t>
      </w:r>
      <w:r>
        <w:rPr/>
        <w:t>）成本法转公允价值计量</w:t>
      </w:r>
      <w:r>
        <w:rPr>
          <w:w w:val="100"/>
        </w:rPr>
        <w:t> </w:t>
      </w:r>
      <w:r>
        <w:rPr>
          <w:spacing w:val="-2"/>
        </w:rPr>
        <w:t>本公司因处置部分权益性投资等原因丧失了对被投资单位的控制的，在编制个别财务报表时，处置后</w:t>
      </w:r>
    </w:p>
    <w:p>
      <w:pPr>
        <w:pStyle w:val="BodyText"/>
        <w:spacing w:line="256" w:lineRule="auto" w:before="22"/>
        <w:ind w:right="0"/>
        <w:jc w:val="left"/>
      </w:pPr>
      <w:r>
        <w:rPr>
          <w:spacing w:val="-2"/>
        </w:rPr>
        <w:t>的剩余股权不能对被投资单位实施共同控制或施加重大影响的，改按《企业会计准则第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w:t>
      </w:r>
      <w:r>
        <w:rPr>
          <w:spacing w:val="-41"/>
        </w:rPr>
        <w:t> </w:t>
      </w:r>
      <w:r>
        <w:rPr>
          <w:spacing w:val="-41"/>
        </w:rPr>
      </w:r>
      <w:r>
        <w:rPr>
          <w:spacing w:val="-5"/>
        </w:rPr>
        <w:t>确认和计量》的有关规定进行会计处理，其在丧失控制之日的公允价值与账面价值间的差额计入当期损益。</w:t>
      </w:r>
    </w:p>
    <w:p>
      <w:pPr>
        <w:spacing w:line="256" w:lineRule="auto" w:before="22"/>
        <w:ind w:left="573" w:right="1133"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长期股权投资的处置</w:t>
      </w:r>
      <w:r>
        <w:rPr>
          <w:rFonts w:ascii="宋体" w:hAnsi="宋体" w:cs="宋体" w:eastAsia="宋体" w:hint="default"/>
          <w:b/>
          <w:bCs/>
          <w:w w:val="100"/>
          <w:sz w:val="21"/>
          <w:szCs w:val="21"/>
        </w:rPr>
        <w:t> </w:t>
      </w:r>
      <w:r>
        <w:rPr>
          <w:rFonts w:ascii="宋体" w:hAnsi="宋体" w:cs="宋体" w:eastAsia="宋体" w:hint="default"/>
          <w:spacing w:val="-2"/>
          <w:sz w:val="21"/>
          <w:szCs w:val="21"/>
        </w:rPr>
        <w:t>处置长期股权投资，其账面价值与实际取得价款之间的差额，应当计入当期损益。采用权益法核算的</w:t>
      </w:r>
    </w:p>
    <w:p>
      <w:pPr>
        <w:pStyle w:val="BodyText"/>
        <w:spacing w:line="273" w:lineRule="auto" w:before="22"/>
        <w:ind w:right="1133"/>
        <w:jc w:val="left"/>
      </w:pPr>
      <w:r>
        <w:rPr>
          <w:spacing w:val="-2"/>
        </w:rPr>
        <w:t>长期股权投资，在处置该项投资时，采用与被投资单位直接处置相关资产或负债相同的基础，按相应比例</w:t>
      </w:r>
      <w:r>
        <w:rPr>
          <w:spacing w:val="-45"/>
        </w:rPr>
        <w:t> </w:t>
      </w:r>
      <w:r>
        <w:rPr>
          <w:spacing w:val="-45"/>
        </w:rPr>
      </w:r>
      <w:r>
        <w:rPr/>
        <w:t>对原计入其他综合收益的部分进行会计处理。</w:t>
      </w:r>
    </w:p>
    <w:p>
      <w:pPr>
        <w:pStyle w:val="BodyText"/>
        <w:spacing w:line="273" w:lineRule="auto"/>
        <w:ind w:right="1126" w:firstLine="420"/>
        <w:jc w:val="both"/>
      </w:pPr>
      <w:r>
        <w:rPr>
          <w:spacing w:val="-2"/>
        </w:rPr>
        <w:t>处置对子公司股权投资的各项交易的条款、条件以及经济影响符合以下一种或多种情况，将多次交易</w:t>
      </w:r>
      <w:r>
        <w:rPr>
          <w:w w:val="100"/>
        </w:rPr>
        <w:t> </w:t>
      </w:r>
      <w:r>
        <w:rPr/>
        <w:t>事项作为一揽子交易进行会计处理：</w:t>
      </w:r>
    </w:p>
    <w:p>
      <w:pPr>
        <w:pStyle w:val="BodyText"/>
        <w:spacing w:line="240" w:lineRule="auto"/>
        <w:ind w:left="489" w:right="1133"/>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56" w:lineRule="auto" w:before="21"/>
        <w:ind w:left="573" w:right="1133" w:hanging="84"/>
        <w:jc w:val="left"/>
      </w:pPr>
      <w:r>
        <w:rPr/>
        <w:t>（</w:t>
      </w:r>
      <w:r>
        <w:rPr>
          <w:rFonts w:ascii="Times New Roman" w:hAnsi="Times New Roman" w:cs="Times New Roman" w:eastAsia="Times New Roman" w:hint="default"/>
        </w:rPr>
        <w:t>2</w:t>
      </w:r>
      <w:r>
        <w:rPr/>
        <w:t>）这些交易整体才能达成一项完整的商业结果；</w:t>
      </w:r>
      <w:r>
        <w:rPr>
          <w:w w:val="100"/>
        </w:rPr>
        <w:t> </w:t>
      </w:r>
      <w:r>
        <w:rPr>
          <w:rFonts w:ascii="Times New Roman" w:hAnsi="Times New Roman" w:cs="Times New Roman" w:eastAsia="Times New Roman" w:hint="default"/>
        </w:rPr>
        <w:t>(3)</w:t>
      </w:r>
      <w:r>
        <w:rPr/>
        <w:t>一项交易的发生取决于其他至少一项交易的发生；</w:t>
      </w:r>
      <w:r>
        <w:rPr>
          <w:w w:val="100"/>
        </w:rPr>
        <w:t> </w:t>
      </w:r>
      <w:r>
        <w:rPr>
          <w:rFonts w:ascii="Times New Roman" w:hAnsi="Times New Roman" w:cs="Times New Roman" w:eastAsia="Times New Roman" w:hint="default"/>
        </w:rPr>
        <w:t>(4)</w:t>
      </w:r>
      <w:r>
        <w:rPr/>
        <w:t>一项交易单独看是不经济的，但是和其他交易一并考虑时是经济的。</w:t>
      </w:r>
      <w:r>
        <w:rPr>
          <w:w w:val="100"/>
        </w:rPr>
        <w:t> </w:t>
      </w:r>
      <w:r>
        <w:rPr>
          <w:spacing w:val="-2"/>
        </w:rPr>
        <w:t>因处置部分股权投资或其他原因丧失了对原有子公司控制权的，不属于一揽子交易的，区分个别财务</w:t>
      </w:r>
    </w:p>
    <w:p>
      <w:pPr>
        <w:pStyle w:val="BodyText"/>
        <w:spacing w:line="240" w:lineRule="auto" w:before="22"/>
        <w:ind w:right="1133"/>
        <w:jc w:val="left"/>
      </w:pPr>
      <w:r>
        <w:rPr/>
        <w:t>报表和合并财务报表进行相关会计处理：</w:t>
      </w:r>
    </w:p>
    <w:p>
      <w:pPr>
        <w:pStyle w:val="BodyText"/>
        <w:spacing w:line="264" w:lineRule="auto" w:before="37"/>
        <w:ind w:right="1126" w:firstLine="504"/>
        <w:jc w:val="both"/>
      </w:pPr>
      <w:r>
        <w:rPr>
          <w:rFonts w:ascii="Times New Roman" w:hAnsi="Times New Roman" w:cs="Times New Roman" w:eastAsia="Times New Roman" w:hint="default"/>
          <w:spacing w:val="-2"/>
        </w:rPr>
        <w:t>1</w:t>
      </w:r>
      <w:r>
        <w:rPr>
          <w:spacing w:val="-2"/>
        </w:rPr>
        <w:t>）在个别财务报表中，对于处置的股权，其账面价值与实际取得价款之间的差额计入当期损益。处</w:t>
      </w:r>
      <w:r>
        <w:rPr>
          <w:w w:val="100"/>
        </w:rPr>
        <w:t> </w:t>
      </w:r>
      <w:r>
        <w:rPr>
          <w:spacing w:val="-2"/>
        </w:rPr>
        <w:t>置后的剩余股权能够对被投资单位实施共同控制或施加重大影响的，改按权益法核算，并对该剩余股权视</w:t>
      </w:r>
      <w:r>
        <w:rPr>
          <w:spacing w:val="-43"/>
        </w:rPr>
        <w:t> </w:t>
      </w:r>
      <w:r>
        <w:rPr>
          <w:spacing w:val="-43"/>
        </w:rPr>
      </w:r>
      <w:r>
        <w:rPr>
          <w:spacing w:val="-2"/>
        </w:rPr>
        <w:t>同自取得时即采用权益法核算进行调整；处置后的剩余股权不能对被投资单位实施共同控制或施加重大影</w:t>
      </w:r>
      <w:r>
        <w:rPr>
          <w:spacing w:val="-43"/>
        </w:rPr>
        <w:t> </w:t>
      </w:r>
      <w:r>
        <w:rPr>
          <w:spacing w:val="-43"/>
        </w:rPr>
      </w:r>
      <w:r>
        <w:rPr>
          <w:spacing w:val="-2"/>
        </w:rPr>
        <w:t>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金融工具确认和计量》的有关规定进行会计处理，其在丧失控制之</w:t>
      </w:r>
      <w:r>
        <w:rPr>
          <w:spacing w:val="-45"/>
        </w:rPr>
        <w:t> </w:t>
      </w:r>
      <w:r>
        <w:rPr>
          <w:spacing w:val="-45"/>
        </w:rPr>
      </w:r>
      <w:r>
        <w:rPr/>
        <w:t>日的公允价值与账面价值间的差额计入当期损益。</w:t>
      </w:r>
    </w:p>
    <w:p>
      <w:pPr>
        <w:pStyle w:val="BodyText"/>
        <w:spacing w:line="268" w:lineRule="auto" w:before="16"/>
        <w:ind w:right="0" w:firstLine="504"/>
        <w:jc w:val="left"/>
      </w:pPr>
      <w:r>
        <w:rPr>
          <w:rFonts w:ascii="Times New Roman" w:hAnsi="Times New Roman" w:cs="Times New Roman" w:eastAsia="Times New Roman" w:hint="default"/>
        </w:rPr>
        <w:t>2</w:t>
      </w:r>
      <w:r>
        <w:rPr/>
        <w:t>）在合并财务报表中，对于在丧失对子公司控制权以前的各项交易，处置价款与处置长期股权投资</w:t>
      </w:r>
      <w:r>
        <w:rPr>
          <w:w w:val="100"/>
        </w:rPr>
        <w:t> </w:t>
      </w:r>
      <w:r>
        <w:rPr>
          <w:spacing w:val="-5"/>
        </w:rPr>
        <w:t>相应对享有子公司自购买日或合并日开始持续计算的净资产份额之间的差额，调整资本公积（股本溢价），</w:t>
      </w:r>
      <w:r>
        <w:rPr>
          <w:spacing w:val="-8"/>
        </w:rPr>
        <w:t> </w:t>
      </w:r>
      <w:r>
        <w:rPr>
          <w:spacing w:val="-8"/>
        </w:rPr>
      </w:r>
      <w:r>
        <w:rPr>
          <w:spacing w:val="-2"/>
        </w:rPr>
        <w:t>资本公积不足冲减的，调整留存收益；在丧失对子公司控制权时，对于剩余股权，按照其在丧失控制权日</w:t>
      </w:r>
      <w:r>
        <w:rPr>
          <w:spacing w:val="-50"/>
        </w:rPr>
        <w:t> </w:t>
      </w:r>
      <w:r>
        <w:rPr>
          <w:spacing w:val="-50"/>
        </w:rPr>
      </w:r>
      <w:r>
        <w:rPr>
          <w:spacing w:val="-2"/>
        </w:rPr>
        <w:t>的公允价值进行重新计量。处置股权取得的对价与剩余股权公允价值之和，减去按原持股比例计算应享有</w:t>
      </w:r>
      <w:r>
        <w:rPr>
          <w:spacing w:val="-42"/>
        </w:rPr>
        <w:t> </w:t>
      </w:r>
      <w:r>
        <w:rPr>
          <w:spacing w:val="-42"/>
        </w:rPr>
      </w:r>
      <w:r>
        <w:rPr>
          <w:spacing w:val="-2"/>
        </w:rPr>
        <w:t>原有子公司自购买日开始持续计算的净资产的份额之间的差额，计入丧失控制权当期的投资收益，同时冲</w:t>
      </w:r>
      <w:r>
        <w:rPr>
          <w:spacing w:val="-44"/>
        </w:rPr>
        <w:t> </w:t>
      </w:r>
      <w:r>
        <w:rPr>
          <w:spacing w:val="-44"/>
        </w:rPr>
      </w:r>
      <w:r>
        <w:rPr/>
        <w:t>减商誉。与原有子公司股权投资相关的其他综合收益等，在丧失控制权时转为当期投资收益。</w:t>
      </w:r>
    </w:p>
    <w:p>
      <w:pPr>
        <w:pStyle w:val="BodyText"/>
        <w:spacing w:line="273" w:lineRule="auto" w:before="12"/>
        <w:ind w:right="1126" w:firstLine="420"/>
        <w:jc w:val="both"/>
      </w:pPr>
      <w:r>
        <w:rPr>
          <w:spacing w:val="-2"/>
        </w:rPr>
        <w:t>处置对子公司股权投资直至丧失控制权的各项交易属于一揽子交易的，将各项交易作为一项处置子公</w:t>
      </w:r>
      <w:r>
        <w:rPr>
          <w:w w:val="100"/>
        </w:rPr>
        <w:t> </w:t>
      </w:r>
      <w:r>
        <w:rPr/>
        <w:t>司股权投资并丧失控制权的交易进行会计处理，区分个别财务报表和合并财务报表进行相关会计处理：</w:t>
      </w:r>
    </w:p>
    <w:p>
      <w:pPr>
        <w:pStyle w:val="BodyText"/>
        <w:spacing w:line="256" w:lineRule="auto"/>
        <w:ind w:right="1126" w:firstLine="504"/>
        <w:jc w:val="both"/>
      </w:pPr>
      <w:r>
        <w:rPr>
          <w:rFonts w:ascii="Times New Roman" w:hAnsi="Times New Roman" w:cs="Times New Roman" w:eastAsia="Times New Roman" w:hint="default"/>
          <w:spacing w:val="-2"/>
        </w:rPr>
        <w:t>1</w:t>
      </w:r>
      <w:r>
        <w:rPr>
          <w:spacing w:val="-2"/>
        </w:rPr>
        <w:t>）在个别财务报表中，在丧失控制权之前每一次处置价款与处置的股权对应的长期股权投资账面价</w:t>
      </w:r>
      <w:r>
        <w:rPr>
          <w:w w:val="100"/>
        </w:rPr>
        <w:t> </w:t>
      </w:r>
      <w:r>
        <w:rPr/>
        <w:t>值之间的差额，确认为其他综合收益，在丧失控制权时一并转入丧失控制权当期的损益。</w:t>
      </w:r>
    </w:p>
    <w:p>
      <w:pPr>
        <w:pStyle w:val="BodyText"/>
        <w:spacing w:line="259" w:lineRule="auto" w:before="22"/>
        <w:ind w:right="1126" w:firstLine="504"/>
        <w:jc w:val="both"/>
      </w:pPr>
      <w:r>
        <w:rPr>
          <w:rFonts w:ascii="Times New Roman" w:hAnsi="Times New Roman" w:cs="Times New Roman" w:eastAsia="Times New Roman" w:hint="default"/>
          <w:spacing w:val="-2"/>
        </w:rPr>
        <w:t>2</w:t>
      </w:r>
      <w:r>
        <w:rPr>
          <w:spacing w:val="-2"/>
        </w:rPr>
        <w:t>）在合并财务报表中，在丧失控制权之前每一次处置价款与处置投资对应的享有该子公司净资产份</w:t>
      </w:r>
      <w:r>
        <w:rPr>
          <w:w w:val="100"/>
        </w:rPr>
        <w:t> </w:t>
      </w:r>
      <w:r>
        <w:rPr/>
        <w:t>额的差额，确认为其他综合收益，在丧失控制权时一并转入丧失控制权当期的损益。</w:t>
      </w:r>
    </w:p>
    <w:p>
      <w:pPr>
        <w:spacing w:line="256" w:lineRule="auto" w:before="20"/>
        <w:ind w:left="573" w:right="1133"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共同控制、重大影响的判断标准</w:t>
      </w:r>
      <w:r>
        <w:rPr>
          <w:rFonts w:ascii="宋体" w:hAnsi="宋体" w:cs="宋体" w:eastAsia="宋体" w:hint="default"/>
          <w:b/>
          <w:bCs/>
          <w:w w:val="100"/>
          <w:sz w:val="21"/>
          <w:szCs w:val="21"/>
        </w:rPr>
        <w:t> </w:t>
      </w:r>
      <w:r>
        <w:rPr>
          <w:rFonts w:ascii="宋体" w:hAnsi="宋体" w:cs="宋体" w:eastAsia="宋体" w:hint="default"/>
          <w:spacing w:val="-2"/>
          <w:sz w:val="21"/>
          <w:szCs w:val="21"/>
        </w:rPr>
        <w:t>如果本公司按照相关约定与其他参与方集体控制某项安排，并且对该安排回报具有重大影响的活动决</w:t>
      </w:r>
    </w:p>
    <w:p>
      <w:pPr>
        <w:pStyle w:val="BodyText"/>
        <w:spacing w:line="273" w:lineRule="auto" w:before="22"/>
        <w:ind w:right="1133"/>
        <w:jc w:val="left"/>
      </w:pPr>
      <w:r>
        <w:rPr>
          <w:spacing w:val="-2"/>
        </w:rPr>
        <w:t>策，需要经过分享控制权的参与方一致同意时才存在，则视为本公司与其他参与方共同控制某项安排，该</w:t>
      </w:r>
      <w:r>
        <w:rPr>
          <w:spacing w:val="-42"/>
        </w:rPr>
        <w:t> </w:t>
      </w:r>
      <w:r>
        <w:rPr>
          <w:spacing w:val="-42"/>
        </w:rPr>
      </w:r>
      <w:r>
        <w:rPr/>
        <w:t>安排即属于合营安排。</w:t>
      </w:r>
    </w:p>
    <w:p>
      <w:pPr>
        <w:pStyle w:val="BodyText"/>
        <w:spacing w:line="273" w:lineRule="auto"/>
        <w:ind w:right="1126" w:firstLine="420"/>
        <w:jc w:val="both"/>
      </w:pPr>
      <w:r>
        <w:rPr>
          <w:spacing w:val="-2"/>
        </w:rPr>
        <w:t>合营安排通过单独主体达成的，根据相关约定判断本公司对该单独主体的净资产享有权利时，将该单</w:t>
      </w:r>
      <w:r>
        <w:rPr>
          <w:w w:val="100"/>
        </w:rPr>
        <w:t> </w:t>
      </w:r>
      <w:r>
        <w:rPr>
          <w:spacing w:val="-2"/>
        </w:rPr>
        <w:t>独主体作为合营企业，采用权益法核算。若根据相关约定判断本公司并非对该单独主体的净资产享有权利</w:t>
      </w:r>
      <w:r>
        <w:rPr>
          <w:spacing w:val="-43"/>
        </w:rPr>
        <w:t> </w:t>
      </w:r>
      <w:r>
        <w:rPr>
          <w:spacing w:val="-43"/>
        </w:rPr>
      </w:r>
      <w:r>
        <w:rPr>
          <w:spacing w:val="-2"/>
        </w:rPr>
        <w:t>时，该单独主体作为共同经营，本公司确认与共同经营利益份额相关的项目，并按照相关企业会计准则的</w:t>
      </w:r>
      <w:r>
        <w:rPr>
          <w:spacing w:val="-44"/>
        </w:rPr>
        <w:t> </w:t>
      </w:r>
      <w:r>
        <w:rPr>
          <w:spacing w:val="-44"/>
        </w:rPr>
      </w:r>
      <w:r>
        <w:rPr/>
        <w:t>规定进行会计处理。</w:t>
      </w:r>
    </w:p>
    <w:p>
      <w:pPr>
        <w:spacing w:after="0" w:line="273"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64" w:lineRule="auto" w:before="36"/>
        <w:ind w:right="1126" w:firstLine="420"/>
        <w:jc w:val="both"/>
      </w:pPr>
      <w:r>
        <w:rPr>
          <w:spacing w:val="-2"/>
        </w:rPr>
        <w:t>重大影响，是指投资方对被投资单位的财务和经营政策有参与决策的权力，但并不能够控制或者与其</w:t>
      </w:r>
      <w:r>
        <w:rPr>
          <w:w w:val="100"/>
        </w:rPr>
        <w:t> </w:t>
      </w:r>
      <w:r>
        <w:rPr>
          <w:spacing w:val="-2"/>
        </w:rPr>
        <w:t>他方一起共同控制这些政策的制定。本公司通过以下一种或多种情形，并综合考虑所有事实和情况后，判</w:t>
      </w:r>
      <w:r>
        <w:rPr>
          <w:spacing w:val="-43"/>
        </w:rPr>
        <w:t> </w:t>
      </w:r>
      <w:r>
        <w:rPr>
          <w:spacing w:val="-43"/>
        </w:rPr>
      </w:r>
      <w:r>
        <w:rPr>
          <w:spacing w:val="-2"/>
        </w:rPr>
        <w:t>断对被投资单位具有重大影响：（</w:t>
      </w:r>
      <w:r>
        <w:rPr>
          <w:rFonts w:ascii="Times New Roman" w:hAnsi="Times New Roman" w:cs="Times New Roman" w:eastAsia="Times New Roman" w:hint="default"/>
          <w:spacing w:val="-2"/>
        </w:rPr>
        <w:t>1</w:t>
      </w:r>
      <w:r>
        <w:rPr>
          <w:spacing w:val="-2"/>
        </w:rPr>
        <w:t>）在被投资单位的董事会或类似权力机构中派有代表；（</w:t>
      </w:r>
      <w:r>
        <w:rPr>
          <w:rFonts w:ascii="Times New Roman" w:hAnsi="Times New Roman" w:cs="Times New Roman" w:eastAsia="Times New Roman" w:hint="default"/>
          <w:spacing w:val="-2"/>
        </w:rPr>
        <w:t>2</w:t>
      </w:r>
      <w:r>
        <w:rPr>
          <w:spacing w:val="-2"/>
        </w:rPr>
        <w:t>）参与被投</w:t>
      </w:r>
      <w:r>
        <w:rPr>
          <w:spacing w:val="-43"/>
        </w:rPr>
        <w:t> </w:t>
      </w:r>
      <w:r>
        <w:rPr>
          <w:spacing w:val="-43"/>
        </w:rPr>
      </w:r>
      <w:r>
        <w:rPr>
          <w:spacing w:val="-2"/>
        </w:rPr>
        <w:t>资单位财务和经营政策制定过程；（</w:t>
      </w:r>
      <w:r>
        <w:rPr>
          <w:rFonts w:ascii="Times New Roman" w:hAnsi="Times New Roman" w:cs="Times New Roman" w:eastAsia="Times New Roman" w:hint="default"/>
          <w:spacing w:val="-2"/>
        </w:rPr>
        <w:t>3</w:t>
      </w:r>
      <w:r>
        <w:rPr>
          <w:spacing w:val="-2"/>
        </w:rPr>
        <w:t>）与被投资单位之间发生重要交易；（</w:t>
      </w:r>
      <w:r>
        <w:rPr>
          <w:rFonts w:ascii="Times New Roman" w:hAnsi="Times New Roman" w:cs="Times New Roman" w:eastAsia="Times New Roman" w:hint="default"/>
          <w:spacing w:val="-2"/>
        </w:rPr>
        <w:t>4</w:t>
      </w:r>
      <w:r>
        <w:rPr>
          <w:spacing w:val="-2"/>
        </w:rPr>
        <w:t>）向被投资单位派出管理人</w:t>
      </w:r>
      <w:r>
        <w:rPr>
          <w:spacing w:val="-43"/>
        </w:rPr>
        <w:t> </w:t>
      </w:r>
      <w:r>
        <w:rPr>
          <w:spacing w:val="-43"/>
        </w:rPr>
      </w:r>
      <w:r>
        <w:rPr/>
        <w:t>员；（</w:t>
      </w:r>
      <w:r>
        <w:rPr>
          <w:rFonts w:ascii="Times New Roman" w:hAnsi="Times New Roman" w:cs="Times New Roman" w:eastAsia="Times New Roman" w:hint="default"/>
        </w:rPr>
        <w:t>5</w:t>
      </w:r>
      <w:r>
        <w:rPr/>
        <w:t>）向被投资单位提供关键技术资料。</w:t>
      </w:r>
    </w:p>
    <w:p>
      <w:pPr>
        <w:spacing w:line="240" w:lineRule="auto" w:before="10"/>
        <w:rPr>
          <w:rFonts w:ascii="宋体" w:hAnsi="宋体" w:cs="宋体" w:eastAsia="宋体" w:hint="default"/>
          <w:sz w:val="22"/>
          <w:szCs w:val="22"/>
        </w:rPr>
      </w:pPr>
    </w:p>
    <w:p>
      <w:pPr>
        <w:pStyle w:val="Heading4"/>
        <w:spacing w:line="240" w:lineRule="auto"/>
        <w:ind w:right="1133"/>
        <w:jc w:val="left"/>
        <w:rPr>
          <w:b w:val="0"/>
          <w:bCs w:val="0"/>
        </w:rPr>
      </w:pPr>
      <w:bookmarkStart w:name="14、固定资产" w:id="184"/>
      <w:bookmarkEnd w:id="184"/>
      <w:r>
        <w:rPr>
          <w:b w:val="0"/>
          <w:bCs w:val="0"/>
        </w:rPr>
      </w:r>
      <w:r>
        <w:rPr>
          <w:rFonts w:ascii="Times New Roman" w:hAnsi="Times New Roman" w:cs="Times New Roman" w:eastAsia="Times New Roman" w:hint="default"/>
        </w:rPr>
        <w:t>14</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确认条件" w:id="185"/>
      <w:bookmarkEnd w:id="185"/>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spacing w:line="316" w:lineRule="auto" w:before="0"/>
        <w:ind w:left="152" w:right="1133" w:firstLine="360"/>
        <w:jc w:val="both"/>
        <w:rPr>
          <w:rFonts w:ascii="宋体" w:hAnsi="宋体" w:cs="宋体" w:eastAsia="宋体" w:hint="default"/>
          <w:sz w:val="18"/>
          <w:szCs w:val="18"/>
        </w:rPr>
      </w:pPr>
      <w:r>
        <w:rPr>
          <w:rFonts w:ascii="宋体" w:hAnsi="宋体" w:cs="宋体" w:eastAsia="宋体" w:hint="default"/>
          <w:spacing w:val="-2"/>
          <w:sz w:val="18"/>
          <w:szCs w:val="18"/>
        </w:rPr>
        <w:t>固定资产指为生产商品、提供劳务、出租或经营管理而持有，并且使用寿命超过一个会计年度的有形资产。固定资产在</w:t>
      </w:r>
      <w:r>
        <w:rPr>
          <w:rFonts w:ascii="宋体" w:hAnsi="宋体" w:cs="宋体" w:eastAsia="宋体" w:hint="default"/>
          <w:sz w:val="18"/>
          <w:szCs w:val="18"/>
        </w:rPr>
        <w:t> 同时满足下列条件时予以确认：</w:t>
      </w:r>
    </w:p>
    <w:p>
      <w:pPr>
        <w:spacing w:before="60"/>
        <w:ind w:left="513"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）与该固定资产有关的经济利益很可能流入企业</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）该固定资产的成本能够可靠地计量。</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bookmarkStart w:name="（2）折旧方法" w:id="186"/>
      <w:bookmarkEnd w:id="186"/>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2.11%-4.75%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12.50%-20.00%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16.17%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20.00%</w:t>
            </w:r>
          </w:p>
        </w:tc>
      </w:tr>
    </w:tbl>
    <w:p>
      <w:pPr>
        <w:pStyle w:val="BodyText"/>
        <w:spacing w:line="273" w:lineRule="auto" w:before="0"/>
        <w:ind w:right="1126" w:firstLine="420"/>
        <w:jc w:val="both"/>
      </w:pPr>
      <w:r>
        <w:rPr>
          <w:spacing w:val="2"/>
        </w:rPr>
        <w:t>固定资产折旧按其入账价值减去预计净残值后在预计使用寿命内计提。对计提了减值准备的固定资</w:t>
      </w:r>
      <w:r>
        <w:rPr>
          <w:w w:val="100"/>
        </w:rPr>
        <w:t> </w:t>
      </w:r>
      <w:r>
        <w:rPr>
          <w:spacing w:val="-2"/>
        </w:rPr>
        <w:t>产，则在未来期间按扣除减值准备后的账面价值及依据尚可使用年限确定折旧额；已提足折旧仍继续使用</w:t>
      </w:r>
      <w:r>
        <w:rPr>
          <w:spacing w:val="-43"/>
        </w:rPr>
        <w:t> </w:t>
      </w:r>
      <w:r>
        <w:rPr>
          <w:spacing w:val="-43"/>
        </w:rPr>
      </w:r>
      <w:r>
        <w:rPr/>
        <w:t>的固定资产不计提折旧。</w:t>
      </w:r>
    </w:p>
    <w:p>
      <w:pPr>
        <w:pStyle w:val="BodyText"/>
        <w:spacing w:line="273" w:lineRule="auto"/>
        <w:ind w:right="1133" w:firstLine="420"/>
        <w:jc w:val="left"/>
      </w:pPr>
      <w:r>
        <w:rPr>
          <w:spacing w:val="-2"/>
        </w:rPr>
        <w:t>本公司根据固定资产的性质和使用情况，确定固定资产的使用寿命和预计净残值。并在年度终了，对</w:t>
      </w:r>
      <w:r>
        <w:rPr>
          <w:w w:val="100"/>
        </w:rPr>
        <w:t> </w:t>
      </w:r>
      <w:r>
        <w:rPr>
          <w:spacing w:val="-2"/>
        </w:rPr>
        <w:t>固定资产的使用寿命、预计净残值和折旧方法进行复核，如与原先估计数存在差异的，进行相应的调整。</w:t>
      </w:r>
    </w:p>
    <w:p>
      <w:pPr>
        <w:spacing w:line="240" w:lineRule="auto" w:before="7"/>
        <w:rPr>
          <w:rFonts w:ascii="宋体" w:hAnsi="宋体" w:cs="宋体" w:eastAsia="宋体" w:hint="default"/>
          <w:sz w:val="23"/>
          <w:szCs w:val="23"/>
        </w:rPr>
      </w:pPr>
    </w:p>
    <w:p>
      <w:pPr>
        <w:pStyle w:val="Heading4"/>
        <w:spacing w:line="240" w:lineRule="auto"/>
        <w:ind w:right="1133"/>
        <w:jc w:val="left"/>
        <w:rPr>
          <w:b w:val="0"/>
          <w:bCs w:val="0"/>
        </w:rPr>
      </w:pPr>
      <w:bookmarkStart w:name="（3）融资租入固定资产的认定依据、计价和折旧方法" w:id="187"/>
      <w:bookmarkEnd w:id="187"/>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spacing w:line="309" w:lineRule="auto" w:before="0"/>
        <w:ind w:left="152" w:right="0" w:firstLine="360"/>
        <w:jc w:val="left"/>
        <w:rPr>
          <w:rFonts w:ascii="宋体" w:hAnsi="宋体" w:cs="宋体" w:eastAsia="宋体" w:hint="default"/>
          <w:sz w:val="18"/>
          <w:szCs w:val="18"/>
        </w:rPr>
      </w:pPr>
      <w:r>
        <w:rPr>
          <w:rFonts w:ascii="宋体" w:hAnsi="宋体" w:cs="宋体" w:eastAsia="宋体" w:hint="default"/>
          <w:spacing w:val="-4"/>
          <w:sz w:val="18"/>
          <w:szCs w:val="18"/>
        </w:rPr>
        <w:t>当本公司租入的固定资产符合下列一项或数项标准时，确认为融资租入固定资产：（</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）在租赁期届满时，租赁资产的所</w:t>
      </w:r>
      <w:r>
        <w:rPr>
          <w:rFonts w:ascii="宋体" w:hAnsi="宋体" w:cs="宋体" w:eastAsia="宋体" w:hint="default"/>
          <w:sz w:val="18"/>
          <w:szCs w:val="18"/>
        </w:rPr>
        <w:t> </w:t>
      </w:r>
      <w:r>
        <w:rPr>
          <w:rFonts w:ascii="宋体" w:hAnsi="宋体" w:cs="宋体" w:eastAsia="宋体" w:hint="default"/>
          <w:spacing w:val="-4"/>
          <w:sz w:val="18"/>
          <w:szCs w:val="18"/>
        </w:rPr>
        <w:t>有权转移给本公司。（</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）本公司有购买租赁资产的选择权，所订立的购买价款预计将远低于行使选择权时租赁资产的公允价</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4"/>
          <w:sz w:val="18"/>
          <w:szCs w:val="18"/>
        </w:rPr>
        <w:t>值，因而在租赁开始日就可以合理确定本公司将会行使这种选择权。（</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）即使资产的所有权不转移，但租赁期占租赁资产使</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5"/>
          <w:sz w:val="18"/>
          <w:szCs w:val="18"/>
        </w:rPr>
        <w:t>用寿命的大部分。（</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）本公司在租赁开始日的最低租赁付款额现值，几乎相当于租赁开始日租赁资产公允价值。（</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）租赁资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产性质特殊，如果不作较大改造，只有本公司才能使用。融资租赁租入的固定资产，按租赁开始日租赁资产公允价值与最低</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租赁付款额的现值两者中较低者，作为入账价值。最低租赁付款额作为长期应付款的入账价值，其差额作为未确认融资费用。</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在租赁谈判和签订租赁合同过程中发生的，可归属于租赁项目的手续费、律师费、差旅费、印花税等初始直接费用，计入租</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入资产价值。未确认融资费用在租赁期内各个期间采用实际利率法进行分摊。本公司采用与自有固定资产相一致的折旧政策</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计提融资租入固定资产折旧。能够合理确定租赁期届满时取得租赁资产所有权的，在租赁资产使用寿命内计提折旧。无法合</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理确定租赁期届满时能够取得租赁资产所有权的，在租赁期与租赁资产使用寿命两者中较短的期间内计提折旧。</w:t>
      </w:r>
    </w:p>
    <w:p>
      <w:pPr>
        <w:spacing w:after="0" w:line="309"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both"/>
        <w:rPr>
          <w:b w:val="0"/>
          <w:bCs w:val="0"/>
        </w:rPr>
      </w:pPr>
      <w:bookmarkStart w:name="15、在建工程" w:id="188"/>
      <w:bookmarkEnd w:id="188"/>
      <w:r>
        <w:rPr>
          <w:b w:val="0"/>
          <w:bCs w:val="0"/>
        </w:rPr>
      </w:r>
      <w:r>
        <w:rPr>
          <w:rFonts w:ascii="Times New Roman" w:hAnsi="Times New Roman" w:cs="Times New Roman" w:eastAsia="Times New Roman" w:hint="default"/>
        </w:rPr>
        <w:t>15</w:t>
      </w:r>
      <w:r>
        <w:rPr/>
        <w:t>、在建工程</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before="0"/>
        <w:ind w:left="573" w:right="1133" w:hanging="8"/>
        <w:jc w:val="left"/>
      </w:pPr>
      <w:r>
        <w:rPr>
          <w:rFonts w:ascii="Times New Roman" w:hAnsi="Times New Roman" w:cs="Times New Roman" w:eastAsia="Times New Roman" w:hint="default"/>
          <w:b/>
          <w:bCs/>
        </w:rPr>
        <w:t>1.</w:t>
      </w:r>
      <w:r>
        <w:rPr>
          <w:rFonts w:ascii="宋体" w:hAnsi="宋体" w:cs="宋体" w:eastAsia="宋体" w:hint="default"/>
          <w:b/>
          <w:bCs/>
        </w:rPr>
        <w:t>在建工程初始计量</w:t>
      </w:r>
      <w:r>
        <w:rPr>
          <w:rFonts w:ascii="宋体" w:hAnsi="宋体" w:cs="宋体" w:eastAsia="宋体" w:hint="default"/>
          <w:b/>
          <w:bCs/>
          <w:w w:val="100"/>
        </w:rPr>
        <w:t> </w:t>
      </w:r>
      <w:r>
        <w:rPr>
          <w:spacing w:val="-2"/>
        </w:rPr>
        <w:t>本公司自行建造的在建工程按实际成本计价，实际成本由建造该项资产达到预定可使用状态前所发生</w:t>
      </w:r>
    </w:p>
    <w:p>
      <w:pPr>
        <w:pStyle w:val="BodyText"/>
        <w:spacing w:line="273" w:lineRule="auto" w:before="22"/>
        <w:ind w:right="1129"/>
        <w:jc w:val="both"/>
      </w:pPr>
      <w:r>
        <w:rPr>
          <w:spacing w:val="-2"/>
        </w:rPr>
        <w:t>的必要支出构成，包括工程用物资成本、人工成本、交纳的相关税费、应予资本化的借款费用以及应分摊</w:t>
      </w:r>
      <w:r>
        <w:rPr>
          <w:spacing w:val="-47"/>
        </w:rPr>
        <w:t> </w:t>
      </w:r>
      <w:r>
        <w:rPr>
          <w:spacing w:val="-47"/>
        </w:rPr>
      </w:r>
      <w:r>
        <w:rPr/>
        <w:t>的间接费用等。</w:t>
      </w:r>
    </w:p>
    <w:p>
      <w:pPr>
        <w:spacing w:line="256" w:lineRule="auto" w:before="7"/>
        <w:ind w:left="573" w:right="1133"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在建工程结转为固定资产的标准和时点</w:t>
      </w:r>
      <w:r>
        <w:rPr>
          <w:rFonts w:ascii="宋体" w:hAnsi="宋体" w:cs="宋体" w:eastAsia="宋体" w:hint="default"/>
          <w:b/>
          <w:bCs/>
          <w:w w:val="100"/>
          <w:sz w:val="21"/>
          <w:szCs w:val="21"/>
        </w:rPr>
        <w:t> </w:t>
      </w:r>
      <w:r>
        <w:rPr>
          <w:rFonts w:ascii="宋体" w:hAnsi="宋体" w:cs="宋体" w:eastAsia="宋体" w:hint="default"/>
          <w:spacing w:val="-2"/>
          <w:sz w:val="21"/>
          <w:szCs w:val="21"/>
        </w:rPr>
        <w:t>在建工程项目按建造该项资产达到预定可使用状态前所发生的全部支出，作为固定资产的入账价值。</w:t>
      </w:r>
    </w:p>
    <w:p>
      <w:pPr>
        <w:pStyle w:val="BodyText"/>
        <w:spacing w:line="273" w:lineRule="auto" w:before="22"/>
        <w:ind w:right="1126"/>
        <w:jc w:val="both"/>
      </w:pPr>
      <w:r>
        <w:rPr>
          <w:spacing w:val="-2"/>
        </w:rPr>
        <w:t>所建造的在建工程已达到预定可使用状态，但尚未办理竣工决算的，自达到预定可使用状态之日起，根据</w:t>
      </w:r>
      <w:r>
        <w:rPr>
          <w:spacing w:val="-44"/>
        </w:rPr>
        <w:t> </w:t>
      </w:r>
      <w:r>
        <w:rPr>
          <w:spacing w:val="-44"/>
        </w:rPr>
      </w:r>
      <w:r>
        <w:rPr>
          <w:spacing w:val="-2"/>
        </w:rPr>
        <w:t>工程预算、造价或者工程实际成本等，按估计的价值转入固定资产，并按本公司固定资产折旧政策计提固</w:t>
      </w:r>
      <w:r>
        <w:rPr>
          <w:spacing w:val="-44"/>
        </w:rPr>
        <w:t> </w:t>
      </w:r>
      <w:r>
        <w:rPr>
          <w:spacing w:val="-44"/>
        </w:rPr>
      </w:r>
      <w:r>
        <w:rPr/>
        <w:t>定资产的折旧，待办理竣工决算后，再按实际成本调整原来的暂估价值，但不调整原已计提的折旧额。</w:t>
      </w:r>
    </w:p>
    <w:p>
      <w:pPr>
        <w:spacing w:line="240" w:lineRule="auto" w:before="7"/>
        <w:rPr>
          <w:rFonts w:ascii="宋体" w:hAnsi="宋体" w:cs="宋体" w:eastAsia="宋体" w:hint="default"/>
          <w:sz w:val="23"/>
          <w:szCs w:val="23"/>
        </w:rPr>
      </w:pPr>
    </w:p>
    <w:p>
      <w:pPr>
        <w:pStyle w:val="Heading4"/>
        <w:spacing w:line="240" w:lineRule="auto"/>
        <w:ind w:right="0"/>
        <w:jc w:val="both"/>
        <w:rPr>
          <w:b w:val="0"/>
          <w:bCs w:val="0"/>
        </w:rPr>
      </w:pPr>
      <w:bookmarkStart w:name="16、借款费用" w:id="189"/>
      <w:bookmarkEnd w:id="189"/>
      <w:r>
        <w:rPr>
          <w:b w:val="0"/>
          <w:bCs w:val="0"/>
        </w:rPr>
      </w:r>
      <w:r>
        <w:rPr>
          <w:rFonts w:ascii="Times New Roman" w:hAnsi="Times New Roman" w:cs="Times New Roman" w:eastAsia="Times New Roman" w:hint="default"/>
        </w:rPr>
        <w:t>16</w:t>
      </w:r>
      <w:r>
        <w:rPr/>
        <w:t>、借款费用</w:t>
      </w:r>
      <w:r>
        <w:rPr>
          <w:b w:val="0"/>
          <w:bCs w:val="0"/>
        </w:rPr>
      </w:r>
    </w:p>
    <w:p>
      <w:pPr>
        <w:spacing w:line="240" w:lineRule="auto" w:before="7"/>
        <w:rPr>
          <w:rFonts w:ascii="宋体" w:hAnsi="宋体" w:cs="宋体" w:eastAsia="宋体" w:hint="default"/>
          <w:b/>
          <w:bCs/>
          <w:sz w:val="24"/>
          <w:szCs w:val="24"/>
        </w:rPr>
      </w:pPr>
    </w:p>
    <w:p>
      <w:pPr>
        <w:spacing w:line="256" w:lineRule="auto" w:before="0"/>
        <w:ind w:left="573" w:right="1133"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本公司发生的借款费用，可直接归属于符合资本化条件的资产的购建或者生产的，予以资本化，计入</w:t>
      </w:r>
    </w:p>
    <w:p>
      <w:pPr>
        <w:pStyle w:val="BodyText"/>
        <w:spacing w:line="273" w:lineRule="auto" w:before="22"/>
        <w:ind w:left="573" w:right="1133" w:hanging="421"/>
        <w:jc w:val="left"/>
      </w:pPr>
      <w:r>
        <w:rPr/>
        <w:t>相关资产成本；其他借款费用，在发生时根据其发生额确认为费用，计入当期损益。</w:t>
      </w:r>
      <w:r>
        <w:rPr>
          <w:w w:val="100"/>
        </w:rPr>
        <w:t> </w:t>
      </w:r>
      <w:r>
        <w:rPr>
          <w:spacing w:val="-2"/>
        </w:rPr>
        <w:t>符合资本化条件的资产，是指需要经过相当长时间的购建或者生产活动才能达到预定可使用或者可销</w:t>
      </w:r>
    </w:p>
    <w:p>
      <w:pPr>
        <w:pStyle w:val="BodyText"/>
        <w:spacing w:line="273" w:lineRule="auto"/>
        <w:ind w:left="573" w:right="2654" w:hanging="421"/>
        <w:jc w:val="left"/>
      </w:pPr>
      <w:r>
        <w:rPr>
          <w:spacing w:val="-2"/>
        </w:rPr>
        <w:t>售状态的固定资产、投资性房地产和存货等资产。</w:t>
      </w:r>
      <w:r>
        <w:rPr>
          <w:spacing w:val="-62"/>
        </w:rPr>
        <w:t> </w:t>
      </w:r>
      <w:r>
        <w:rPr>
          <w:spacing w:val="-62"/>
        </w:rPr>
      </w:r>
      <w:r>
        <w:rPr/>
        <w:t>借款费用同时满足下列条件时开始资本化：</w:t>
      </w:r>
    </w:p>
    <w:p>
      <w:pPr>
        <w:pStyle w:val="BodyText"/>
        <w:spacing w:line="256" w:lineRule="auto"/>
        <w:ind w:right="1133" w:firstLine="42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w:t>
      </w:r>
      <w:r>
        <w:rPr>
          <w:w w:val="100"/>
        </w:rPr>
        <w:t> </w:t>
      </w:r>
      <w:r>
        <w:rPr/>
        <w:t>非现金资产或者承担带息债务形式发生的支出；</w:t>
      </w:r>
    </w:p>
    <w:p>
      <w:pPr>
        <w:pStyle w:val="BodyText"/>
        <w:spacing w:line="240" w:lineRule="auto" w:before="22"/>
        <w:ind w:left="573" w:right="1133"/>
        <w:jc w:val="left"/>
      </w:pPr>
      <w:r>
        <w:rPr/>
        <w:t>（</w:t>
      </w:r>
      <w:r>
        <w:rPr>
          <w:rFonts w:ascii="Times New Roman" w:hAnsi="Times New Roman" w:cs="Times New Roman" w:eastAsia="Times New Roman" w:hint="default"/>
        </w:rPr>
        <w:t>2</w:t>
      </w:r>
      <w:r>
        <w:rPr/>
        <w:t>）借款费用已经发生；</w:t>
      </w:r>
    </w:p>
    <w:p>
      <w:pPr>
        <w:pStyle w:val="BodyText"/>
        <w:spacing w:line="256" w:lineRule="auto" w:before="21"/>
        <w:ind w:left="566" w:right="1133" w:firstLine="7"/>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r>
        <w:rPr>
          <w:w w:val="100"/>
        </w:rPr>
        <w:t> </w:t>
      </w:r>
      <w:r>
        <w:rPr>
          <w:rFonts w:ascii="Times New Roman" w:hAnsi="Times New Roman" w:cs="Times New Roman" w:eastAsia="Times New Roman" w:hint="default"/>
          <w:b/>
          <w:bCs/>
        </w:rPr>
        <w:t>2.</w:t>
      </w:r>
      <w:r>
        <w:rPr>
          <w:rFonts w:ascii="宋体" w:hAnsi="宋体" w:cs="宋体" w:eastAsia="宋体" w:hint="default"/>
          <w:b/>
          <w:bCs/>
        </w:rPr>
        <w:t>借款费用资本化期间</w:t>
      </w:r>
      <w:r>
        <w:rPr>
          <w:rFonts w:ascii="宋体" w:hAnsi="宋体" w:cs="宋体" w:eastAsia="宋体" w:hint="default"/>
          <w:b/>
          <w:bCs/>
          <w:w w:val="100"/>
        </w:rPr>
        <w:t> </w:t>
      </w:r>
      <w:r>
        <w:rPr>
          <w:spacing w:val="-2"/>
        </w:rPr>
        <w:t>资本化期间，指从借款费用开始资本化时点到停止资本化时点的期间，借款费用暂停资本化的期间不</w:t>
      </w:r>
    </w:p>
    <w:p>
      <w:pPr>
        <w:pStyle w:val="BodyText"/>
        <w:spacing w:line="240" w:lineRule="auto" w:before="22"/>
        <w:ind w:right="0"/>
        <w:jc w:val="both"/>
      </w:pPr>
      <w:r>
        <w:rPr/>
        <w:t>包括在内。</w:t>
      </w:r>
    </w:p>
    <w:p>
      <w:pPr>
        <w:pStyle w:val="BodyText"/>
        <w:spacing w:line="273" w:lineRule="auto" w:before="37"/>
        <w:ind w:left="573" w:right="1133"/>
        <w:jc w:val="left"/>
      </w:pPr>
      <w:r>
        <w:rPr/>
        <w:t>当购建或者生产符合资本化条件的资产达到预定可使用或者可销售状态时，借款费用停止资本化。</w:t>
      </w:r>
      <w:r>
        <w:rPr>
          <w:w w:val="100"/>
        </w:rPr>
        <w:t> </w:t>
      </w:r>
      <w:r>
        <w:rPr>
          <w:spacing w:val="-2"/>
        </w:rPr>
        <w:t>当购建或者生产符合资本化条件的资产中部分项目分别完工且可单独使用时，该部分资产借款费用停</w:t>
      </w:r>
    </w:p>
    <w:p>
      <w:pPr>
        <w:pStyle w:val="BodyText"/>
        <w:spacing w:line="240" w:lineRule="auto"/>
        <w:ind w:right="0"/>
        <w:jc w:val="both"/>
      </w:pPr>
      <w:r>
        <w:rPr/>
        <w:t>止资本化。</w:t>
      </w:r>
    </w:p>
    <w:p>
      <w:pPr>
        <w:pStyle w:val="BodyText"/>
        <w:spacing w:line="273" w:lineRule="auto" w:before="37"/>
        <w:ind w:right="1133" w:firstLine="420"/>
        <w:jc w:val="left"/>
      </w:pPr>
      <w:r>
        <w:rPr>
          <w:spacing w:val="-2"/>
        </w:rPr>
        <w:t>购建或者生产的资产的各部分分别完工，但必须等到整体完工后才可使用或可对外销售的，在该资产</w:t>
      </w:r>
      <w:r>
        <w:rPr>
          <w:w w:val="100"/>
        </w:rPr>
        <w:t> </w:t>
      </w:r>
      <w:r>
        <w:rPr/>
        <w:t>整体完工时停止借款费用资本化。</w:t>
      </w:r>
    </w:p>
    <w:p>
      <w:pPr>
        <w:pStyle w:val="BodyText"/>
        <w:spacing w:line="256" w:lineRule="auto"/>
        <w:ind w:left="573" w:right="1133" w:hanging="8"/>
        <w:jc w:val="left"/>
      </w:pP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100"/>
        </w:rPr>
        <w:t> </w:t>
      </w:r>
      <w:r>
        <w:rPr/>
        <w:t>符合资本化条件的资产在购建或生产过程中发生的非正常中断、且中断时间连续超过</w:t>
      </w:r>
      <w:r>
        <w:rPr>
          <w:rFonts w:ascii="Times New Roman" w:hAnsi="Times New Roman" w:cs="Times New Roman" w:eastAsia="Times New Roman" w:hint="default"/>
        </w:rPr>
        <w:t>3</w:t>
      </w:r>
      <w:r>
        <w:rPr/>
        <w:t>个月的，则借</w:t>
      </w:r>
    </w:p>
    <w:p>
      <w:pPr>
        <w:pStyle w:val="BodyText"/>
        <w:spacing w:line="273" w:lineRule="auto" w:before="5"/>
        <w:ind w:right="1126"/>
        <w:jc w:val="both"/>
      </w:pPr>
      <w:r>
        <w:rPr>
          <w:spacing w:val="-2"/>
        </w:rPr>
        <w:t>款费用暂停资本化；该项中断如是所购建或生产的符合资本化条件的资产达到预定可使用状态或者可销售</w:t>
      </w:r>
      <w:r>
        <w:rPr>
          <w:spacing w:val="-44"/>
        </w:rPr>
        <w:t> </w:t>
      </w:r>
      <w:r>
        <w:rPr>
          <w:spacing w:val="-44"/>
        </w:rPr>
      </w:r>
      <w:r>
        <w:rPr>
          <w:spacing w:val="-2"/>
        </w:rPr>
        <w:t>状态必要的程序，则借款费用继续资本化。在中断期间发生的借款费用确认为当期损益，直至资产的购建</w:t>
      </w:r>
      <w:r>
        <w:rPr>
          <w:spacing w:val="-44"/>
        </w:rPr>
        <w:t> </w:t>
      </w:r>
      <w:r>
        <w:rPr>
          <w:spacing w:val="-44"/>
        </w:rPr>
      </w:r>
      <w:r>
        <w:rPr/>
        <w:t>或者生产活动重新开始后借款费用继续资本化。</w:t>
      </w:r>
    </w:p>
    <w:p>
      <w:pPr>
        <w:spacing w:line="256" w:lineRule="auto" w:before="7"/>
        <w:ind w:left="573" w:right="1133"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b/>
          <w:bCs/>
          <w:w w:val="100"/>
          <w:sz w:val="21"/>
          <w:szCs w:val="21"/>
        </w:rPr>
        <w:t> </w:t>
      </w:r>
      <w:r>
        <w:rPr>
          <w:rFonts w:ascii="宋体" w:hAnsi="宋体" w:cs="宋体" w:eastAsia="宋体" w:hint="default"/>
          <w:spacing w:val="-2"/>
          <w:sz w:val="21"/>
          <w:szCs w:val="21"/>
        </w:rPr>
        <w:t>专门借款的利息费用（扣除尚未动用的借款资金存入银行取得的利息收入或者进行暂时性投资取得的</w:t>
      </w:r>
    </w:p>
    <w:p>
      <w:pPr>
        <w:pStyle w:val="BodyText"/>
        <w:spacing w:line="273" w:lineRule="auto" w:before="22"/>
        <w:ind w:right="1105"/>
        <w:jc w:val="both"/>
      </w:pPr>
      <w:r>
        <w:rPr>
          <w:spacing w:val="-2"/>
        </w:rPr>
        <w:t>投资收益）及其辅助费用在所购建或者生产的符合资本化条件的资产达到预定可使用或者可销售状态前，</w:t>
      </w:r>
      <w:r>
        <w:rPr>
          <w:spacing w:val="-21"/>
        </w:rPr>
        <w:t> </w:t>
      </w:r>
      <w:r>
        <w:rPr>
          <w:spacing w:val="-21"/>
        </w:rPr>
      </w:r>
      <w:r>
        <w:rPr/>
        <w:t>予以资本化。</w:t>
      </w:r>
    </w:p>
    <w:p>
      <w:pPr>
        <w:pStyle w:val="BodyText"/>
        <w:spacing w:line="273" w:lineRule="auto"/>
        <w:ind w:right="1107" w:firstLine="420"/>
        <w:jc w:val="right"/>
      </w:pPr>
      <w:r>
        <w:rPr>
          <w:spacing w:val="-2"/>
        </w:rPr>
        <w:t>根据累计资产支出超过专门借款部分的资产支出加权平均数（按每月月末平均）乘以所占用一般借款</w:t>
      </w:r>
      <w:r>
        <w:rPr>
          <w:w w:val="100"/>
        </w:rPr>
        <w:t> </w:t>
      </w:r>
      <w:r>
        <w:rPr>
          <w:spacing w:val="-2"/>
        </w:rPr>
        <w:t>的资本化率，计算确定一般借款应予资本化的利息金额。资本化率根据一般借款加权平均利率计算确定。</w:t>
      </w:r>
      <w:r>
        <w:rPr>
          <w:spacing w:val="-46"/>
        </w:rPr>
        <w:t> </w:t>
      </w:r>
      <w:r>
        <w:rPr>
          <w:spacing w:val="-46"/>
        </w:rPr>
      </w:r>
      <w:r>
        <w:rPr>
          <w:spacing w:val="-2"/>
        </w:rPr>
        <w:t>借款存在折价或者溢价的，按照实际利率法确定每一会计期间应摊销的折价或者溢价金额，调整每期</w:t>
      </w:r>
    </w:p>
    <w:p>
      <w:pPr>
        <w:spacing w:after="0" w:line="273" w:lineRule="auto"/>
        <w:jc w:val="righ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right="1133"/>
        <w:jc w:val="left"/>
      </w:pPr>
      <w:r>
        <w:rPr/>
        <w:t>利息金额。</w:t>
      </w:r>
    </w:p>
    <w:p>
      <w:pPr>
        <w:spacing w:line="240" w:lineRule="auto" w:before="10"/>
        <w:rPr>
          <w:rFonts w:ascii="宋体" w:hAnsi="宋体" w:cs="宋体" w:eastAsia="宋体" w:hint="default"/>
          <w:sz w:val="25"/>
          <w:szCs w:val="25"/>
        </w:rPr>
      </w:pPr>
    </w:p>
    <w:p>
      <w:pPr>
        <w:pStyle w:val="Heading4"/>
        <w:spacing w:line="240" w:lineRule="auto"/>
        <w:ind w:right="1133"/>
        <w:jc w:val="left"/>
        <w:rPr>
          <w:b w:val="0"/>
          <w:bCs w:val="0"/>
        </w:rPr>
      </w:pPr>
      <w:bookmarkStart w:name="17、无形资产" w:id="190"/>
      <w:bookmarkEnd w:id="190"/>
      <w:r>
        <w:rPr>
          <w:b w:val="0"/>
          <w:bCs w:val="0"/>
        </w:rPr>
      </w:r>
      <w:r>
        <w:rPr>
          <w:rFonts w:ascii="Times New Roman" w:hAnsi="Times New Roman" w:cs="Times New Roman" w:eastAsia="Times New Roman" w:hint="default"/>
        </w:rPr>
        <w:t>17</w:t>
      </w:r>
      <w:r>
        <w:rPr/>
        <w:t>、无形资产</w:t>
      </w:r>
      <w:r>
        <w:rPr>
          <w:b w:val="0"/>
          <w:bCs w:val="0"/>
        </w:rPr>
      </w:r>
    </w:p>
    <w:p>
      <w:pPr>
        <w:spacing w:line="590" w:lineRule="atLeast" w:before="24"/>
        <w:ind w:left="573" w:right="1133" w:hanging="421"/>
        <w:jc w:val="left"/>
        <w:rPr>
          <w:rFonts w:ascii="宋体" w:hAnsi="宋体" w:cs="宋体" w:eastAsia="宋体" w:hint="default"/>
          <w:sz w:val="21"/>
          <w:szCs w:val="21"/>
        </w:rPr>
      </w:pPr>
      <w:bookmarkStart w:name="（1）计价方法、使用寿命、减值测试" w:id="191"/>
      <w:bookmarkEnd w:id="1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b/>
          <w:bCs/>
          <w:w w:val="100"/>
          <w:sz w:val="21"/>
          <w:szCs w:val="21"/>
        </w:rPr>
        <w:t> </w:t>
      </w:r>
      <w:r>
        <w:rPr>
          <w:rFonts w:ascii="宋体" w:hAnsi="宋体" w:cs="宋体" w:eastAsia="宋体" w:hint="default"/>
          <w:spacing w:val="-2"/>
          <w:sz w:val="21"/>
          <w:szCs w:val="21"/>
        </w:rPr>
        <w:t>无形资产是指本公司拥有或者控制的没有实物形态的可辨认非货币性资产，包括软件、专利权及非专</w:t>
      </w:r>
    </w:p>
    <w:p>
      <w:pPr>
        <w:pStyle w:val="BodyText"/>
        <w:spacing w:line="240" w:lineRule="auto" w:before="37"/>
        <w:ind w:right="1133"/>
        <w:jc w:val="left"/>
      </w:pPr>
      <w:r>
        <w:rPr/>
        <w:t>利技术。</w:t>
      </w:r>
    </w:p>
    <w:p>
      <w:pPr>
        <w:spacing w:line="273" w:lineRule="auto" w:before="37"/>
        <w:ind w:left="573" w:right="1133" w:hanging="8"/>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无形资产的初始计量</w:t>
      </w:r>
      <w:r>
        <w:rPr>
          <w:rFonts w:ascii="宋体" w:hAnsi="宋体" w:cs="宋体" w:eastAsia="宋体" w:hint="default"/>
          <w:b/>
          <w:bCs/>
          <w:spacing w:val="-103"/>
          <w:sz w:val="21"/>
          <w:szCs w:val="21"/>
        </w:rPr>
        <w:t> </w:t>
      </w:r>
      <w:r>
        <w:rPr>
          <w:rFonts w:ascii="宋体" w:hAnsi="宋体" w:cs="宋体" w:eastAsia="宋体" w:hint="default"/>
          <w:spacing w:val="-2"/>
          <w:sz w:val="21"/>
          <w:szCs w:val="21"/>
        </w:rPr>
        <w:t>外购无形资产的成本，包括购买价款、相关税费以及直接归属于使该项资产达到预定用途所发生的其</w:t>
      </w:r>
    </w:p>
    <w:p>
      <w:pPr>
        <w:pStyle w:val="BodyText"/>
        <w:spacing w:line="273" w:lineRule="auto"/>
        <w:ind w:right="1133"/>
        <w:jc w:val="left"/>
      </w:pPr>
      <w:r>
        <w:rPr>
          <w:spacing w:val="-2"/>
        </w:rPr>
        <w:t>他支出。购买无形资产的价款超过正常信用条件延期支付，实质上具有融资性质的，无形资产的成本以购</w:t>
      </w:r>
      <w:r>
        <w:rPr>
          <w:spacing w:val="-42"/>
        </w:rPr>
        <w:t> </w:t>
      </w:r>
      <w:r>
        <w:rPr>
          <w:spacing w:val="-42"/>
        </w:rPr>
      </w:r>
      <w:r>
        <w:rPr/>
        <w:t>买价款的现值为基础确定。</w:t>
      </w:r>
    </w:p>
    <w:p>
      <w:pPr>
        <w:pStyle w:val="BodyText"/>
        <w:spacing w:line="273" w:lineRule="auto" w:before="8"/>
        <w:ind w:right="1126" w:firstLine="420"/>
        <w:jc w:val="both"/>
      </w:pPr>
      <w:r>
        <w:rPr>
          <w:spacing w:val="-2"/>
        </w:rPr>
        <w:t>债务重组取得债务人用以抵债的无形资产，以该无形资产的公允价值为基础确定其入账价值，并将重</w:t>
      </w:r>
      <w:r>
        <w:rPr>
          <w:w w:val="100"/>
        </w:rPr>
        <w:t> </w:t>
      </w:r>
      <w:r>
        <w:rPr/>
        <w:t>组债务的账面价值与该用以抵债的无形资产公允价值之间的差额，计入当期损益。</w:t>
      </w:r>
    </w:p>
    <w:p>
      <w:pPr>
        <w:pStyle w:val="BodyText"/>
        <w:spacing w:line="273" w:lineRule="auto"/>
        <w:ind w:right="1126" w:firstLine="420"/>
        <w:jc w:val="both"/>
      </w:pPr>
      <w:r>
        <w:rPr>
          <w:spacing w:val="-2"/>
        </w:rPr>
        <w:t>在非货币性资产交换具备商业实质且换入资产或换出资产的公允价值能够可靠计量的前提下，非货币</w:t>
      </w:r>
      <w:r>
        <w:rPr>
          <w:w w:val="100"/>
        </w:rPr>
        <w:t> </w:t>
      </w:r>
      <w:r>
        <w:rPr>
          <w:spacing w:val="-2"/>
        </w:rPr>
        <w:t>性资产交换换入的无形资产以换出资产的公允价值为基础确定其入账价值，除非有确凿证据表明换入资产</w:t>
      </w:r>
      <w:r>
        <w:rPr>
          <w:spacing w:val="-43"/>
        </w:rPr>
        <w:t> </w:t>
      </w:r>
      <w:r>
        <w:rPr>
          <w:spacing w:val="-43"/>
        </w:rPr>
      </w:r>
      <w:r>
        <w:rPr>
          <w:spacing w:val="-2"/>
        </w:rPr>
        <w:t>的公允价值更加可靠；不满足上述前提的非货币性资产交换，以换出资产的账面价值和应支付的相关税费</w:t>
      </w:r>
      <w:r>
        <w:rPr>
          <w:spacing w:val="-43"/>
        </w:rPr>
        <w:t> </w:t>
      </w:r>
      <w:r>
        <w:rPr>
          <w:spacing w:val="-43"/>
        </w:rPr>
      </w:r>
      <w:r>
        <w:rPr/>
        <w:t>作为换入无形资产的成本，不确认损益。</w:t>
      </w:r>
    </w:p>
    <w:p>
      <w:pPr>
        <w:pStyle w:val="BodyText"/>
        <w:spacing w:line="273" w:lineRule="auto"/>
        <w:ind w:right="1126" w:firstLine="420"/>
        <w:jc w:val="both"/>
      </w:pPr>
      <w:r>
        <w:rPr>
          <w:spacing w:val="-2"/>
        </w:rPr>
        <w:t>以同一控制下的企业吸收合并方式取得的无形资产按被合并方的账面价值确定其入账价值；以非同一</w:t>
      </w:r>
      <w:r>
        <w:rPr>
          <w:w w:val="100"/>
        </w:rPr>
        <w:t> </w:t>
      </w:r>
      <w:r>
        <w:rPr/>
        <w:t>控制下的企业吸收合并方式取得的无形资产按公允价值确定其入账价值。</w:t>
      </w:r>
    </w:p>
    <w:p>
      <w:pPr>
        <w:pStyle w:val="BodyText"/>
        <w:spacing w:line="273" w:lineRule="auto"/>
        <w:ind w:right="1126" w:firstLine="420"/>
        <w:jc w:val="both"/>
      </w:pPr>
      <w:r>
        <w:rPr>
          <w:spacing w:val="-2"/>
        </w:rPr>
        <w:t>内部自行开发的无形资产，其成本包括：开发该无形资产时耗用的材料、劳务成本、注册费、在开发</w:t>
      </w:r>
      <w:r>
        <w:rPr>
          <w:w w:val="100"/>
        </w:rPr>
        <w:t> </w:t>
      </w:r>
      <w:r>
        <w:rPr>
          <w:spacing w:val="-2"/>
        </w:rPr>
        <w:t>过程中使用的其他专利权和特许权的摊销以及满足资本化条件的利息费用，以及为使该无形资产达到预定</w:t>
      </w:r>
      <w:r>
        <w:rPr>
          <w:spacing w:val="-43"/>
        </w:rPr>
        <w:t> </w:t>
      </w:r>
      <w:r>
        <w:rPr>
          <w:spacing w:val="-43"/>
        </w:rPr>
      </w:r>
      <w:r>
        <w:rPr/>
        <w:t>用途前所发生的其他直接费用。</w:t>
      </w:r>
    </w:p>
    <w:p>
      <w:pPr>
        <w:spacing w:line="273" w:lineRule="auto" w:before="7"/>
        <w:ind w:left="573" w:right="1133" w:hanging="6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无形资产的后续计量</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本公司在取得无形资产时分析判断其使用寿命，划分为使用寿命有限和使用寿命不确定的无形资产。</w:t>
      </w:r>
    </w:p>
    <w:p>
      <w:pPr>
        <w:pStyle w:val="BodyText"/>
        <w:spacing w:line="256" w:lineRule="auto"/>
        <w:ind w:left="573" w:right="1133" w:hanging="106"/>
        <w:jc w:val="left"/>
      </w:pPr>
      <w:r>
        <w:rPr/>
        <w:t>（</w:t>
      </w:r>
      <w:r>
        <w:rPr>
          <w:rFonts w:ascii="Times New Roman" w:hAnsi="Times New Roman" w:cs="Times New Roman" w:eastAsia="Times New Roman" w:hint="default"/>
        </w:rPr>
        <w:t>1</w:t>
      </w:r>
      <w:r>
        <w:rPr/>
        <w:t>）使用寿命有限的无形资产</w:t>
      </w:r>
      <w:r>
        <w:rPr>
          <w:w w:val="100"/>
        </w:rPr>
        <w:t> </w:t>
      </w:r>
      <w:r>
        <w:rPr>
          <w:spacing w:val="-2"/>
        </w:rPr>
        <w:t>对于使用寿命有限的无形资产，在为企业带来经济利益的期限内按直线法摊销。使用寿命有限的无形</w:t>
      </w:r>
    </w:p>
    <w:p>
      <w:pPr>
        <w:pStyle w:val="BodyText"/>
        <w:spacing w:line="240" w:lineRule="auto" w:before="22"/>
        <w:ind w:right="1133"/>
        <w:jc w:val="left"/>
      </w:pPr>
      <w:r>
        <w:rPr/>
        <w:t>资产预计寿命及依据如下：</w:t>
      </w:r>
    </w:p>
    <w:p>
      <w:pPr>
        <w:spacing w:line="240" w:lineRule="auto" w:before="10"/>
        <w:rPr>
          <w:rFonts w:ascii="宋体" w:hAnsi="宋体" w:cs="宋体" w:eastAsia="宋体" w:hint="default"/>
          <w:sz w:val="3"/>
          <w:szCs w:val="3"/>
        </w:rPr>
      </w:pPr>
    </w:p>
    <w:tbl>
      <w:tblPr>
        <w:tblW w:w="0" w:type="auto"/>
        <w:jc w:val="left"/>
        <w:tblInd w:w="138" w:type="dxa"/>
        <w:tblLayout w:type="fixed"/>
        <w:tblCellMar>
          <w:top w:w="0" w:type="dxa"/>
          <w:left w:w="0" w:type="dxa"/>
          <w:bottom w:w="0" w:type="dxa"/>
          <w:right w:w="0" w:type="dxa"/>
        </w:tblCellMar>
        <w:tblLook w:val="01E0"/>
      </w:tblPr>
      <w:tblGrid>
        <w:gridCol w:w="3219"/>
        <w:gridCol w:w="2148"/>
        <w:gridCol w:w="4292"/>
      </w:tblGrid>
      <w:tr>
        <w:trPr>
          <w:trHeight w:val="343"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4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1"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4292"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4292"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42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3" w:lineRule="auto" w:before="0"/>
        <w:ind w:right="1133" w:firstLine="420"/>
        <w:jc w:val="left"/>
      </w:pPr>
      <w:r>
        <w:rPr>
          <w:spacing w:val="-2"/>
        </w:rPr>
        <w:t>每期末，对使用寿命有限的无形资产的使用寿命及摊销方法进行复核，如与原先估计数存在差异的，</w:t>
      </w:r>
      <w:r>
        <w:rPr>
          <w:w w:val="100"/>
        </w:rPr>
        <w:t> </w:t>
      </w:r>
      <w:r>
        <w:rPr/>
        <w:t>进行相应的调整。</w:t>
      </w:r>
    </w:p>
    <w:p>
      <w:pPr>
        <w:pStyle w:val="BodyText"/>
        <w:spacing w:line="240" w:lineRule="auto"/>
        <w:ind w:left="573" w:right="1133"/>
        <w:jc w:val="left"/>
      </w:pPr>
      <w:r>
        <w:rPr/>
        <w:t>经复核，本期期末无形资产的使用寿命及摊销方法与以前估计未有不同。</w:t>
      </w:r>
    </w:p>
    <w:p>
      <w:pPr>
        <w:pStyle w:val="BodyText"/>
        <w:spacing w:line="256" w:lineRule="auto" w:before="37"/>
        <w:ind w:left="573" w:right="1133" w:hanging="106"/>
        <w:jc w:val="left"/>
      </w:pPr>
      <w:r>
        <w:rPr/>
        <w:t>（</w:t>
      </w:r>
      <w:r>
        <w:rPr>
          <w:rFonts w:ascii="Times New Roman" w:hAnsi="Times New Roman" w:cs="Times New Roman" w:eastAsia="Times New Roman" w:hint="default"/>
        </w:rPr>
        <w:t>2</w:t>
      </w:r>
      <w:r>
        <w:rPr/>
        <w:t>）使用寿命不确定的无形资产</w:t>
      </w:r>
      <w:r>
        <w:rPr>
          <w:w w:val="100"/>
        </w:rPr>
        <w:t> </w:t>
      </w:r>
      <w:r>
        <w:rPr>
          <w:spacing w:val="-2"/>
        </w:rPr>
        <w:t>无法预见无形资产为企业带来经济利益期限的，视为使用寿命不确定的无形资产。对于使用寿命不确</w:t>
      </w:r>
    </w:p>
    <w:p>
      <w:pPr>
        <w:pStyle w:val="BodyText"/>
        <w:spacing w:line="273" w:lineRule="auto" w:before="22"/>
        <w:ind w:right="1133"/>
        <w:jc w:val="left"/>
      </w:pPr>
      <w:r>
        <w:rPr>
          <w:spacing w:val="-2"/>
        </w:rPr>
        <w:t>定的无形资产，在持有期间内不摊销，每期末对无形资产的寿命进行复核。如果期末重新复核后仍为不确</w:t>
      </w:r>
      <w:r>
        <w:rPr>
          <w:spacing w:val="-43"/>
        </w:rPr>
        <w:t> </w:t>
      </w:r>
      <w:r>
        <w:rPr>
          <w:spacing w:val="-43"/>
        </w:rPr>
      </w:r>
      <w:r>
        <w:rPr/>
        <w:t>定的，在每个会计期间继续进行减值测试。</w:t>
      </w:r>
    </w:p>
    <w:p>
      <w:pPr>
        <w:spacing w:line="240" w:lineRule="auto" w:before="7"/>
        <w:rPr>
          <w:rFonts w:ascii="宋体" w:hAnsi="宋体" w:cs="宋体" w:eastAsia="宋体" w:hint="default"/>
          <w:sz w:val="23"/>
          <w:szCs w:val="23"/>
        </w:rPr>
      </w:pPr>
    </w:p>
    <w:p>
      <w:pPr>
        <w:pStyle w:val="Heading4"/>
        <w:spacing w:line="240" w:lineRule="auto"/>
        <w:ind w:right="1133"/>
        <w:jc w:val="left"/>
        <w:rPr>
          <w:b w:val="0"/>
          <w:bCs w:val="0"/>
        </w:rPr>
      </w:pPr>
      <w:bookmarkStart w:name="（2）内部研究开发支出会计政策" w:id="192"/>
      <w:bookmarkEnd w:id="192"/>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before="0"/>
        <w:ind w:left="573" w:right="1133"/>
        <w:jc w:val="left"/>
      </w:pPr>
      <w:r>
        <w:rPr>
          <w:rFonts w:ascii="Times New Roman" w:hAnsi="Times New Roman" w:cs="Times New Roman" w:eastAsia="Times New Roman" w:hint="default"/>
        </w:rPr>
        <w:t>1</w:t>
      </w:r>
      <w:r>
        <w:rPr/>
        <w:t>）划分公司内部研究开发项目的研究阶段和开发阶段具体标准：</w:t>
      </w:r>
      <w:r>
        <w:rPr>
          <w:w w:val="100"/>
        </w:rPr>
        <w:t> </w:t>
      </w:r>
      <w:r>
        <w:rPr>
          <w:spacing w:val="-2"/>
        </w:rPr>
        <w:t>研究阶段：为获取并理解新的科学或技术知识等而进行的独创性的有计划调查、研究活动的阶段。</w:t>
      </w:r>
    </w:p>
    <w:p>
      <w:pPr>
        <w:spacing w:after="0" w:line="25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6" w:firstLine="420"/>
        <w:jc w:val="both"/>
      </w:pPr>
      <w:r>
        <w:rPr>
          <w:spacing w:val="-2"/>
        </w:rPr>
        <w:t>开发阶段：在进行商业性生产或使用前，将研究成果或其他知识应用于某项计划或设计，以生产出新</w:t>
      </w:r>
      <w:r>
        <w:rPr>
          <w:w w:val="100"/>
        </w:rPr>
        <w:t> </w:t>
      </w:r>
      <w:r>
        <w:rPr/>
        <w:t>的或具有实质性改进的材料、装置、产品等活动的阶段。</w:t>
      </w:r>
    </w:p>
    <w:p>
      <w:pPr>
        <w:pStyle w:val="BodyText"/>
        <w:spacing w:line="256" w:lineRule="auto"/>
        <w:ind w:left="573" w:right="1133"/>
        <w:jc w:val="left"/>
      </w:pPr>
      <w:r>
        <w:rPr>
          <w:rFonts w:ascii="Times New Roman" w:hAnsi="Times New Roman" w:cs="Times New Roman" w:eastAsia="Times New Roman" w:hint="default"/>
        </w:rPr>
        <w:t>2</w:t>
      </w:r>
      <w:r>
        <w:rPr/>
        <w:t>）开发阶段支出符合资本化的具体标准：</w:t>
      </w:r>
      <w:r>
        <w:rPr>
          <w:w w:val="100"/>
        </w:rPr>
        <w:t> </w:t>
      </w:r>
      <w:r>
        <w:rPr>
          <w:spacing w:val="-2"/>
        </w:rPr>
        <w:t>内部研究开发项目开发阶段的支出，同时满足下列条件时确认为无形资产：</w:t>
      </w:r>
    </w:p>
    <w:p>
      <w:pPr>
        <w:pStyle w:val="BodyText"/>
        <w:spacing w:line="240" w:lineRule="auto" w:before="22"/>
        <w:ind w:left="573" w:right="1133"/>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21"/>
        <w:ind w:left="573" w:right="1133"/>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256" w:lineRule="auto" w:before="21"/>
        <w:ind w:right="1136" w:firstLine="420"/>
        <w:jc w:val="both"/>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w:t>
      </w:r>
      <w:r>
        <w:rPr>
          <w:w w:val="100"/>
        </w:rPr>
        <w:t> </w:t>
      </w:r>
      <w:r>
        <w:rPr/>
        <w:t>自身存在市场，无形资产将在内部使用的，能够证明其有用性；</w:t>
      </w:r>
    </w:p>
    <w:p>
      <w:pPr>
        <w:pStyle w:val="BodyText"/>
        <w:spacing w:line="256" w:lineRule="auto" w:before="22"/>
        <w:ind w:right="1136" w:firstLine="420"/>
        <w:jc w:val="both"/>
      </w:pPr>
      <w:r>
        <w:rPr/>
        <w:t>（</w:t>
      </w:r>
      <w:r>
        <w:rPr>
          <w:rFonts w:ascii="Times New Roman" w:hAnsi="Times New Roman" w:cs="Times New Roman" w:eastAsia="Times New Roman" w:hint="default"/>
        </w:rPr>
        <w:t>4</w:t>
      </w:r>
      <w:r>
        <w:rPr/>
        <w:t>）有足够的技术、财务资源和其他资源支持，以完成该无形资产的开发，并有能力使用或出售该</w:t>
      </w:r>
      <w:r>
        <w:rPr>
          <w:w w:val="100"/>
        </w:rPr>
        <w:t> </w:t>
      </w:r>
      <w:r>
        <w:rPr/>
        <w:t>无形资产；</w:t>
      </w:r>
    </w:p>
    <w:p>
      <w:pPr>
        <w:pStyle w:val="BodyText"/>
        <w:spacing w:line="256" w:lineRule="auto" w:before="22"/>
        <w:ind w:left="573" w:right="1133"/>
        <w:jc w:val="left"/>
      </w:pPr>
      <w:r>
        <w:rPr/>
        <w:t>（</w:t>
      </w:r>
      <w:r>
        <w:rPr>
          <w:rFonts w:ascii="Times New Roman" w:hAnsi="Times New Roman" w:cs="Times New Roman" w:eastAsia="Times New Roman" w:hint="default"/>
        </w:rPr>
        <w:t>5</w:t>
      </w:r>
      <w:r>
        <w:rPr/>
        <w:t>）归属于该无形资产开发阶段的支出能够可靠地计量。</w:t>
      </w:r>
      <w:r>
        <w:rPr>
          <w:w w:val="100"/>
        </w:rPr>
        <w:t> </w:t>
      </w:r>
      <w:r>
        <w:rPr>
          <w:spacing w:val="-2"/>
        </w:rPr>
        <w:t>内部研究开发支出的资本化时点：研发项目经过前期市场调研和项目可行性论证，报经公司批准立项</w:t>
      </w:r>
    </w:p>
    <w:p>
      <w:pPr>
        <w:pStyle w:val="BodyText"/>
        <w:spacing w:line="273" w:lineRule="auto" w:before="23"/>
        <w:ind w:left="573" w:right="1133" w:hanging="421"/>
        <w:jc w:val="left"/>
      </w:pPr>
      <w:r>
        <w:rPr/>
        <w:t>后发生的开发费用计入开发支出，予以转资本化。</w:t>
      </w:r>
      <w:r>
        <w:rPr>
          <w:w w:val="100"/>
        </w:rPr>
        <w:t> </w:t>
      </w:r>
      <w:r>
        <w:rPr>
          <w:spacing w:val="-2"/>
        </w:rPr>
        <w:t>不满足上述条件的开发阶段的支出，于发生时计入当期损益。以前期间已计入损益的开发支出不在以</w:t>
      </w:r>
    </w:p>
    <w:p>
      <w:pPr>
        <w:pStyle w:val="BodyText"/>
        <w:spacing w:line="273" w:lineRule="auto"/>
        <w:ind w:right="1133"/>
        <w:jc w:val="left"/>
      </w:pPr>
      <w:r>
        <w:rPr>
          <w:spacing w:val="-2"/>
        </w:rPr>
        <w:t>后期间重新确认为资产。已资本化的开发阶段的支出在资产负债表上列示为开发支出，自该项目达到预定</w:t>
      </w:r>
      <w:r>
        <w:rPr>
          <w:spacing w:val="-42"/>
        </w:rPr>
        <w:t> </w:t>
      </w:r>
      <w:r>
        <w:rPr>
          <w:spacing w:val="-42"/>
        </w:rPr>
      </w:r>
      <w:r>
        <w:rPr/>
        <w:t>用途之日起转为无形资产。</w:t>
      </w:r>
    </w:p>
    <w:p>
      <w:pPr>
        <w:pStyle w:val="BodyText"/>
        <w:spacing w:line="600" w:lineRule="atLeast" w:before="0"/>
        <w:ind w:left="573" w:right="1133" w:hanging="421"/>
        <w:jc w:val="left"/>
      </w:pPr>
      <w:bookmarkStart w:name="18、长期资产减值" w:id="193"/>
      <w:bookmarkEnd w:id="193"/>
      <w:r>
        <w:rPr/>
      </w:r>
      <w:r>
        <w:rPr>
          <w:rFonts w:ascii="Times New Roman" w:hAnsi="Times New Roman" w:cs="Times New Roman" w:eastAsia="Times New Roman" w:hint="default"/>
          <w:b/>
          <w:bCs/>
        </w:rPr>
        <w:t>18</w:t>
      </w:r>
      <w:r>
        <w:rPr>
          <w:rFonts w:ascii="宋体" w:hAnsi="宋体" w:cs="宋体" w:eastAsia="宋体" w:hint="default"/>
          <w:b/>
          <w:bCs/>
        </w:rPr>
        <w:t>、长期资产减值</w:t>
      </w:r>
      <w:r>
        <w:rPr>
          <w:rFonts w:ascii="宋体" w:hAnsi="宋体" w:cs="宋体" w:eastAsia="宋体" w:hint="default"/>
          <w:b/>
          <w:bCs/>
          <w:w w:val="100"/>
        </w:rPr>
        <w:t> </w:t>
      </w:r>
      <w:r>
        <w:rPr>
          <w:spacing w:val="-2"/>
        </w:rPr>
        <w:t>本公司在资产负债表日判断长期资产是否存在可能发生减值的迹象。如果长期资产存在减值迹象的，</w:t>
      </w:r>
    </w:p>
    <w:p>
      <w:pPr>
        <w:pStyle w:val="BodyText"/>
        <w:spacing w:line="273" w:lineRule="auto" w:before="37"/>
        <w:ind w:right="1133"/>
        <w:jc w:val="left"/>
      </w:pPr>
      <w:r>
        <w:rPr>
          <w:spacing w:val="-2"/>
        </w:rPr>
        <w:t>以单项资产为基础估计其可收回金额；难以对单项资产的可收回金额进行估计的，以该资产所属的资产组</w:t>
      </w:r>
      <w:r>
        <w:rPr>
          <w:spacing w:val="-43"/>
        </w:rPr>
        <w:t> </w:t>
      </w:r>
      <w:r>
        <w:rPr>
          <w:spacing w:val="-43"/>
        </w:rPr>
      </w:r>
      <w:r>
        <w:rPr/>
        <w:t>为基础确定资产组的可收回金额。</w:t>
      </w:r>
    </w:p>
    <w:p>
      <w:pPr>
        <w:pStyle w:val="BodyText"/>
        <w:spacing w:line="273" w:lineRule="auto"/>
        <w:ind w:right="1126" w:firstLine="420"/>
        <w:jc w:val="both"/>
      </w:pPr>
      <w:r>
        <w:rPr>
          <w:spacing w:val="-2"/>
        </w:rPr>
        <w:t>资产可收回金额的估计，根据其公允价值减去处置费用后的净额与资产预计未来现金流量的现值两者</w:t>
      </w:r>
      <w:r>
        <w:rPr>
          <w:w w:val="100"/>
        </w:rPr>
        <w:t> </w:t>
      </w:r>
      <w:r>
        <w:rPr/>
        <w:t>之间较高者确定。</w:t>
      </w:r>
    </w:p>
    <w:p>
      <w:pPr>
        <w:pStyle w:val="BodyText"/>
        <w:spacing w:line="273" w:lineRule="auto" w:before="8"/>
        <w:ind w:right="1126" w:firstLine="420"/>
        <w:jc w:val="both"/>
      </w:pPr>
      <w:r>
        <w:rPr>
          <w:spacing w:val="-2"/>
        </w:rPr>
        <w:t>可收回金额的计量结果表明，长期资产的可收回金额低于其账面价值的，将长期资产的账面价值减记</w:t>
      </w:r>
      <w:r>
        <w:rPr>
          <w:w w:val="100"/>
        </w:rPr>
        <w:t> </w:t>
      </w:r>
      <w:r>
        <w:rPr>
          <w:spacing w:val="-2"/>
        </w:rPr>
        <w:t>至可收回金额，减记的金额确认为资产减值损失，计入当期损益，同时计提相应的资产减值准备。资产减</w:t>
      </w:r>
      <w:r>
        <w:rPr>
          <w:spacing w:val="-50"/>
        </w:rPr>
        <w:t> </w:t>
      </w:r>
      <w:r>
        <w:rPr>
          <w:spacing w:val="-50"/>
        </w:rPr>
      </w:r>
      <w:r>
        <w:rPr/>
        <w:t>值损失一经确认，在以后会计期间不得转回。</w:t>
      </w:r>
    </w:p>
    <w:p>
      <w:pPr>
        <w:pStyle w:val="BodyText"/>
        <w:spacing w:line="273" w:lineRule="auto"/>
        <w:ind w:right="1126" w:firstLine="420"/>
        <w:jc w:val="both"/>
      </w:pPr>
      <w:r>
        <w:rPr>
          <w:spacing w:val="-2"/>
        </w:rPr>
        <w:t>资产减值损失确认后，减值资产的折旧或者摊销费用在未来期间作相应调整，以使该资产在剩余使用</w:t>
      </w:r>
      <w:r>
        <w:rPr>
          <w:w w:val="100"/>
        </w:rPr>
        <w:t> </w:t>
      </w:r>
      <w:r>
        <w:rPr/>
        <w:t>寿命内，系统地分摊调整后的资产账面价值（扣除预计净残值）。</w:t>
      </w:r>
    </w:p>
    <w:p>
      <w:pPr>
        <w:pStyle w:val="BodyText"/>
        <w:spacing w:line="273" w:lineRule="auto"/>
        <w:ind w:right="1126" w:firstLine="420"/>
        <w:jc w:val="both"/>
      </w:pPr>
      <w:r>
        <w:rPr>
          <w:spacing w:val="-2"/>
        </w:rPr>
        <w:t>因企业合并所形成的商誉和使用寿命不确定的无形资产，无论是否存在减值迹象，每年都进行减值测</w:t>
      </w:r>
      <w:r>
        <w:rPr>
          <w:w w:val="100"/>
        </w:rPr>
        <w:t> </w:t>
      </w:r>
      <w:r>
        <w:rPr/>
        <w:t>试。</w:t>
      </w:r>
    </w:p>
    <w:p>
      <w:pPr>
        <w:pStyle w:val="BodyText"/>
        <w:spacing w:line="271" w:lineRule="auto"/>
        <w:ind w:right="1126" w:firstLine="420"/>
        <w:jc w:val="both"/>
      </w:pPr>
      <w:r>
        <w:rPr>
          <w:spacing w:val="-2"/>
        </w:rPr>
        <w:t>在对商誉进行减值测试时，将商誉的账面价值分摊至预期从企业合并的协同效应中受益的资产组或资</w:t>
      </w:r>
      <w:r>
        <w:rPr>
          <w:w w:val="100"/>
        </w:rPr>
        <w:t> </w:t>
      </w:r>
      <w:r>
        <w:rPr>
          <w:spacing w:val="-2"/>
        </w:rPr>
        <w:t>产组组合。在对包含商誉的相关资产组或者资产组组合进行减值测试时，如与商誉相关的资产组或者资产</w:t>
      </w:r>
      <w:r>
        <w:rPr>
          <w:spacing w:val="-43"/>
        </w:rPr>
        <w:t> </w:t>
      </w:r>
      <w:r>
        <w:rPr>
          <w:spacing w:val="-43"/>
        </w:rPr>
      </w:r>
      <w:r>
        <w:rPr>
          <w:spacing w:val="-2"/>
        </w:rPr>
        <w:t>组组合存在减值迹象的，先对不包含商誉的资产组或者资产组组合进行减值测试，计算可收回金额，并与</w:t>
      </w:r>
      <w:r>
        <w:rPr>
          <w:spacing w:val="-43"/>
        </w:rPr>
        <w:t> </w:t>
      </w:r>
      <w:r>
        <w:rPr>
          <w:spacing w:val="-43"/>
        </w:rPr>
      </w:r>
      <w:r>
        <w:rPr>
          <w:spacing w:val="-2"/>
        </w:rPr>
        <w:t>相关账面价值相比较，确认相应的减值损失。再对包含商誉的资产组或者资产组组合进行减值测试，比较</w:t>
      </w:r>
      <w:r>
        <w:rPr>
          <w:spacing w:val="-43"/>
        </w:rPr>
        <w:t> </w:t>
      </w:r>
      <w:r>
        <w:rPr>
          <w:spacing w:val="-43"/>
        </w:rPr>
      </w:r>
      <w:r>
        <w:rPr>
          <w:spacing w:val="-2"/>
        </w:rPr>
        <w:t>这些相关资产组或者资产组组合的账面价值（包括所分摊的商誉的账面价值部分）与其可收回金额，如相</w:t>
      </w:r>
      <w:r>
        <w:rPr>
          <w:spacing w:val="-43"/>
        </w:rPr>
        <w:t> </w:t>
      </w:r>
      <w:r>
        <w:rPr>
          <w:spacing w:val="-43"/>
        </w:rPr>
      </w:r>
      <w:r>
        <w:rPr/>
        <w:t>关资产组或者资产组组合的可收回金额低于其账面价值的，确认商誉的减值损失。</w:t>
      </w:r>
    </w:p>
    <w:p>
      <w:pPr>
        <w:spacing w:line="240" w:lineRule="auto" w:before="9"/>
        <w:rPr>
          <w:rFonts w:ascii="宋体" w:hAnsi="宋体" w:cs="宋体" w:eastAsia="宋体" w:hint="default"/>
          <w:sz w:val="23"/>
          <w:szCs w:val="23"/>
        </w:rPr>
      </w:pPr>
    </w:p>
    <w:p>
      <w:pPr>
        <w:pStyle w:val="Heading4"/>
        <w:spacing w:line="240" w:lineRule="auto"/>
        <w:ind w:right="1133"/>
        <w:jc w:val="left"/>
        <w:rPr>
          <w:b w:val="0"/>
          <w:bCs w:val="0"/>
        </w:rPr>
      </w:pPr>
      <w:bookmarkStart w:name="19、长期待摊费用" w:id="194"/>
      <w:bookmarkEnd w:id="194"/>
      <w:r>
        <w:rPr>
          <w:b w:val="0"/>
          <w:bCs w:val="0"/>
        </w:rPr>
      </w:r>
      <w:r>
        <w:rPr>
          <w:rFonts w:ascii="Times New Roman" w:hAnsi="Times New Roman" w:cs="Times New Roman" w:eastAsia="Times New Roman" w:hint="default"/>
        </w:rPr>
        <w:t>19</w:t>
      </w:r>
      <w:r>
        <w:rPr/>
        <w:t>、长期待摊费用</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before="0"/>
        <w:ind w:left="573" w:right="1133" w:hanging="8"/>
        <w:jc w:val="left"/>
      </w:pPr>
      <w:r>
        <w:rPr>
          <w:rFonts w:ascii="Times New Roman" w:hAnsi="Times New Roman" w:cs="Times New Roman" w:eastAsia="Times New Roman" w:hint="default"/>
          <w:b/>
          <w:bCs/>
        </w:rPr>
        <w:t>1.</w:t>
      </w:r>
      <w:r>
        <w:rPr>
          <w:rFonts w:ascii="宋体" w:hAnsi="宋体" w:cs="宋体" w:eastAsia="宋体" w:hint="default"/>
          <w:b/>
          <w:bCs/>
        </w:rPr>
        <w:t>摊销方法</w:t>
      </w:r>
      <w:r>
        <w:rPr>
          <w:rFonts w:ascii="宋体" w:hAnsi="宋体" w:cs="宋体" w:eastAsia="宋体" w:hint="default"/>
          <w:b/>
          <w:bCs/>
          <w:w w:val="100"/>
        </w:rPr>
        <w:t> </w:t>
      </w:r>
      <w:r>
        <w:rPr/>
        <w:t>长期待摊费用，是指本公司已经发生但应由本期和以后各期负担的分摊期限在</w:t>
      </w:r>
      <w:r>
        <w:rPr>
          <w:rFonts w:ascii="Times New Roman" w:hAnsi="Times New Roman" w:cs="Times New Roman" w:eastAsia="Times New Roman" w:hint="default"/>
        </w:rPr>
        <w:t>1</w:t>
      </w:r>
      <w:r>
        <w:rPr/>
        <w:t>年以上的各项费用。</w:t>
      </w:r>
    </w:p>
    <w:p>
      <w:pPr>
        <w:pStyle w:val="BodyText"/>
        <w:spacing w:line="240" w:lineRule="auto" w:before="5"/>
        <w:ind w:right="1133"/>
        <w:jc w:val="left"/>
      </w:pPr>
      <w:r>
        <w:rPr/>
        <w:t>长期待摊费用在受益期内按直线法分期摊销。</w:t>
      </w:r>
    </w:p>
    <w:p>
      <w:pPr>
        <w:pStyle w:val="Heading4"/>
        <w:spacing w:line="240" w:lineRule="auto" w:before="37"/>
        <w:ind w:left="566" w:right="1133"/>
        <w:jc w:val="left"/>
        <w:rPr>
          <w:b w:val="0"/>
          <w:bCs w:val="0"/>
        </w:rPr>
      </w:pPr>
      <w:r>
        <w:rPr>
          <w:rFonts w:ascii="Times New Roman" w:hAnsi="Times New Roman" w:cs="Times New Roman" w:eastAsia="Times New Roman" w:hint="default"/>
        </w:rPr>
        <w:t>2.</w:t>
      </w:r>
      <w:r>
        <w:rPr/>
        <w:t>摊销年限</w:t>
      </w:r>
      <w:r>
        <w:rPr>
          <w:b w:val="0"/>
          <w:bCs w:val="0"/>
        </w:rPr>
      </w:r>
    </w:p>
    <w:p>
      <w:pPr>
        <w:spacing w:after="0" w:line="240" w:lineRule="auto"/>
        <w:jc w:val="left"/>
        <w:sectPr>
          <w:footerReference w:type="default" r:id="rId16"/>
          <w:pgSz w:w="11910" w:h="16840"/>
          <w:pgMar w:footer="980" w:header="745" w:top="1060" w:bottom="1160" w:left="980" w:right="0"/>
          <w:pgNumType w:start="110"/>
        </w:sectPr>
      </w:pPr>
    </w:p>
    <w:p>
      <w:pPr>
        <w:spacing w:line="240" w:lineRule="auto" w:before="6"/>
        <w:rPr>
          <w:rFonts w:ascii="宋体" w:hAnsi="宋体" w:cs="宋体" w:eastAsia="宋体" w:hint="default"/>
          <w:b/>
          <w:bCs/>
          <w:sz w:val="28"/>
          <w:szCs w:val="28"/>
        </w:rPr>
      </w:pPr>
    </w:p>
    <w:tbl>
      <w:tblPr>
        <w:tblW w:w="0" w:type="auto"/>
        <w:jc w:val="left"/>
        <w:tblInd w:w="138" w:type="dxa"/>
        <w:tblLayout w:type="fixed"/>
        <w:tblCellMar>
          <w:top w:w="0" w:type="dxa"/>
          <w:left w:w="0" w:type="dxa"/>
          <w:bottom w:w="0" w:type="dxa"/>
          <w:right w:w="0" w:type="dxa"/>
        </w:tblCellMar>
        <w:tblLook w:val="01E0"/>
      </w:tblPr>
      <w:tblGrid>
        <w:gridCol w:w="3219"/>
        <w:gridCol w:w="3219"/>
        <w:gridCol w:w="3221"/>
      </w:tblGrid>
      <w:tr>
        <w:trPr>
          <w:trHeight w:val="341"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摊销年限</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43"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装修费用</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预计受益期限</w:t>
            </w:r>
          </w:p>
        </w:tc>
      </w:tr>
      <w:tr>
        <w:trPr>
          <w:trHeight w:val="343"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测试手机</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预计受益期限</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bookmarkStart w:name="20、职工薪酬" w:id="195"/>
      <w:bookmarkEnd w:id="195"/>
      <w:r>
        <w:rPr>
          <w:b w:val="0"/>
          <w:bCs w:val="0"/>
        </w:rPr>
      </w:r>
      <w:r>
        <w:rPr>
          <w:rFonts w:ascii="Times New Roman" w:hAnsi="Times New Roman" w:cs="Times New Roman" w:eastAsia="Times New Roman" w:hint="default"/>
        </w:rPr>
        <w:t>20</w:t>
      </w:r>
      <w:r>
        <w:rPr/>
        <w:t>、职工薪酬</w:t>
      </w:r>
      <w:r>
        <w:rPr>
          <w:b w:val="0"/>
          <w:bCs w:val="0"/>
        </w:rPr>
      </w:r>
    </w:p>
    <w:p>
      <w:pPr>
        <w:spacing w:line="600" w:lineRule="atLeast" w:before="12"/>
        <w:ind w:left="573" w:right="1133" w:hanging="421"/>
        <w:jc w:val="left"/>
        <w:rPr>
          <w:rFonts w:ascii="宋体" w:hAnsi="宋体" w:cs="宋体" w:eastAsia="宋体" w:hint="default"/>
          <w:sz w:val="21"/>
          <w:szCs w:val="21"/>
        </w:rPr>
      </w:pPr>
      <w:bookmarkStart w:name="（1）短期薪酬的会计处理方法" w:id="196"/>
      <w:bookmarkEnd w:id="1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短期薪酬是指本公司在职工提供相关服务的年度报告期间结束后十二个月内需要全部予以支付的职</w:t>
      </w:r>
    </w:p>
    <w:p>
      <w:pPr>
        <w:pStyle w:val="BodyText"/>
        <w:spacing w:line="273" w:lineRule="auto" w:before="37"/>
        <w:ind w:right="0"/>
        <w:jc w:val="left"/>
      </w:pPr>
      <w:r>
        <w:rPr>
          <w:spacing w:val="-5"/>
        </w:rPr>
        <w:t>工薪酬，离职后福利和辞退福利除外。本公司在职工提供服务的会计期间，将应付的短期薪酬确认为负债， </w:t>
      </w:r>
      <w:r>
        <w:rPr/>
        <w:t>并根据职工提供服务的受益对象计入相关资产成本和费用。</w:t>
      </w:r>
    </w:p>
    <w:p>
      <w:pPr>
        <w:spacing w:line="590" w:lineRule="atLeast" w:before="9"/>
        <w:ind w:left="573" w:right="1133" w:hanging="421"/>
        <w:jc w:val="left"/>
        <w:rPr>
          <w:rFonts w:ascii="宋体" w:hAnsi="宋体" w:cs="宋体" w:eastAsia="宋体" w:hint="default"/>
          <w:sz w:val="21"/>
          <w:szCs w:val="21"/>
        </w:rPr>
      </w:pPr>
      <w:bookmarkStart w:name="（2）离职后福利的会计处理方法" w:id="197"/>
      <w:bookmarkEnd w:id="19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离职后福利是指本公司为获得职工提供的服务而在职工退休或与企业解除劳动关系后，提供的各种形</w:t>
      </w:r>
    </w:p>
    <w:p>
      <w:pPr>
        <w:pStyle w:val="BodyText"/>
        <w:spacing w:line="273" w:lineRule="auto" w:before="37"/>
        <w:ind w:left="573" w:right="2654" w:hanging="421"/>
        <w:jc w:val="left"/>
      </w:pPr>
      <w:r>
        <w:rPr/>
        <w:t>式的报酬和福利，短期薪酬和辞退福利除外。</w:t>
      </w:r>
      <w:r>
        <w:rPr>
          <w:w w:val="100"/>
        </w:rPr>
        <w:t> </w:t>
      </w:r>
      <w:r>
        <w:rPr>
          <w:spacing w:val="-2"/>
        </w:rPr>
        <w:t>本公司的离职后福利计划全部为设定提存计划。</w:t>
      </w:r>
    </w:p>
    <w:p>
      <w:pPr>
        <w:pStyle w:val="BodyText"/>
        <w:spacing w:line="266" w:lineRule="auto"/>
        <w:ind w:right="1105" w:firstLine="420"/>
        <w:jc w:val="both"/>
      </w:pPr>
      <w:r>
        <w:rPr>
          <w:spacing w:val="-2"/>
        </w:rPr>
        <w:t>离职后福利设定提存计划主要为参加由各地劳动及社会保障机构组织实施的社会基本养老保险、失业</w:t>
      </w:r>
      <w:r>
        <w:rPr>
          <w:w w:val="100"/>
        </w:rPr>
        <w:t> </w:t>
      </w:r>
      <w:r>
        <w:rPr>
          <w:spacing w:val="-2"/>
        </w:rPr>
        <w:t>保险等；除了社会基本养老保险、失业保险之外，</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日之后退休的员工可以自原参加本公司设立</w:t>
      </w:r>
      <w:r>
        <w:rPr>
          <w:spacing w:val="-40"/>
        </w:rPr>
        <w:t> </w:t>
      </w:r>
      <w:r>
        <w:rPr>
          <w:spacing w:val="-40"/>
        </w:rPr>
      </w:r>
      <w:r>
        <w:rPr>
          <w:spacing w:val="-2"/>
        </w:rPr>
        <w:t>的年金计划。在职工为本公司提供服务的会计期间，将根据设定提存计划计算的应缴存金额确认为负债，</w:t>
      </w:r>
      <w:r>
        <w:rPr>
          <w:spacing w:val="-21"/>
        </w:rPr>
        <w:t> </w:t>
      </w:r>
      <w:r>
        <w:rPr>
          <w:spacing w:val="-21"/>
        </w:rPr>
      </w:r>
      <w:r>
        <w:rPr/>
        <w:t>并计入当期损益或相关资产成本。</w:t>
      </w:r>
    </w:p>
    <w:p>
      <w:pPr>
        <w:pStyle w:val="BodyText"/>
        <w:spacing w:line="240" w:lineRule="auto" w:before="14"/>
        <w:ind w:left="573" w:right="1133"/>
        <w:jc w:val="left"/>
      </w:pPr>
      <w:r>
        <w:rPr/>
        <w:t>本公司按照国家规定的标准和年金计划定期缴付上述款项后，不再有其他的支付义务。</w:t>
      </w:r>
    </w:p>
    <w:p>
      <w:pPr>
        <w:spacing w:line="600" w:lineRule="atLeast" w:before="28"/>
        <w:ind w:left="573" w:right="1133" w:hanging="421"/>
        <w:jc w:val="left"/>
        <w:rPr>
          <w:rFonts w:ascii="宋体" w:hAnsi="宋体" w:cs="宋体" w:eastAsia="宋体" w:hint="default"/>
          <w:sz w:val="21"/>
          <w:szCs w:val="21"/>
        </w:rPr>
      </w:pPr>
      <w:bookmarkStart w:name="（3）辞退福利的会计处理方法" w:id="198"/>
      <w:bookmarkEnd w:id="1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辞退福利是指本公司在职工劳动合同到期之前解除与职工的劳动关系，或者为鼓励职工自愿接受裁减</w:t>
      </w:r>
    </w:p>
    <w:p>
      <w:pPr>
        <w:pStyle w:val="BodyText"/>
        <w:spacing w:line="273" w:lineRule="auto" w:before="37"/>
        <w:ind w:right="1126"/>
        <w:jc w:val="both"/>
      </w:pPr>
      <w:r>
        <w:rPr>
          <w:spacing w:val="-2"/>
        </w:rPr>
        <w:t>而给予职工的补偿，在本公司不能单方面撤回解除劳动关系计划或裁减建议时和确认与涉及支付辞退福利</w:t>
      </w:r>
      <w:r>
        <w:rPr>
          <w:spacing w:val="-43"/>
        </w:rPr>
        <w:t> </w:t>
      </w:r>
      <w:r>
        <w:rPr>
          <w:spacing w:val="-43"/>
        </w:rPr>
      </w:r>
      <w:r>
        <w:rPr>
          <w:spacing w:val="-2"/>
        </w:rPr>
        <w:t>的重组相关的成本费用时两者孰早日，确认因解除与职工的劳动关系给予补偿而产生的负债，同时计入当</w:t>
      </w:r>
      <w:r>
        <w:rPr>
          <w:spacing w:val="-44"/>
        </w:rPr>
        <w:t> </w:t>
      </w:r>
      <w:r>
        <w:rPr>
          <w:spacing w:val="-44"/>
        </w:rPr>
      </w:r>
      <w:r>
        <w:rPr/>
        <w:t>期损益。</w:t>
      </w:r>
    </w:p>
    <w:p>
      <w:pPr>
        <w:pStyle w:val="BodyText"/>
        <w:spacing w:line="273" w:lineRule="auto"/>
        <w:ind w:right="1126" w:firstLine="420"/>
        <w:jc w:val="both"/>
      </w:pPr>
      <w:r>
        <w:rPr>
          <w:spacing w:val="-2"/>
        </w:rPr>
        <w:t>本公司向接受内部退休安排的职工提供内退福利。内退福利是指，向未达到国家规定的退休年龄、经</w:t>
      </w:r>
      <w:r>
        <w:rPr>
          <w:w w:val="100"/>
        </w:rPr>
        <w:t> </w:t>
      </w:r>
      <w:r>
        <w:rPr>
          <w:spacing w:val="-2"/>
        </w:rPr>
        <w:t>本公司管理层批准自愿退出工作岗位的职工支付的工资及为其缴纳的社会保险费等。本公司自内部退休安</w:t>
      </w:r>
      <w:r>
        <w:rPr>
          <w:spacing w:val="-43"/>
        </w:rPr>
        <w:t> </w:t>
      </w:r>
      <w:r>
        <w:rPr>
          <w:spacing w:val="-43"/>
        </w:rPr>
      </w:r>
      <w:r>
        <w:rPr>
          <w:spacing w:val="-2"/>
        </w:rPr>
        <w:t>排开始之日起至职工达到正常退休年龄止，向内退职工支付内部退养福利。对于内退福利，本公司比照辞</w:t>
      </w:r>
      <w:r>
        <w:rPr>
          <w:spacing w:val="-44"/>
        </w:rPr>
        <w:t> </w:t>
      </w:r>
      <w:r>
        <w:rPr>
          <w:spacing w:val="-44"/>
        </w:rPr>
      </w:r>
      <w:r>
        <w:rPr>
          <w:spacing w:val="-2"/>
        </w:rPr>
        <w:t>退福利进行会计处理，在符合辞退福利相关确认条件时，将自职工停止提供服务日至正常退休日期间拟支</w:t>
      </w:r>
      <w:r>
        <w:rPr>
          <w:spacing w:val="-43"/>
        </w:rPr>
        <w:t> </w:t>
      </w:r>
      <w:r>
        <w:rPr>
          <w:spacing w:val="-43"/>
        </w:rPr>
      </w:r>
      <w:r>
        <w:rPr>
          <w:spacing w:val="-2"/>
        </w:rPr>
        <w:t>付的内退职工工资和缴纳的社会保险费等，确认为负债，一次性计入当期损益。内退福利的精算假设变化</w:t>
      </w:r>
      <w:r>
        <w:rPr>
          <w:spacing w:val="-44"/>
        </w:rPr>
        <w:t> </w:t>
      </w:r>
      <w:r>
        <w:rPr>
          <w:spacing w:val="-44"/>
        </w:rPr>
      </w:r>
      <w:r>
        <w:rPr/>
        <w:t>及福利标准调整引起的差异于发生时计入当期损益。</w:t>
      </w:r>
    </w:p>
    <w:p>
      <w:pPr>
        <w:spacing w:line="240" w:lineRule="auto" w:before="7"/>
        <w:rPr>
          <w:rFonts w:ascii="宋体" w:hAnsi="宋体" w:cs="宋体" w:eastAsia="宋体" w:hint="default"/>
          <w:sz w:val="23"/>
          <w:szCs w:val="23"/>
        </w:rPr>
      </w:pPr>
    </w:p>
    <w:p>
      <w:pPr>
        <w:pStyle w:val="Heading4"/>
        <w:spacing w:line="240" w:lineRule="auto"/>
        <w:ind w:right="1133"/>
        <w:jc w:val="left"/>
        <w:rPr>
          <w:b w:val="0"/>
          <w:bCs w:val="0"/>
        </w:rPr>
      </w:pPr>
      <w:bookmarkStart w:name="（4）其他长期职工福利的会计处理方法" w:id="199"/>
      <w:bookmarkEnd w:id="199"/>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73" w:right="1133"/>
        <w:jc w:val="left"/>
      </w:pPr>
      <w:r>
        <w:rPr/>
        <w:t>其他长期职工福利是指除短期薪酬、离职后福利、辞退福利之外的其他所有职工福利。</w:t>
      </w:r>
      <w:r>
        <w:rPr>
          <w:w w:val="100"/>
        </w:rPr>
        <w:t> </w:t>
      </w:r>
      <w:r>
        <w:rPr>
          <w:spacing w:val="-2"/>
        </w:rPr>
        <w:t>对符合设定提存计划条件的其他长期职工福利，在职工为本公司提供服务的会计期间，将应缴存金额</w:t>
      </w:r>
    </w:p>
    <w:p>
      <w:pPr>
        <w:pStyle w:val="BodyText"/>
        <w:spacing w:line="273" w:lineRule="auto"/>
        <w:ind w:right="1126"/>
        <w:jc w:val="both"/>
      </w:pPr>
      <w:r>
        <w:rPr>
          <w:spacing w:val="-2"/>
        </w:rPr>
        <w:t>确认为负债，并计入当期损益或相关资产成本；除上述情形外的其他长期职工福利，在资产负债表日使用</w:t>
      </w:r>
      <w:r>
        <w:rPr>
          <w:spacing w:val="-43"/>
        </w:rPr>
        <w:t> </w:t>
      </w:r>
      <w:r>
        <w:rPr>
          <w:spacing w:val="-43"/>
        </w:rPr>
      </w:r>
      <w:r>
        <w:rPr>
          <w:spacing w:val="-2"/>
        </w:rPr>
        <w:t>预期累计福利单位法进行精算，将设定受益计划产生的福利义务归属于职工提供服务的期间，并计入当期</w:t>
      </w:r>
      <w:r>
        <w:rPr>
          <w:spacing w:val="-43"/>
        </w:rPr>
        <w:t> </w:t>
      </w:r>
      <w:r>
        <w:rPr>
          <w:spacing w:val="-43"/>
        </w:rPr>
      </w:r>
      <w:r>
        <w:rPr/>
        <w:t>损益或相关资产成本。</w:t>
      </w:r>
    </w:p>
    <w:p>
      <w:pPr>
        <w:spacing w:after="0" w:line="273"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21、预计负债" w:id="200"/>
      <w:bookmarkEnd w:id="200"/>
      <w:r>
        <w:rPr>
          <w:b w:val="0"/>
          <w:bCs w:val="0"/>
        </w:rPr>
      </w:r>
      <w:r>
        <w:rPr>
          <w:rFonts w:ascii="Times New Roman" w:hAnsi="Times New Roman" w:cs="Times New Roman" w:eastAsia="Times New Roman" w:hint="default"/>
        </w:rPr>
        <w:t>21</w:t>
      </w:r>
      <w:r>
        <w:rPr/>
        <w:t>、预计负债</w:t>
      </w:r>
      <w:r>
        <w:rPr>
          <w:b w:val="0"/>
          <w:bCs w:val="0"/>
        </w:rPr>
      </w:r>
    </w:p>
    <w:p>
      <w:pPr>
        <w:spacing w:line="240" w:lineRule="auto" w:before="10"/>
        <w:rPr>
          <w:rFonts w:ascii="宋体" w:hAnsi="宋体" w:cs="宋体" w:eastAsia="宋体" w:hint="default"/>
          <w:b/>
          <w:bCs/>
          <w:sz w:val="24"/>
          <w:szCs w:val="24"/>
        </w:rPr>
      </w:pPr>
    </w:p>
    <w:p>
      <w:pPr>
        <w:pStyle w:val="BodyText"/>
        <w:spacing w:line="268" w:lineRule="auto" w:before="0"/>
        <w:ind w:left="573" w:right="3554" w:hanging="8"/>
        <w:jc w:val="left"/>
      </w:pPr>
      <w:r>
        <w:rPr>
          <w:rFonts w:ascii="Times New Roman" w:hAnsi="Times New Roman" w:cs="Times New Roman" w:eastAsia="Times New Roman" w:hint="default"/>
          <w:b/>
          <w:bCs/>
        </w:rPr>
        <w:t>1.</w:t>
      </w:r>
      <w:r>
        <w:rPr>
          <w:rFonts w:ascii="宋体" w:hAnsi="宋体" w:cs="宋体" w:eastAsia="宋体" w:hint="default"/>
          <w:b/>
          <w:bCs/>
        </w:rPr>
        <w:t>预计负债的确认标准</w:t>
      </w:r>
      <w:r>
        <w:rPr>
          <w:rFonts w:ascii="宋体" w:hAnsi="宋体" w:cs="宋体" w:eastAsia="宋体" w:hint="default"/>
          <w:b/>
          <w:bCs/>
          <w:w w:val="100"/>
        </w:rPr>
        <w:t> </w:t>
      </w:r>
      <w:r>
        <w:rPr>
          <w:spacing w:val="-2"/>
        </w:rPr>
        <w:t>与或有事项相关的义务同时满足下列条件时，本公司确认为预计负债：</w:t>
      </w:r>
      <w:r>
        <w:rPr>
          <w:spacing w:val="-53"/>
        </w:rPr>
        <w:t> </w:t>
      </w:r>
      <w:r>
        <w:rPr>
          <w:spacing w:val="-53"/>
        </w:rPr>
      </w:r>
      <w:r>
        <w:rPr/>
        <w:t>该义务是本公司承担的现时义务；</w:t>
      </w:r>
      <w:r>
        <w:rPr>
          <w:w w:val="100"/>
        </w:rPr>
        <w:t> </w:t>
      </w:r>
      <w:r>
        <w:rPr/>
        <w:t>履行该义务很可能导致经济利益流出本公司；</w:t>
      </w:r>
      <w:r>
        <w:rPr>
          <w:w w:val="100"/>
        </w:rPr>
        <w:t> </w:t>
      </w:r>
      <w:r>
        <w:rPr/>
        <w:t>该义务的金额能够可靠地计量。</w:t>
      </w:r>
    </w:p>
    <w:p>
      <w:pPr>
        <w:spacing w:line="256" w:lineRule="auto" w:before="12"/>
        <w:ind w:left="573" w:right="1574"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本公司预计负债按履行相关现时义务所需的支出的最佳估计数进行初始计量。</w:t>
      </w:r>
    </w:p>
    <w:p>
      <w:pPr>
        <w:pStyle w:val="BodyText"/>
        <w:spacing w:line="273" w:lineRule="auto" w:before="22"/>
        <w:ind w:right="1126" w:firstLine="420"/>
        <w:jc w:val="both"/>
      </w:pPr>
      <w:r>
        <w:rPr>
          <w:spacing w:val="-2"/>
        </w:rPr>
        <w:t>本公司在确定最佳估计数时，综合考虑与或有事项有关的风险、不确定性和货币时间价值等因素。对</w:t>
      </w:r>
      <w:r>
        <w:rPr>
          <w:w w:val="100"/>
        </w:rPr>
        <w:t> </w:t>
      </w:r>
      <w:r>
        <w:rPr/>
        <w:t>于货币时间价值影响重大的，通过对相关未来现金流出进行折现后确定最佳估计数。</w:t>
      </w:r>
    </w:p>
    <w:p>
      <w:pPr>
        <w:pStyle w:val="BodyText"/>
        <w:spacing w:line="273" w:lineRule="auto"/>
        <w:ind w:left="573" w:right="1133"/>
        <w:jc w:val="left"/>
      </w:pPr>
      <w:r>
        <w:rPr/>
        <w:t>最佳估计数分别以下情况处理：</w:t>
      </w:r>
      <w:r>
        <w:rPr>
          <w:w w:val="100"/>
        </w:rPr>
        <w:t> </w:t>
      </w:r>
      <w:r>
        <w:rPr>
          <w:spacing w:val="-2"/>
        </w:rPr>
        <w:t>所需支出存在一个连续范围（或区间），且该范围内各种结果发生的可能性相同的，则最佳估计数按</w:t>
      </w:r>
    </w:p>
    <w:p>
      <w:pPr>
        <w:pStyle w:val="BodyText"/>
        <w:spacing w:line="273" w:lineRule="auto"/>
        <w:ind w:left="573" w:right="1133" w:hanging="421"/>
        <w:jc w:val="left"/>
      </w:pPr>
      <w:r>
        <w:rPr/>
        <w:t>照该范围的中间值即上下限金额的平均数确定。</w:t>
      </w:r>
      <w:r>
        <w:rPr>
          <w:w w:val="100"/>
        </w:rPr>
        <w:t> </w:t>
      </w:r>
      <w:r>
        <w:rPr>
          <w:spacing w:val="-2"/>
        </w:rPr>
        <w:t>所需支出不存在一个连续范围（或区间），或虽然存在一个连续范围但该范围内各种结果发生的可能</w:t>
      </w:r>
    </w:p>
    <w:p>
      <w:pPr>
        <w:pStyle w:val="BodyText"/>
        <w:spacing w:line="273" w:lineRule="auto"/>
        <w:ind w:right="1133"/>
        <w:jc w:val="left"/>
      </w:pPr>
      <w:r>
        <w:rPr>
          <w:spacing w:val="-2"/>
        </w:rPr>
        <w:t>性不相同的，如或有事项涉及单个项目的，则最佳估计数按照最可能发生金额确定；如或有事项涉及多个</w:t>
      </w:r>
      <w:r>
        <w:rPr>
          <w:spacing w:val="-43"/>
        </w:rPr>
        <w:t> </w:t>
      </w:r>
      <w:r>
        <w:rPr>
          <w:spacing w:val="-43"/>
        </w:rPr>
      </w:r>
      <w:r>
        <w:rPr/>
        <w:t>项目的，则最佳估计数按各种可能结果及相关概率计算确定。</w:t>
      </w:r>
    </w:p>
    <w:p>
      <w:pPr>
        <w:pStyle w:val="BodyText"/>
        <w:spacing w:line="273" w:lineRule="auto"/>
        <w:ind w:right="1126" w:firstLine="420"/>
        <w:jc w:val="both"/>
      </w:pPr>
      <w:r>
        <w:rPr>
          <w:spacing w:val="-2"/>
        </w:rPr>
        <w:t>本公司清偿预计负债所需支出全部或部分预期由第三方补偿的，补偿金额在基本确定能够收到时，作</w:t>
      </w:r>
      <w:r>
        <w:rPr>
          <w:w w:val="100"/>
        </w:rPr>
        <w:t> </w:t>
      </w:r>
      <w:r>
        <w:rPr/>
        <w:t>为资产单独确认，确认的补偿金额不超过预计负债的账面价值。</w:t>
      </w:r>
    </w:p>
    <w:p>
      <w:pPr>
        <w:spacing w:line="240" w:lineRule="auto" w:before="7"/>
        <w:rPr>
          <w:rFonts w:ascii="宋体" w:hAnsi="宋体" w:cs="宋体" w:eastAsia="宋体" w:hint="default"/>
          <w:sz w:val="23"/>
          <w:szCs w:val="23"/>
        </w:rPr>
      </w:pPr>
    </w:p>
    <w:p>
      <w:pPr>
        <w:pStyle w:val="Heading4"/>
        <w:spacing w:line="240" w:lineRule="auto"/>
        <w:ind w:right="1133"/>
        <w:jc w:val="left"/>
        <w:rPr>
          <w:b w:val="0"/>
          <w:bCs w:val="0"/>
        </w:rPr>
      </w:pPr>
      <w:bookmarkStart w:name="22、收入" w:id="201"/>
      <w:bookmarkEnd w:id="201"/>
      <w:r>
        <w:rPr>
          <w:b w:val="0"/>
          <w:bCs w:val="0"/>
        </w:rPr>
      </w:r>
      <w:r>
        <w:rPr>
          <w:rFonts w:ascii="Times New Roman" w:hAnsi="Times New Roman" w:cs="Times New Roman" w:eastAsia="Times New Roman" w:hint="default"/>
        </w:rPr>
        <w:t>22</w:t>
      </w:r>
      <w:r>
        <w:rPr/>
        <w:t>、收入</w:t>
      </w:r>
      <w:r>
        <w:rPr>
          <w:b w:val="0"/>
          <w:bCs w:val="0"/>
        </w:rPr>
      </w:r>
    </w:p>
    <w:p>
      <w:pPr>
        <w:spacing w:line="240" w:lineRule="auto" w:before="2"/>
        <w:rPr>
          <w:rFonts w:ascii="宋体" w:hAnsi="宋体" w:cs="宋体" w:eastAsia="宋体" w:hint="default"/>
          <w:b/>
          <w:bCs/>
          <w:sz w:val="26"/>
          <w:szCs w:val="26"/>
        </w:rPr>
      </w:pPr>
    </w:p>
    <w:p>
      <w:pPr>
        <w:spacing w:line="295" w:lineRule="auto" w:before="0"/>
        <w:ind w:left="513" w:right="1133" w:hanging="361"/>
        <w:jc w:val="left"/>
        <w:rPr>
          <w:rFonts w:ascii="宋体" w:hAnsi="宋体" w:cs="宋体" w:eastAsia="宋体" w:hint="default"/>
          <w:sz w:val="21"/>
          <w:szCs w:val="21"/>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w:t>
      </w:r>
      <w:r>
        <w:rPr>
          <w:rFonts w:ascii="宋体" w:hAnsi="宋体" w:cs="宋体" w:eastAsia="宋体"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b/>
          <w:bCs/>
          <w:w w:val="100"/>
          <w:sz w:val="21"/>
          <w:szCs w:val="21"/>
        </w:rPr>
        <w:t> </w:t>
      </w:r>
      <w:r>
        <w:rPr>
          <w:rFonts w:ascii="宋体" w:hAnsi="宋体" w:cs="宋体" w:eastAsia="宋体" w:hint="default"/>
          <w:spacing w:val="-2"/>
          <w:sz w:val="21"/>
          <w:szCs w:val="21"/>
        </w:rPr>
        <w:t>公司已将商品所有权上的主要风险和报酬转移给购买方；公司既没有保留与所有权相联系的继续管理</w:t>
      </w:r>
    </w:p>
    <w:p>
      <w:pPr>
        <w:pStyle w:val="BodyText"/>
        <w:spacing w:line="273" w:lineRule="auto" w:before="0"/>
        <w:ind w:right="0"/>
        <w:jc w:val="left"/>
      </w:pPr>
      <w:r>
        <w:rPr>
          <w:spacing w:val="-5"/>
        </w:rPr>
        <w:t>权，也没有对已售出的商品实施有效控制；收入的金额能够可靠地计量；相关的经济利益很可能流入企业；</w:t>
      </w:r>
      <w:r>
        <w:rPr>
          <w:spacing w:val="-6"/>
        </w:rPr>
        <w:t> </w:t>
      </w:r>
      <w:r>
        <w:rPr>
          <w:spacing w:val="-6"/>
        </w:rPr>
      </w:r>
      <w:r>
        <w:rPr/>
        <w:t>相关的已发生或将发生的成本能够可靠地计量时，确认商品销售收入实现。</w:t>
      </w:r>
    </w:p>
    <w:p>
      <w:pPr>
        <w:pStyle w:val="BodyText"/>
        <w:spacing w:line="273" w:lineRule="auto"/>
        <w:ind w:right="1126" w:firstLine="420"/>
        <w:jc w:val="both"/>
      </w:pPr>
      <w:r>
        <w:rPr>
          <w:spacing w:val="-2"/>
        </w:rPr>
        <w:t>本公司销售密码产品、信息安全产品、安全信息产品等信息安全相关产品，在相关产品到达客户指定</w:t>
      </w:r>
      <w:r>
        <w:rPr>
          <w:w w:val="100"/>
        </w:rPr>
        <w:t> </w:t>
      </w:r>
      <w:r>
        <w:rPr/>
        <w:t>地点并得到客户签收后确认产品销售收入，同时结转产品对应的成本。</w:t>
      </w:r>
    </w:p>
    <w:p>
      <w:pPr>
        <w:pStyle w:val="BodyText"/>
        <w:spacing w:line="273" w:lineRule="auto"/>
        <w:ind w:right="1126" w:firstLine="420"/>
        <w:jc w:val="both"/>
      </w:pPr>
      <w:r>
        <w:rPr>
          <w:spacing w:val="-2"/>
        </w:rPr>
        <w:t>本公司销售系统集成产品时，在相关产品到达客户指定地点并得到客户签收后，按销售合同约定的安</w:t>
      </w:r>
      <w:r>
        <w:rPr>
          <w:w w:val="100"/>
        </w:rPr>
        <w:t> </w:t>
      </w:r>
      <w:r>
        <w:rPr>
          <w:spacing w:val="-2"/>
        </w:rPr>
        <w:t>装实施要求完成阶段性工作或总体目标，并经过客户阶段性验收或总体验收后确认产品销售收入，同时结</w:t>
      </w:r>
      <w:r>
        <w:rPr>
          <w:spacing w:val="-43"/>
        </w:rPr>
        <w:t> </w:t>
      </w:r>
      <w:r>
        <w:rPr>
          <w:spacing w:val="-43"/>
        </w:rPr>
      </w:r>
      <w:r>
        <w:rPr/>
        <w:t>转对应的成本</w:t>
      </w:r>
      <w:r>
        <w:rPr>
          <w:spacing w:val="-19"/>
        </w:rPr>
        <w:t> </w:t>
      </w:r>
      <w:r>
        <w:rPr/>
        <w:t>。</w:t>
      </w:r>
    </w:p>
    <w:p>
      <w:pPr>
        <w:pStyle w:val="BodyText"/>
        <w:spacing w:line="273" w:lineRule="auto"/>
        <w:ind w:right="1126" w:firstLine="420"/>
        <w:jc w:val="both"/>
      </w:pPr>
      <w:r>
        <w:rPr>
          <w:spacing w:val="-2"/>
        </w:rPr>
        <w:t>合同或协议价款的收取采用递延方式，实质上具有融资性质的，按照应收的合同或协议价款的公允价</w:t>
      </w:r>
      <w:r>
        <w:rPr>
          <w:w w:val="100"/>
        </w:rPr>
        <w:t> </w:t>
      </w:r>
      <w:r>
        <w:rPr/>
        <w:t>值确定销售商品收入金额。</w:t>
      </w:r>
    </w:p>
    <w:p>
      <w:pPr>
        <w:spacing w:line="273" w:lineRule="auto" w:before="7"/>
        <w:ind w:left="513" w:right="113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b/>
          <w:bCs/>
          <w:w w:val="100"/>
          <w:sz w:val="21"/>
          <w:szCs w:val="21"/>
        </w:rPr>
        <w:t> </w:t>
      </w:r>
      <w:r>
        <w:rPr>
          <w:rFonts w:ascii="宋体" w:hAnsi="宋体" w:cs="宋体" w:eastAsia="宋体" w:hint="default"/>
          <w:spacing w:val="-1"/>
          <w:sz w:val="21"/>
          <w:szCs w:val="21"/>
        </w:rPr>
        <w:t>与交易相关的经济利益很可能流入企业，收入的金额能够可靠地计量时，分别下列情况确定让渡资产</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使用权收入金额：</w:t>
      </w:r>
    </w:p>
    <w:p>
      <w:pPr>
        <w:pStyle w:val="BodyText"/>
        <w:spacing w:line="240" w:lineRule="auto"/>
        <w:ind w:left="513" w:right="1133"/>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spacing w:line="264" w:lineRule="auto" w:before="21"/>
        <w:ind w:left="513" w:right="11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）使用费收入金额，按照有关合同或协议约定的收费时间和方法计算确定。</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提供信息系统集成及信息技术服务收入的确认依据和方法</w:t>
      </w:r>
      <w:r>
        <w:rPr>
          <w:rFonts w:ascii="宋体" w:hAnsi="宋体" w:cs="宋体" w:eastAsia="宋体" w:hint="default"/>
          <w:b/>
          <w:bCs/>
          <w:w w:val="100"/>
          <w:sz w:val="21"/>
          <w:szCs w:val="21"/>
        </w:rPr>
        <w:t> </w:t>
      </w:r>
      <w:r>
        <w:rPr>
          <w:rFonts w:ascii="宋体" w:hAnsi="宋体" w:cs="宋体" w:eastAsia="宋体" w:hint="default"/>
          <w:spacing w:val="-2"/>
          <w:sz w:val="21"/>
          <w:szCs w:val="21"/>
        </w:rPr>
        <w:t>在资产负债表日提供服务交易的结果能够可靠估计的，采用完工百分比法确认提供服务收入。提供服</w:t>
      </w:r>
    </w:p>
    <w:p>
      <w:pPr>
        <w:pStyle w:val="BodyText"/>
        <w:spacing w:line="273" w:lineRule="auto" w:before="16"/>
        <w:ind w:left="573" w:right="1133" w:hanging="421"/>
        <w:jc w:val="left"/>
      </w:pPr>
      <w:r>
        <w:rPr/>
        <w:t>务交易的完工进度，依据已完工作的测量确定。</w:t>
      </w:r>
      <w:r>
        <w:rPr>
          <w:w w:val="100"/>
        </w:rPr>
        <w:t> </w:t>
      </w:r>
      <w:r>
        <w:rPr>
          <w:spacing w:val="-2"/>
        </w:rPr>
        <w:t>提供服务交易的结果能够可靠估计，是指同时满足下列条件：</w:t>
      </w:r>
    </w:p>
    <w:p>
      <w:pPr>
        <w:pStyle w:val="BodyText"/>
        <w:spacing w:line="240" w:lineRule="auto"/>
        <w:ind w:left="573" w:right="1133"/>
        <w:jc w:val="left"/>
      </w:pPr>
      <w:r>
        <w:rPr/>
        <w:t>（</w:t>
      </w:r>
      <w:r>
        <w:rPr>
          <w:rFonts w:ascii="Times New Roman" w:hAnsi="Times New Roman" w:cs="Times New Roman" w:eastAsia="Times New Roman" w:hint="default"/>
        </w:rPr>
        <w:t>1</w:t>
      </w:r>
      <w:r>
        <w:rPr/>
        <w:t>）收入的金额能够可靠地计量；</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left="573" w:right="1133"/>
        <w:jc w:val="left"/>
      </w:pPr>
      <w:r>
        <w:rPr/>
        <w:t>（</w:t>
      </w:r>
      <w:r>
        <w:rPr>
          <w:rFonts w:ascii="Times New Roman" w:hAnsi="Times New Roman" w:cs="Times New Roman" w:eastAsia="Times New Roman" w:hint="default"/>
        </w:rPr>
        <w:t>2</w:t>
      </w:r>
      <w:r>
        <w:rPr/>
        <w:t>）相关的经济利益很可能流入企业；</w:t>
      </w:r>
    </w:p>
    <w:p>
      <w:pPr>
        <w:pStyle w:val="BodyText"/>
        <w:spacing w:line="240" w:lineRule="auto" w:before="21"/>
        <w:ind w:left="573" w:right="1133"/>
        <w:jc w:val="left"/>
      </w:pPr>
      <w:r>
        <w:rPr/>
        <w:t>（</w:t>
      </w:r>
      <w:r>
        <w:rPr>
          <w:rFonts w:ascii="Times New Roman" w:hAnsi="Times New Roman" w:cs="Times New Roman" w:eastAsia="Times New Roman" w:hint="default"/>
        </w:rPr>
        <w:t>3</w:t>
      </w:r>
      <w:r>
        <w:rPr/>
        <w:t>）交易的完工进度能够可靠地确定；</w:t>
      </w:r>
    </w:p>
    <w:p>
      <w:pPr>
        <w:pStyle w:val="BodyText"/>
        <w:spacing w:line="256" w:lineRule="auto" w:before="21"/>
        <w:ind w:left="573" w:right="1133"/>
        <w:jc w:val="left"/>
      </w:pPr>
      <w:r>
        <w:rPr/>
        <w:t>（</w:t>
      </w:r>
      <w:r>
        <w:rPr>
          <w:rFonts w:ascii="Times New Roman" w:hAnsi="Times New Roman" w:cs="Times New Roman" w:eastAsia="Times New Roman" w:hint="default"/>
        </w:rPr>
        <w:t>4</w:t>
      </w:r>
      <w:r>
        <w:rPr/>
        <w:t>）交易中已发生和将发生的成本能够可靠地计量。</w:t>
      </w:r>
      <w:r>
        <w:rPr>
          <w:w w:val="100"/>
        </w:rPr>
        <w:t> </w:t>
      </w:r>
      <w:r>
        <w:rPr>
          <w:spacing w:val="-2"/>
        </w:rPr>
        <w:t>按照已收或应收的合同或协议价款确定提供服务收入总额，但已收或应收的合同或协议价款不公允的</w:t>
      </w:r>
    </w:p>
    <w:p>
      <w:pPr>
        <w:pStyle w:val="BodyText"/>
        <w:spacing w:line="273" w:lineRule="auto" w:before="22"/>
        <w:ind w:right="1126"/>
        <w:jc w:val="both"/>
      </w:pPr>
      <w:r>
        <w:rPr>
          <w:spacing w:val="-2"/>
        </w:rPr>
        <w:t>除外。资产负债表日按照提供服务收入总额乘以完工进度扣除以前会计期间累计已确认提供服务收入后的</w:t>
      </w:r>
      <w:r>
        <w:rPr>
          <w:spacing w:val="-43"/>
        </w:rPr>
        <w:t> </w:t>
      </w:r>
      <w:r>
        <w:rPr>
          <w:spacing w:val="-43"/>
        </w:rPr>
      </w:r>
      <w:r>
        <w:rPr>
          <w:spacing w:val="-2"/>
        </w:rPr>
        <w:t>金额，确认当期提供服务收入；同时，按照提供服务估计总成本乘以完工进度扣除以前会计期间累计已确</w:t>
      </w:r>
      <w:r>
        <w:rPr>
          <w:spacing w:val="-44"/>
        </w:rPr>
        <w:t> </w:t>
      </w:r>
      <w:r>
        <w:rPr>
          <w:spacing w:val="-44"/>
        </w:rPr>
      </w:r>
      <w:r>
        <w:rPr/>
        <w:t>认服务成本后的金额，结转当期服务成本。</w:t>
      </w:r>
    </w:p>
    <w:p>
      <w:pPr>
        <w:pStyle w:val="BodyText"/>
        <w:spacing w:line="240" w:lineRule="auto"/>
        <w:ind w:left="573" w:right="1133"/>
        <w:jc w:val="left"/>
      </w:pPr>
      <w:r>
        <w:rPr/>
        <w:t>在资产负债表日提供服务交易结果不能够可靠估计的，分别下列情况处理：</w:t>
      </w:r>
    </w:p>
    <w:p>
      <w:pPr>
        <w:pStyle w:val="BodyText"/>
        <w:spacing w:line="256" w:lineRule="auto" w:before="37"/>
        <w:ind w:right="1136" w:firstLine="420"/>
        <w:jc w:val="both"/>
      </w:pPr>
      <w:r>
        <w:rPr/>
        <w:t>（</w:t>
      </w:r>
      <w:r>
        <w:rPr>
          <w:rFonts w:ascii="Times New Roman" w:hAnsi="Times New Roman" w:cs="Times New Roman" w:eastAsia="Times New Roman" w:hint="default"/>
        </w:rPr>
        <w:t>1</w:t>
      </w:r>
      <w:r>
        <w:rPr/>
        <w:t>）已经发生的服务成本预计能够得到补偿的，按照已经发生的服务成本金额确认提供服务收入，</w:t>
      </w:r>
      <w:r>
        <w:rPr>
          <w:w w:val="100"/>
        </w:rPr>
        <w:t> </w:t>
      </w:r>
      <w:r>
        <w:rPr/>
        <w:t>并按相同金额结转服务成本。</w:t>
      </w:r>
    </w:p>
    <w:p>
      <w:pPr>
        <w:pStyle w:val="BodyText"/>
        <w:spacing w:line="256" w:lineRule="auto" w:before="22"/>
        <w:ind w:right="1136" w:firstLine="420"/>
        <w:jc w:val="both"/>
      </w:pPr>
      <w:r>
        <w:rPr/>
        <w:t>（</w:t>
      </w:r>
      <w:r>
        <w:rPr>
          <w:rFonts w:ascii="Times New Roman" w:hAnsi="Times New Roman" w:cs="Times New Roman" w:eastAsia="Times New Roman" w:hint="default"/>
        </w:rPr>
        <w:t>2</w:t>
      </w:r>
      <w:r>
        <w:rPr/>
        <w:t>）已经发生的服务成本预计不能够得到补偿的，将已经发生的服务成本计入当期损益，不确认提</w:t>
      </w:r>
      <w:r>
        <w:rPr>
          <w:w w:val="100"/>
        </w:rPr>
        <w:t> </w:t>
      </w:r>
      <w:r>
        <w:rPr/>
        <w:t>供服务收入。</w:t>
      </w:r>
    </w:p>
    <w:p>
      <w:pPr>
        <w:pStyle w:val="BodyText"/>
        <w:spacing w:line="273" w:lineRule="auto" w:before="23"/>
        <w:ind w:right="1126" w:firstLine="420"/>
        <w:jc w:val="both"/>
      </w:pPr>
      <w:r>
        <w:rPr>
          <w:spacing w:val="-2"/>
        </w:rPr>
        <w:t>本公司与其他企业签订的合同或协议包括销售商品和提供服务时，销售商品部分和提供服务部分能够</w:t>
      </w:r>
      <w:r>
        <w:rPr>
          <w:w w:val="100"/>
        </w:rPr>
        <w:t> </w:t>
      </w:r>
      <w:r>
        <w:rPr>
          <w:spacing w:val="-2"/>
        </w:rPr>
        <w:t>区分且能够单独计量的，将销售商品的部分作为销售商品处理，将提供服务的部分作为提供服务处理。销</w:t>
      </w:r>
      <w:r>
        <w:rPr>
          <w:spacing w:val="-42"/>
        </w:rPr>
        <w:t> </w:t>
      </w:r>
      <w:r>
        <w:rPr>
          <w:spacing w:val="-42"/>
        </w:rPr>
      </w:r>
      <w:r>
        <w:rPr>
          <w:spacing w:val="-2"/>
        </w:rPr>
        <w:t>售商品部分和提供服务部分不能够区分，或虽能区分但不能够单独计量的，将销售商品部分和提供服务部</w:t>
      </w:r>
      <w:r>
        <w:rPr>
          <w:spacing w:val="-42"/>
        </w:rPr>
        <w:t> </w:t>
      </w:r>
      <w:r>
        <w:rPr>
          <w:spacing w:val="-42"/>
        </w:rPr>
      </w:r>
      <w:r>
        <w:rPr/>
        <w:t>分全部作为销售商品处理。</w:t>
      </w:r>
    </w:p>
    <w:p>
      <w:pPr>
        <w:spacing w:line="240" w:lineRule="auto" w:before="7"/>
        <w:rPr>
          <w:rFonts w:ascii="宋体" w:hAnsi="宋体" w:cs="宋体" w:eastAsia="宋体" w:hint="default"/>
          <w:sz w:val="23"/>
          <w:szCs w:val="23"/>
        </w:rPr>
      </w:pPr>
    </w:p>
    <w:p>
      <w:pPr>
        <w:pStyle w:val="Heading4"/>
        <w:spacing w:line="240" w:lineRule="auto"/>
        <w:ind w:right="1133"/>
        <w:jc w:val="left"/>
        <w:rPr>
          <w:b w:val="0"/>
          <w:bCs w:val="0"/>
        </w:rPr>
      </w:pPr>
      <w:bookmarkStart w:name="23、政府补助" w:id="202"/>
      <w:bookmarkEnd w:id="202"/>
      <w:r>
        <w:rPr>
          <w:b w:val="0"/>
          <w:bCs w:val="0"/>
        </w:rPr>
      </w:r>
      <w:r>
        <w:rPr>
          <w:rFonts w:ascii="Times New Roman" w:hAnsi="Times New Roman" w:cs="Times New Roman" w:eastAsia="Times New Roman" w:hint="default"/>
        </w:rPr>
        <w:t>23</w:t>
      </w:r>
      <w:r>
        <w:rPr/>
        <w:t>、政府补助</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before="0"/>
        <w:ind w:left="573" w:right="1133" w:hanging="8"/>
        <w:jc w:val="left"/>
      </w:pPr>
      <w:r>
        <w:rPr>
          <w:rFonts w:ascii="Times New Roman" w:hAnsi="Times New Roman" w:cs="Times New Roman" w:eastAsia="Times New Roman" w:hint="default"/>
          <w:b/>
          <w:bCs/>
        </w:rPr>
        <w:t>1.</w:t>
      </w:r>
      <w:r>
        <w:rPr>
          <w:rFonts w:ascii="宋体" w:hAnsi="宋体" w:cs="宋体" w:eastAsia="宋体" w:hint="default"/>
          <w:b/>
          <w:bCs/>
        </w:rPr>
        <w:t>类型</w:t>
      </w:r>
      <w:r>
        <w:rPr>
          <w:rFonts w:ascii="宋体" w:hAnsi="宋体" w:cs="宋体" w:eastAsia="宋体" w:hint="default"/>
          <w:b/>
          <w:bCs/>
          <w:w w:val="100"/>
        </w:rPr>
        <w:t> </w:t>
      </w:r>
      <w:r>
        <w:rPr>
          <w:spacing w:val="-2"/>
        </w:rPr>
        <w:t>政府补助，是本公司从政府无偿取得的货币性资产与非货币性资产。根据相关政府文件规定的补助对</w:t>
      </w:r>
    </w:p>
    <w:p>
      <w:pPr>
        <w:pStyle w:val="BodyText"/>
        <w:spacing w:line="273" w:lineRule="auto" w:before="22"/>
        <w:ind w:left="573" w:right="1133" w:hanging="421"/>
        <w:jc w:val="left"/>
      </w:pPr>
      <w:r>
        <w:rPr/>
        <w:t>象，将政府补助划分为与资产相关的政府补助和与收益相关的政府补助。</w:t>
      </w:r>
      <w:r>
        <w:rPr>
          <w:w w:val="100"/>
        </w:rPr>
        <w:t> </w:t>
      </w:r>
      <w:r>
        <w:rPr>
          <w:spacing w:val="-2"/>
        </w:rPr>
        <w:t>对于政府文件未明确补助对象的政府补助，公司根据实际补助对象划分为与资产相关的政府补助或与</w:t>
      </w:r>
    </w:p>
    <w:p>
      <w:pPr>
        <w:pStyle w:val="BodyText"/>
        <w:spacing w:line="256" w:lineRule="auto"/>
        <w:ind w:left="573" w:right="1133" w:hanging="421"/>
        <w:jc w:val="left"/>
      </w:pPr>
      <w:r>
        <w:rPr/>
        <w:t>收益相关的政府补助，相关判断依据说明详见本财务报表附注七之递延收益</w:t>
      </w:r>
      <w:r>
        <w:rPr>
          <w:rFonts w:ascii="Times New Roman" w:hAnsi="Times New Roman" w:cs="Times New Roman" w:eastAsia="Times New Roman" w:hint="default"/>
        </w:rPr>
        <w:t>/</w:t>
      </w:r>
      <w:r>
        <w:rPr/>
        <w:t>营业外收入项目注释。</w:t>
      </w:r>
      <w:r>
        <w:rPr>
          <w:w w:val="100"/>
        </w:rPr>
        <w:t> </w:t>
      </w:r>
      <w:r>
        <w:rPr>
          <w:spacing w:val="-2"/>
        </w:rPr>
        <w:t>与资产相关的政府补助，是指本公司取得的、用于购建或以其他方式形成长期资产的政府补助。与收</w:t>
      </w:r>
    </w:p>
    <w:p>
      <w:pPr>
        <w:pStyle w:val="BodyText"/>
        <w:spacing w:line="240" w:lineRule="auto" w:before="22"/>
        <w:ind w:right="1133"/>
        <w:jc w:val="left"/>
      </w:pPr>
      <w:r>
        <w:rPr/>
        <w:t>益相关的政府补助，是指除与资产相关的政府补助之外的政府补助。</w:t>
      </w:r>
    </w:p>
    <w:p>
      <w:pPr>
        <w:pStyle w:val="BodyText"/>
        <w:spacing w:line="256" w:lineRule="auto" w:before="37"/>
        <w:ind w:left="573" w:right="1133" w:hanging="8"/>
        <w:jc w:val="left"/>
      </w:pPr>
      <w:r>
        <w:rPr>
          <w:rFonts w:ascii="Times New Roman" w:hAnsi="Times New Roman" w:cs="Times New Roman" w:eastAsia="Times New Roman" w:hint="default"/>
          <w:b/>
          <w:bCs/>
        </w:rPr>
        <w:t>2.</w:t>
      </w:r>
      <w:r>
        <w:rPr>
          <w:rFonts w:ascii="宋体" w:hAnsi="宋体" w:cs="宋体" w:eastAsia="宋体" w:hint="default"/>
          <w:b/>
          <w:bCs/>
        </w:rPr>
        <w:t>政府补助的确认</w:t>
      </w:r>
      <w:r>
        <w:rPr>
          <w:rFonts w:ascii="宋体" w:hAnsi="宋体" w:cs="宋体" w:eastAsia="宋体" w:hint="default"/>
          <w:b/>
          <w:bCs/>
          <w:w w:val="100"/>
        </w:rPr>
        <w:t> </w:t>
      </w:r>
      <w:r>
        <w:rPr>
          <w:spacing w:val="-2"/>
        </w:rPr>
        <w:t>对期末有证据表明公司能够符合财政扶持政策规定的相关条件且预计能够收到财政扶持资金的，按应</w:t>
      </w:r>
    </w:p>
    <w:p>
      <w:pPr>
        <w:pStyle w:val="BodyText"/>
        <w:spacing w:line="273" w:lineRule="auto" w:before="22"/>
        <w:ind w:left="573" w:right="1133" w:hanging="421"/>
        <w:jc w:val="left"/>
      </w:pPr>
      <w:r>
        <w:rPr/>
        <w:t>收金额确认政府补助。除此之外，政府补助均在实际收到时确认。</w:t>
      </w:r>
      <w:r>
        <w:rPr>
          <w:w w:val="100"/>
        </w:rPr>
        <w:t> </w:t>
      </w:r>
      <w:r>
        <w:rPr>
          <w:spacing w:val="-2"/>
        </w:rPr>
        <w:t>政府补助为货币性资产的，按照收到或应收的金额计量。政府补助为非货币性资产的，按照公允价值</w:t>
      </w:r>
    </w:p>
    <w:p>
      <w:pPr>
        <w:pStyle w:val="BodyText"/>
        <w:spacing w:line="256" w:lineRule="auto"/>
        <w:ind w:right="1130"/>
        <w:jc w:val="both"/>
      </w:pPr>
      <w:r>
        <w:rPr/>
        <w:t>计量；公允价值不能够可靠取得的，按照名义金额（人民币</w:t>
      </w:r>
      <w:r>
        <w:rPr>
          <w:rFonts w:ascii="Times New Roman" w:hAnsi="Times New Roman" w:cs="Times New Roman" w:eastAsia="Times New Roman" w:hint="default"/>
        </w:rPr>
        <w:t>1</w:t>
      </w:r>
      <w:r>
        <w:rPr/>
        <w:t>元）计量。按照名义金额计量的政府补助，</w:t>
      </w:r>
      <w:r>
        <w:rPr>
          <w:spacing w:val="-22"/>
        </w:rPr>
        <w:t> </w:t>
      </w:r>
      <w:r>
        <w:rPr>
          <w:spacing w:val="-22"/>
        </w:rPr>
      </w:r>
      <w:r>
        <w:rPr/>
        <w:t>直接计入当期损益。</w:t>
      </w:r>
    </w:p>
    <w:p>
      <w:pPr>
        <w:pStyle w:val="BodyText"/>
        <w:spacing w:line="256" w:lineRule="auto" w:before="22"/>
        <w:ind w:left="578" w:right="1133" w:hanging="12"/>
        <w:jc w:val="left"/>
      </w:pPr>
      <w:r>
        <w:rPr>
          <w:rFonts w:ascii="Times New Roman" w:hAnsi="Times New Roman" w:cs="Times New Roman" w:eastAsia="Times New Roman" w:hint="default"/>
          <w:b/>
          <w:bCs/>
        </w:rPr>
        <w:t>3.</w:t>
      </w:r>
      <w:r>
        <w:rPr>
          <w:rFonts w:ascii="宋体" w:hAnsi="宋体" w:cs="宋体" w:eastAsia="宋体" w:hint="default"/>
          <w:b/>
          <w:bCs/>
        </w:rPr>
        <w:t>会计处理方法</w:t>
      </w:r>
      <w:r>
        <w:rPr>
          <w:rFonts w:ascii="宋体" w:hAnsi="宋体" w:cs="宋体" w:eastAsia="宋体" w:hint="default"/>
          <w:b/>
          <w:bCs/>
          <w:w w:val="100"/>
        </w:rPr>
        <w:t> </w:t>
      </w:r>
      <w:r>
        <w:rPr>
          <w:spacing w:val="-2"/>
        </w:rPr>
        <w:t>本公司根据经济业务的实质，确定某一类政府补助业务应当采用总额法进行会计处理。通常情况下，</w:t>
      </w:r>
    </w:p>
    <w:p>
      <w:pPr>
        <w:pStyle w:val="BodyText"/>
        <w:spacing w:line="273" w:lineRule="auto" w:before="22"/>
        <w:ind w:left="573" w:right="1133" w:hanging="421"/>
        <w:jc w:val="left"/>
      </w:pPr>
      <w:r>
        <w:rPr/>
        <w:t>本公司对于同类或类似政府补助业务只选用一种方法，且对该业务一贯地运用该方法。</w:t>
      </w:r>
      <w:r>
        <w:rPr>
          <w:w w:val="100"/>
        </w:rPr>
        <w:t> </w:t>
      </w:r>
      <w:r>
        <w:rPr>
          <w:spacing w:val="-2"/>
        </w:rPr>
        <w:t>与资产相关的政府补助，确认为递延收益，按照所建造或购买的资产使用年限内按照合理、系统的方</w:t>
      </w:r>
    </w:p>
    <w:p>
      <w:pPr>
        <w:pStyle w:val="BodyText"/>
        <w:spacing w:line="273" w:lineRule="auto" w:before="5"/>
        <w:ind w:left="573" w:right="1133" w:hanging="421"/>
        <w:jc w:val="left"/>
      </w:pPr>
      <w:r>
        <w:rPr/>
        <w:t>法分期计入损益；</w:t>
      </w:r>
      <w:r>
        <w:rPr>
          <w:w w:val="100"/>
        </w:rPr>
        <w:t> </w:t>
      </w:r>
      <w:r>
        <w:rPr>
          <w:spacing w:val="-2"/>
        </w:rPr>
        <w:t>与收益相关的政府补助，用于补偿企业以后期间的相关费用或损失的，确认为递延收益，在确认相关</w:t>
      </w:r>
    </w:p>
    <w:p>
      <w:pPr>
        <w:pStyle w:val="BodyText"/>
        <w:spacing w:line="273" w:lineRule="auto"/>
        <w:ind w:left="573" w:right="1133" w:hanging="421"/>
        <w:jc w:val="left"/>
      </w:pPr>
      <w:r>
        <w:rPr>
          <w:spacing w:val="-2"/>
        </w:rPr>
        <w:t>费用或损失的期间计入当期损益；用于补偿企业已发生的相关费用或损失的，取得时直接计入当期损益。</w:t>
      </w:r>
      <w:r>
        <w:rPr>
          <w:spacing w:val="-24"/>
        </w:rPr>
        <w:t> </w:t>
      </w:r>
      <w:r>
        <w:rPr>
          <w:spacing w:val="-24"/>
        </w:rPr>
      </w:r>
      <w:r>
        <w:rPr/>
        <w:t>与企业日常活动相关的政府补助计入其他收益；与企业日常活动无关的政府补助计入营业外收支。</w:t>
      </w:r>
      <w:r>
        <w:rPr>
          <w:w w:val="100"/>
        </w:rPr>
        <w:t> </w:t>
      </w:r>
      <w:r>
        <w:rPr>
          <w:spacing w:val="-2"/>
        </w:rPr>
        <w:t>收到与政策性优惠贷款贴息相关的政府补助冲减相关借款费用；取得贷款银行提供的政策性优惠利率</w:t>
      </w:r>
    </w:p>
    <w:p>
      <w:pPr>
        <w:pStyle w:val="BodyText"/>
        <w:spacing w:line="273" w:lineRule="auto"/>
        <w:ind w:right="1126"/>
        <w:jc w:val="both"/>
      </w:pPr>
      <w:r>
        <w:rPr>
          <w:spacing w:val="-2"/>
        </w:rPr>
        <w:t>贷款的，以实际收到的借款金额作为借款的入账价值，按照借款本金和该政策性优惠利率计算相关借款费</w:t>
      </w:r>
      <w:r>
        <w:rPr>
          <w:spacing w:val="-44"/>
        </w:rPr>
        <w:t> </w:t>
      </w:r>
      <w:r>
        <w:rPr>
          <w:spacing w:val="-44"/>
        </w:rPr>
      </w:r>
      <w:r>
        <w:rPr/>
        <w:t>用。</w:t>
      </w:r>
    </w:p>
    <w:p>
      <w:pPr>
        <w:pStyle w:val="BodyText"/>
        <w:spacing w:line="240" w:lineRule="auto"/>
        <w:ind w:left="578" w:right="0"/>
        <w:jc w:val="left"/>
      </w:pPr>
      <w:r>
        <w:rPr/>
        <w:t>已确认的政府补助需要返还时，初始确认时冲减相关资产账面价值的，调整资产账面价值；存在相关</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33"/>
        <w:jc w:val="left"/>
      </w:pPr>
      <w:r>
        <w:rPr>
          <w:spacing w:val="-2"/>
        </w:rPr>
        <w:t>递延收益余额的，冲减相关递延收益账面余额，超出部分计入当期损益；不存在相关递延收益的，直接计</w:t>
      </w:r>
      <w:r>
        <w:rPr>
          <w:spacing w:val="-50"/>
        </w:rPr>
        <w:t> </w:t>
      </w:r>
      <w:r>
        <w:rPr>
          <w:spacing w:val="-50"/>
        </w:rPr>
      </w:r>
      <w:r>
        <w:rPr/>
        <w:t>入当期损益。</w:t>
      </w:r>
    </w:p>
    <w:p>
      <w:pPr>
        <w:spacing w:line="614" w:lineRule="exact" w:before="62"/>
        <w:ind w:left="578" w:right="1133" w:hanging="426"/>
        <w:jc w:val="left"/>
        <w:rPr>
          <w:rFonts w:ascii="宋体" w:hAnsi="宋体" w:cs="宋体" w:eastAsia="宋体" w:hint="default"/>
          <w:sz w:val="21"/>
          <w:szCs w:val="21"/>
        </w:rPr>
      </w:pPr>
      <w:bookmarkStart w:name="24、递延所得税资产/递延所得税负债" w:id="203"/>
      <w:bookmarkEnd w:id="203"/>
      <w:r>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100"/>
          <w:sz w:val="21"/>
          <w:szCs w:val="21"/>
        </w:rPr>
        <w:t> </w:t>
      </w:r>
      <w:r>
        <w:rPr>
          <w:rFonts w:ascii="宋体" w:hAnsi="宋体" w:cs="宋体" w:eastAsia="宋体" w:hint="default"/>
          <w:spacing w:val="-1"/>
          <w:sz w:val="21"/>
          <w:szCs w:val="21"/>
        </w:rPr>
        <w:t>递延所得税资产和递延所得税负债根据资产和负债的计税基础与其账面价值的差额</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暂时性差异</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计算</w:t>
      </w:r>
    </w:p>
    <w:p>
      <w:pPr>
        <w:pStyle w:val="BodyText"/>
        <w:spacing w:line="219" w:lineRule="exact" w:before="0"/>
        <w:ind w:right="0"/>
        <w:jc w:val="left"/>
      </w:pPr>
      <w:r>
        <w:rPr/>
        <w:t>确认。于资产负债表日，递延所得税资产和递延所得税负债，按照预期收回该资产或清偿该负债期间的适</w:t>
      </w:r>
    </w:p>
    <w:p>
      <w:pPr>
        <w:pStyle w:val="BodyText"/>
        <w:spacing w:line="240" w:lineRule="auto" w:before="37"/>
        <w:ind w:right="1133"/>
        <w:jc w:val="left"/>
      </w:pPr>
      <w:r>
        <w:rPr/>
        <w:t>用税率计量。</w:t>
      </w:r>
    </w:p>
    <w:p>
      <w:pPr>
        <w:spacing w:line="256" w:lineRule="auto" w:before="37"/>
        <w:ind w:left="578"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8"/>
          <w:sz w:val="21"/>
          <w:szCs w:val="21"/>
        </w:rPr>
        <w:t> </w:t>
      </w:r>
      <w:r>
        <w:rPr>
          <w:rFonts w:ascii="宋体" w:hAnsi="宋体" w:cs="宋体" w:eastAsia="宋体" w:hint="default"/>
          <w:b/>
          <w:bCs/>
          <w:sz w:val="21"/>
          <w:szCs w:val="21"/>
        </w:rPr>
        <w:t>确认递延所得税资产的依据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本公司以很可能取得用来抵扣可抵扣暂时性差异、能够结转以后年度的可抵扣亏损和税款抵减的应纳</w:t>
      </w:r>
    </w:p>
    <w:p>
      <w:pPr>
        <w:pStyle w:val="BodyText"/>
        <w:spacing w:line="266" w:lineRule="auto" w:before="22"/>
        <w:ind w:right="1126"/>
        <w:jc w:val="both"/>
      </w:pPr>
      <w:r>
        <w:rPr>
          <w:spacing w:val="-2"/>
        </w:rPr>
        <w:t>税所得额为限，确认由可抵扣暂时性差异产生的递延所得税资产。但是，同时具有下列特征的交易中因资</w:t>
      </w:r>
      <w:r>
        <w:rPr>
          <w:spacing w:val="-44"/>
        </w:rPr>
        <w:t> </w:t>
      </w:r>
      <w:r>
        <w:rPr>
          <w:spacing w:val="-44"/>
        </w:rPr>
      </w:r>
      <w:r>
        <w:rPr>
          <w:spacing w:val="-2"/>
        </w:rPr>
        <w:t>产或负债的初始确认所产生的递延所得税资产不予确认：（</w:t>
      </w:r>
      <w:r>
        <w:rPr>
          <w:rFonts w:ascii="Times New Roman" w:hAnsi="Times New Roman" w:cs="Times New Roman" w:eastAsia="Times New Roman" w:hint="default"/>
          <w:spacing w:val="-2"/>
        </w:rPr>
        <w:t>1</w:t>
      </w:r>
      <w:r>
        <w:rPr>
          <w:spacing w:val="-2"/>
        </w:rPr>
        <w:t>）该交易不是企业合并；（</w:t>
      </w:r>
      <w:r>
        <w:rPr>
          <w:rFonts w:ascii="Times New Roman" w:hAnsi="Times New Roman" w:cs="Times New Roman" w:eastAsia="Times New Roman" w:hint="default"/>
          <w:spacing w:val="-2"/>
        </w:rPr>
        <w:t>2</w:t>
      </w:r>
      <w:r>
        <w:rPr>
          <w:spacing w:val="-2"/>
        </w:rPr>
        <w:t>）交易发生时既</w:t>
      </w:r>
      <w:r>
        <w:rPr>
          <w:spacing w:val="-43"/>
        </w:rPr>
        <w:t> </w:t>
      </w:r>
      <w:r>
        <w:rPr>
          <w:spacing w:val="-43"/>
        </w:rPr>
      </w:r>
      <w:r>
        <w:rPr/>
        <w:t>不影响会计利润也不影响应纳税所得额或可抵扣亏损。</w:t>
      </w:r>
    </w:p>
    <w:p>
      <w:pPr>
        <w:pStyle w:val="BodyText"/>
        <w:spacing w:line="273" w:lineRule="auto" w:before="14"/>
        <w:ind w:right="1101" w:firstLine="425"/>
        <w:jc w:val="both"/>
      </w:pPr>
      <w:r>
        <w:rPr>
          <w:spacing w:val="-2"/>
        </w:rPr>
        <w:t>对于与联营企业投资相关的可抵扣暂时性差异，同时满足下列条件的，确认相应的递延所得税资产：</w:t>
      </w:r>
      <w:r>
        <w:rPr>
          <w:w w:val="100"/>
        </w:rPr>
        <w:t> </w:t>
      </w:r>
      <w:r>
        <w:rPr>
          <w:spacing w:val="-2"/>
        </w:rPr>
        <w:t>暂时性差异在可预见的未来很可能转回，且未来很可能获得用来抵扣可抵扣暂时性差异的应纳税所得额。</w:t>
      </w:r>
    </w:p>
    <w:p>
      <w:pPr>
        <w:spacing w:line="256" w:lineRule="auto" w:before="7"/>
        <w:ind w:left="578"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8"/>
          <w:sz w:val="21"/>
          <w:szCs w:val="21"/>
        </w:rPr>
        <w:t> </w:t>
      </w:r>
      <w:r>
        <w:rPr>
          <w:rFonts w:ascii="宋体" w:hAnsi="宋体" w:cs="宋体" w:eastAsia="宋体" w:hint="default"/>
          <w:b/>
          <w:bCs/>
          <w:sz w:val="21"/>
          <w:szCs w:val="21"/>
        </w:rPr>
        <w:t>确认递延所得税负债的依据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公司将当期与以前期间应交未交的应纳税暂时性差异确认为递延所得税负债。但不包括：</w:t>
      </w:r>
    </w:p>
    <w:p>
      <w:pPr>
        <w:pStyle w:val="BodyText"/>
        <w:spacing w:line="240" w:lineRule="auto" w:before="22"/>
        <w:ind w:left="578" w:right="1133"/>
        <w:jc w:val="left"/>
      </w:pPr>
      <w:r>
        <w:rPr/>
        <w:t>（</w:t>
      </w:r>
      <w:r>
        <w:rPr>
          <w:rFonts w:ascii="Times New Roman" w:hAnsi="Times New Roman" w:cs="Times New Roman" w:eastAsia="Times New Roman" w:hint="default"/>
        </w:rPr>
        <w:t>1</w:t>
      </w:r>
      <w:r>
        <w:rPr/>
        <w:t>）商誉的初始确认所形成的暂时性差异；</w:t>
      </w:r>
    </w:p>
    <w:p>
      <w:pPr>
        <w:pStyle w:val="BodyText"/>
        <w:spacing w:line="256" w:lineRule="auto" w:before="21"/>
        <w:ind w:right="1129" w:firstLine="425"/>
        <w:jc w:val="both"/>
      </w:pPr>
      <w:r>
        <w:rPr/>
        <w:t>（</w:t>
      </w:r>
      <w:r>
        <w:rPr>
          <w:rFonts w:ascii="Times New Roman" w:hAnsi="Times New Roman" w:cs="Times New Roman" w:eastAsia="Times New Roman" w:hint="default"/>
        </w:rPr>
        <w:t>2</w:t>
      </w:r>
      <w:r>
        <w:rPr/>
        <w:t>）非企业合并形成的交易或事项，且该交易或事项发生时既不影响会计利润，也不影响应纳税所</w:t>
      </w:r>
      <w:r>
        <w:rPr>
          <w:w w:val="100"/>
        </w:rPr>
        <w:t> </w:t>
      </w:r>
      <w:r>
        <w:rPr/>
        <w:t>得额（或可抵扣亏损）所形成的暂时性差异；</w:t>
      </w:r>
    </w:p>
    <w:p>
      <w:pPr>
        <w:pStyle w:val="BodyText"/>
        <w:spacing w:line="256" w:lineRule="auto" w:before="22"/>
        <w:ind w:right="1131" w:firstLine="425"/>
        <w:jc w:val="both"/>
      </w:pPr>
      <w:r>
        <w:rPr/>
        <w:t>（</w:t>
      </w:r>
      <w:r>
        <w:rPr>
          <w:rFonts w:ascii="Times New Roman" w:hAnsi="Times New Roman" w:cs="Times New Roman" w:eastAsia="Times New Roman" w:hint="default"/>
        </w:rPr>
        <w:t>3</w:t>
      </w:r>
      <w:r>
        <w:rPr/>
        <w:t>）对于与子公司、联营企业投资相关的应纳税暂时性差异，该暂时性差异转回的时间能够控制并</w:t>
      </w:r>
      <w:r>
        <w:rPr>
          <w:w w:val="100"/>
        </w:rPr>
        <w:t> </w:t>
      </w:r>
      <w:r>
        <w:rPr/>
        <w:t>且该暂时性差异在可预见的未来很可能不会转回。</w:t>
      </w:r>
    </w:p>
    <w:p>
      <w:pPr>
        <w:pStyle w:val="Heading4"/>
        <w:spacing w:line="240" w:lineRule="auto" w:before="22"/>
        <w:ind w:left="578" w:right="1133"/>
        <w:jc w:val="left"/>
        <w:rPr>
          <w:b w:val="0"/>
          <w:bCs w:val="0"/>
        </w:rPr>
      </w:pPr>
      <w:r>
        <w:rPr>
          <w:rFonts w:ascii="Times New Roman" w:hAnsi="Times New Roman" w:cs="Times New Roman" w:eastAsia="Times New Roman" w:hint="default"/>
        </w:rPr>
        <w:t>3</w:t>
      </w:r>
      <w:r>
        <w:rPr/>
        <w:t>．</w:t>
      </w:r>
      <w:r>
        <w:rPr>
          <w:spacing w:val="-12"/>
        </w:rPr>
        <w:t> </w:t>
      </w:r>
      <w:r>
        <w:rPr/>
        <w:t>同时满足下列条件时，将递延所得税资产及递延所得税负债以抵销后的净额列示</w:t>
      </w:r>
      <w:r>
        <w:rPr>
          <w:b w:val="0"/>
          <w:bCs w:val="0"/>
        </w:rPr>
      </w:r>
    </w:p>
    <w:p>
      <w:pPr>
        <w:pStyle w:val="BodyText"/>
        <w:spacing w:line="240" w:lineRule="auto" w:before="21"/>
        <w:ind w:left="578" w:right="1133"/>
        <w:jc w:val="left"/>
      </w:pPr>
      <w:r>
        <w:rPr/>
        <w:t>（</w:t>
      </w:r>
      <w:r>
        <w:rPr>
          <w:rFonts w:ascii="Times New Roman" w:hAnsi="Times New Roman" w:cs="Times New Roman" w:eastAsia="Times New Roman" w:hint="default"/>
        </w:rPr>
        <w:t>1</w:t>
      </w:r>
      <w:r>
        <w:rPr/>
        <w:t>）企业拥有以净额结算当期所得税资产及当期所得税负债的法定权利；</w:t>
      </w:r>
    </w:p>
    <w:p>
      <w:pPr>
        <w:pStyle w:val="BodyText"/>
        <w:spacing w:line="264" w:lineRule="auto" w:before="21"/>
        <w:ind w:right="1104" w:firstLine="425"/>
        <w:jc w:val="both"/>
      </w:pPr>
      <w:r>
        <w:rPr/>
        <w:t>（</w:t>
      </w:r>
      <w:r>
        <w:rPr>
          <w:rFonts w:ascii="Times New Roman" w:hAnsi="Times New Roman" w:cs="Times New Roman" w:eastAsia="Times New Roman" w:hint="default"/>
        </w:rPr>
        <w:t>2</w:t>
      </w:r>
      <w:r>
        <w:rPr/>
        <w:t>）递延所得税资产和递延所得税负债是与同一税收征管部门对同一纳税主体征收的所得税相关或</w:t>
      </w:r>
      <w:r>
        <w:rPr>
          <w:w w:val="100"/>
        </w:rPr>
        <w:t> </w:t>
      </w:r>
      <w:r>
        <w:rPr>
          <w:spacing w:val="-2"/>
        </w:rPr>
        <w:t>者对不同的纳税主体相关，但在未来每一具有重要性的递延所得税资产和递延所得税负债转回的期间内，</w:t>
      </w:r>
      <w:r>
        <w:rPr>
          <w:spacing w:val="-20"/>
        </w:rPr>
        <w:t> </w:t>
      </w:r>
      <w:r>
        <w:rPr>
          <w:spacing w:val="-20"/>
        </w:rPr>
      </w:r>
      <w:r>
        <w:rPr/>
        <w:t>涉及的纳税主体体意图以净额结算当期所得税资产及当期所得税负债或是同时取得资产、清偿债务。</w:t>
      </w:r>
    </w:p>
    <w:p>
      <w:pPr>
        <w:spacing w:line="240" w:lineRule="auto" w:before="2"/>
        <w:rPr>
          <w:rFonts w:ascii="宋体" w:hAnsi="宋体" w:cs="宋体" w:eastAsia="宋体" w:hint="default"/>
          <w:sz w:val="24"/>
          <w:szCs w:val="24"/>
        </w:rPr>
      </w:pPr>
    </w:p>
    <w:p>
      <w:pPr>
        <w:pStyle w:val="Heading4"/>
        <w:spacing w:line="240" w:lineRule="auto"/>
        <w:ind w:right="1133"/>
        <w:jc w:val="left"/>
        <w:rPr>
          <w:b w:val="0"/>
          <w:bCs w:val="0"/>
        </w:rPr>
      </w:pPr>
      <w:bookmarkStart w:name="25、租赁" w:id="204"/>
      <w:bookmarkEnd w:id="204"/>
      <w:r>
        <w:rPr>
          <w:b w:val="0"/>
          <w:bCs w:val="0"/>
        </w:rPr>
      </w:r>
      <w:r>
        <w:rPr>
          <w:rFonts w:ascii="Times New Roman" w:hAnsi="Times New Roman" w:cs="Times New Roman" w:eastAsia="Times New Roman" w:hint="default"/>
        </w:rPr>
        <w:t>25</w:t>
      </w:r>
      <w:r>
        <w:rPr/>
        <w:t>、租赁</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1）经营租赁的会计处理方法" w:id="205"/>
      <w:bookmarkEnd w:id="205"/>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before="0"/>
        <w:ind w:left="573" w:right="0"/>
        <w:jc w:val="left"/>
      </w:pPr>
      <w:r>
        <w:rPr/>
        <w:t>（</w:t>
      </w:r>
      <w:r>
        <w:rPr>
          <w:rFonts w:ascii="Times New Roman" w:hAnsi="Times New Roman" w:cs="Times New Roman" w:eastAsia="Times New Roman" w:hint="default"/>
        </w:rPr>
        <w:t>1</w:t>
      </w:r>
      <w:r>
        <w:rPr/>
        <w:t>）经营租入资产</w:t>
      </w:r>
      <w:r>
        <w:rPr>
          <w:w w:val="100"/>
        </w:rPr>
        <w:t> </w:t>
      </w:r>
      <w:r>
        <w:rPr>
          <w:spacing w:val="-5"/>
        </w:rPr>
        <w:t>公司租入资产所支付的租赁费，在不扣除免租期的整个租赁期内，按直线法进行分摊，计入当期费用。</w:t>
      </w:r>
    </w:p>
    <w:p>
      <w:pPr>
        <w:pStyle w:val="BodyText"/>
        <w:spacing w:line="273" w:lineRule="auto" w:before="22"/>
        <w:ind w:left="573" w:right="1133" w:hanging="421"/>
        <w:jc w:val="left"/>
      </w:pPr>
      <w:r>
        <w:rPr/>
        <w:t>公司支付的与租赁交易相关的初始直接费用，计入当期费用。</w:t>
      </w:r>
      <w:r>
        <w:rPr>
          <w:w w:val="100"/>
        </w:rPr>
        <w:t> </w:t>
      </w:r>
      <w:r>
        <w:rPr>
          <w:spacing w:val="-2"/>
        </w:rPr>
        <w:t>资产出租方承担了应由公司承担的与租赁相关的费用时，公司将该部分费用从租金总额中扣除，按扣</w:t>
      </w:r>
    </w:p>
    <w:p>
      <w:pPr>
        <w:pStyle w:val="BodyText"/>
        <w:spacing w:line="240" w:lineRule="auto"/>
        <w:ind w:right="1133"/>
        <w:jc w:val="left"/>
      </w:pPr>
      <w:r>
        <w:rPr/>
        <w:t>除后的租金费用在租赁期内分摊，计入当期费用。</w:t>
      </w:r>
    </w:p>
    <w:p>
      <w:pPr>
        <w:pStyle w:val="BodyText"/>
        <w:spacing w:line="256" w:lineRule="auto" w:before="37"/>
        <w:ind w:left="573" w:right="1133"/>
        <w:jc w:val="left"/>
      </w:pPr>
      <w:r>
        <w:rPr/>
        <w:t>（</w:t>
      </w:r>
      <w:r>
        <w:rPr>
          <w:rFonts w:ascii="Times New Roman" w:hAnsi="Times New Roman" w:cs="Times New Roman" w:eastAsia="Times New Roman" w:hint="default"/>
        </w:rPr>
        <w:t>2</w:t>
      </w:r>
      <w:r>
        <w:rPr/>
        <w:t>）经营租出资产</w:t>
      </w:r>
      <w:r>
        <w:rPr>
          <w:w w:val="100"/>
        </w:rPr>
        <w:t> </w:t>
      </w:r>
      <w:r>
        <w:rPr>
          <w:spacing w:val="-2"/>
        </w:rPr>
        <w:t>公司出租资产所收取的租赁费，在不扣除免租期的整个租赁期内，按直线法进行分摊，确认为租赁收</w:t>
      </w:r>
    </w:p>
    <w:p>
      <w:pPr>
        <w:pStyle w:val="BodyText"/>
        <w:spacing w:line="273" w:lineRule="auto" w:before="22"/>
        <w:ind w:right="1133"/>
        <w:jc w:val="left"/>
      </w:pPr>
      <w:r>
        <w:rPr>
          <w:spacing w:val="-2"/>
        </w:rPr>
        <w:t>入。公司支付的与租赁交易相关的初始直接费用，计入当期费用；如金额较大的，则予以资本化，在整个</w:t>
      </w:r>
      <w:r>
        <w:rPr>
          <w:spacing w:val="-43"/>
        </w:rPr>
        <w:t> </w:t>
      </w:r>
      <w:r>
        <w:rPr>
          <w:spacing w:val="-43"/>
        </w:rPr>
      </w:r>
      <w:r>
        <w:rPr/>
        <w:t>租赁期间内按照与租赁收入确认相同的基础分期计入当期收益。</w:t>
      </w:r>
    </w:p>
    <w:p>
      <w:pPr>
        <w:pStyle w:val="BodyText"/>
        <w:spacing w:line="273" w:lineRule="auto"/>
        <w:ind w:right="1126" w:firstLine="420"/>
        <w:jc w:val="both"/>
      </w:pPr>
      <w:r>
        <w:rPr>
          <w:spacing w:val="-2"/>
        </w:rPr>
        <w:t>公司承担了应由承租方承担的与租赁相关的费用时，公司将该部分费用从租金收入总额中扣除，按扣</w:t>
      </w:r>
      <w:r>
        <w:rPr>
          <w:w w:val="100"/>
        </w:rPr>
        <w:t> </w:t>
      </w:r>
      <w:r>
        <w:rPr/>
        <w:t>除后的租金费用在租赁期内分配。</w:t>
      </w:r>
    </w:p>
    <w:p>
      <w:pPr>
        <w:spacing w:after="0" w:line="273"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2）融资租赁的会计处理方法" w:id="206"/>
      <w:bookmarkEnd w:id="206"/>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before="0"/>
        <w:ind w:right="0" w:firstLine="420"/>
        <w:jc w:val="left"/>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w:t>
      </w:r>
      <w:r>
        <w:rPr>
          <w:w w:val="100"/>
        </w:rPr>
        <w:t> </w:t>
      </w:r>
      <w:r>
        <w:rPr>
          <w:spacing w:val="-5"/>
        </w:rPr>
        <w:t>作为租入资产的入账价值，将最低租赁付款额作为长期应付款的入账价值，其差额作为未确认的融资费用。</w:t>
      </w:r>
    </w:p>
    <w:p>
      <w:pPr>
        <w:pStyle w:val="BodyText"/>
        <w:spacing w:line="240" w:lineRule="auto" w:before="22"/>
        <w:ind w:left="573" w:right="1133"/>
        <w:jc w:val="left"/>
      </w:pPr>
      <w:r>
        <w:rPr/>
        <w:t>公司采用实际利率法对未确认的融资费用，在资产租赁期间内摊销，计入财务费用。</w:t>
      </w:r>
    </w:p>
    <w:p>
      <w:pPr>
        <w:pStyle w:val="BodyText"/>
        <w:spacing w:line="264" w:lineRule="auto" w:before="37"/>
        <w:ind w:right="1126" w:firstLine="420"/>
        <w:jc w:val="both"/>
      </w:pPr>
      <w:r>
        <w:rPr/>
        <w:t>（</w:t>
      </w:r>
      <w:r>
        <w:rPr>
          <w:rFonts w:ascii="Times New Roman" w:hAnsi="Times New Roman" w:cs="Times New Roman" w:eastAsia="Times New Roman" w:hint="default"/>
        </w:rPr>
        <w:t>2</w:t>
      </w:r>
      <w:r>
        <w:rPr/>
        <w:t>）融资租出资产：公司在租赁开始日，将应收融资租赁款，未担保余值之和与其现值的差额确认</w:t>
      </w:r>
      <w:r>
        <w:rPr>
          <w:w w:val="100"/>
        </w:rPr>
        <w:t> </w:t>
      </w:r>
      <w:r>
        <w:rPr>
          <w:spacing w:val="-2"/>
        </w:rPr>
        <w:t>为未实现融资收益，在将来收到租金的各期间内确认为租赁收入，公司发生的与出租交易相关的初始直接</w:t>
      </w:r>
      <w:r>
        <w:rPr>
          <w:spacing w:val="-42"/>
        </w:rPr>
        <w:t> </w:t>
      </w:r>
      <w:r>
        <w:rPr>
          <w:spacing w:val="-42"/>
        </w:rPr>
      </w:r>
      <w:r>
        <w:rPr/>
        <w:t>费用，计入应收融资租赁款的初始计量中，并减少租赁期内确认的收益金额。</w:t>
      </w:r>
    </w:p>
    <w:p>
      <w:pPr>
        <w:spacing w:line="240" w:lineRule="auto" w:before="2"/>
        <w:rPr>
          <w:rFonts w:ascii="宋体" w:hAnsi="宋体" w:cs="宋体" w:eastAsia="宋体" w:hint="default"/>
          <w:sz w:val="24"/>
          <w:szCs w:val="24"/>
        </w:rPr>
      </w:pPr>
    </w:p>
    <w:p>
      <w:pPr>
        <w:pStyle w:val="Heading4"/>
        <w:spacing w:line="240" w:lineRule="auto"/>
        <w:ind w:right="1133"/>
        <w:jc w:val="left"/>
        <w:rPr>
          <w:b w:val="0"/>
          <w:bCs w:val="0"/>
        </w:rPr>
      </w:pPr>
      <w:bookmarkStart w:name="26、其他重要的会计政策和会计估计" w:id="207"/>
      <w:bookmarkEnd w:id="207"/>
      <w:r>
        <w:rPr>
          <w:b w:val="0"/>
          <w:bCs w:val="0"/>
        </w:rPr>
      </w:r>
      <w:r>
        <w:rPr>
          <w:rFonts w:ascii="Times New Roman" w:hAnsi="Times New Roman" w:cs="Times New Roman" w:eastAsia="Times New Roman" w:hint="default"/>
        </w:rPr>
        <w:t>26</w:t>
      </w:r>
      <w:r>
        <w:rPr/>
        <w:t>、其他重要的会计政策和会计估计</w:t>
      </w:r>
      <w:r>
        <w:rPr>
          <w:b w:val="0"/>
          <w:bCs w:val="0"/>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1"/>
        <w:ind w:right="1133"/>
        <w:jc w:val="left"/>
        <w:rPr>
          <w:b w:val="0"/>
          <w:bCs w:val="0"/>
        </w:rPr>
      </w:pPr>
      <w:bookmarkStart w:name="27、重要会计政策和会计估计变更" w:id="208"/>
      <w:bookmarkEnd w:id="208"/>
      <w:r>
        <w:rPr>
          <w:b w:val="0"/>
          <w:bCs w:val="0"/>
        </w:rPr>
      </w:r>
      <w:r>
        <w:rPr>
          <w:rFonts w:ascii="Times New Roman" w:hAnsi="Times New Roman" w:cs="Times New Roman" w:eastAsia="Times New Roman" w:hint="default"/>
        </w:rPr>
        <w:t>27</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重要会计政策变更" w:id="209"/>
      <w:bookmarkEnd w:id="209"/>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829"/>
        <w:gridCol w:w="2139"/>
        <w:gridCol w:w="3603"/>
      </w:tblGrid>
      <w:tr>
        <w:trPr>
          <w:trHeight w:val="401"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3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588"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年，财政部颁布了修订后的《企业会计准则</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金融工具确认和</w:t>
            </w:r>
            <w:r>
              <w:rPr>
                <w:rFonts w:ascii="宋体" w:hAnsi="宋体" w:cs="宋体" w:eastAsia="宋体" w:hint="default"/>
                <w:spacing w:val="-3"/>
                <w:sz w:val="18"/>
                <w:szCs w:val="18"/>
              </w:rPr>
              <w:t>计</w:t>
            </w:r>
            <w:r>
              <w:rPr>
                <w:rFonts w:ascii="宋体" w:hAnsi="宋体" w:cs="宋体" w:eastAsia="宋体" w:hint="default"/>
                <w:sz w:val="18"/>
                <w:szCs w:val="18"/>
              </w:rPr>
              <w:t>量</w:t>
            </w:r>
            <w:r>
              <w:rPr>
                <w:rFonts w:ascii="宋体" w:hAnsi="宋体" w:cs="宋体" w:eastAsia="宋体" w:hint="default"/>
                <w:spacing w:val="-92"/>
                <w:sz w:val="18"/>
                <w:szCs w:val="18"/>
              </w:rPr>
              <w:t>》、</w:t>
            </w:r>
            <w:r>
              <w:rPr>
                <w:rFonts w:ascii="宋体" w:hAnsi="宋体" w:cs="宋体" w:eastAsia="宋体" w:hint="default"/>
                <w:sz w:val="18"/>
                <w:szCs w:val="18"/>
              </w:rPr>
              <w:t>《企业会计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金融资产转</w:t>
            </w:r>
            <w:r>
              <w:rPr>
                <w:rFonts w:ascii="宋体" w:hAnsi="宋体" w:cs="宋体" w:eastAsia="宋体" w:hint="default"/>
                <w:spacing w:val="-3"/>
                <w:sz w:val="18"/>
                <w:szCs w:val="18"/>
              </w:rPr>
              <w:t>移</w:t>
            </w:r>
            <w:r>
              <w:rPr>
                <w:rFonts w:ascii="宋体" w:hAnsi="宋体" w:cs="宋体" w:eastAsia="宋体" w:hint="default"/>
                <w:spacing w:val="-92"/>
                <w:sz w:val="18"/>
                <w:szCs w:val="18"/>
              </w:rPr>
              <w:t>》、</w:t>
            </w:r>
            <w:r>
              <w:rPr>
                <w:rFonts w:ascii="宋体" w:hAnsi="宋体" w:cs="宋体" w:eastAsia="宋体" w:hint="default"/>
                <w:sz w:val="18"/>
                <w:szCs w:val="18"/>
              </w:rPr>
              <w:t>《企业会计准</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套期会计》及《企业会计准则第</w:t>
            </w:r>
          </w:p>
          <w:p>
            <w:pPr>
              <w:pStyle w:val="TableParagraph"/>
              <w:spacing w:line="307" w:lineRule="auto" w:before="63"/>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37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金融工具列报》（以上四项统称“新金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9"/>
                <w:sz w:val="18"/>
                <w:szCs w:val="18"/>
              </w:rPr>
              <w:t>融工具准则”）。以上四项金融工具相关会计准则</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要求中国境内上市企业自</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日起执 行。</w:t>
            </w:r>
          </w:p>
        </w:tc>
        <w:tc>
          <w:tcPr>
            <w:tcW w:w="2139"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9" w:lineRule="auto"/>
              <w:ind w:left="24" w:right="111"/>
              <w:jc w:val="left"/>
              <w:rPr>
                <w:rFonts w:ascii="宋体" w:hAnsi="宋体" w:cs="宋体" w:eastAsia="宋体" w:hint="default"/>
                <w:sz w:val="18"/>
                <w:szCs w:val="18"/>
              </w:rPr>
            </w:pPr>
            <w:r>
              <w:rPr>
                <w:rFonts w:ascii="宋体" w:hAnsi="宋体" w:cs="宋体" w:eastAsia="宋体" w:hint="default"/>
                <w:sz w:val="18"/>
                <w:szCs w:val="18"/>
              </w:rPr>
              <w:t>第七届董事会第二次会议 第七届监事会第二次会议</w:t>
            </w:r>
          </w:p>
        </w:tc>
        <w:tc>
          <w:tcPr>
            <w:tcW w:w="360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公司自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日起执行新金融工具准</w:t>
            </w:r>
          </w:p>
          <w:p>
            <w:pPr>
              <w:pStyle w:val="TableParagraph"/>
              <w:spacing w:line="240" w:lineRule="auto" w:before="63"/>
              <w:ind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则。根据新旧准则衔接规定，公司无需对</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2018</w:t>
            </w:r>
          </w:p>
          <w:p>
            <w:pPr>
              <w:pStyle w:val="TableParagraph"/>
              <w:spacing w:line="196" w:lineRule="exact" w:before="63"/>
              <w:ind w:right="-19"/>
              <w:jc w:val="left"/>
              <w:rPr>
                <w:rFonts w:ascii="宋体" w:hAnsi="宋体" w:cs="宋体" w:eastAsia="宋体" w:hint="default"/>
                <w:sz w:val="18"/>
                <w:szCs w:val="18"/>
              </w:rPr>
            </w:pPr>
            <w:r>
              <w:rPr>
                <w:rFonts w:ascii="宋体" w:hAnsi="宋体" w:cs="宋体" w:eastAsia="宋体" w:hint="default"/>
                <w:sz w:val="18"/>
                <w:szCs w:val="18"/>
              </w:rPr>
              <w:t>年度以及可比期间的财务报表进行追溯调整，</w:t>
            </w:r>
          </w:p>
          <w:p>
            <w:pPr>
              <w:pStyle w:val="TableParagraph"/>
              <w:spacing w:line="156" w:lineRule="exact"/>
              <w:ind w:left="-14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right="0"/>
              <w:jc w:val="left"/>
              <w:rPr>
                <w:rFonts w:ascii="宋体" w:hAnsi="宋体" w:cs="宋体" w:eastAsia="宋体" w:hint="default"/>
                <w:sz w:val="18"/>
                <w:szCs w:val="18"/>
              </w:rPr>
            </w:pPr>
            <w:r>
              <w:rPr>
                <w:rFonts w:ascii="宋体" w:hAnsi="宋体" w:cs="宋体" w:eastAsia="宋体" w:hint="default"/>
                <w:sz w:val="18"/>
                <w:szCs w:val="18"/>
              </w:rPr>
              <w:t>仅需于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年年初对公司持有的新金融工具</w:t>
            </w:r>
          </w:p>
          <w:p>
            <w:pPr>
              <w:pStyle w:val="TableParagraph"/>
              <w:spacing w:line="316" w:lineRule="auto" w:before="63"/>
              <w:ind w:right="20"/>
              <w:jc w:val="left"/>
              <w:rPr>
                <w:rFonts w:ascii="宋体" w:hAnsi="宋体" w:cs="宋体" w:eastAsia="宋体" w:hint="default"/>
                <w:sz w:val="18"/>
                <w:szCs w:val="18"/>
              </w:rPr>
            </w:pPr>
            <w:r>
              <w:rPr>
                <w:rFonts w:ascii="宋体" w:hAnsi="宋体" w:cs="宋体" w:eastAsia="宋体" w:hint="default"/>
                <w:sz w:val="18"/>
                <w:szCs w:val="18"/>
              </w:rPr>
              <w:t>准则规定的金融资产和金融负债进行重新分 </w:t>
            </w:r>
            <w:r>
              <w:rPr>
                <w:rFonts w:ascii="宋体" w:hAnsi="宋体" w:cs="宋体" w:eastAsia="宋体" w:hint="default"/>
                <w:spacing w:val="-3"/>
                <w:sz w:val="18"/>
                <w:szCs w:val="18"/>
              </w:rPr>
              <w:t>类和计量，并对留存收益或其他综合收益年初</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数进行相应调整。</w:t>
            </w:r>
          </w:p>
        </w:tc>
      </w:tr>
    </w:tbl>
    <w:p>
      <w:pPr>
        <w:spacing w:line="240" w:lineRule="auto" w:before="6"/>
        <w:rPr>
          <w:rFonts w:ascii="宋体" w:hAnsi="宋体" w:cs="宋体" w:eastAsia="宋体" w:hint="default"/>
          <w:sz w:val="5"/>
          <w:szCs w:val="5"/>
        </w:rPr>
      </w:pPr>
    </w:p>
    <w:p>
      <w:pPr>
        <w:spacing w:line="273" w:lineRule="auto" w:before="36"/>
        <w:ind w:left="573" w:right="1133" w:firstLine="4"/>
        <w:jc w:val="left"/>
        <w:rPr>
          <w:rFonts w:ascii="宋体" w:hAnsi="宋体" w:cs="宋体" w:eastAsia="宋体" w:hint="default"/>
          <w:sz w:val="21"/>
          <w:szCs w:val="21"/>
        </w:rPr>
      </w:pPr>
      <w:r>
        <w:rPr/>
        <w:pict>
          <v:group style="position:absolute;margin-left:355.869995pt;margin-top:-91.916321pt;width:178pt;height:31.2pt;mso-position-horizontal-relative:page;mso-position-vertical-relative:paragraph;z-index:-1076392" coordorigin="7117,-1838" coordsize="3560,624">
            <v:group style="position:absolute;left:7117;top:-1838;width:3560;height:312" coordorigin="7117,-1838" coordsize="3560,312">
              <v:shape style="position:absolute;left:7117;top:-1838;width:3560;height:312" coordorigin="7117,-1838" coordsize="3560,312" path="m7117,-1526l10677,-1526,10677,-1838,7117,-1838,7117,-1526xe" filled="true" fillcolor="#ffffff" stroked="false">
                <v:path arrowok="t"/>
                <v:fill type="solid"/>
              </v:shape>
            </v:group>
            <v:group style="position:absolute;left:7117;top:-1526;width:3560;height:312" coordorigin="7117,-1526" coordsize="3560,312">
              <v:shape style="position:absolute;left:7117;top:-1526;width:3560;height:312" coordorigin="7117,-1526" coordsize="3560,312" path="m7117,-1214l10677,-1214,10677,-1526,7117,-1526,7117,-1214xe" filled="true" fillcolor="#ffffff" stroked="false">
                <v:path arrowok="t"/>
                <v:fill type="solid"/>
              </v:shape>
            </v:group>
            <w10:wrap type="none"/>
          </v:group>
        </w:pict>
      </w:r>
      <w:r>
        <w:rPr>
          <w:rFonts w:ascii="宋体" w:hAnsi="宋体" w:cs="宋体" w:eastAsia="宋体" w:hint="default"/>
          <w:b/>
          <w:bCs/>
          <w:sz w:val="21"/>
          <w:szCs w:val="21"/>
        </w:rPr>
        <w:t>执行新金融工具准则对本公司的影响</w:t>
      </w:r>
      <w:r>
        <w:rPr>
          <w:rFonts w:ascii="宋体" w:hAnsi="宋体" w:cs="宋体" w:eastAsia="宋体" w:hint="default"/>
          <w:b/>
          <w:bCs/>
          <w:w w:val="100"/>
          <w:sz w:val="21"/>
          <w:szCs w:val="21"/>
        </w:rPr>
        <w:t> </w:t>
      </w:r>
      <w:r>
        <w:rPr>
          <w:rFonts w:ascii="宋体" w:hAnsi="宋体" w:cs="宋体" w:eastAsia="宋体" w:hint="default"/>
          <w:spacing w:val="-2"/>
          <w:sz w:val="21"/>
          <w:szCs w:val="21"/>
        </w:rPr>
        <w:t>与</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日之前的金融工具确认和计量与新金融工具准则要求不一致的，本公司按照新金融工具</w:t>
      </w:r>
    </w:p>
    <w:p>
      <w:pPr>
        <w:pStyle w:val="BodyText"/>
        <w:spacing w:line="264" w:lineRule="auto" w:before="0"/>
        <w:ind w:right="1126"/>
        <w:jc w:val="both"/>
      </w:pPr>
      <w:r>
        <w:rPr>
          <w:spacing w:val="-2"/>
        </w:rPr>
        <w:t>准则的要求进行衔接调整。涉及前期比较财务报表数据与新金融工具准则要求不一致的，本公司未调整可</w:t>
      </w:r>
      <w:r>
        <w:rPr>
          <w:spacing w:val="-44"/>
        </w:rPr>
        <w:t> </w:t>
      </w:r>
      <w:r>
        <w:rPr>
          <w:spacing w:val="-44"/>
        </w:rPr>
      </w:r>
      <w:r>
        <w:rPr>
          <w:spacing w:val="-2"/>
        </w:rPr>
        <w:t>比期间信息。金融工具原账面价值和新金融工具准则施行日的新账面价值之间的差额，计入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w:t>
      </w:r>
      <w:r>
        <w:rPr>
          <w:spacing w:val="-37"/>
        </w:rPr>
        <w:t> </w:t>
      </w:r>
      <w:r>
        <w:rPr/>
        <w:t>留存收益或其他综合收益。</w:t>
      </w:r>
    </w:p>
    <w:p>
      <w:pPr>
        <w:pStyle w:val="BodyText"/>
        <w:spacing w:line="240" w:lineRule="auto" w:before="16"/>
        <w:ind w:left="573" w:right="1133"/>
        <w:jc w:val="left"/>
      </w:pPr>
      <w:r>
        <w:rPr/>
        <w:t>执行新金融工具准则对本期期初资产负债表相关项目的影响列示如下：</w:t>
      </w:r>
    </w:p>
    <w:p>
      <w:pPr>
        <w:spacing w:line="240" w:lineRule="auto" w:before="10"/>
        <w:rPr>
          <w:rFonts w:ascii="宋体" w:hAnsi="宋体" w:cs="宋体" w:eastAsia="宋体" w:hint="default"/>
          <w:sz w:val="3"/>
          <w:szCs w:val="3"/>
        </w:rPr>
      </w:pPr>
    </w:p>
    <w:tbl>
      <w:tblPr>
        <w:tblW w:w="0" w:type="auto"/>
        <w:jc w:val="left"/>
        <w:tblInd w:w="138" w:type="dxa"/>
        <w:tblLayout w:type="fixed"/>
        <w:tblCellMar>
          <w:top w:w="0" w:type="dxa"/>
          <w:left w:w="0" w:type="dxa"/>
          <w:bottom w:w="0" w:type="dxa"/>
          <w:right w:w="0" w:type="dxa"/>
        </w:tblCellMar>
        <w:tblLook w:val="01E0"/>
      </w:tblPr>
      <w:tblGrid>
        <w:gridCol w:w="2069"/>
        <w:gridCol w:w="1345"/>
        <w:gridCol w:w="1822"/>
        <w:gridCol w:w="2006"/>
        <w:gridCol w:w="232"/>
        <w:gridCol w:w="904"/>
        <w:gridCol w:w="1282"/>
      </w:tblGrid>
      <w:tr>
        <w:trPr>
          <w:trHeight w:val="341" w:hRule="exact"/>
        </w:trPr>
        <w:tc>
          <w:tcPr>
            <w:tcW w:w="206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34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496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累计影响金额</w:t>
            </w:r>
          </w:p>
        </w:tc>
        <w:tc>
          <w:tcPr>
            <w:tcW w:w="128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344" w:hRule="exact"/>
        </w:trPr>
        <w:tc>
          <w:tcPr>
            <w:tcW w:w="2069" w:type="dxa"/>
            <w:vMerge/>
            <w:tcBorders>
              <w:left w:val="single" w:sz="4" w:space="0" w:color="000000"/>
              <w:bottom w:val="single" w:sz="4" w:space="0" w:color="000000"/>
              <w:right w:val="single" w:sz="4" w:space="0" w:color="000000"/>
            </w:tcBorders>
          </w:tcPr>
          <w:p>
            <w:pPr/>
          </w:p>
        </w:tc>
        <w:tc>
          <w:tcPr>
            <w:tcW w:w="1345"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5"/>
              <w:jc w:val="right"/>
              <w:rPr>
                <w:rFonts w:ascii="宋体" w:hAnsi="宋体" w:cs="宋体" w:eastAsia="宋体" w:hint="default"/>
                <w:sz w:val="18"/>
                <w:szCs w:val="18"/>
              </w:rPr>
            </w:pPr>
            <w:r>
              <w:rPr>
                <w:rFonts w:ascii="宋体" w:hAnsi="宋体" w:cs="宋体" w:eastAsia="宋体" w:hint="default"/>
                <w:sz w:val="18"/>
                <w:szCs w:val="18"/>
              </w:rPr>
              <w:t>分类和计量影响（注</w:t>
            </w:r>
            <w:r>
              <w:rPr>
                <w:rFonts w:ascii="Times New Roman" w:hAnsi="Times New Roman" w:cs="Times New Roman" w:eastAsia="Times New Roman" w:hint="default"/>
                <w:spacing w:val="1"/>
                <w:sz w:val="18"/>
                <w:szCs w:val="18"/>
              </w:rPr>
              <w:t>1</w:t>
            </w:r>
            <w:r>
              <w:rPr>
                <w:rFonts w:ascii="宋体" w:hAnsi="宋体" w:cs="宋体" w:eastAsia="宋体" w:hint="default"/>
                <w:spacing w:val="-72"/>
                <w:sz w:val="18"/>
                <w:szCs w:val="18"/>
              </w:rPr>
              <w:t>）</w:t>
            </w:r>
            <w:r>
              <w:rPr>
                <w:rFonts w:ascii="宋体" w:hAnsi="宋体" w:cs="宋体" w:eastAsia="宋体" w:hint="default"/>
                <w:sz w:val="18"/>
                <w:szCs w:val="18"/>
              </w:rPr>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金融资产减值影响（注</w:t>
            </w:r>
            <w:r>
              <w:rPr>
                <w:rFonts w:ascii="Times New Roman" w:hAnsi="Times New Roman" w:cs="Times New Roman" w:eastAsia="Times New Roman" w:hint="default"/>
                <w:sz w:val="18"/>
                <w:szCs w:val="18"/>
              </w:rPr>
              <w:t>2</w:t>
            </w:r>
          </w:p>
        </w:tc>
        <w:tc>
          <w:tcPr>
            <w:tcW w:w="2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111" w:right="0"/>
              <w:jc w:val="left"/>
              <w:rPr>
                <w:rFonts w:ascii="宋体" w:hAnsi="宋体" w:cs="宋体" w:eastAsia="宋体" w:hint="default"/>
                <w:sz w:val="18"/>
                <w:szCs w:val="18"/>
              </w:rPr>
            </w:pPr>
            <w:r>
              <w:rPr>
                <w:rFonts w:ascii="宋体" w:hAnsi="宋体" w:cs="宋体" w:eastAsia="宋体" w:hint="default"/>
                <w:sz w:val="18"/>
                <w:szCs w:val="18"/>
              </w:rPr>
              <w:t>）</w:t>
            </w:r>
          </w:p>
        </w:tc>
        <w:tc>
          <w:tcPr>
            <w:tcW w:w="9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5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82" w:type="dxa"/>
            <w:vMerge/>
            <w:tcBorders>
              <w:left w:val="single" w:sz="4" w:space="0" w:color="000000"/>
              <w:bottom w:val="single" w:sz="4" w:space="0" w:color="000000"/>
              <w:right w:val="single" w:sz="4" w:space="0" w:color="000000"/>
            </w:tcBorders>
          </w:tcPr>
          <w:p>
            <w:pPr/>
          </w:p>
        </w:tc>
      </w:tr>
      <w:tr>
        <w:trPr>
          <w:trHeight w:val="341"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2,000,000.00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-2,000,000.00</w:t>
            </w:r>
          </w:p>
        </w:tc>
        <w:tc>
          <w:tcPr>
            <w:tcW w:w="2006" w:type="dxa"/>
            <w:tcBorders>
              <w:top w:val="single" w:sz="4" w:space="0" w:color="000000"/>
              <w:left w:val="single" w:sz="4" w:space="0" w:color="000000"/>
              <w:bottom w:val="single" w:sz="4" w:space="0" w:color="000000"/>
              <w:right w:val="single" w:sz="4" w:space="0" w:color="000000"/>
            </w:tcBorders>
          </w:tcPr>
          <w:p>
            <w:pP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17" w:right="0"/>
              <w:jc w:val="left"/>
              <w:rPr>
                <w:rFonts w:ascii="Times New Roman" w:hAnsi="Times New Roman" w:cs="Times New Roman" w:eastAsia="Times New Roman" w:hint="default"/>
                <w:sz w:val="18"/>
                <w:szCs w:val="18"/>
              </w:rPr>
            </w:pPr>
            <w:r>
              <w:rPr>
                <w:rFonts w:ascii="Times New Roman"/>
                <w:sz w:val="18"/>
              </w:rPr>
              <w:t>-2,000,000.00</w:t>
            </w:r>
          </w:p>
        </w:tc>
        <w:tc>
          <w:tcPr>
            <w:tcW w:w="1282"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345"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2,000,000.00</w:t>
            </w:r>
          </w:p>
        </w:tc>
        <w:tc>
          <w:tcPr>
            <w:tcW w:w="2006" w:type="dxa"/>
            <w:tcBorders>
              <w:top w:val="single" w:sz="4" w:space="0" w:color="000000"/>
              <w:left w:val="single" w:sz="4" w:space="0" w:color="000000"/>
              <w:bottom w:val="single" w:sz="4" w:space="0" w:color="000000"/>
              <w:right w:val="single" w:sz="4" w:space="0" w:color="000000"/>
            </w:tcBorders>
          </w:tcPr>
          <w:p>
            <w:pP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77" w:right="0"/>
              <w:jc w:val="left"/>
              <w:rPr>
                <w:rFonts w:ascii="Times New Roman" w:hAnsi="Times New Roman" w:cs="Times New Roman" w:eastAsia="Times New Roman" w:hint="default"/>
                <w:sz w:val="18"/>
                <w:szCs w:val="18"/>
              </w:rPr>
            </w:pPr>
            <w:r>
              <w:rPr>
                <w:rFonts w:ascii="Times New Roman"/>
                <w:sz w:val="18"/>
              </w:rPr>
              <w:t>2,000,000.00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341"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923,461,339.03</w:t>
            </w:r>
          </w:p>
        </w:tc>
        <w:tc>
          <w:tcPr>
            <w:tcW w:w="1822"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800,000.00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09" w:right="0"/>
              <w:jc w:val="left"/>
              <w:rPr>
                <w:rFonts w:ascii="Times New Roman" w:hAnsi="Times New Roman" w:cs="Times New Roman" w:eastAsia="Times New Roman" w:hint="default"/>
                <w:sz w:val="18"/>
                <w:szCs w:val="18"/>
              </w:rPr>
            </w:pPr>
            <w:r>
              <w:rPr>
                <w:rFonts w:ascii="Times New Roman"/>
                <w:sz w:val="18"/>
              </w:rPr>
              <w:t>800,000.00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924,261,339.03</w:t>
            </w:r>
          </w:p>
        </w:tc>
      </w:tr>
      <w:tr>
        <w:trPr>
          <w:trHeight w:val="343"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345"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-800,000.00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52" w:right="0"/>
              <w:jc w:val="left"/>
              <w:rPr>
                <w:rFonts w:ascii="Times New Roman" w:hAnsi="Times New Roman" w:cs="Times New Roman" w:eastAsia="Times New Roman" w:hint="default"/>
                <w:sz w:val="18"/>
                <w:szCs w:val="18"/>
              </w:rPr>
            </w:pPr>
            <w:r>
              <w:rPr>
                <w:rFonts w:ascii="Times New Roman"/>
                <w:sz w:val="18"/>
              </w:rPr>
              <w:t>-800,000.00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-800,000.00</w:t>
            </w:r>
          </w:p>
        </w:tc>
      </w:tr>
    </w:tbl>
    <w:p>
      <w:pPr>
        <w:pStyle w:val="BodyText"/>
        <w:spacing w:line="266" w:lineRule="auto" w:before="0"/>
        <w:ind w:right="1126" w:firstLine="420"/>
        <w:jc w:val="both"/>
      </w:pPr>
      <w:r>
        <w:rPr>
          <w:spacing w:val="-8"/>
        </w:rPr>
        <w:t>注</w:t>
      </w:r>
      <w:r>
        <w:rPr>
          <w:rFonts w:ascii="Times New Roman" w:hAnsi="Times New Roman" w:cs="Times New Roman" w:eastAsia="Times New Roman" w:hint="default"/>
          <w:spacing w:val="-8"/>
        </w:rPr>
        <w:t>1</w:t>
      </w:r>
      <w:r>
        <w:rPr>
          <w:spacing w:val="-8"/>
        </w:rPr>
        <w:t>：于</w:t>
      </w:r>
      <w:r>
        <w:rPr>
          <w:spacing w:val="32"/>
        </w:rPr>
        <w:t> </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日，账面价值</w:t>
      </w:r>
      <w:r>
        <w:rPr>
          <w:rFonts w:ascii="Times New Roman" w:hAnsi="Times New Roman" w:cs="Times New Roman" w:eastAsia="Times New Roman" w:hint="default"/>
          <w:spacing w:val="-2"/>
        </w:rPr>
        <w:t>2,000,000.00</w:t>
      </w:r>
      <w:r>
        <w:rPr>
          <w:spacing w:val="-2"/>
        </w:rPr>
        <w:t>元的可供出售金融资产被重分类至其他权益工具投资项</w:t>
      </w:r>
      <w:r>
        <w:rPr>
          <w:w w:val="100"/>
        </w:rPr>
        <w:t> </w:t>
      </w:r>
      <w:r>
        <w:rPr>
          <w:spacing w:val="-2"/>
        </w:rPr>
        <w:t>目，该部分投资属于非交易性权益工具投资，并且本集团预计不会在可预见的未来出售。上述可供出售金</w:t>
      </w:r>
      <w:r>
        <w:rPr>
          <w:spacing w:val="-42"/>
        </w:rPr>
        <w:t> </w:t>
      </w:r>
      <w:r>
        <w:rPr>
          <w:spacing w:val="-42"/>
        </w:rPr>
      </w:r>
      <w:r>
        <w:rPr>
          <w:spacing w:val="-2"/>
        </w:rPr>
        <w:t>融资产为在活跃市场中没有报价且其公允价值不能可靠计量的权益工具投资，于以前期间根据原金融工具</w:t>
      </w:r>
      <w:r>
        <w:rPr>
          <w:spacing w:val="-43"/>
        </w:rPr>
        <w:t> </w:t>
      </w:r>
      <w:r>
        <w:rPr>
          <w:spacing w:val="-43"/>
        </w:rPr>
      </w:r>
      <w:r>
        <w:rPr>
          <w:spacing w:val="-2"/>
        </w:rPr>
        <w:t>准则按照成本计量。于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日对该部分股权投资采用公允价值计量，其他权益工具投资公允价值与</w:t>
      </w:r>
    </w:p>
    <w:p>
      <w:pPr>
        <w:spacing w:after="0" w:line="266"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left="489" w:right="1133" w:hanging="337"/>
        <w:jc w:val="left"/>
      </w:pPr>
      <w:r>
        <w:rPr/>
        <w:t>账面价值一致。</w:t>
      </w:r>
      <w:r>
        <w:rPr>
          <w:spacing w:val="-103"/>
        </w:rPr>
        <w:t> </w:t>
      </w:r>
      <w:r>
        <w:rPr>
          <w:spacing w:val="-103"/>
        </w:rPr>
      </w:r>
      <w:r>
        <w:rPr>
          <w:spacing w:val="-2"/>
        </w:rPr>
        <w:t>注</w:t>
      </w:r>
      <w:r>
        <w:rPr>
          <w:rFonts w:ascii="Times New Roman" w:hAnsi="Times New Roman" w:cs="Times New Roman" w:eastAsia="Times New Roman" w:hint="default"/>
          <w:spacing w:val="-2"/>
        </w:rPr>
        <w:t>2</w:t>
      </w:r>
      <w:r>
        <w:rPr>
          <w:spacing w:val="-2"/>
        </w:rPr>
        <w:t>：以前期间确认的非交易性权益工具投资减值损失</w:t>
      </w:r>
      <w:r>
        <w:rPr>
          <w:rFonts w:ascii="Times New Roman" w:hAnsi="Times New Roman" w:cs="Times New Roman" w:eastAsia="Times New Roman" w:hint="default"/>
          <w:spacing w:val="-2"/>
        </w:rPr>
        <w:t>800,000.00</w:t>
      </w:r>
      <w:r>
        <w:rPr>
          <w:spacing w:val="-2"/>
        </w:rPr>
        <w:t>元于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日从留存收益转入其</w:t>
      </w:r>
    </w:p>
    <w:p>
      <w:pPr>
        <w:pStyle w:val="BodyText"/>
        <w:spacing w:line="264" w:lineRule="exact" w:before="0"/>
        <w:ind w:right="1133"/>
        <w:jc w:val="left"/>
      </w:pPr>
      <w:r>
        <w:rPr/>
        <w:t>他综合收益（其他权益工具投资公允价值变动）。</w:t>
      </w:r>
    </w:p>
    <w:p>
      <w:pPr>
        <w:spacing w:line="240" w:lineRule="auto" w:before="10"/>
        <w:rPr>
          <w:rFonts w:ascii="宋体" w:hAnsi="宋体" w:cs="宋体" w:eastAsia="宋体" w:hint="default"/>
          <w:sz w:val="25"/>
          <w:szCs w:val="25"/>
        </w:rPr>
      </w:pPr>
    </w:p>
    <w:p>
      <w:pPr>
        <w:pStyle w:val="Heading4"/>
        <w:spacing w:line="240" w:lineRule="auto"/>
        <w:ind w:right="1133"/>
        <w:jc w:val="left"/>
        <w:rPr>
          <w:b w:val="0"/>
          <w:bCs w:val="0"/>
        </w:rPr>
      </w:pPr>
      <w:bookmarkStart w:name="（2）重要会计估计变更" w:id="210"/>
      <w:bookmarkEnd w:id="210"/>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bookmarkStart w:name="（3）2019年起执行新金融工具准则、新收入准则或新租赁准则调整执行当年年初财务" w:id="211"/>
      <w:bookmarkEnd w:id="211"/>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line="340" w:lineRule="auto"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534" w:space="7387"/>
            <w:col w:w="2009"/>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56"/>
        <w:gridCol w:w="2138"/>
        <w:gridCol w:w="1561"/>
        <w:gridCol w:w="1202"/>
      </w:tblGrid>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1,945,556,008.67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1,945,556,008.67</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229,064,408.57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229,064,408.57</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1,722,557,405.12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1,722,557,405.12</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77,708,983.32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77,708,983.32</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67,416,500.37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67,416,500.37</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309,816,827.24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309,816,827.24</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57,007,487.67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57,007,487.67</w:t>
            </w:r>
          </w:p>
        </w:tc>
        <w:tc>
          <w:tcPr>
            <w:tcW w:w="120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656"/>
        <w:gridCol w:w="2138"/>
        <w:gridCol w:w="1561"/>
        <w:gridCol w:w="1202"/>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4,409,127,620.96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4,409,127,620.96</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31,418,091.71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31,418,091.71</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263,195,958.75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263,195,958.75</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1,174,009,876.86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1,174,009,876.86</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98,507,941.37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98,507,941.37</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70,532,316.59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70,532,316.59</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7,991.91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7,991.91</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147,408.17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147,408.17</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72,903,806.70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72,903,806.70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98,427,870.88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98,427,870.88</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1,811,151,262.94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1,811,151,262.94</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6,220,278,883.90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6,220,278,883.90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133,333,862.32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133,333,862.32</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1,042,370,788.71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1,042,370,788.71</w:t>
            </w:r>
          </w:p>
        </w:tc>
        <w:tc>
          <w:tcPr>
            <w:tcW w:w="12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656"/>
        <w:gridCol w:w="2138"/>
        <w:gridCol w:w="1561"/>
        <w:gridCol w:w="1202"/>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87,737,208.94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87,737,208.94</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26,777,560.23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26,777,560.23</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100,748,010.32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100,748,010.32</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48,233,428.23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48,233,428.23</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1,689,200,858.75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1,689,200,858.75</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76,398,360.22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76,398,360.22</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76,398,360.22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76,398,360.22</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1,765,599,218.97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1,765,599,218.97</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838,336,028.00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838,336,028.00</w:t>
            </w:r>
          </w:p>
        </w:tc>
        <w:tc>
          <w:tcPr>
            <w:tcW w:w="12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677"/>
        <w:gridCol w:w="2127"/>
        <w:gridCol w:w="1561"/>
        <w:gridCol w:w="1202"/>
      </w:tblGrid>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127"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127"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127"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2,591,160,188.47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2,591,160,188.47</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127"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127"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127"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53,927,961.69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53,927,961.69</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127"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923,461,339.03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924,261,339.03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4,406,885,517.19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4,406,885,517.19</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47,794,147.74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47,794,147.74</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4,454,679,664.93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4,454,679,664.93</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6,220,278,883.90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6,220,278,883.90</w:t>
            </w:r>
          </w:p>
        </w:tc>
        <w:tc>
          <w:tcPr>
            <w:tcW w:w="1202"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调整情况说明</w:t>
      </w:r>
    </w:p>
    <w:p>
      <w:pPr>
        <w:pStyle w:val="BodyText"/>
        <w:spacing w:line="264" w:lineRule="auto" w:before="94"/>
        <w:ind w:right="1126" w:firstLine="420"/>
        <w:jc w:val="both"/>
      </w:pPr>
      <w:r>
        <w:rPr>
          <w:spacing w:val="-8"/>
        </w:rPr>
        <w:t>注</w:t>
      </w:r>
      <w:r>
        <w:rPr>
          <w:rFonts w:ascii="Times New Roman" w:hAnsi="Times New Roman" w:cs="Times New Roman" w:eastAsia="Times New Roman" w:hint="default"/>
          <w:spacing w:val="-8"/>
        </w:rPr>
        <w:t>1</w:t>
      </w:r>
      <w:r>
        <w:rPr>
          <w:spacing w:val="-8"/>
        </w:rPr>
        <w:t>：于</w:t>
      </w:r>
      <w:r>
        <w:rPr>
          <w:spacing w:val="32"/>
        </w:rPr>
        <w:t> </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日，账面价值</w:t>
      </w:r>
      <w:r>
        <w:rPr>
          <w:rFonts w:ascii="Times New Roman" w:hAnsi="Times New Roman" w:cs="Times New Roman" w:eastAsia="Times New Roman" w:hint="default"/>
          <w:spacing w:val="-2"/>
        </w:rPr>
        <w:t>2,000,000.00</w:t>
      </w:r>
      <w:r>
        <w:rPr>
          <w:spacing w:val="-2"/>
        </w:rPr>
        <w:t>元的可供出售金融资产被重分类至其他权益工具投资项</w:t>
      </w:r>
      <w:r>
        <w:rPr>
          <w:w w:val="100"/>
        </w:rPr>
        <w:t> </w:t>
      </w:r>
      <w:r>
        <w:rPr>
          <w:spacing w:val="-2"/>
        </w:rPr>
        <w:t>目，该部分投资属于非交易性权益工具投资，并且本集团预计不会在可预见的未来出售。上述可供出售金</w:t>
      </w:r>
      <w:r>
        <w:rPr>
          <w:spacing w:val="-45"/>
        </w:rPr>
        <w:t> </w:t>
      </w:r>
      <w:r>
        <w:rPr>
          <w:spacing w:val="-45"/>
        </w:rPr>
      </w:r>
      <w:r>
        <w:rPr>
          <w:spacing w:val="-2"/>
        </w:rPr>
        <w:t>融资产为在活跃市场中没有报价且其公允价值不能可靠计量的权益工具投资，于以前期间根据原金融工具</w:t>
      </w:r>
      <w:r>
        <w:rPr>
          <w:spacing w:val="-43"/>
        </w:rPr>
        <w:t> </w:t>
      </w:r>
      <w:r>
        <w:rPr>
          <w:spacing w:val="-43"/>
        </w:rPr>
      </w:r>
      <w:r>
        <w:rPr>
          <w:spacing w:val="-2"/>
        </w:rPr>
        <w:t>准则按照成本计量。于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日对该部分股权投资采用公允价值计量，其他权益工具投资公允价值与</w:t>
      </w:r>
      <w:r>
        <w:rPr>
          <w:spacing w:val="-41"/>
        </w:rPr>
        <w:t> </w:t>
      </w:r>
      <w:r>
        <w:rPr>
          <w:spacing w:val="-41"/>
        </w:rPr>
      </w:r>
      <w:r>
        <w:rPr/>
        <w:t>账面价值一致。</w:t>
      </w:r>
    </w:p>
    <w:p>
      <w:pPr>
        <w:pStyle w:val="BodyText"/>
        <w:spacing w:line="256" w:lineRule="auto" w:before="16"/>
        <w:ind w:right="1126" w:firstLine="420"/>
        <w:jc w:val="both"/>
      </w:pPr>
      <w:r>
        <w:rPr>
          <w:spacing w:val="-2"/>
        </w:rPr>
        <w:t>注</w:t>
      </w:r>
      <w:r>
        <w:rPr>
          <w:rFonts w:ascii="Times New Roman" w:hAnsi="Times New Roman" w:cs="Times New Roman" w:eastAsia="Times New Roman" w:hint="default"/>
          <w:spacing w:val="-2"/>
        </w:rPr>
        <w:t>2</w:t>
      </w:r>
      <w:r>
        <w:rPr>
          <w:spacing w:val="-2"/>
        </w:rPr>
        <w:t>：以前期间确认的非交易性权益工具投资减值损失</w:t>
      </w:r>
      <w:r>
        <w:rPr>
          <w:rFonts w:ascii="Times New Roman" w:hAnsi="Times New Roman" w:cs="Times New Roman" w:eastAsia="Times New Roman" w:hint="default"/>
          <w:spacing w:val="-2"/>
        </w:rPr>
        <w:t>800,000.00</w:t>
      </w:r>
      <w:r>
        <w:rPr>
          <w:spacing w:val="-2"/>
        </w:rPr>
        <w:t>元于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日从留存收益转入其</w:t>
      </w:r>
      <w:r>
        <w:rPr>
          <w:w w:val="100"/>
        </w:rPr>
        <w:t> </w:t>
      </w:r>
      <w:r>
        <w:rPr/>
        <w:t>他综合收益（其他权益工具投资公允价值变动）。</w:t>
      </w:r>
    </w:p>
    <w:p>
      <w:pPr>
        <w:spacing w:before="84"/>
        <w:ind w:left="152" w:right="1133" w:firstLine="0"/>
        <w:jc w:val="left"/>
        <w:rPr>
          <w:rFonts w:ascii="宋体" w:hAnsi="宋体" w:cs="宋体" w:eastAsia="宋体" w:hint="default"/>
          <w:sz w:val="18"/>
          <w:szCs w:val="18"/>
        </w:rPr>
      </w:pPr>
      <w:r>
        <w:rPr>
          <w:rFonts w:ascii="宋体" w:hAnsi="宋体" w:cs="宋体" w:eastAsia="宋体" w:hint="default"/>
          <w:sz w:val="18"/>
          <w:szCs w:val="18"/>
        </w:rPr>
        <w:t>母公司资产负债表</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56"/>
        <w:gridCol w:w="2138"/>
        <w:gridCol w:w="1561"/>
        <w:gridCol w:w="1202"/>
      </w:tblGrid>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6"/>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505,016,454.52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505,016,454.52</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46,497,048.57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46,497,048.57</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212,042,479.14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212,042,479.14</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5,378,078.05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5,378,078.05</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84,334,267.62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84,334,267.62</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656"/>
        <w:gridCol w:w="2138"/>
        <w:gridCol w:w="1561"/>
        <w:gridCol w:w="1202"/>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42,383,164.72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42,383,164.72</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531,543.03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531,543.03</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896,183,035.65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896,183,035.65</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3,378,702,655.58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3,378,702,655.58</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138,027,045.15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138,027,045.15</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1,912,630.20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1,912,630.20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5,354,195.42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5,354,195.42</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37,667,654.12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37,667,654.12</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91,143.03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91,143.03</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27,251,346.17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27,251,346.17</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3,591,006,669.67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3,591,006,669.67</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4,487,189,705.32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4,487,189,705.32</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250,000,000.00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250,000,000.00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7"/>
          <w:pgSz w:w="11910" w:h="16840"/>
          <w:pgMar w:footer="980" w:header="745" w:top="1060" w:bottom="1160" w:left="980" w:right="0"/>
          <w:pgNumType w:start="1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656"/>
        <w:gridCol w:w="2138"/>
        <w:gridCol w:w="1561"/>
        <w:gridCol w:w="1202"/>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7,796,200.00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7,796,200.00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417,956,474.16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417,956,474.16</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10,909,495.16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10,909,495.16</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7,049,727.67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7,049,727.67</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7,425,218.87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7,425,218.87</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49,027,139.37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49,027,139.37</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750,164,255.23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750,164,255.23</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25,709,171.66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25,709,171.66</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25,709,171.66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25,709,171.66</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775,873,426.89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775,873,426.89</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838,336,028.00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838,336,028.00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138"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2,662,430,356.78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2,662,430,356.78</w:t>
            </w:r>
          </w:p>
        </w:tc>
        <w:tc>
          <w:tcPr>
            <w:tcW w:w="12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677"/>
        <w:gridCol w:w="2127"/>
        <w:gridCol w:w="1561"/>
        <w:gridCol w:w="1202"/>
      </w:tblGrid>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127"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127"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127"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53,927,961.69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53,927,961.69</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156,621,931.96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157,421,931.96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3,711,316,278.43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3,711,316,278.43</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4,487,189,705.32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4,487,189,705.32</w:t>
            </w:r>
          </w:p>
        </w:tc>
        <w:tc>
          <w:tcPr>
            <w:tcW w:w="1202"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调整情况说明</w:t>
      </w:r>
    </w:p>
    <w:p>
      <w:pPr>
        <w:pStyle w:val="BodyText"/>
        <w:spacing w:line="264" w:lineRule="auto" w:before="94"/>
        <w:ind w:right="1126" w:firstLine="420"/>
        <w:jc w:val="both"/>
      </w:pPr>
      <w:r>
        <w:rPr>
          <w:spacing w:val="-8"/>
        </w:rPr>
        <w:t>注</w:t>
      </w:r>
      <w:r>
        <w:rPr>
          <w:rFonts w:ascii="Times New Roman" w:hAnsi="Times New Roman" w:cs="Times New Roman" w:eastAsia="Times New Roman" w:hint="default"/>
          <w:spacing w:val="-8"/>
        </w:rPr>
        <w:t>1</w:t>
      </w:r>
      <w:r>
        <w:rPr>
          <w:spacing w:val="-8"/>
        </w:rPr>
        <w:t>：于</w:t>
      </w:r>
      <w:r>
        <w:rPr>
          <w:spacing w:val="32"/>
        </w:rPr>
        <w:t> </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日，账面价值</w:t>
      </w:r>
      <w:r>
        <w:rPr>
          <w:rFonts w:ascii="Times New Roman" w:hAnsi="Times New Roman" w:cs="Times New Roman" w:eastAsia="Times New Roman" w:hint="default"/>
          <w:spacing w:val="-2"/>
        </w:rPr>
        <w:t>2,000,000.00</w:t>
      </w:r>
      <w:r>
        <w:rPr>
          <w:spacing w:val="-2"/>
        </w:rPr>
        <w:t>元的可供出售金融资产被重分类至其他权益工具投资项</w:t>
      </w:r>
      <w:r>
        <w:rPr>
          <w:w w:val="100"/>
        </w:rPr>
        <w:t> </w:t>
      </w:r>
      <w:r>
        <w:rPr>
          <w:spacing w:val="-2"/>
        </w:rPr>
        <w:t>目，该部分投资属于非交易性权益工具投资，并且本公司预计不会在可预见的未来出售。上述可供出售金</w:t>
      </w:r>
      <w:r>
        <w:rPr>
          <w:spacing w:val="-41"/>
        </w:rPr>
        <w:t> </w:t>
      </w:r>
      <w:r>
        <w:rPr>
          <w:spacing w:val="-41"/>
        </w:rPr>
      </w:r>
      <w:r>
        <w:rPr>
          <w:spacing w:val="-2"/>
        </w:rPr>
        <w:t>融资产为在活跃市场中没有报价且其公允价值不能可靠计量的权益工具投资，于以前期间根据原金融工具</w:t>
      </w:r>
      <w:r>
        <w:rPr>
          <w:spacing w:val="-43"/>
        </w:rPr>
        <w:t> </w:t>
      </w:r>
      <w:r>
        <w:rPr>
          <w:spacing w:val="-43"/>
        </w:rPr>
      </w:r>
      <w:r>
        <w:rPr>
          <w:spacing w:val="-2"/>
        </w:rPr>
        <w:t>准则按照成本计量。于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日对该部分股权投资采用公允价值计量，其他权益工具投资公允价值与</w:t>
      </w:r>
      <w:r>
        <w:rPr>
          <w:spacing w:val="-41"/>
        </w:rPr>
        <w:t> </w:t>
      </w:r>
      <w:r>
        <w:rPr>
          <w:spacing w:val="-41"/>
        </w:rPr>
      </w:r>
      <w:r>
        <w:rPr/>
        <w:t>账面价值一致。</w:t>
      </w:r>
    </w:p>
    <w:p>
      <w:pPr>
        <w:pStyle w:val="BodyText"/>
        <w:spacing w:line="256" w:lineRule="auto" w:before="16"/>
        <w:ind w:right="1126" w:firstLine="420"/>
        <w:jc w:val="both"/>
      </w:pPr>
      <w:r>
        <w:rPr>
          <w:spacing w:val="-2"/>
        </w:rPr>
        <w:t>注</w:t>
      </w:r>
      <w:r>
        <w:rPr>
          <w:rFonts w:ascii="Times New Roman" w:hAnsi="Times New Roman" w:cs="Times New Roman" w:eastAsia="Times New Roman" w:hint="default"/>
          <w:spacing w:val="-2"/>
        </w:rPr>
        <w:t>2</w:t>
      </w:r>
      <w:r>
        <w:rPr>
          <w:spacing w:val="-2"/>
        </w:rPr>
        <w:t>：以前期间确认的非交易性权益工具投资减值损失</w:t>
      </w:r>
      <w:r>
        <w:rPr>
          <w:rFonts w:ascii="Times New Roman" w:hAnsi="Times New Roman" w:cs="Times New Roman" w:eastAsia="Times New Roman" w:hint="default"/>
          <w:spacing w:val="-2"/>
        </w:rPr>
        <w:t>800,000.00</w:t>
      </w:r>
      <w:r>
        <w:rPr>
          <w:spacing w:val="-2"/>
        </w:rPr>
        <w:t>元于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日从留存收益转入其</w:t>
      </w:r>
      <w:r>
        <w:rPr>
          <w:w w:val="100"/>
        </w:rPr>
        <w:t> </w:t>
      </w:r>
      <w:r>
        <w:rPr/>
        <w:t>他综合收益（其他权益工具投资公允价值变动）。</w:t>
      </w:r>
    </w:p>
    <w:p>
      <w:pPr>
        <w:spacing w:line="240" w:lineRule="auto" w:before="8"/>
        <w:rPr>
          <w:rFonts w:ascii="宋体" w:hAnsi="宋体" w:cs="宋体" w:eastAsia="宋体" w:hint="default"/>
          <w:sz w:val="24"/>
          <w:szCs w:val="24"/>
        </w:rPr>
      </w:pPr>
    </w:p>
    <w:p>
      <w:pPr>
        <w:pStyle w:val="Heading4"/>
        <w:spacing w:line="240" w:lineRule="auto"/>
        <w:ind w:right="1133"/>
        <w:jc w:val="left"/>
        <w:rPr>
          <w:b w:val="0"/>
          <w:bCs w:val="0"/>
        </w:rPr>
      </w:pPr>
      <w:bookmarkStart w:name="（4）2019年起执行新金融工具准则或新租赁准则追溯调整前期比较数据说明" w:id="212"/>
      <w:bookmarkEnd w:id="212"/>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709"/>
        <w:gridCol w:w="1421"/>
        <w:gridCol w:w="2105"/>
        <w:gridCol w:w="2006"/>
        <w:gridCol w:w="232"/>
        <w:gridCol w:w="902"/>
        <w:gridCol w:w="1284"/>
      </w:tblGrid>
      <w:tr>
        <w:trPr>
          <w:trHeight w:val="343" w:hRule="exact"/>
        </w:trPr>
        <w:tc>
          <w:tcPr>
            <w:tcW w:w="1709" w:type="dxa"/>
            <w:vMerge w:val="restart"/>
            <w:tcBorders>
              <w:top w:val="single" w:sz="4" w:space="0" w:color="000000"/>
              <w:left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1" w:type="dxa"/>
            <w:vMerge w:val="restart"/>
            <w:tcBorders>
              <w:top w:val="single" w:sz="4" w:space="0" w:color="000000"/>
              <w:left w:val="single" w:sz="4" w:space="0" w:color="000000"/>
              <w:right w:val="single" w:sz="4" w:space="0" w:color="000000"/>
            </w:tcBorders>
          </w:tcPr>
          <w:p>
            <w:pPr>
              <w:pStyle w:val="TableParagraph"/>
              <w:spacing w:line="240" w:lineRule="auto" w:before="20"/>
              <w:ind w:left="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524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累计影响金额</w:t>
            </w:r>
          </w:p>
        </w:tc>
        <w:tc>
          <w:tcPr>
            <w:tcW w:w="1284" w:type="dxa"/>
            <w:vMerge w:val="restart"/>
            <w:tcBorders>
              <w:top w:val="single" w:sz="4" w:space="0" w:color="000000"/>
              <w:left w:val="single" w:sz="4" w:space="0" w:color="000000"/>
              <w:right w:val="single" w:sz="4"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341" w:hRule="exact"/>
        </w:trPr>
        <w:tc>
          <w:tcPr>
            <w:tcW w:w="1709" w:type="dxa"/>
            <w:vMerge/>
            <w:tcBorders>
              <w:left w:val="single" w:sz="4" w:space="0" w:color="000000"/>
              <w:bottom w:val="single" w:sz="4" w:space="0" w:color="000000"/>
              <w:right w:val="single" w:sz="4" w:space="0" w:color="000000"/>
            </w:tcBorders>
          </w:tcPr>
          <w:p>
            <w:pPr/>
          </w:p>
        </w:tc>
        <w:tc>
          <w:tcPr>
            <w:tcW w:w="1421" w:type="dxa"/>
            <w:vMerge/>
            <w:tcBorders>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0" w:right="0"/>
              <w:jc w:val="left"/>
              <w:rPr>
                <w:rFonts w:ascii="宋体" w:hAnsi="宋体" w:cs="宋体" w:eastAsia="宋体" w:hint="default"/>
                <w:sz w:val="18"/>
                <w:szCs w:val="18"/>
              </w:rPr>
            </w:pPr>
            <w:r>
              <w:rPr>
                <w:rFonts w:ascii="宋体" w:hAnsi="宋体" w:cs="宋体" w:eastAsia="宋体" w:hint="default"/>
                <w:sz w:val="18"/>
                <w:szCs w:val="18"/>
              </w:rPr>
              <w:t>分类和计量影响（注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金融资产减值影响（注</w:t>
            </w:r>
            <w:r>
              <w:rPr>
                <w:rFonts w:ascii="Times New Roman" w:hAnsi="Times New Roman" w:cs="Times New Roman" w:eastAsia="Times New Roman" w:hint="default"/>
                <w:sz w:val="18"/>
                <w:szCs w:val="18"/>
              </w:rPr>
              <w:t>2</w:t>
            </w:r>
          </w:p>
        </w:tc>
        <w:tc>
          <w:tcPr>
            <w:tcW w:w="2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111" w:right="0"/>
              <w:jc w:val="left"/>
              <w:rPr>
                <w:rFonts w:ascii="宋体" w:hAnsi="宋体" w:cs="宋体" w:eastAsia="宋体" w:hint="default"/>
                <w:sz w:val="18"/>
                <w:szCs w:val="18"/>
              </w:rPr>
            </w:pPr>
            <w:r>
              <w:rPr>
                <w:rFonts w:ascii="宋体" w:hAnsi="宋体" w:cs="宋体" w:eastAsia="宋体" w:hint="default"/>
                <w:sz w:val="18"/>
                <w:szCs w:val="18"/>
              </w:rPr>
              <w:t>）</w:t>
            </w:r>
          </w:p>
        </w:tc>
        <w:tc>
          <w:tcPr>
            <w:tcW w:w="9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5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84" w:type="dxa"/>
            <w:vMerge/>
            <w:tcBorders>
              <w:left w:val="single" w:sz="4" w:space="0" w:color="000000"/>
              <w:bottom w:val="single" w:sz="4" w:space="0" w:color="000000"/>
              <w:right w:val="single" w:sz="4" w:space="0" w:color="000000"/>
            </w:tcBorders>
          </w:tcPr>
          <w:p>
            <w:pPr/>
          </w:p>
        </w:tc>
      </w:tr>
      <w:tr>
        <w:trPr>
          <w:trHeight w:val="34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2,000,000.00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-2,000,000.00</w:t>
            </w:r>
          </w:p>
        </w:tc>
        <w:tc>
          <w:tcPr>
            <w:tcW w:w="2006" w:type="dxa"/>
            <w:tcBorders>
              <w:top w:val="single" w:sz="4" w:space="0" w:color="000000"/>
              <w:left w:val="single" w:sz="4" w:space="0" w:color="000000"/>
              <w:bottom w:val="single" w:sz="4" w:space="0" w:color="000000"/>
              <w:right w:val="single" w:sz="4" w:space="0" w:color="000000"/>
            </w:tcBorders>
          </w:tcPr>
          <w:p>
            <w:pP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15" w:right="0"/>
              <w:jc w:val="left"/>
              <w:rPr>
                <w:rFonts w:ascii="Times New Roman" w:hAnsi="Times New Roman" w:cs="Times New Roman" w:eastAsia="Times New Roman" w:hint="default"/>
                <w:sz w:val="18"/>
                <w:szCs w:val="18"/>
              </w:rPr>
            </w:pPr>
            <w:r>
              <w:rPr>
                <w:rFonts w:ascii="Times New Roman"/>
                <w:sz w:val="18"/>
              </w:rPr>
              <w:t>-2,000,000.00</w:t>
            </w: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421"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2,000,000.00</w:t>
            </w:r>
          </w:p>
        </w:tc>
        <w:tc>
          <w:tcPr>
            <w:tcW w:w="2006" w:type="dxa"/>
            <w:tcBorders>
              <w:top w:val="single" w:sz="4" w:space="0" w:color="000000"/>
              <w:left w:val="single" w:sz="4" w:space="0" w:color="000000"/>
              <w:bottom w:val="single" w:sz="4" w:space="0" w:color="000000"/>
              <w:right w:val="single" w:sz="4" w:space="0" w:color="000000"/>
            </w:tcBorders>
          </w:tcPr>
          <w:p>
            <w:pP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75" w:right="0"/>
              <w:jc w:val="left"/>
              <w:rPr>
                <w:rFonts w:ascii="Times New Roman" w:hAnsi="Times New Roman" w:cs="Times New Roman" w:eastAsia="Times New Roman" w:hint="default"/>
                <w:sz w:val="18"/>
                <w:szCs w:val="18"/>
              </w:rPr>
            </w:pPr>
            <w:r>
              <w:rPr>
                <w:rFonts w:ascii="Times New Roman"/>
                <w:sz w:val="18"/>
              </w:rPr>
              <w:t>2,000,000.00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34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923,461,339.03</w:t>
            </w:r>
          </w:p>
        </w:tc>
        <w:tc>
          <w:tcPr>
            <w:tcW w:w="2105"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800,000.00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07" w:right="0"/>
              <w:jc w:val="left"/>
              <w:rPr>
                <w:rFonts w:ascii="Times New Roman" w:hAnsi="Times New Roman" w:cs="Times New Roman" w:eastAsia="Times New Roman" w:hint="default"/>
                <w:sz w:val="18"/>
                <w:szCs w:val="18"/>
              </w:rPr>
            </w:pPr>
            <w:r>
              <w:rPr>
                <w:rFonts w:ascii="Times New Roman"/>
                <w:sz w:val="18"/>
              </w:rPr>
              <w:t>800,000.00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924,261,339.03</w:t>
            </w:r>
          </w:p>
        </w:tc>
      </w:tr>
      <w:tr>
        <w:trPr>
          <w:trHeight w:val="34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421"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-800,000.00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9" w:right="0"/>
              <w:jc w:val="left"/>
              <w:rPr>
                <w:rFonts w:ascii="Times New Roman" w:hAnsi="Times New Roman" w:cs="Times New Roman" w:eastAsia="Times New Roman" w:hint="default"/>
                <w:sz w:val="18"/>
                <w:szCs w:val="18"/>
              </w:rPr>
            </w:pPr>
            <w:r>
              <w:rPr>
                <w:rFonts w:ascii="Times New Roman"/>
                <w:sz w:val="18"/>
              </w:rPr>
              <w:t>-800,000.00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-800,000.00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8、其他" w:id="213"/>
      <w:bookmarkEnd w:id="213"/>
      <w:r>
        <w:rPr>
          <w:b w:val="0"/>
          <w:bCs w:val="0"/>
        </w:rPr>
      </w:r>
      <w:r>
        <w:rPr>
          <w:rFonts w:ascii="Times New Roman" w:hAnsi="Times New Roman" w:cs="Times New Roman" w:eastAsia="Times New Roman" w:hint="default"/>
        </w:rPr>
        <w:t>28</w:t>
      </w:r>
      <w:r>
        <w:rPr/>
        <w:t>、其他</w:t>
      </w:r>
      <w:r>
        <w:rPr>
          <w:b w:val="0"/>
          <w:bCs w:val="0"/>
        </w:rPr>
      </w:r>
    </w:p>
    <w:p>
      <w:pPr>
        <w:spacing w:line="240" w:lineRule="auto" w:before="10"/>
        <w:rPr>
          <w:rFonts w:ascii="宋体" w:hAnsi="宋体" w:cs="宋体" w:eastAsia="宋体" w:hint="default"/>
          <w:b/>
          <w:bCs/>
          <w:sz w:val="24"/>
          <w:szCs w:val="24"/>
        </w:rPr>
      </w:pPr>
    </w:p>
    <w:p>
      <w:pPr>
        <w:pStyle w:val="BodyText"/>
        <w:spacing w:line="261" w:lineRule="auto" w:before="0"/>
        <w:ind w:right="0" w:firstLine="420"/>
        <w:jc w:val="left"/>
      </w:pPr>
      <w:r>
        <w:rPr>
          <w:spacing w:val="-6"/>
          <w:w w:val="100"/>
        </w:rPr>
        <w:t>财政部于</w:t>
      </w:r>
      <w:r>
        <w:rPr>
          <w:rFonts w:ascii="Times New Roman" w:hAnsi="Times New Roman" w:cs="Times New Roman" w:eastAsia="Times New Roman" w:hint="default"/>
          <w:spacing w:val="-6"/>
          <w:w w:val="100"/>
        </w:rPr>
        <w:t>2019</w:t>
      </w:r>
      <w:r>
        <w:rPr>
          <w:spacing w:val="-6"/>
          <w:w w:val="100"/>
        </w:rPr>
        <w:t>年</w:t>
      </w:r>
      <w:r>
        <w:rPr>
          <w:rFonts w:ascii="Times New Roman" w:hAnsi="Times New Roman" w:cs="Times New Roman" w:eastAsia="Times New Roman" w:hint="default"/>
          <w:spacing w:val="-6"/>
          <w:w w:val="100"/>
        </w:rPr>
        <w:t>4</w:t>
      </w:r>
      <w:r>
        <w:rPr>
          <w:spacing w:val="-6"/>
          <w:w w:val="100"/>
        </w:rPr>
        <w:t>月</w:t>
      </w:r>
      <w:r>
        <w:rPr>
          <w:rFonts w:ascii="Times New Roman" w:hAnsi="Times New Roman" w:cs="Times New Roman" w:eastAsia="Times New Roman" w:hint="default"/>
          <w:spacing w:val="-6"/>
          <w:w w:val="100"/>
        </w:rPr>
        <w:t>30</w:t>
      </w:r>
      <w:r>
        <w:rPr>
          <w:spacing w:val="-6"/>
          <w:w w:val="100"/>
        </w:rPr>
        <w:t>日发布了《关于修订印发</w:t>
      </w:r>
      <w:r>
        <w:rPr>
          <w:rFonts w:ascii="Times New Roman" w:hAnsi="Times New Roman" w:cs="Times New Roman" w:eastAsia="Times New Roman" w:hint="default"/>
          <w:spacing w:val="-6"/>
          <w:w w:val="100"/>
        </w:rPr>
        <w:t>2019</w:t>
      </w:r>
      <w:r>
        <w:rPr>
          <w:spacing w:val="-6"/>
          <w:w w:val="100"/>
        </w:rPr>
        <w:t>年度一般企业财务报表格式的通知》（财会〔</w:t>
      </w:r>
      <w:r>
        <w:rPr>
          <w:rFonts w:ascii="Times New Roman" w:hAnsi="Times New Roman" w:cs="Times New Roman" w:eastAsia="Times New Roman" w:hint="default"/>
          <w:spacing w:val="-6"/>
          <w:w w:val="100"/>
        </w:rPr>
        <w:t>2019</w:t>
      </w:r>
      <w:r>
        <w:rPr>
          <w:spacing w:val="-6"/>
          <w:w w:val="100"/>
        </w:rPr>
        <w:t>〕</w:t>
      </w:r>
      <w:r>
        <w:rPr>
          <w:w w:val="100"/>
        </w:rPr>
        <w:t> </w:t>
      </w:r>
      <w:r>
        <w:rPr>
          <w:rFonts w:ascii="Times New Roman" w:hAnsi="Times New Roman" w:cs="Times New Roman" w:eastAsia="Times New Roman" w:hint="default"/>
        </w:rPr>
        <w:t>6</w:t>
      </w:r>
      <w:r>
        <w:rPr/>
        <w:t>号），对一般企业财务报表格式进行了修订，拆分部分资产负债表项目和调整利润表项目等。本公司已</w:t>
      </w:r>
      <w:r>
        <w:rPr>
          <w:spacing w:val="-25"/>
        </w:rPr>
        <w:t> </w:t>
      </w:r>
      <w:r>
        <w:rPr>
          <w:spacing w:val="-25"/>
        </w:rPr>
      </w:r>
      <w:r>
        <w:rPr>
          <w:spacing w:val="-2"/>
        </w:rPr>
        <w:t>经根据新的企业财务报表格式的要求编制财务报表，财务报表的列报项目因此发生变更的，已经按照《企</w:t>
      </w:r>
      <w:r>
        <w:rPr>
          <w:spacing w:val="-44"/>
        </w:rPr>
        <w:t> </w:t>
      </w:r>
      <w:r>
        <w:rPr>
          <w:spacing w:val="-44"/>
        </w:rPr>
      </w:r>
      <w:r>
        <w:rPr/>
        <w:t>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财务报表列报》等的相关规定，对可比期间的比较数据进行调整。</w:t>
      </w:r>
    </w:p>
    <w:p>
      <w:pPr>
        <w:pStyle w:val="BodyText"/>
        <w:spacing w:line="240" w:lineRule="auto" w:before="17"/>
        <w:ind w:left="573" w:right="1133"/>
        <w:jc w:val="left"/>
      </w:pPr>
      <w:r>
        <w:rPr/>
        <w:t>对可比期间的财务报表列报项目及金额的影响如下：</w:t>
      </w:r>
    </w:p>
    <w:p>
      <w:pPr>
        <w:spacing w:line="240" w:lineRule="auto" w:before="12"/>
        <w:rPr>
          <w:rFonts w:ascii="宋体" w:hAnsi="宋体" w:cs="宋体" w:eastAsia="宋体" w:hint="default"/>
          <w:sz w:val="15"/>
          <w:szCs w:val="15"/>
        </w:rPr>
      </w:pPr>
    </w:p>
    <w:tbl>
      <w:tblPr>
        <w:tblW w:w="0" w:type="auto"/>
        <w:jc w:val="left"/>
        <w:tblInd w:w="119" w:type="dxa"/>
        <w:tblLayout w:type="fixed"/>
        <w:tblCellMar>
          <w:top w:w="0" w:type="dxa"/>
          <w:left w:w="0" w:type="dxa"/>
          <w:bottom w:w="0" w:type="dxa"/>
          <w:right w:w="0" w:type="dxa"/>
        </w:tblCellMar>
        <w:tblLook w:val="01E0"/>
      </w:tblPr>
      <w:tblGrid>
        <w:gridCol w:w="2175"/>
        <w:gridCol w:w="1839"/>
        <w:gridCol w:w="2007"/>
        <w:gridCol w:w="2005"/>
        <w:gridCol w:w="1673"/>
      </w:tblGrid>
      <w:tr>
        <w:trPr>
          <w:trHeight w:val="350"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列报变更前金额</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40" w:right="0"/>
              <w:jc w:val="left"/>
              <w:rPr>
                <w:rFonts w:ascii="宋体" w:hAnsi="宋体" w:cs="宋体" w:eastAsia="宋体" w:hint="default"/>
                <w:sz w:val="18"/>
                <w:szCs w:val="18"/>
              </w:rPr>
            </w:pPr>
            <w:r>
              <w:rPr>
                <w:rFonts w:ascii="宋体" w:hAnsi="宋体" w:cs="宋体" w:eastAsia="宋体" w:hint="default"/>
                <w:sz w:val="18"/>
                <w:szCs w:val="18"/>
              </w:rPr>
              <w:t>影响金额</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67" w:right="0"/>
              <w:jc w:val="left"/>
              <w:rPr>
                <w:rFonts w:ascii="宋体" w:hAnsi="宋体" w:cs="宋体" w:eastAsia="宋体" w:hint="default"/>
                <w:sz w:val="18"/>
                <w:szCs w:val="18"/>
              </w:rPr>
            </w:pPr>
            <w:r>
              <w:rPr>
                <w:rFonts w:ascii="宋体" w:hAnsi="宋体" w:cs="宋体" w:eastAsia="宋体" w:hint="default"/>
                <w:sz w:val="18"/>
                <w:szCs w:val="18"/>
              </w:rPr>
              <w:t>列报变更后金额</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39" w:type="dxa"/>
            <w:tcBorders>
              <w:top w:val="single" w:sz="4" w:space="0" w:color="000000"/>
              <w:left w:val="single" w:sz="4" w:space="0" w:color="000000"/>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229,064,408.57</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229,064,408.57</w:t>
            </w: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39" w:type="dxa"/>
            <w:tcBorders>
              <w:top w:val="single" w:sz="4" w:space="0" w:color="000000"/>
              <w:left w:val="single" w:sz="4" w:space="0" w:color="000000"/>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1,722,557,405.12</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1,722,557,405.12</w:t>
            </w: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7" w:right="0"/>
              <w:jc w:val="left"/>
              <w:rPr>
                <w:rFonts w:ascii="Times New Roman" w:hAnsi="Times New Roman" w:cs="Times New Roman" w:eastAsia="Times New Roman" w:hint="default"/>
                <w:sz w:val="18"/>
                <w:szCs w:val="18"/>
              </w:rPr>
            </w:pPr>
            <w:r>
              <w:rPr>
                <w:rFonts w:ascii="Times New Roman"/>
                <w:sz w:val="18"/>
              </w:rPr>
              <w:t>1,951,621,813.69</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-1,951,621,813.69</w:t>
            </w:r>
          </w:p>
        </w:tc>
        <w:tc>
          <w:tcPr>
            <w:tcW w:w="2005"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39" w:type="dxa"/>
            <w:tcBorders>
              <w:top w:val="single" w:sz="4" w:space="0" w:color="000000"/>
              <w:left w:val="single" w:sz="4" w:space="0" w:color="000000"/>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133,333,862.32</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133,333,862.32</w:t>
            </w: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39" w:type="dxa"/>
            <w:tcBorders>
              <w:top w:val="single" w:sz="4" w:space="0" w:color="000000"/>
              <w:left w:val="single" w:sz="4" w:space="0" w:color="000000"/>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1,042,370,788.71</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1,042,370,788.71</w:t>
            </w:r>
          </w:p>
        </w:tc>
        <w:tc>
          <w:tcPr>
            <w:tcW w:w="167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2175"/>
        <w:gridCol w:w="1839"/>
        <w:gridCol w:w="2007"/>
        <w:gridCol w:w="2005"/>
        <w:gridCol w:w="1673"/>
      </w:tblGrid>
      <w:tr>
        <w:trPr>
          <w:trHeight w:val="351"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列报变更前金额</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40" w:right="0"/>
              <w:jc w:val="left"/>
              <w:rPr>
                <w:rFonts w:ascii="宋体" w:hAnsi="宋体" w:cs="宋体" w:eastAsia="宋体" w:hint="default"/>
                <w:sz w:val="18"/>
                <w:szCs w:val="18"/>
              </w:rPr>
            </w:pPr>
            <w:r>
              <w:rPr>
                <w:rFonts w:ascii="宋体" w:hAnsi="宋体" w:cs="宋体" w:eastAsia="宋体" w:hint="default"/>
                <w:sz w:val="18"/>
                <w:szCs w:val="18"/>
              </w:rPr>
              <w:t>影响金额</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67" w:right="0"/>
              <w:jc w:val="left"/>
              <w:rPr>
                <w:rFonts w:ascii="宋体" w:hAnsi="宋体" w:cs="宋体" w:eastAsia="宋体" w:hint="default"/>
                <w:sz w:val="18"/>
                <w:szCs w:val="18"/>
              </w:rPr>
            </w:pPr>
            <w:r>
              <w:rPr>
                <w:rFonts w:ascii="宋体" w:hAnsi="宋体" w:cs="宋体" w:eastAsia="宋体" w:hint="default"/>
                <w:sz w:val="18"/>
                <w:szCs w:val="18"/>
              </w:rPr>
              <w:t>列报变更后金额</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7" w:right="0"/>
              <w:jc w:val="left"/>
              <w:rPr>
                <w:rFonts w:ascii="Times New Roman" w:hAnsi="Times New Roman" w:cs="Times New Roman" w:eastAsia="Times New Roman" w:hint="default"/>
                <w:sz w:val="18"/>
                <w:szCs w:val="18"/>
              </w:rPr>
            </w:pPr>
            <w:r>
              <w:rPr>
                <w:rFonts w:ascii="Times New Roman"/>
                <w:sz w:val="18"/>
              </w:rPr>
              <w:t>1,175,704,651.03</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2" w:right="0"/>
              <w:jc w:val="left"/>
              <w:rPr>
                <w:rFonts w:ascii="Times New Roman" w:hAnsi="Times New Roman" w:cs="Times New Roman" w:eastAsia="Times New Roman" w:hint="default"/>
                <w:sz w:val="18"/>
                <w:szCs w:val="18"/>
              </w:rPr>
            </w:pPr>
            <w:r>
              <w:rPr>
                <w:rFonts w:ascii="Times New Roman"/>
                <w:sz w:val="18"/>
              </w:rPr>
              <w:t>-1,175,704,651.03</w:t>
            </w:r>
          </w:p>
        </w:tc>
        <w:tc>
          <w:tcPr>
            <w:tcW w:w="2005"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六、税项" w:id="214"/>
      <w:bookmarkEnd w:id="214"/>
      <w:r>
        <w:rPr>
          <w:b w:val="0"/>
          <w:bCs w:val="0"/>
        </w:rPr>
      </w:r>
      <w:r>
        <w:rPr/>
        <w:t>六、税项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主要税种及税率" w:id="215"/>
      <w:bookmarkEnd w:id="215"/>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50"/>
        <w:gridCol w:w="4831"/>
        <w:gridCol w:w="3190"/>
      </w:tblGrid>
      <w:tr>
        <w:trPr>
          <w:trHeight w:val="401" w:hRule="exact"/>
        </w:trPr>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4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1550" w:type="dxa"/>
            <w:tcBorders>
              <w:top w:val="single" w:sz="4" w:space="0" w:color="000000"/>
              <w:left w:val="single" w:sz="4" w:space="0" w:color="000000"/>
              <w:bottom w:val="nil" w:sz="6" w:space="0" w:color="auto"/>
              <w:right w:val="single" w:sz="4" w:space="0" w:color="000000"/>
            </w:tcBorders>
            <w:shd w:val="clear" w:color="auto" w:fill="D2D2D2"/>
          </w:tcPr>
          <w:p>
            <w:pPr/>
          </w:p>
        </w:tc>
        <w:tc>
          <w:tcPr>
            <w:tcW w:w="4831"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45"/>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应纳税增值额</w:t>
            </w:r>
            <w:r>
              <w:rPr>
                <w:rFonts w:ascii="Times New Roman" w:hAnsi="Times New Roman" w:cs="Times New Roman" w:eastAsia="Times New Roman" w:hint="default"/>
                <w:sz w:val="18"/>
                <w:szCs w:val="18"/>
              </w:rPr>
              <w:t>(</w:t>
            </w:r>
            <w:r>
              <w:rPr>
                <w:rFonts w:ascii="宋体" w:hAnsi="宋体" w:cs="宋体" w:eastAsia="宋体" w:hint="default"/>
                <w:sz w:val="18"/>
                <w:szCs w:val="18"/>
              </w:rPr>
              <w:t>应纳税额按应纳税销售额乘以适用税率扣除当 期允许抵扣的进项税后的余额计算</w:t>
            </w:r>
            <w:r>
              <w:rPr>
                <w:rFonts w:ascii="Times New Roman" w:hAnsi="Times New Roman" w:cs="Times New Roman" w:eastAsia="Times New Roman" w:hint="default"/>
                <w:sz w:val="18"/>
                <w:szCs w:val="18"/>
              </w:rPr>
              <w:t>)</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13%</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16%</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（简易</w:t>
            </w:r>
            <w:r>
              <w:rPr>
                <w:rFonts w:ascii="宋体" w:hAnsi="宋体" w:cs="宋体" w:eastAsia="宋体" w:hint="default"/>
                <w:spacing w:val="-68"/>
                <w:sz w:val="18"/>
                <w:szCs w:val="18"/>
              </w:rPr>
              <w:t> </w:t>
            </w:r>
            <w:r>
              <w:rPr>
                <w:rFonts w:ascii="宋体" w:hAnsi="宋体" w:cs="宋体" w:eastAsia="宋体" w:hint="default"/>
                <w:sz w:val="18"/>
                <w:szCs w:val="18"/>
              </w:rPr>
              <w:t>征收）</w:t>
            </w:r>
          </w:p>
        </w:tc>
      </w:tr>
      <w:tr>
        <w:trPr>
          <w:trHeight w:val="394" w:hRule="exact"/>
        </w:trPr>
        <w:tc>
          <w:tcPr>
            <w:tcW w:w="15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831"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1550" w:type="dxa"/>
            <w:tcBorders>
              <w:top w:val="nil" w:sz="6" w:space="0" w:color="auto"/>
              <w:left w:val="single" w:sz="4" w:space="0" w:color="000000"/>
              <w:bottom w:val="single" w:sz="4" w:space="0" w:color="000000"/>
              <w:right w:val="single" w:sz="4" w:space="0" w:color="000000"/>
            </w:tcBorders>
            <w:shd w:val="clear" w:color="auto" w:fill="D2D2D2"/>
          </w:tcPr>
          <w:p>
            <w:pPr/>
          </w:p>
        </w:tc>
        <w:tc>
          <w:tcPr>
            <w:tcW w:w="4831"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83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实缴流转税额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4" w:hRule="exact"/>
        </w:trPr>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83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详见下表</w:t>
            </w:r>
          </w:p>
        </w:tc>
      </w:tr>
      <w:tr>
        <w:trPr>
          <w:trHeight w:val="401" w:hRule="exact"/>
        </w:trPr>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83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实缴流转税额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4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实缴流转税额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spacing w:before="49"/>
        <w:ind w:left="152" w:right="113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注：根据财政部、税务总局、海关总署《关于深化增值税改革有关政策的公告</w:t>
      </w:r>
      <w:r>
        <w:rPr>
          <w:rFonts w:ascii="宋体" w:hAnsi="宋体" w:cs="宋体" w:eastAsia="宋体" w:hint="default"/>
          <w:spacing w:val="-92"/>
          <w:sz w:val="18"/>
          <w:szCs w:val="18"/>
        </w:rPr>
        <w:t>》</w:t>
      </w:r>
      <w:r>
        <w:rPr>
          <w:rFonts w:ascii="宋体" w:hAnsi="宋体" w:cs="宋体" w:eastAsia="宋体" w:hint="default"/>
          <w:sz w:val="18"/>
          <w:szCs w:val="18"/>
        </w:rPr>
        <w:t>（财政部</w:t>
      </w:r>
      <w:r>
        <w:rPr>
          <w:rFonts w:ascii="宋体" w:hAnsi="宋体" w:cs="宋体" w:eastAsia="宋体" w:hint="default"/>
          <w:spacing w:val="2"/>
          <w:sz w:val="18"/>
          <w:szCs w:val="18"/>
        </w:rPr>
        <w:t>、</w:t>
      </w:r>
      <w:r>
        <w:rPr>
          <w:rFonts w:ascii="宋体" w:hAnsi="宋体" w:cs="宋体" w:eastAsia="宋体" w:hint="default"/>
          <w:sz w:val="18"/>
          <w:szCs w:val="18"/>
        </w:rPr>
        <w:t>税务总局、海关总署公告</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p>
    <w:p>
      <w:pPr>
        <w:spacing w:line="300" w:lineRule="auto" w:before="60"/>
        <w:ind w:left="152" w:right="1191" w:firstLine="0"/>
        <w:jc w:val="left"/>
        <w:rPr>
          <w:rFonts w:ascii="宋体" w:hAnsi="宋体" w:cs="宋体" w:eastAsia="宋体" w:hint="default"/>
          <w:sz w:val="18"/>
          <w:szCs w:val="18"/>
        </w:rPr>
      </w:pPr>
      <w:r>
        <w:rPr>
          <w:rFonts w:ascii="宋体" w:hAnsi="宋体" w:cs="宋体" w:eastAsia="宋体" w:hint="default"/>
          <w:sz w:val="18"/>
          <w:szCs w:val="18"/>
        </w:rPr>
        <w:t>年第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39 </w:t>
      </w:r>
      <w:r>
        <w:rPr>
          <w:rFonts w:ascii="宋体" w:hAnsi="宋体" w:cs="宋体" w:eastAsia="宋体" w:hint="default"/>
          <w:sz w:val="18"/>
          <w:szCs w:val="18"/>
        </w:rPr>
        <w:t>号）的规定，本公司自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日起发生增值税应税销售行为或者进口货物，原适用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宋体" w:hAnsi="宋体" w:cs="宋体" w:eastAsia="宋体" w:hint="default"/>
          <w:sz w:val="18"/>
          <w:szCs w:val="18"/>
        </w:rPr>
        <w:t>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税率的，税 率分别调整为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p>
      <w:pPr>
        <w:spacing w:before="53"/>
        <w:ind w:left="152" w:right="1133"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成都卫士通信息安全技术有限公司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四川卫士通信息安全平台技术有限公司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成都三零瑞通移动通信有限公司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成都三零嘉微电子有限公司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中电科（北京）网络信息安全有限公司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中电科（天津）网络信息安全有限公司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上海卫士通网络安全有限公司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成都三零豪赛网络安全技术有限公司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税收优惠" w:id="216"/>
      <w:bookmarkEnd w:id="216"/>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before="0"/>
        <w:ind w:right="1131" w:firstLine="420"/>
        <w:jc w:val="both"/>
      </w:pPr>
      <w:r>
        <w:rPr>
          <w:rFonts w:ascii="Times New Roman" w:hAnsi="Times New Roman" w:cs="Times New Roman" w:eastAsia="Times New Roman" w:hint="default"/>
        </w:rPr>
        <w:t>1.</w:t>
      </w:r>
      <w:r>
        <w:rPr/>
        <w:t>本公司经成都市高新技术企业认定管理机构认定为高新技术企业，取得</w:t>
      </w:r>
      <w:r>
        <w:rPr>
          <w:spacing w:val="62"/>
        </w:rPr>
        <w:t> </w:t>
      </w:r>
      <w:r>
        <w:rPr>
          <w:rFonts w:ascii="Times New Roman" w:hAnsi="Times New Roman" w:cs="Times New Roman" w:eastAsia="Times New Roman" w:hint="default"/>
        </w:rPr>
        <w:t>“GR201751001494”</w:t>
      </w:r>
      <w:r>
        <w:rPr/>
        <w:t>号高新</w:t>
      </w:r>
      <w:r>
        <w:rPr>
          <w:w w:val="100"/>
        </w:rPr>
        <w:t> </w:t>
      </w:r>
      <w:r>
        <w:rPr/>
        <w:t>技术企业证书，有效期</w:t>
      </w:r>
      <w:r>
        <w:rPr>
          <w:rFonts w:ascii="Times New Roman" w:hAnsi="Times New Roman" w:cs="Times New Roman" w:eastAsia="Times New Roman" w:hint="default"/>
        </w:rPr>
        <w:t>3</w:t>
      </w:r>
      <w:r>
        <w:rPr/>
        <w:t>年，</w:t>
      </w:r>
      <w:r>
        <w:rPr>
          <w:rFonts w:ascii="Times New Roman" w:hAnsi="Times New Roman" w:cs="Times New Roman" w:eastAsia="Times New Roman" w:hint="default"/>
        </w:rPr>
        <w:t>2017</w:t>
      </w:r>
      <w:r>
        <w:rPr/>
        <w:t>至</w:t>
      </w:r>
      <w:r>
        <w:rPr>
          <w:rFonts w:ascii="Times New Roman" w:hAnsi="Times New Roman" w:cs="Times New Roman" w:eastAsia="Times New Roman" w:hint="default"/>
        </w:rPr>
        <w:t>2019</w:t>
      </w:r>
      <w:r>
        <w:rPr/>
        <w:t>年度享受国家高新技术企业</w:t>
      </w:r>
      <w:r>
        <w:rPr>
          <w:rFonts w:ascii="Times New Roman" w:hAnsi="Times New Roman" w:cs="Times New Roman" w:eastAsia="Times New Roman" w:hint="default"/>
        </w:rPr>
        <w:t>15%</w:t>
      </w:r>
      <w:r>
        <w:rPr/>
        <w:t>的所得税税率。</w:t>
      </w:r>
    </w:p>
    <w:p>
      <w:pPr>
        <w:pStyle w:val="BodyText"/>
        <w:spacing w:line="256" w:lineRule="auto" w:before="5"/>
        <w:ind w:right="1128" w:firstLine="420"/>
        <w:jc w:val="both"/>
      </w:pPr>
      <w:r>
        <w:rPr>
          <w:rFonts w:ascii="Times New Roman" w:hAnsi="Times New Roman" w:cs="Times New Roman" w:eastAsia="Times New Roman" w:hint="default"/>
        </w:rPr>
        <w:t>2.</w:t>
      </w:r>
      <w:r>
        <w:rPr/>
        <w:t>本公司下属子公司成都卫士通信息安全技术有限公司依据</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201158</w:t>
      </w:r>
      <w:r>
        <w:rPr/>
        <w:t>号</w:t>
      </w:r>
      <w:r>
        <w:rPr>
          <w:rFonts w:ascii="Times New Roman" w:hAnsi="Times New Roman" w:cs="Times New Roman" w:eastAsia="Times New Roman" w:hint="default"/>
        </w:rPr>
        <w:t>”</w:t>
      </w:r>
      <w:r>
        <w:rPr/>
        <w:t>《关于深入实施西部大开</w:t>
      </w:r>
      <w:r>
        <w:rPr>
          <w:w w:val="100"/>
        </w:rPr>
        <w:t> </w:t>
      </w:r>
      <w:r>
        <w:rPr>
          <w:spacing w:val="-2"/>
        </w:rPr>
        <w:t>发战略有关税收政策问题的通知》规定，自</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日，享受设在西部地区的鼓励类</w:t>
      </w:r>
      <w:r>
        <w:rPr>
          <w:spacing w:val="-33"/>
        </w:rPr>
        <w:t> </w:t>
      </w:r>
      <w:r>
        <w:rPr>
          <w:spacing w:val="-33"/>
        </w:rPr>
      </w:r>
      <w:r>
        <w:rPr/>
        <w:t>产业企业减按</w:t>
      </w:r>
      <w:r>
        <w:rPr>
          <w:rFonts w:ascii="Times New Roman" w:hAnsi="Times New Roman" w:cs="Times New Roman" w:eastAsia="Times New Roman" w:hint="default"/>
        </w:rPr>
        <w:t>15%</w:t>
      </w:r>
      <w:r>
        <w:rPr/>
        <w:t>的税率征收企业所得税的税收优惠。</w:t>
      </w:r>
    </w:p>
    <w:p>
      <w:pPr>
        <w:pStyle w:val="BodyText"/>
        <w:spacing w:line="256" w:lineRule="auto" w:before="5"/>
        <w:ind w:right="1127" w:firstLine="420"/>
        <w:jc w:val="both"/>
      </w:pPr>
      <w:r>
        <w:rPr>
          <w:rFonts w:ascii="Times New Roman" w:hAnsi="Times New Roman" w:cs="Times New Roman" w:eastAsia="Times New Roman" w:hint="default"/>
          <w:spacing w:val="-1"/>
        </w:rPr>
        <w:t>3.</w:t>
      </w:r>
      <w:r>
        <w:rPr>
          <w:spacing w:val="-1"/>
        </w:rPr>
        <w:t>本公司下属子公司四川卫士通信息安全平台技术有限公司经成都市高新技术企业认定管理机构认定</w:t>
      </w:r>
      <w:r>
        <w:rPr>
          <w:w w:val="100"/>
        </w:rPr>
        <w:t> </w:t>
      </w:r>
      <w:r>
        <w:rPr>
          <w:spacing w:val="-1"/>
        </w:rPr>
        <w:t>为高新技术企业，取得</w:t>
      </w:r>
      <w:r>
        <w:rPr>
          <w:rFonts w:ascii="Times New Roman" w:hAnsi="Times New Roman" w:cs="Times New Roman" w:eastAsia="Times New Roman" w:hint="default"/>
          <w:spacing w:val="-1"/>
        </w:rPr>
        <w:t>“GR201751000821”</w:t>
      </w:r>
      <w:r>
        <w:rPr>
          <w:spacing w:val="-1"/>
        </w:rPr>
        <w:t>号高新技术企业证书，有效期</w:t>
      </w:r>
      <w:r>
        <w:rPr>
          <w:rFonts w:ascii="Times New Roman" w:hAnsi="Times New Roman" w:cs="Times New Roman" w:eastAsia="Times New Roman" w:hint="default"/>
          <w:spacing w:val="-1"/>
        </w:rPr>
        <w:t>3</w:t>
      </w:r>
      <w:r>
        <w:rPr>
          <w:spacing w:val="-1"/>
        </w:rPr>
        <w:t>年，</w:t>
      </w:r>
      <w:r>
        <w:rPr>
          <w:rFonts w:ascii="Times New Roman" w:hAnsi="Times New Roman" w:cs="Times New Roman" w:eastAsia="Times New Roman" w:hint="default"/>
          <w:spacing w:val="-1"/>
        </w:rPr>
        <w:t>2017</w:t>
      </w:r>
      <w:r>
        <w:rPr>
          <w:spacing w:val="-1"/>
        </w:rPr>
        <w:t>至</w:t>
      </w:r>
      <w:r>
        <w:rPr>
          <w:rFonts w:ascii="Times New Roman" w:hAnsi="Times New Roman" w:cs="Times New Roman" w:eastAsia="Times New Roman" w:hint="default"/>
          <w:spacing w:val="-1"/>
        </w:rPr>
        <w:t>2019</w:t>
      </w:r>
      <w:r>
        <w:rPr>
          <w:spacing w:val="-1"/>
        </w:rPr>
        <w:t>年度享受国家高</w:t>
      </w:r>
    </w:p>
    <w:p>
      <w:pPr>
        <w:spacing w:after="0" w:line="256"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right="1133"/>
        <w:jc w:val="left"/>
      </w:pPr>
      <w:r>
        <w:rPr/>
        <w:t>新技术企业</w:t>
      </w:r>
      <w:r>
        <w:rPr>
          <w:rFonts w:ascii="Times New Roman" w:hAnsi="Times New Roman" w:cs="Times New Roman" w:eastAsia="Times New Roman" w:hint="default"/>
        </w:rPr>
        <w:t>15%</w:t>
      </w:r>
      <w:r>
        <w:rPr/>
        <w:t>的所得税税率。</w:t>
      </w:r>
    </w:p>
    <w:p>
      <w:pPr>
        <w:pStyle w:val="BodyText"/>
        <w:spacing w:line="256" w:lineRule="auto" w:before="21"/>
        <w:ind w:right="1127" w:firstLine="420"/>
        <w:jc w:val="both"/>
      </w:pPr>
      <w:r>
        <w:rPr>
          <w:rFonts w:ascii="Times New Roman" w:hAnsi="Times New Roman" w:cs="Times New Roman" w:eastAsia="Times New Roman" w:hint="default"/>
          <w:spacing w:val="-1"/>
        </w:rPr>
        <w:t>4.</w:t>
      </w:r>
      <w:r>
        <w:rPr>
          <w:spacing w:val="-1"/>
        </w:rPr>
        <w:t>本公司下属子公司成都三零盛安信息系统有限公司经成都市高新技术企业认定管理机构认定为高新</w:t>
      </w:r>
      <w:r>
        <w:rPr>
          <w:w w:val="100"/>
        </w:rPr>
        <w:t> </w:t>
      </w:r>
      <w:r>
        <w:rPr>
          <w:spacing w:val="-1"/>
        </w:rPr>
        <w:t>技术企业，取得</w:t>
      </w:r>
      <w:r>
        <w:rPr>
          <w:rFonts w:ascii="Times New Roman" w:hAnsi="Times New Roman" w:cs="Times New Roman" w:eastAsia="Times New Roman" w:hint="default"/>
          <w:spacing w:val="-1"/>
        </w:rPr>
        <w:t>“GR201751000369”</w:t>
      </w:r>
      <w:r>
        <w:rPr>
          <w:spacing w:val="-1"/>
        </w:rPr>
        <w:t>号高新技术企业证书，有效期</w:t>
      </w:r>
      <w:r>
        <w:rPr>
          <w:rFonts w:ascii="Times New Roman" w:hAnsi="Times New Roman" w:cs="Times New Roman" w:eastAsia="Times New Roman" w:hint="default"/>
          <w:spacing w:val="-1"/>
        </w:rPr>
        <w:t>3</w:t>
      </w:r>
      <w:r>
        <w:rPr>
          <w:spacing w:val="-1"/>
        </w:rPr>
        <w:t>年，</w:t>
      </w:r>
      <w:r>
        <w:rPr>
          <w:rFonts w:ascii="Times New Roman" w:hAnsi="Times New Roman" w:cs="Times New Roman" w:eastAsia="Times New Roman" w:hint="default"/>
          <w:spacing w:val="-1"/>
        </w:rPr>
        <w:t>2017</w:t>
      </w:r>
      <w:r>
        <w:rPr>
          <w:spacing w:val="-1"/>
        </w:rPr>
        <w:t>至</w:t>
      </w:r>
      <w:r>
        <w:rPr>
          <w:rFonts w:ascii="Times New Roman" w:hAnsi="Times New Roman" w:cs="Times New Roman" w:eastAsia="Times New Roman" w:hint="default"/>
          <w:spacing w:val="-1"/>
        </w:rPr>
        <w:t>2019</w:t>
      </w:r>
      <w:r>
        <w:rPr>
          <w:spacing w:val="-1"/>
        </w:rPr>
        <w:t>年度享受国家高新技术</w:t>
      </w:r>
      <w:r>
        <w:rPr>
          <w:spacing w:val="-29"/>
        </w:rPr>
        <w:t> </w:t>
      </w:r>
      <w:r>
        <w:rPr>
          <w:spacing w:val="-29"/>
        </w:rPr>
      </w:r>
      <w:r>
        <w:rPr/>
        <w:t>企业</w:t>
      </w:r>
      <w:r>
        <w:rPr>
          <w:rFonts w:ascii="Times New Roman" w:hAnsi="Times New Roman" w:cs="Times New Roman" w:eastAsia="Times New Roman" w:hint="default"/>
        </w:rPr>
        <w:t>15%</w:t>
      </w:r>
      <w:r>
        <w:rPr/>
        <w:t>的所得税税率。</w:t>
      </w:r>
    </w:p>
    <w:p>
      <w:pPr>
        <w:pStyle w:val="BodyText"/>
        <w:spacing w:line="256" w:lineRule="auto" w:before="5"/>
        <w:ind w:right="1127" w:firstLine="420"/>
        <w:jc w:val="both"/>
      </w:pPr>
      <w:r>
        <w:rPr>
          <w:rFonts w:ascii="Times New Roman" w:hAnsi="Times New Roman" w:cs="Times New Roman" w:eastAsia="Times New Roman" w:hint="default"/>
          <w:spacing w:val="-1"/>
        </w:rPr>
        <w:t>5.</w:t>
      </w:r>
      <w:r>
        <w:rPr>
          <w:spacing w:val="-1"/>
        </w:rPr>
        <w:t>本公司下属子公司成都三零瑞通移动通信有限公司经成都市高新技术企业认定管理机构认定为高新</w:t>
      </w:r>
      <w:r>
        <w:rPr>
          <w:w w:val="100"/>
        </w:rPr>
        <w:t> </w:t>
      </w:r>
      <w:r>
        <w:rPr>
          <w:spacing w:val="-1"/>
        </w:rPr>
        <w:t>技术企业，取得</w:t>
      </w:r>
      <w:r>
        <w:rPr>
          <w:rFonts w:ascii="Times New Roman" w:hAnsi="Times New Roman" w:cs="Times New Roman" w:eastAsia="Times New Roman" w:hint="default"/>
          <w:spacing w:val="-1"/>
        </w:rPr>
        <w:t>“GR201751000067”</w:t>
      </w:r>
      <w:r>
        <w:rPr>
          <w:spacing w:val="-1"/>
        </w:rPr>
        <w:t>号高新技术企业证书，有效期</w:t>
      </w:r>
      <w:r>
        <w:rPr>
          <w:rFonts w:ascii="Times New Roman" w:hAnsi="Times New Roman" w:cs="Times New Roman" w:eastAsia="Times New Roman" w:hint="default"/>
          <w:spacing w:val="-1"/>
        </w:rPr>
        <w:t>3</w:t>
      </w:r>
      <w:r>
        <w:rPr>
          <w:spacing w:val="-1"/>
        </w:rPr>
        <w:t>年，</w:t>
      </w:r>
      <w:r>
        <w:rPr>
          <w:rFonts w:ascii="Times New Roman" w:hAnsi="Times New Roman" w:cs="Times New Roman" w:eastAsia="Times New Roman" w:hint="default"/>
          <w:spacing w:val="-1"/>
        </w:rPr>
        <w:t>2017</w:t>
      </w:r>
      <w:r>
        <w:rPr>
          <w:spacing w:val="-1"/>
        </w:rPr>
        <w:t>至</w:t>
      </w:r>
      <w:r>
        <w:rPr>
          <w:rFonts w:ascii="Times New Roman" w:hAnsi="Times New Roman" w:cs="Times New Roman" w:eastAsia="Times New Roman" w:hint="default"/>
          <w:spacing w:val="-1"/>
        </w:rPr>
        <w:t>2019</w:t>
      </w:r>
      <w:r>
        <w:rPr>
          <w:spacing w:val="-1"/>
        </w:rPr>
        <w:t>年度享受国家高新技术</w:t>
      </w:r>
      <w:r>
        <w:rPr>
          <w:spacing w:val="-29"/>
        </w:rPr>
        <w:t> </w:t>
      </w:r>
      <w:r>
        <w:rPr>
          <w:spacing w:val="-29"/>
        </w:rPr>
      </w:r>
      <w:r>
        <w:rPr/>
        <w:t>企业</w:t>
      </w:r>
      <w:r>
        <w:rPr>
          <w:rFonts w:ascii="Times New Roman" w:hAnsi="Times New Roman" w:cs="Times New Roman" w:eastAsia="Times New Roman" w:hint="default"/>
        </w:rPr>
        <w:t>15%</w:t>
      </w:r>
      <w:r>
        <w:rPr/>
        <w:t>的所得税税率。</w:t>
      </w:r>
    </w:p>
    <w:p>
      <w:pPr>
        <w:pStyle w:val="BodyText"/>
        <w:spacing w:line="256" w:lineRule="auto" w:before="5"/>
        <w:ind w:right="1127" w:firstLine="420"/>
        <w:jc w:val="both"/>
      </w:pPr>
      <w:r>
        <w:rPr>
          <w:rFonts w:ascii="Times New Roman" w:hAnsi="Times New Roman" w:cs="Times New Roman" w:eastAsia="Times New Roman" w:hint="default"/>
          <w:spacing w:val="-1"/>
        </w:rPr>
        <w:t>6.</w:t>
      </w:r>
      <w:r>
        <w:rPr>
          <w:spacing w:val="-1"/>
        </w:rPr>
        <w:t>本公司下属子公司成都三零嘉微电子有限公司经成都市高新技术企业认定管理机构认定为高新技术</w:t>
      </w:r>
      <w:r>
        <w:rPr>
          <w:w w:val="100"/>
        </w:rPr>
        <w:t> </w:t>
      </w:r>
      <w:r>
        <w:rPr>
          <w:spacing w:val="-1"/>
        </w:rPr>
        <w:t>企业，取得</w:t>
      </w:r>
      <w:r>
        <w:rPr>
          <w:rFonts w:ascii="Times New Roman" w:hAnsi="Times New Roman" w:cs="Times New Roman" w:eastAsia="Times New Roman" w:hint="default"/>
          <w:spacing w:val="-1"/>
        </w:rPr>
        <w:t>“GR201751000005”</w:t>
      </w:r>
      <w:r>
        <w:rPr>
          <w:spacing w:val="-1"/>
        </w:rPr>
        <w:t>号高新技术企业证书，有效期</w:t>
      </w:r>
      <w:r>
        <w:rPr>
          <w:rFonts w:ascii="Times New Roman" w:hAnsi="Times New Roman" w:cs="Times New Roman" w:eastAsia="Times New Roman" w:hint="default"/>
          <w:spacing w:val="-1"/>
        </w:rPr>
        <w:t>3</w:t>
      </w:r>
      <w:r>
        <w:rPr>
          <w:spacing w:val="-1"/>
        </w:rPr>
        <w:t>年，</w:t>
      </w:r>
      <w:r>
        <w:rPr>
          <w:rFonts w:ascii="Times New Roman" w:hAnsi="Times New Roman" w:cs="Times New Roman" w:eastAsia="Times New Roman" w:hint="default"/>
          <w:spacing w:val="-1"/>
        </w:rPr>
        <w:t>2017</w:t>
      </w:r>
      <w:r>
        <w:rPr>
          <w:spacing w:val="-1"/>
        </w:rPr>
        <w:t>至</w:t>
      </w:r>
      <w:r>
        <w:rPr>
          <w:rFonts w:ascii="Times New Roman" w:hAnsi="Times New Roman" w:cs="Times New Roman" w:eastAsia="Times New Roman" w:hint="default"/>
          <w:spacing w:val="-1"/>
        </w:rPr>
        <w:t>2019</w:t>
      </w:r>
      <w:r>
        <w:rPr>
          <w:spacing w:val="-1"/>
        </w:rPr>
        <w:t>年度享受国家高新技术企业</w:t>
      </w:r>
      <w:r>
        <w:rPr>
          <w:spacing w:val="-28"/>
        </w:rPr>
        <w:t> </w:t>
      </w:r>
      <w:r>
        <w:rPr>
          <w:spacing w:val="-28"/>
        </w:rPr>
      </w:r>
      <w:r>
        <w:rPr>
          <w:rFonts w:ascii="Times New Roman" w:hAnsi="Times New Roman" w:cs="Times New Roman" w:eastAsia="Times New Roman" w:hint="default"/>
        </w:rPr>
        <w:t>15%</w:t>
      </w:r>
      <w:r>
        <w:rPr/>
        <w:t>的所得税税率。</w:t>
      </w:r>
    </w:p>
    <w:p>
      <w:pPr>
        <w:pStyle w:val="BodyText"/>
        <w:spacing w:line="256" w:lineRule="auto" w:before="5"/>
        <w:ind w:right="1085" w:firstLine="420"/>
        <w:jc w:val="both"/>
      </w:pPr>
      <w:r>
        <w:rPr>
          <w:rFonts w:ascii="Times New Roman" w:hAnsi="Times New Roman" w:cs="Times New Roman" w:eastAsia="Times New Roman" w:hint="default"/>
        </w:rPr>
        <w:t>7.</w:t>
      </w:r>
      <w:r>
        <w:rPr/>
        <w:t>本公司下属子公司中电科（北京）网络信息安全有限公司经北京市高新技术企业认定管理机构认定</w:t>
      </w:r>
      <w:r>
        <w:rPr>
          <w:w w:val="100"/>
        </w:rPr>
        <w:t> </w:t>
      </w:r>
      <w:r>
        <w:rPr>
          <w:spacing w:val="-2"/>
        </w:rPr>
        <w:t>为高新技术企业，取得</w:t>
      </w:r>
      <w:r>
        <w:rPr>
          <w:rFonts w:ascii="Times New Roman" w:hAnsi="Times New Roman" w:cs="Times New Roman" w:eastAsia="Times New Roman" w:hint="default"/>
          <w:spacing w:val="-2"/>
        </w:rPr>
        <w:t>“GR201611005090”</w:t>
      </w:r>
      <w:r>
        <w:rPr>
          <w:spacing w:val="-2"/>
        </w:rPr>
        <w:t>号高新技术企业证书，有效期</w:t>
      </w:r>
      <w:r>
        <w:rPr>
          <w:rFonts w:ascii="Times New Roman" w:hAnsi="Times New Roman" w:cs="Times New Roman" w:eastAsia="Times New Roman" w:hint="default"/>
          <w:spacing w:val="-2"/>
        </w:rPr>
        <w:t>3</w:t>
      </w:r>
      <w:r>
        <w:rPr>
          <w:spacing w:val="-2"/>
        </w:rPr>
        <w:t>年（</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spacing w:val="4"/>
        </w:rPr>
        <w:t> </w:t>
      </w:r>
      <w:r>
        <w:rPr>
          <w:spacing w:val="4"/>
        </w:rPr>
      </w:r>
      <w:r>
        <w:rPr>
          <w:rFonts w:ascii="Times New Roman" w:hAnsi="Times New Roman" w:cs="Times New Roman" w:eastAsia="Times New Roman" w:hint="default"/>
        </w:rPr>
        <w:t>2016</w:t>
      </w:r>
      <w:r>
        <w:rPr/>
        <w:t>至</w:t>
      </w:r>
      <w:r>
        <w:rPr>
          <w:rFonts w:ascii="Times New Roman" w:hAnsi="Times New Roman" w:cs="Times New Roman" w:eastAsia="Times New Roman" w:hint="default"/>
        </w:rPr>
        <w:t>2019</w:t>
      </w:r>
      <w:r>
        <w:rPr/>
        <w:t>年度享受国家高新技术企业</w:t>
      </w:r>
      <w:r>
        <w:rPr>
          <w:rFonts w:ascii="Times New Roman" w:hAnsi="Times New Roman" w:cs="Times New Roman" w:eastAsia="Times New Roman" w:hint="default"/>
        </w:rPr>
        <w:t>15%</w:t>
      </w:r>
      <w:r>
        <w:rPr/>
        <w:t>的所得税税率。</w:t>
      </w:r>
    </w:p>
    <w:p>
      <w:pPr>
        <w:pStyle w:val="BodyText"/>
        <w:spacing w:line="256" w:lineRule="auto" w:before="5"/>
        <w:ind w:right="1127" w:firstLine="420"/>
        <w:jc w:val="both"/>
      </w:pPr>
      <w:r>
        <w:rPr>
          <w:rFonts w:ascii="Times New Roman" w:hAnsi="Times New Roman" w:cs="Times New Roman" w:eastAsia="Times New Roman" w:hint="default"/>
          <w:spacing w:val="-1"/>
        </w:rPr>
        <w:t>8.</w:t>
      </w:r>
      <w:r>
        <w:rPr>
          <w:spacing w:val="-1"/>
        </w:rPr>
        <w:t>本公司下属子公司中电科（天津）网络信息安全有限公司经天津市高新技术企业认定管理机构认定</w:t>
      </w:r>
      <w:r>
        <w:rPr>
          <w:w w:val="100"/>
        </w:rPr>
        <w:t> </w:t>
      </w:r>
      <w:r>
        <w:rPr>
          <w:spacing w:val="-1"/>
        </w:rPr>
        <w:t>为高新技术企业，取得</w:t>
      </w:r>
      <w:r>
        <w:rPr>
          <w:rFonts w:ascii="Times New Roman" w:hAnsi="Times New Roman" w:cs="Times New Roman" w:eastAsia="Times New Roman" w:hint="default"/>
          <w:spacing w:val="-1"/>
        </w:rPr>
        <w:t>“GR201812001680”</w:t>
      </w:r>
      <w:r>
        <w:rPr>
          <w:spacing w:val="-1"/>
        </w:rPr>
        <w:t>号高新技术企业证书，有效期</w:t>
      </w:r>
      <w:r>
        <w:rPr>
          <w:rFonts w:ascii="Times New Roman" w:hAnsi="Times New Roman" w:cs="Times New Roman" w:eastAsia="Times New Roman" w:hint="default"/>
          <w:spacing w:val="-1"/>
        </w:rPr>
        <w:t>3</w:t>
      </w:r>
      <w:r>
        <w:rPr>
          <w:spacing w:val="-1"/>
        </w:rPr>
        <w:t>年，</w:t>
      </w:r>
      <w:r>
        <w:rPr>
          <w:rFonts w:ascii="Times New Roman" w:hAnsi="Times New Roman" w:cs="Times New Roman" w:eastAsia="Times New Roman" w:hint="default"/>
          <w:spacing w:val="-1"/>
        </w:rPr>
        <w:t>2018</w:t>
      </w:r>
      <w:r>
        <w:rPr>
          <w:spacing w:val="-1"/>
        </w:rPr>
        <w:t>至</w:t>
      </w:r>
      <w:r>
        <w:rPr>
          <w:rFonts w:ascii="Times New Roman" w:hAnsi="Times New Roman" w:cs="Times New Roman" w:eastAsia="Times New Roman" w:hint="default"/>
          <w:spacing w:val="-1"/>
        </w:rPr>
        <w:t>2020</w:t>
      </w:r>
      <w:r>
        <w:rPr>
          <w:spacing w:val="-1"/>
        </w:rPr>
        <w:t>年度享受国家高</w:t>
      </w:r>
      <w:r>
        <w:rPr>
          <w:spacing w:val="-28"/>
        </w:rPr>
        <w:t> </w:t>
      </w:r>
      <w:r>
        <w:rPr>
          <w:spacing w:val="-28"/>
        </w:rPr>
      </w:r>
      <w:r>
        <w:rPr/>
        <w:t>新技术企业</w:t>
      </w:r>
      <w:r>
        <w:rPr>
          <w:rFonts w:ascii="Times New Roman" w:hAnsi="Times New Roman" w:cs="Times New Roman" w:eastAsia="Times New Roman" w:hint="default"/>
        </w:rPr>
        <w:t>15%</w:t>
      </w:r>
      <w:r>
        <w:rPr/>
        <w:t>的所得税税率。</w:t>
      </w:r>
    </w:p>
    <w:p>
      <w:pPr>
        <w:pStyle w:val="BodyText"/>
        <w:spacing w:line="264" w:lineRule="auto" w:before="5"/>
        <w:ind w:right="1126" w:firstLine="420"/>
        <w:jc w:val="both"/>
      </w:pPr>
      <w:r>
        <w:rPr>
          <w:rFonts w:ascii="Times New Roman" w:hAnsi="Times New Roman" w:cs="Times New Roman" w:eastAsia="Times New Roman" w:hint="default"/>
          <w:spacing w:val="-2"/>
        </w:rPr>
        <w:t>9.</w:t>
      </w:r>
      <w:r>
        <w:rPr>
          <w:spacing w:val="-2"/>
        </w:rPr>
        <w:t>根据财税</w:t>
      </w:r>
      <w:r>
        <w:rPr>
          <w:rFonts w:ascii="Times New Roman" w:hAnsi="Times New Roman" w:cs="Times New Roman" w:eastAsia="Times New Roman" w:hint="default"/>
          <w:spacing w:val="-2"/>
        </w:rPr>
        <w:t>[2011]100</w:t>
      </w:r>
      <w:r>
        <w:rPr>
          <w:spacing w:val="-2"/>
        </w:rPr>
        <w:t>号《财政部、国家税务总局关于软件产品增值税政策的通知》文件，除上海卫士</w:t>
      </w:r>
      <w:r>
        <w:rPr>
          <w:w w:val="100"/>
        </w:rPr>
        <w:t> </w:t>
      </w:r>
      <w:r>
        <w:rPr>
          <w:spacing w:val="-2"/>
        </w:rPr>
        <w:t>通网络安全有限公司、成都三零豪赛网络安全技术有限公司外，本公司及下属其他子公司销售软件产品享</w:t>
      </w:r>
      <w:r>
        <w:rPr>
          <w:spacing w:val="-44"/>
        </w:rPr>
        <w:t> </w:t>
      </w:r>
      <w:r>
        <w:rPr>
          <w:spacing w:val="-44"/>
        </w:rPr>
      </w:r>
      <w:r>
        <w:rPr/>
        <w:t>受增值税即征即退政策。</w:t>
      </w:r>
    </w:p>
    <w:p>
      <w:pPr>
        <w:spacing w:before="77"/>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pStyle w:val="BodyText"/>
        <w:spacing w:line="264" w:lineRule="auto" w:before="80"/>
        <w:ind w:right="1126" w:firstLine="420"/>
        <w:jc w:val="both"/>
      </w:pPr>
      <w:r>
        <w:rPr>
          <w:spacing w:val="-3"/>
        </w:rPr>
        <w:t>根据财税</w:t>
      </w:r>
      <w:r>
        <w:rPr>
          <w:rFonts w:ascii="Times New Roman" w:hAnsi="Times New Roman" w:cs="Times New Roman" w:eastAsia="Times New Roman" w:hint="default"/>
          <w:spacing w:val="-3"/>
        </w:rPr>
        <w:t>[2011]100</w:t>
      </w:r>
      <w:r>
        <w:rPr>
          <w:spacing w:val="-3"/>
        </w:rPr>
        <w:t>号《财政部、国家税务总局关于软件产品增值税政策的通知》文件，除上海卫士通</w:t>
      </w:r>
      <w:r>
        <w:rPr>
          <w:w w:val="100"/>
        </w:rPr>
        <w:t> </w:t>
      </w:r>
      <w:r>
        <w:rPr>
          <w:spacing w:val="-2"/>
        </w:rPr>
        <w:t>网络安全有限公司、成都三零豪赛网络安全技术有限公司外，本公司及下属其他子公司销售软件产品享受</w:t>
      </w:r>
      <w:r>
        <w:rPr>
          <w:spacing w:val="-42"/>
        </w:rPr>
        <w:t> </w:t>
      </w:r>
      <w:r>
        <w:rPr>
          <w:spacing w:val="-42"/>
        </w:rPr>
      </w:r>
      <w:r>
        <w:rPr/>
        <w:t>增值税即征即退政策。本报告期公司收到软件增值税退税</w:t>
      </w:r>
      <w:r>
        <w:rPr>
          <w:rFonts w:ascii="Times New Roman" w:hAnsi="Times New Roman" w:cs="Times New Roman" w:eastAsia="Times New Roman" w:hint="default"/>
          <w:sz w:val="20"/>
          <w:szCs w:val="20"/>
        </w:rPr>
        <w:t>32,435,330.58</w:t>
      </w:r>
      <w:r>
        <w:rPr>
          <w:rFonts w:ascii="Times New Roman" w:hAnsi="Times New Roman" w:cs="Times New Roman" w:eastAsia="Times New Roman" w:hint="default"/>
          <w:spacing w:val="26"/>
          <w:sz w:val="20"/>
          <w:szCs w:val="20"/>
        </w:rPr>
        <w:t> </w:t>
      </w:r>
      <w:r>
        <w:rPr/>
        <w:t>元，计入其他收益项目，增加公司</w:t>
      </w:r>
      <w:r>
        <w:rPr>
          <w:w w:val="100"/>
        </w:rPr>
        <w:t> </w:t>
      </w:r>
      <w:r>
        <w:rPr/>
        <w:t>当期损益</w:t>
      </w:r>
      <w:r>
        <w:rPr>
          <w:rFonts w:ascii="Times New Roman" w:hAnsi="Times New Roman" w:cs="Times New Roman" w:eastAsia="Times New Roman" w:hint="default"/>
          <w:sz w:val="20"/>
          <w:szCs w:val="20"/>
        </w:rPr>
        <w:t>32,435,330.58</w:t>
      </w:r>
      <w:r>
        <w:rPr>
          <w:rFonts w:ascii="Times New Roman" w:hAnsi="Times New Roman" w:cs="Times New Roman" w:eastAsia="Times New Roman" w:hint="default"/>
          <w:spacing w:val="27"/>
          <w:sz w:val="20"/>
          <w:szCs w:val="20"/>
        </w:rPr>
        <w:t> </w:t>
      </w:r>
      <w:r>
        <w:rPr>
          <w:spacing w:val="-3"/>
        </w:rPr>
        <w:t>元。</w:t>
      </w:r>
      <w:r>
        <w:rPr/>
      </w:r>
    </w:p>
    <w:p>
      <w:pPr>
        <w:spacing w:line="240" w:lineRule="auto" w:before="1"/>
        <w:rPr>
          <w:rFonts w:ascii="宋体" w:hAnsi="宋体" w:cs="宋体" w:eastAsia="宋体" w:hint="default"/>
          <w:sz w:val="21"/>
          <w:szCs w:val="21"/>
        </w:rPr>
      </w:pPr>
    </w:p>
    <w:p>
      <w:pPr>
        <w:pStyle w:val="Heading2"/>
        <w:spacing w:line="240" w:lineRule="auto"/>
        <w:ind w:right="1133"/>
        <w:jc w:val="left"/>
        <w:rPr>
          <w:b w:val="0"/>
          <w:bCs w:val="0"/>
        </w:rPr>
      </w:pPr>
      <w:bookmarkStart w:name="七、合并财务报表项目注释" w:id="217"/>
      <w:bookmarkEnd w:id="217"/>
      <w:r>
        <w:rPr>
          <w:b w:val="0"/>
          <w:bCs w:val="0"/>
        </w:rPr>
      </w: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货币资金" w:id="218"/>
      <w:bookmarkEnd w:id="218"/>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125,229.22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344,119.78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1,487,799,000.95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1,930,954,470.59</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11,620,834.83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14,257,418.30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1,499,545,065.00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1,945,556,008.67</w:t>
            </w:r>
          </w:p>
        </w:tc>
      </w:tr>
    </w:tbl>
    <w:p>
      <w:pPr>
        <w:pStyle w:val="BodyText"/>
        <w:spacing w:line="256" w:lineRule="auto" w:before="0"/>
        <w:ind w:left="573" w:right="1133"/>
        <w:jc w:val="left"/>
      </w:pPr>
      <w:r>
        <w:rPr>
          <w:spacing w:val="-1"/>
        </w:rPr>
        <w:t>其中：截至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日，存放于中国电子科技财务有限公司资金</w:t>
      </w:r>
      <w:r>
        <w:rPr>
          <w:rFonts w:ascii="Times New Roman" w:hAnsi="Times New Roman" w:cs="Times New Roman" w:eastAsia="Times New Roman" w:hint="default"/>
          <w:spacing w:val="-1"/>
        </w:rPr>
        <w:t>678,135,824.28</w:t>
      </w:r>
      <w:r>
        <w:rPr>
          <w:spacing w:val="-1"/>
        </w:rPr>
        <w:t>元。</w:t>
      </w:r>
      <w:r>
        <w:rPr>
          <w:spacing w:val="-60"/>
        </w:rPr>
        <w:t> </w:t>
      </w: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日，本公司受限制的货币资金明细如下：</w:t>
      </w:r>
    </w:p>
    <w:tbl>
      <w:tblPr>
        <w:tblW w:w="0" w:type="auto"/>
        <w:jc w:val="left"/>
        <w:tblInd w:w="138" w:type="dxa"/>
        <w:tblLayout w:type="fixed"/>
        <w:tblCellMar>
          <w:top w:w="0" w:type="dxa"/>
          <w:left w:w="0" w:type="dxa"/>
          <w:bottom w:w="0" w:type="dxa"/>
          <w:right w:w="0" w:type="dxa"/>
        </w:tblCellMar>
        <w:tblLook w:val="01E0"/>
      </w:tblPr>
      <w:tblGrid>
        <w:gridCol w:w="3219"/>
        <w:gridCol w:w="3219"/>
        <w:gridCol w:w="3221"/>
      </w:tblGrid>
      <w:tr>
        <w:trPr>
          <w:trHeight w:val="341"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424"/>
              <w:jc w:val="right"/>
              <w:rPr>
                <w:rFonts w:ascii="宋体" w:hAnsi="宋体" w:cs="宋体" w:eastAsia="宋体" w:hint="default"/>
                <w:sz w:val="18"/>
                <w:szCs w:val="18"/>
              </w:rPr>
            </w:pPr>
            <w:r>
              <w:rPr>
                <w:rFonts w:ascii="宋体" w:hAnsi="宋体" w:cs="宋体" w:eastAsia="宋体" w:hint="default"/>
                <w:sz w:val="18"/>
                <w:szCs w:val="18"/>
              </w:rPr>
              <w:t>项目</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3"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3,343,314.80</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1,142,458.00</w:t>
            </w:r>
          </w:p>
        </w:tc>
      </w:tr>
      <w:tr>
        <w:trPr>
          <w:trHeight w:val="341"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8,277,520.03</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13,114,960.30</w:t>
            </w:r>
          </w:p>
        </w:tc>
      </w:tr>
      <w:tr>
        <w:trPr>
          <w:trHeight w:val="343"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424"/>
              <w:jc w:val="right"/>
              <w:rPr>
                <w:rFonts w:ascii="宋体" w:hAnsi="宋体" w:cs="宋体" w:eastAsia="宋体" w:hint="default"/>
                <w:sz w:val="18"/>
                <w:szCs w:val="18"/>
              </w:rPr>
            </w:pPr>
            <w:r>
              <w:rPr>
                <w:rFonts w:ascii="宋体" w:hAnsi="宋体" w:cs="宋体" w:eastAsia="宋体" w:hint="default"/>
                <w:sz w:val="18"/>
                <w:szCs w:val="18"/>
              </w:rPr>
              <w:t>合计</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11,620,834.83</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14,257,418.30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2、应收票据" w:id="219"/>
      <w:bookmarkEnd w:id="219"/>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应收票据分类列示" w:id="220"/>
      <w:bookmarkEnd w:id="220"/>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7,454,381.99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34,823,634.27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538,647,487.70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194,240,774.30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546,101,869.69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229,064,408.57</w:t>
            </w:r>
          </w:p>
        </w:tc>
      </w:tr>
    </w:tbl>
    <w:p>
      <w:pPr>
        <w:spacing w:line="338" w:lineRule="auto" w:before="49"/>
        <w:ind w:left="152" w:right="17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日，本公司认为无需对应收票据计提预期信用减值准备。 如是按照预期信用损失一般模型计提应收票据坏账准备，请参照其他应收款的披露方式披露坏账准备的相关信息：</w:t>
      </w: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3、应收账款" w:id="221"/>
      <w:bookmarkEnd w:id="221"/>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1）应收账款分类披露" w:id="222"/>
      <w:bookmarkEnd w:id="222"/>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4"/>
        <w:gridCol w:w="761"/>
        <w:gridCol w:w="763"/>
        <w:gridCol w:w="790"/>
        <w:gridCol w:w="775"/>
        <w:gridCol w:w="797"/>
        <w:gridCol w:w="800"/>
        <w:gridCol w:w="790"/>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42,355,9</w:t>
            </w:r>
          </w:p>
          <w:p>
            <w:pPr>
              <w:pStyle w:val="TableParagraph"/>
              <w:spacing w:line="240" w:lineRule="auto" w:before="105"/>
              <w:ind w:left="329" w:right="0"/>
              <w:jc w:val="left"/>
              <w:rPr>
                <w:rFonts w:ascii="Times New Roman" w:hAnsi="Times New Roman" w:cs="Times New Roman" w:eastAsia="Times New Roman" w:hint="default"/>
                <w:sz w:val="18"/>
                <w:szCs w:val="18"/>
              </w:rPr>
            </w:pPr>
            <w:r>
              <w:rPr>
                <w:rFonts w:ascii="Times New Roman"/>
                <w:sz w:val="18"/>
              </w:rPr>
              <w:t>73.29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42,355,9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73.29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42,355,97</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3.29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2.11%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33,638,13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0.38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79.42%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8,717,842.9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1,790,83</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8,928.69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97.69%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271,093,</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219.41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15.14%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1,519,745</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,709.28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1,965,176</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,065.14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97.89%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251,336,5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02.93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12.79%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1,713,839,5</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62.21</w:t>
            </w:r>
          </w:p>
        </w:tc>
      </w:tr>
      <w:tr>
        <w:trPr>
          <w:trHeight w:val="401"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10" w:space="0" w:color="D2D2D2"/>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1,833,19</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4,901.98</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313,449,</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192.70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17.10%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1,519,745</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,709.28</w:t>
            </w:r>
          </w:p>
        </w:tc>
        <w:tc>
          <w:tcPr>
            <w:tcW w:w="775" w:type="dxa"/>
            <w:vMerge w:val="restart"/>
            <w:tcBorders>
              <w:top w:val="single" w:sz="4" w:space="0" w:color="000000"/>
              <w:left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2,007,532</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,038.43</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100.00%</w:t>
            </w: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284,974,6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33.31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14.20%</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1,722,557,4</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05.12</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10" w:space="0" w:color="D2D2D2"/>
              <w:right w:val="single" w:sz="4" w:space="0" w:color="000000"/>
            </w:tcBorders>
          </w:tcPr>
          <w:p>
            <w:pPr/>
          </w:p>
        </w:tc>
        <w:tc>
          <w:tcPr>
            <w:tcW w:w="764"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10" w:space="0" w:color="D2D2D2"/>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before="49"/>
        <w:ind w:left="152" w:right="113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按单项计提坏账准备：</w:t>
      </w:r>
      <w:r>
        <w:rPr>
          <w:rFonts w:ascii="Times New Roman" w:hAnsi="Times New Roman" w:cs="Times New Roman" w:eastAsia="Times New Roman" w:hint="default"/>
          <w:sz w:val="18"/>
          <w:szCs w:val="18"/>
        </w:rPr>
        <w:t>42,355,973.29</w:t>
      </w:r>
    </w:p>
    <w:p>
      <w:pPr>
        <w:spacing w:before="102"/>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46"/>
        <w:gridCol w:w="1985"/>
        <w:gridCol w:w="1416"/>
        <w:gridCol w:w="1277"/>
        <w:gridCol w:w="1349"/>
      </w:tblGrid>
      <w:tr>
        <w:trPr>
          <w:trHeight w:val="401" w:hRule="exact"/>
        </w:trPr>
        <w:tc>
          <w:tcPr>
            <w:tcW w:w="35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60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3546" w:type="dxa"/>
            <w:vMerge/>
            <w:tcBorders>
              <w:left w:val="single" w:sz="4" w:space="0" w:color="000000"/>
              <w:bottom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永兴开元投资有限公司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陕西国城数据科技有限公司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30,871,371.64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30,871,371.64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北京创原天地科技有限公司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北京天地迅达信息技术开发中心</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546"/>
        <w:gridCol w:w="1985"/>
        <w:gridCol w:w="1416"/>
        <w:gridCol w:w="1277"/>
        <w:gridCol w:w="1349"/>
      </w:tblGrid>
      <w:tr>
        <w:trPr>
          <w:trHeight w:val="401"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北京中电普华信息技术有限公司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8,650.00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8,650.00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成都市华锋电子有限公司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7" w:right="0"/>
              <w:jc w:val="left"/>
              <w:rPr>
                <w:rFonts w:ascii="Times New Roman" w:hAnsi="Times New Roman" w:cs="Times New Roman" w:eastAsia="Times New Roman" w:hint="default"/>
                <w:sz w:val="18"/>
                <w:szCs w:val="18"/>
              </w:rPr>
            </w:pPr>
            <w:r>
              <w:rPr>
                <w:rFonts w:ascii="Times New Roman"/>
                <w:sz w:val="18"/>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昊华宇航化工有限责任公司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农行西藏区分行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7,900.00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7,900.00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7" w:right="0"/>
              <w:jc w:val="left"/>
              <w:rPr>
                <w:rFonts w:ascii="Times New Roman" w:hAnsi="Times New Roman" w:cs="Times New Roman" w:eastAsia="Times New Roman" w:hint="default"/>
                <w:sz w:val="18"/>
                <w:szCs w:val="18"/>
              </w:rPr>
            </w:pPr>
            <w:r>
              <w:rPr>
                <w:rFonts w:ascii="Times New Roman"/>
                <w:sz w:val="18"/>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山西清华网络系统工程公司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213,110.00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213,110.00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深圳市科技和信息局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36,956.40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36,956.40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7" w:right="0"/>
              <w:jc w:val="left"/>
              <w:rPr>
                <w:rFonts w:ascii="Times New Roman" w:hAnsi="Times New Roman" w:cs="Times New Roman" w:eastAsia="Times New Roman" w:hint="default"/>
                <w:sz w:val="18"/>
                <w:szCs w:val="18"/>
              </w:rPr>
            </w:pPr>
            <w:r>
              <w:rPr>
                <w:rFonts w:ascii="Times New Roman"/>
                <w:sz w:val="18"/>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DZ </w:t>
            </w:r>
            <w:r>
              <w:rPr>
                <w:rFonts w:ascii="宋体" w:hAnsi="宋体" w:cs="宋体" w:eastAsia="宋体" w:hint="default"/>
                <w:sz w:val="18"/>
                <w:szCs w:val="18"/>
              </w:rPr>
              <w:t>网巴中管理中心</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189,800.00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189,800.00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DZ </w:t>
            </w:r>
            <w:r>
              <w:rPr>
                <w:rFonts w:ascii="宋体" w:hAnsi="宋体" w:cs="宋体" w:eastAsia="宋体" w:hint="default"/>
                <w:sz w:val="18"/>
                <w:szCs w:val="18"/>
              </w:rPr>
              <w:t>网南充管理中心</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3,930.00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3,930.00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7" w:right="0"/>
              <w:jc w:val="left"/>
              <w:rPr>
                <w:rFonts w:ascii="Times New Roman" w:hAnsi="Times New Roman" w:cs="Times New Roman" w:eastAsia="Times New Roman" w:hint="default"/>
                <w:sz w:val="18"/>
                <w:szCs w:val="18"/>
              </w:rPr>
            </w:pPr>
            <w:r>
              <w:rPr>
                <w:rFonts w:ascii="Times New Roman"/>
                <w:sz w:val="18"/>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云南官房电子科技有限公司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101,820.00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101,820.00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4"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郑州英创电子技术有限公司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243,310.00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243,310.00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7" w:right="0"/>
              <w:jc w:val="left"/>
              <w:rPr>
                <w:rFonts w:ascii="Times New Roman" w:hAnsi="Times New Roman" w:cs="Times New Roman" w:eastAsia="Times New Roman" w:hint="default"/>
                <w:sz w:val="18"/>
                <w:szCs w:val="18"/>
              </w:rPr>
            </w:pPr>
            <w:r>
              <w:rPr>
                <w:rFonts w:ascii="Times New Roman"/>
                <w:sz w:val="18"/>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中共广东政法委员会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中国地震局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114,229.00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114,229.00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7" w:right="0"/>
              <w:jc w:val="left"/>
              <w:rPr>
                <w:rFonts w:ascii="Times New Roman" w:hAnsi="Times New Roman" w:cs="Times New Roman" w:eastAsia="Times New Roman" w:hint="default"/>
                <w:sz w:val="18"/>
                <w:szCs w:val="18"/>
              </w:rPr>
            </w:pPr>
            <w:r>
              <w:rPr>
                <w:rFonts w:ascii="Times New Roman"/>
                <w:sz w:val="18"/>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北京星华岳科技发展有限公司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中国海监总队</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56,140.00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56,140.00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7" w:right="0"/>
              <w:jc w:val="left"/>
              <w:rPr>
                <w:rFonts w:ascii="Times New Roman" w:hAnsi="Times New Roman" w:cs="Times New Roman" w:eastAsia="Times New Roman" w:hint="default"/>
                <w:sz w:val="18"/>
                <w:szCs w:val="18"/>
              </w:rPr>
            </w:pPr>
            <w:r>
              <w:rPr>
                <w:rFonts w:ascii="Times New Roman"/>
                <w:sz w:val="18"/>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四川千一得科技有限公司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70,156.25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70,156.25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成都神迈商贸有限公司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52,500.00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7" w:right="0"/>
              <w:jc w:val="left"/>
              <w:rPr>
                <w:rFonts w:ascii="Times New Roman" w:hAnsi="Times New Roman" w:cs="Times New Roman" w:eastAsia="Times New Roman" w:hint="default"/>
                <w:sz w:val="18"/>
                <w:szCs w:val="18"/>
              </w:rPr>
            </w:pPr>
            <w:r>
              <w:rPr>
                <w:rFonts w:ascii="Times New Roman"/>
                <w:sz w:val="18"/>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内蒙古</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XX</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成都信腾科技服务有限公司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7" w:right="0"/>
              <w:jc w:val="left"/>
              <w:rPr>
                <w:rFonts w:ascii="Times New Roman" w:hAnsi="Times New Roman" w:cs="Times New Roman" w:eastAsia="Times New Roman" w:hint="default"/>
                <w:sz w:val="18"/>
                <w:szCs w:val="18"/>
              </w:rPr>
            </w:pPr>
            <w:r>
              <w:rPr>
                <w:rFonts w:ascii="Times New Roman"/>
                <w:sz w:val="18"/>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4"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42,355,973.29</w:t>
            </w:r>
          </w:p>
        </w:tc>
        <w:tc>
          <w:tcPr>
            <w:tcW w:w="141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42,355,973.29</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73" w:right="0"/>
              <w:jc w:val="left"/>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3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按组合计提坏账准备：</w:t>
      </w:r>
      <w:r>
        <w:rPr>
          <w:rFonts w:ascii="Times New Roman" w:hAnsi="Times New Roman" w:cs="Times New Roman" w:eastAsia="Times New Roman" w:hint="default"/>
          <w:sz w:val="18"/>
          <w:szCs w:val="18"/>
        </w:rPr>
        <w:t>1,790,838,928.69</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1,060,537,496.96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54,649,827.22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346,284,860.96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36,500,614.44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10.54%</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204,382,846.66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56,606,653.22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27.70%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102,586,088.17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51,319,166.02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23,590,560.79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18,559,883.36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78.68%</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53,457,075.15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53,457,075.15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1,790,838,928.69</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271,093,219.41</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273" w:lineRule="auto" w:before="96"/>
        <w:ind w:right="1104" w:firstLine="420"/>
        <w:jc w:val="both"/>
      </w:pPr>
      <w:r>
        <w:rPr>
          <w:spacing w:val="-2"/>
        </w:rPr>
        <w:t>当在单项工具层面无法以合理成本评估预期信用损失的充分证据时，本公司参考历史信用损失经验，</w:t>
      </w:r>
      <w:r>
        <w:rPr>
          <w:w w:val="100"/>
        </w:rPr>
        <w:t> </w:t>
      </w:r>
      <w:r>
        <w:rPr>
          <w:spacing w:val="-2"/>
        </w:rPr>
        <w:t>结合当前状况以及对未来经济状况的判断，依据信用风险特征将应收账款划分为若干组合，在组合基础上</w:t>
      </w:r>
      <w:r>
        <w:rPr>
          <w:spacing w:val="-43"/>
        </w:rPr>
        <w:t> </w:t>
      </w:r>
      <w:r>
        <w:rPr>
          <w:spacing w:val="-43"/>
        </w:rPr>
      </w:r>
      <w:r>
        <w:rPr/>
        <w:t>计算预期信用损失。确定组合的依据如下：</w:t>
      </w:r>
    </w:p>
    <w:tbl>
      <w:tblPr>
        <w:tblW w:w="0" w:type="auto"/>
        <w:jc w:val="left"/>
        <w:tblInd w:w="138" w:type="dxa"/>
        <w:tblLayout w:type="fixed"/>
        <w:tblCellMar>
          <w:top w:w="0" w:type="dxa"/>
          <w:left w:w="0" w:type="dxa"/>
          <w:bottom w:w="0" w:type="dxa"/>
          <w:right w:w="0" w:type="dxa"/>
        </w:tblCellMar>
        <w:tblLook w:val="01E0"/>
      </w:tblPr>
      <w:tblGrid>
        <w:gridCol w:w="1522"/>
        <w:gridCol w:w="5067"/>
        <w:gridCol w:w="3070"/>
      </w:tblGrid>
      <w:tr>
        <w:trPr>
          <w:trHeight w:val="341"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96"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5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计提方法</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1522"/>
        <w:gridCol w:w="5067"/>
        <w:gridCol w:w="3070"/>
      </w:tblGrid>
      <w:tr>
        <w:trPr>
          <w:trHeight w:val="656"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50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4"/>
              <w:jc w:val="left"/>
              <w:rPr>
                <w:rFonts w:ascii="宋体" w:hAnsi="宋体" w:cs="宋体" w:eastAsia="宋体" w:hint="default"/>
                <w:sz w:val="18"/>
                <w:szCs w:val="18"/>
              </w:rPr>
            </w:pPr>
            <w:r>
              <w:rPr>
                <w:rFonts w:ascii="宋体" w:hAnsi="宋体" w:cs="宋体" w:eastAsia="宋体" w:hint="default"/>
                <w:sz w:val="18"/>
                <w:szCs w:val="18"/>
              </w:rPr>
              <w:t>本公司根据以往的历史经验对应收款项预期信用损失计提比例作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出合理估计，参考应收款项的账龄进行信用风险组合分类</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3"/>
              <w:jc w:val="left"/>
              <w:rPr>
                <w:rFonts w:ascii="宋体" w:hAnsi="宋体" w:cs="宋体" w:eastAsia="宋体" w:hint="default"/>
                <w:sz w:val="18"/>
                <w:szCs w:val="18"/>
              </w:rPr>
            </w:pPr>
            <w:r>
              <w:rPr>
                <w:rFonts w:ascii="宋体" w:hAnsi="宋体" w:cs="宋体" w:eastAsia="宋体" w:hint="default"/>
                <w:spacing w:val="9"/>
                <w:sz w:val="18"/>
                <w:szCs w:val="18"/>
              </w:rPr>
              <w:t>按账龄与整个存续期预期信用损失率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对照表计提</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如是按照预期信用损失一般模型计提应收账款坏账准备，请参照其他应收款的披露方式披露坏账准备的相关信息：</w:t>
      </w:r>
    </w:p>
    <w:p>
      <w:pPr>
        <w:spacing w:line="340" w:lineRule="auto" w:before="115"/>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before="3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1,060,537,496.96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346,284,860.96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245,254,218.30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181,118,325.76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102,586,088.17</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23,590,560.79</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54,941,676.80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1,833,194,901.98</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公司需要遵守《深圳证券交易所行业信息披露指引第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bookmarkStart w:name="（2）本期计提、收回或转回的坏账准备情况" w:id="223"/>
      <w:bookmarkEnd w:id="22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77"/>
        <w:gridCol w:w="1418"/>
        <w:gridCol w:w="1277"/>
        <w:gridCol w:w="991"/>
        <w:gridCol w:w="1136"/>
        <w:gridCol w:w="566"/>
        <w:gridCol w:w="1207"/>
      </w:tblGrid>
      <w:tr>
        <w:trPr>
          <w:trHeight w:val="403" w:hRule="exact"/>
        </w:trPr>
        <w:tc>
          <w:tcPr>
            <w:tcW w:w="29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9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977"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核销</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0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单项计提预期信用损失的应收账款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33,638,130.38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8,717,842.91</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42,355,973.29</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按组合计提预期信用损失的应收账款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251,336,502.93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21,328,299.78</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center"/>
              <w:rPr>
                <w:rFonts w:ascii="Times New Roman" w:hAnsi="Times New Roman" w:cs="Times New Roman" w:eastAsia="Times New Roman" w:hint="default"/>
                <w:sz w:val="18"/>
                <w:szCs w:val="18"/>
              </w:rPr>
            </w:pPr>
            <w:r>
              <w:rPr>
                <w:rFonts w:ascii="Times New Roman"/>
                <w:sz w:val="18"/>
              </w:rPr>
              <w:t>1,571,583.30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271,093,219.41</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284,974,633.31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30,046,142.69</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center"/>
              <w:rPr>
                <w:rFonts w:ascii="Times New Roman" w:hAnsi="Times New Roman" w:cs="Times New Roman" w:eastAsia="Times New Roman" w:hint="default"/>
                <w:sz w:val="18"/>
                <w:szCs w:val="18"/>
              </w:rPr>
            </w:pPr>
            <w:r>
              <w:rPr>
                <w:rFonts w:ascii="Times New Roman"/>
                <w:sz w:val="18"/>
              </w:rPr>
              <w:t>1,571,583.30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313,449,192.70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本期实际核销的应收账款情况" w:id="224"/>
      <w:bookmarkEnd w:id="224"/>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1,571,583.30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29"/>
              <w:jc w:val="righ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59"/>
              <w:jc w:val="righ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1"/>
              <w:jc w:val="right"/>
              <w:rPr>
                <w:rFonts w:ascii="宋体" w:hAnsi="宋体" w:cs="宋体" w:eastAsia="宋体" w:hint="default"/>
                <w:sz w:val="18"/>
                <w:szCs w:val="18"/>
              </w:rPr>
            </w:pPr>
            <w:r>
              <w:rPr>
                <w:rFonts w:ascii="宋体" w:hAnsi="宋体" w:cs="宋体" w:eastAsia="宋体" w:hint="default"/>
                <w:sz w:val="18"/>
                <w:szCs w:val="18"/>
              </w:rPr>
              <w:t>安徽省委</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JJ</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1,136,000.00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8"/>
              <w:jc w:val="right"/>
              <w:rPr>
                <w:rFonts w:ascii="宋体" w:hAnsi="宋体" w:cs="宋体" w:eastAsia="宋体" w:hint="default"/>
                <w:sz w:val="18"/>
                <w:szCs w:val="18"/>
              </w:rPr>
            </w:pPr>
            <w:r>
              <w:rPr>
                <w:rFonts w:ascii="宋体" w:hAnsi="宋体" w:cs="宋体" w:eastAsia="宋体" w:hint="default"/>
                <w:sz w:val="18"/>
                <w:szCs w:val="18"/>
              </w:rPr>
              <w:t>总经理办公会决议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福建省委</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JJ</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248,422.61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4"/>
              <w:jc w:val="center"/>
              <w:rPr>
                <w:rFonts w:ascii="宋体" w:hAnsi="宋体" w:cs="宋体" w:eastAsia="宋体" w:hint="default"/>
                <w:sz w:val="18"/>
                <w:szCs w:val="18"/>
              </w:rPr>
            </w:pPr>
            <w:r>
              <w:rPr>
                <w:rFonts w:ascii="宋体" w:hAnsi="宋体" w:cs="宋体" w:eastAsia="宋体" w:hint="default"/>
                <w:sz w:val="18"/>
                <w:szCs w:val="18"/>
              </w:rPr>
              <w:t>总经理办公会决议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山东省委</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XX</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107,264.96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4"/>
              <w:jc w:val="center"/>
              <w:rPr>
                <w:rFonts w:ascii="宋体" w:hAnsi="宋体" w:cs="宋体" w:eastAsia="宋体" w:hint="default"/>
                <w:sz w:val="18"/>
                <w:szCs w:val="18"/>
              </w:rPr>
            </w:pPr>
            <w:r>
              <w:rPr>
                <w:rFonts w:ascii="宋体" w:hAnsi="宋体" w:cs="宋体" w:eastAsia="宋体" w:hint="default"/>
                <w:sz w:val="18"/>
                <w:szCs w:val="18"/>
              </w:rPr>
              <w:t>总经理办公会决议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1,491,687.57</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49"/>
        <w:ind w:left="152" w:right="1664" w:firstLine="0"/>
        <w:jc w:val="left"/>
        <w:rPr>
          <w:rFonts w:ascii="宋体" w:hAnsi="宋体" w:cs="宋体" w:eastAsia="宋体" w:hint="default"/>
          <w:sz w:val="18"/>
          <w:szCs w:val="18"/>
        </w:rPr>
      </w:pPr>
      <w:r>
        <w:rPr>
          <w:rFonts w:ascii="宋体" w:hAnsi="宋体" w:cs="宋体" w:eastAsia="宋体" w:hint="default"/>
          <w:sz w:val="18"/>
          <w:szCs w:val="18"/>
        </w:rPr>
        <w:t>应收账款核销说明： 本期子公司成都三零豪赛网络安全技术有限公司注销，核销应收账款</w:t>
      </w:r>
      <w:r>
        <w:rPr>
          <w:rFonts w:ascii="Times New Roman" w:hAnsi="Times New Roman" w:cs="Times New Roman" w:eastAsia="Times New Roman" w:hint="default"/>
          <w:sz w:val="18"/>
          <w:szCs w:val="18"/>
        </w:rPr>
        <w:t>1,571,583.30</w:t>
      </w:r>
      <w:r>
        <w:rPr>
          <w:rFonts w:ascii="宋体" w:hAnsi="宋体" w:cs="宋体" w:eastAsia="宋体" w:hint="default"/>
          <w:sz w:val="18"/>
          <w:szCs w:val="18"/>
        </w:rPr>
        <w:t>元，核销坏账准备</w:t>
      </w:r>
      <w:r>
        <w:rPr>
          <w:rFonts w:ascii="Times New Roman" w:hAnsi="Times New Roman" w:cs="Times New Roman" w:eastAsia="Times New Roman" w:hint="default"/>
          <w:sz w:val="18"/>
          <w:szCs w:val="18"/>
        </w:rPr>
        <w:t>1,571,583.30</w:t>
      </w:r>
      <w:r>
        <w:rPr>
          <w:rFonts w:ascii="宋体" w:hAnsi="宋体" w:cs="宋体" w:eastAsia="宋体" w:hint="default"/>
          <w:sz w:val="18"/>
          <w:szCs w:val="18"/>
        </w:rPr>
        <w:t>元。</w:t>
      </w:r>
    </w:p>
    <w:p>
      <w:pPr>
        <w:spacing w:line="240" w:lineRule="auto" w:before="9"/>
        <w:rPr>
          <w:rFonts w:ascii="宋体" w:hAnsi="宋体" w:cs="宋体" w:eastAsia="宋体" w:hint="default"/>
          <w:sz w:val="18"/>
          <w:szCs w:val="18"/>
        </w:rPr>
      </w:pPr>
    </w:p>
    <w:p>
      <w:pPr>
        <w:pStyle w:val="Heading4"/>
        <w:spacing w:line="240" w:lineRule="auto"/>
        <w:ind w:right="1133"/>
        <w:jc w:val="left"/>
        <w:rPr>
          <w:b w:val="0"/>
          <w:bCs w:val="0"/>
        </w:rPr>
      </w:pPr>
      <w:bookmarkStart w:name="（4）按欠款方归集的期末余额前五名的应收账款情况" w:id="225"/>
      <w:bookmarkEnd w:id="225"/>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0"/>
        <w:gridCol w:w="2273"/>
        <w:gridCol w:w="2787"/>
        <w:gridCol w:w="2528"/>
      </w:tblGrid>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
              <w:jc w:val="right"/>
              <w:rPr>
                <w:rFonts w:ascii="宋体" w:hAnsi="宋体" w:cs="宋体" w:eastAsia="宋体" w:hint="default"/>
                <w:sz w:val="18"/>
                <w:szCs w:val="18"/>
              </w:rPr>
            </w:pPr>
            <w:r>
              <w:rPr>
                <w:rFonts w:ascii="宋体" w:hAnsi="宋体" w:cs="宋体" w:eastAsia="宋体" w:hint="default"/>
                <w:sz w:val="18"/>
                <w:szCs w:val="18"/>
              </w:rPr>
              <w:t>占应收账款期末余额合计数的比例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215,375,652.42</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11.75%</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12,115,093.62</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98,143,654.25</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6,677,764.51</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88,709,675.32</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4,435,483.77</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66,406,752.88</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6,155,905.99</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38,106,290.20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4,904,050.06</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506,742,025.07</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27.64%</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4、预付款项" w:id="226"/>
      <w:bookmarkEnd w:id="226"/>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1）预付款项按账龄列示" w:id="227"/>
      <w:bookmarkEnd w:id="227"/>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81,377,623.20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82.50%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57,543,643.78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74.05%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6,278,591.06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15,716,381.23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20.22%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7,679,474.86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843,217.95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3,292,677.83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3,605,740.36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98,628,366.95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77,708,983.32</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4"/>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891"/>
        <w:gridCol w:w="2256"/>
        <w:gridCol w:w="2256"/>
        <w:gridCol w:w="2257"/>
      </w:tblGrid>
      <w:tr>
        <w:trPr>
          <w:trHeight w:val="341"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94" w:right="0"/>
              <w:jc w:val="left"/>
              <w:rPr>
                <w:rFonts w:ascii="宋体" w:hAnsi="宋体" w:cs="宋体" w:eastAsia="宋体" w:hint="default"/>
                <w:sz w:val="18"/>
                <w:szCs w:val="18"/>
              </w:rPr>
            </w:pPr>
            <w:r>
              <w:rPr>
                <w:rFonts w:ascii="宋体" w:hAnsi="宋体" w:cs="宋体" w:eastAsia="宋体" w:hint="default"/>
                <w:sz w:val="18"/>
                <w:szCs w:val="18"/>
              </w:rPr>
              <w:t>未及时结算原因</w:t>
            </w:r>
          </w:p>
        </w:tc>
      </w:tr>
      <w:tr>
        <w:trPr>
          <w:trHeight w:val="343"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4,800,000.00</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341"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2,554,000.00</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343"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2,006,312.00</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341"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1,814,050.00</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343"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950,033.80</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341"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12,124,395.80</w:t>
            </w:r>
          </w:p>
        </w:tc>
        <w:tc>
          <w:tcPr>
            <w:tcW w:w="2256"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2）按预付对象归集的期末余额前五名的预付款情况" w:id="228"/>
      <w:bookmarkEnd w:id="228"/>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1712"/>
        <w:gridCol w:w="1844"/>
        <w:gridCol w:w="2333"/>
        <w:gridCol w:w="1498"/>
        <w:gridCol w:w="2273"/>
      </w:tblGrid>
      <w:tr>
        <w:trPr>
          <w:trHeight w:val="341"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5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占预付款项总额的比例</w:t>
            </w:r>
            <w:r>
              <w:rPr>
                <w:rFonts w:ascii="Times New Roman" w:hAnsi="Times New Roman" w:cs="Times New Roman" w:eastAsia="Times New Roman" w:hint="default"/>
                <w:sz w:val="18"/>
                <w:szCs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92" w:right="0"/>
              <w:jc w:val="left"/>
              <w:rPr>
                <w:rFonts w:ascii="宋体" w:hAnsi="宋体" w:cs="宋体" w:eastAsia="宋体" w:hint="default"/>
                <w:sz w:val="18"/>
                <w:szCs w:val="18"/>
              </w:rPr>
            </w:pPr>
            <w:r>
              <w:rPr>
                <w:rFonts w:ascii="宋体" w:hAnsi="宋体" w:cs="宋体" w:eastAsia="宋体" w:hint="default"/>
                <w:sz w:val="18"/>
                <w:szCs w:val="18"/>
              </w:rPr>
              <w:t>预付款时间</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82"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43"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25,456,000.00</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25.81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341"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12,916,855.00</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13.09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343"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9,169,402.25</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9.30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341"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6,321,561.94</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6.41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年及</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343"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4,800,000.00</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4.87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341"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58,663,819.19</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59.48</w:t>
            </w:r>
          </w:p>
        </w:tc>
        <w:tc>
          <w:tcPr>
            <w:tcW w:w="1498" w:type="dxa"/>
            <w:tcBorders>
              <w:top w:val="single" w:sz="4" w:space="0" w:color="000000"/>
              <w:left w:val="single" w:sz="4" w:space="0" w:color="000000"/>
              <w:bottom w:val="single" w:sz="4" w:space="0" w:color="000000"/>
              <w:right w:val="single" w:sz="4" w:space="0" w:color="000000"/>
            </w:tcBorders>
          </w:tcPr>
          <w:p>
            <w:pPr/>
          </w:p>
        </w:tc>
        <w:tc>
          <w:tcPr>
            <w:tcW w:w="227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bookmarkStart w:name="5、其他应收款" w:id="229"/>
      <w:bookmarkEnd w:id="229"/>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64,421,456.20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67,416,500.37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64,421,456.20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67,416,500.37</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1）其他应收款" w:id="230"/>
      <w:bookmarkEnd w:id="230"/>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其他应收款按款项性质分类情况" w:id="231"/>
      <w:bookmarkEnd w:id="231"/>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60,089,740.07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71,339,935.36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职工业务往来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6,004,292.62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4,967,971.15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735,824.39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1,901,006.34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6,567,955.84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1,673,987.70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6,899,701.64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1,073,483.07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80,297,514.56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80,956,383.62</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坏账准备计提情况" w:id="232"/>
      <w:bookmarkEnd w:id="232"/>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68"/>
        <w:gridCol w:w="1288"/>
        <w:gridCol w:w="2099"/>
        <w:gridCol w:w="2087"/>
        <w:gridCol w:w="1816"/>
      </w:tblGrid>
      <w:tr>
        <w:trPr>
          <w:trHeight w:val="401" w:hRule="exact"/>
        </w:trPr>
        <w:tc>
          <w:tcPr>
            <w:tcW w:w="22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2"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22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9"/>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288"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82" w:right="54" w:hanging="13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 期信用损失</w:t>
            </w:r>
          </w:p>
        </w:tc>
        <w:tc>
          <w:tcPr>
            <w:tcW w:w="20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0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728"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22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8" w:type="dxa"/>
            <w:vMerge/>
            <w:tcBorders>
              <w:left w:val="single" w:sz="4" w:space="0" w:color="000000"/>
              <w:bottom w:val="single" w:sz="4" w:space="0" w:color="000000"/>
              <w:right w:val="single" w:sz="4" w:space="0" w:color="000000"/>
            </w:tcBorders>
            <w:shd w:val="clear" w:color="auto" w:fill="D2D2D2"/>
          </w:tcPr>
          <w:p>
            <w:pPr/>
          </w:p>
        </w:tc>
        <w:tc>
          <w:tcPr>
            <w:tcW w:w="2099" w:type="dxa"/>
            <w:vMerge/>
            <w:tcBorders>
              <w:left w:val="single" w:sz="4" w:space="0" w:color="000000"/>
              <w:bottom w:val="single" w:sz="4" w:space="0" w:color="000000"/>
              <w:right w:val="single" w:sz="4" w:space="0" w:color="000000"/>
            </w:tcBorders>
            <w:shd w:val="clear" w:color="auto" w:fill="D2D2D2"/>
          </w:tcPr>
          <w:p>
            <w:pPr/>
          </w:p>
        </w:tc>
        <w:tc>
          <w:tcPr>
            <w:tcW w:w="2087" w:type="dxa"/>
            <w:vMerge/>
            <w:tcBorders>
              <w:left w:val="single" w:sz="4" w:space="0" w:color="000000"/>
              <w:bottom w:val="single" w:sz="4" w:space="0" w:color="000000"/>
              <w:right w:val="single" w:sz="4" w:space="0" w:color="000000"/>
            </w:tcBorders>
            <w:shd w:val="clear" w:color="auto" w:fill="D2D2D2"/>
          </w:tcPr>
          <w:p>
            <w:pPr/>
          </w:p>
        </w:tc>
        <w:tc>
          <w:tcPr>
            <w:tcW w:w="18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303" w:right="0"/>
              <w:jc w:val="left"/>
              <w:rPr>
                <w:rFonts w:ascii="Times New Roman" w:hAnsi="Times New Roman" w:cs="Times New Roman" w:eastAsia="Times New Roman" w:hint="default"/>
                <w:sz w:val="18"/>
                <w:szCs w:val="18"/>
              </w:rPr>
            </w:pPr>
            <w:r>
              <w:rPr>
                <w:rFonts w:ascii="Times New Roman"/>
                <w:sz w:val="18"/>
              </w:rPr>
              <w:t>1,886,028.83</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5" w:right="0"/>
              <w:jc w:val="left"/>
              <w:rPr>
                <w:rFonts w:ascii="Times New Roman" w:hAnsi="Times New Roman" w:cs="Times New Roman" w:eastAsia="Times New Roman" w:hint="default"/>
                <w:sz w:val="18"/>
                <w:szCs w:val="18"/>
              </w:rPr>
            </w:pPr>
            <w:r>
              <w:rPr>
                <w:rFonts w:ascii="Times New Roman"/>
                <w:sz w:val="18"/>
              </w:rPr>
              <w:t>11,144,773.72</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5" w:right="0"/>
              <w:jc w:val="left"/>
              <w:rPr>
                <w:rFonts w:ascii="Times New Roman" w:hAnsi="Times New Roman" w:cs="Times New Roman" w:eastAsia="Times New Roman" w:hint="default"/>
                <w:sz w:val="18"/>
                <w:szCs w:val="18"/>
              </w:rPr>
            </w:pPr>
            <w:r>
              <w:rPr>
                <w:rFonts w:ascii="Times New Roman"/>
                <w:sz w:val="18"/>
              </w:rPr>
              <w:t>509,080.70</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7" w:right="0"/>
              <w:jc w:val="left"/>
              <w:rPr>
                <w:rFonts w:ascii="Times New Roman" w:hAnsi="Times New Roman" w:cs="Times New Roman" w:eastAsia="Times New Roman" w:hint="default"/>
                <w:sz w:val="18"/>
                <w:szCs w:val="18"/>
              </w:rPr>
            </w:pPr>
            <w:r>
              <w:rPr>
                <w:rFonts w:ascii="Times New Roman"/>
                <w:sz w:val="18"/>
              </w:rPr>
              <w:t>13,539,883.25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246"/>
        <w:gridCol w:w="1310"/>
        <w:gridCol w:w="2098"/>
        <w:gridCol w:w="2101"/>
        <w:gridCol w:w="1805"/>
      </w:tblGrid>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日余额在本期</w:t>
            </w:r>
          </w:p>
        </w:tc>
        <w:tc>
          <w:tcPr>
            <w:tcW w:w="13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31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-534,346.88</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534,346.88</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1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180,720.70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2,132,295.75</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32,719.36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2,345,735.81</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310" w:type="dxa"/>
            <w:tcBorders>
              <w:top w:val="single" w:sz="4" w:space="0" w:color="000000"/>
              <w:left w:val="single" w:sz="9"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9,560.70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9,560.70</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31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1,532,402.65</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13,811,416.35</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532,239.36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15,876,058.36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40" w:lineRule="auto" w:before="115"/>
        <w:ind w:left="152" w:right="1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933" w:space="489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36,865,117.28</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13,816,811.89</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17,973,289.79</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11,642,295.60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6,936,585.22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1,334,108.18</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3,371,602.20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80,297,514.56</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本期计提、收回或转回的坏账准备情况" w:id="233"/>
      <w:bookmarkEnd w:id="233"/>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71"/>
        <w:gridCol w:w="1275"/>
        <w:gridCol w:w="1135"/>
        <w:gridCol w:w="1133"/>
        <w:gridCol w:w="428"/>
        <w:gridCol w:w="425"/>
        <w:gridCol w:w="1205"/>
      </w:tblGrid>
      <w:tr>
        <w:trPr>
          <w:trHeight w:val="401" w:hRule="exact"/>
        </w:trPr>
        <w:tc>
          <w:tcPr>
            <w:tcW w:w="39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2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7" w:right="0"/>
              <w:jc w:val="left"/>
              <w:rPr>
                <w:rFonts w:ascii="宋体" w:hAnsi="宋体" w:cs="宋体" w:eastAsia="宋体" w:hint="default"/>
                <w:sz w:val="18"/>
                <w:szCs w:val="18"/>
              </w:rPr>
            </w:pPr>
            <w:r>
              <w:rPr>
                <w:rFonts w:ascii="宋体" w:hAnsi="宋体" w:cs="宋体" w:eastAsia="宋体" w:hint="default"/>
                <w:sz w:val="18"/>
                <w:szCs w:val="18"/>
              </w:rPr>
              <w:t>本期变动金额</w:t>
            </w:r>
          </w:p>
        </w:tc>
        <w:tc>
          <w:tcPr>
            <w:tcW w:w="12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3971"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0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单项计提预期信用损失的其他应收款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509,080.70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23,158.66</w:t>
            </w:r>
          </w:p>
        </w:tc>
        <w:tc>
          <w:tcPr>
            <w:tcW w:w="1133"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532,239.36</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按组合计提预期信用损失的其他应收款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13,030,802.55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2,322,577.15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9,560.70</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15,343,819.00</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13,539,883.25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2,345,735.81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9,560.70</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15,876,058.36</w:t>
            </w:r>
          </w:p>
        </w:tc>
      </w:tr>
    </w:tbl>
    <w:p>
      <w:pPr>
        <w:spacing w:line="265" w:lineRule="exact" w:before="0"/>
        <w:ind w:left="152" w:right="1133" w:firstLine="0"/>
        <w:jc w:val="left"/>
        <w:rPr>
          <w:rFonts w:ascii="宋体" w:hAnsi="宋体" w:cs="宋体" w:eastAsia="宋体" w:hint="default"/>
          <w:sz w:val="20"/>
          <w:szCs w:val="20"/>
        </w:rPr>
      </w:pPr>
      <w:r>
        <w:rPr>
          <w:rFonts w:ascii="宋体" w:hAnsi="宋体" w:cs="宋体" w:eastAsia="宋体" w:hint="default"/>
          <w:sz w:val="18"/>
          <w:szCs w:val="18"/>
        </w:rPr>
        <w:t>本期计提坏账准备金额</w:t>
      </w:r>
      <w:r>
        <w:rPr>
          <w:rFonts w:ascii="Times New Roman" w:hAnsi="Times New Roman" w:cs="Times New Roman" w:eastAsia="Times New Roman" w:hint="default"/>
          <w:sz w:val="18"/>
          <w:szCs w:val="18"/>
        </w:rPr>
        <w:t>2,345,735.81</w:t>
      </w:r>
      <w:r>
        <w:rPr>
          <w:rFonts w:ascii="宋体" w:hAnsi="宋体" w:cs="宋体" w:eastAsia="宋体" w:hint="default"/>
          <w:sz w:val="20"/>
          <w:szCs w:val="20"/>
        </w:rPr>
        <w:t>元；本期收回或转回坏账准备金额为</w:t>
      </w:r>
      <w:r>
        <w:rPr>
          <w:rFonts w:ascii="Times New Roman" w:hAnsi="Times New Roman" w:cs="Times New Roman" w:eastAsia="Times New Roman" w:hint="default"/>
          <w:sz w:val="18"/>
          <w:szCs w:val="18"/>
        </w:rPr>
        <w:t>9,560.70</w:t>
      </w:r>
      <w:r>
        <w:rPr>
          <w:rFonts w:ascii="宋体" w:hAnsi="宋体" w:cs="宋体" w:eastAsia="宋体" w:hint="default"/>
          <w:sz w:val="20"/>
          <w:szCs w:val="20"/>
        </w:rPr>
        <w:t>元。</w:t>
      </w:r>
    </w:p>
    <w:p>
      <w:pPr>
        <w:spacing w:line="240" w:lineRule="auto" w:before="8"/>
        <w:rPr>
          <w:rFonts w:ascii="宋体" w:hAnsi="宋体" w:cs="宋体" w:eastAsia="宋体" w:hint="default"/>
          <w:sz w:val="25"/>
          <w:szCs w:val="25"/>
        </w:rPr>
      </w:pPr>
    </w:p>
    <w:p>
      <w:pPr>
        <w:pStyle w:val="Heading4"/>
        <w:spacing w:line="240" w:lineRule="auto"/>
        <w:ind w:right="1133"/>
        <w:jc w:val="left"/>
        <w:rPr>
          <w:b w:val="0"/>
          <w:bCs w:val="0"/>
        </w:rPr>
      </w:pPr>
      <w:bookmarkStart w:name="4）按欠款方归集的期末余额前五名的其他应收款情况" w:id="234"/>
      <w:bookmarkEnd w:id="234"/>
      <w:r>
        <w:rPr>
          <w:b w:val="0"/>
          <w:bCs w:val="0"/>
        </w:rPr>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3,849,582.00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1,154,874.60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3,278,950.00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163,947.50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2,861,295.00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251,892.00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2,813,473.90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844,042.17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2,631,266.13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131,563.31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15,434,567.03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19.22%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2,546,319.58</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6、存货" w:id="235"/>
      <w:bookmarkEnd w:id="235"/>
      <w:r>
        <w:rPr>
          <w:b w:val="0"/>
          <w:bCs w:val="0"/>
        </w:rPr>
      </w:r>
      <w:r>
        <w:rPr>
          <w:rFonts w:ascii="Times New Roman" w:hAnsi="Times New Roman" w:cs="Times New Roman" w:eastAsia="Times New Roman" w:hint="default"/>
        </w:rPr>
        <w:t>6</w:t>
      </w:r>
      <w:r>
        <w:rPr/>
        <w:t>、存货</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1）存货分类" w:id="236"/>
      <w:bookmarkEnd w:id="236"/>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58"/>
        <w:gridCol w:w="1379"/>
        <w:gridCol w:w="1368"/>
        <w:gridCol w:w="1366"/>
        <w:gridCol w:w="1368"/>
        <w:gridCol w:w="1366"/>
        <w:gridCol w:w="1368"/>
      </w:tblGrid>
      <w:tr>
        <w:trPr>
          <w:trHeight w:val="204" w:hRule="exact"/>
        </w:trPr>
        <w:tc>
          <w:tcPr>
            <w:tcW w:w="135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8"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76,320,606.26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3,633,401.60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72,687,204.66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47,129,511.30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3,883,632.04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43,245,879.26</w:t>
            </w: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88,277,537.75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285,254.28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87,992,283.47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54,399,118.84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54,399,118.84</w:t>
            </w: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103,196,291.31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3,751,581.50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99,444,709.81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168,021,331.35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10,763,078.43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157,258,252.92</w:t>
            </w: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137,739.30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137,739.30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140,533.85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140,533.85</w:t>
            </w: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39,087,147.63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10,122,557.15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28,964,590.48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61,708,261.37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8,221,864.65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53,486,396.72</w:t>
            </w:r>
          </w:p>
        </w:tc>
      </w:tr>
      <w:tr>
        <w:trPr>
          <w:trHeight w:val="40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1,286,645.65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1,286,645.65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1,286,645.65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1,286,645.65</w:t>
            </w: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308,305,967.90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17,792,794.53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290,513,173.37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332,685,402.36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22,868,575.12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309,816,827.24</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存货跌价准备" w:id="237"/>
      <w:bookmarkEnd w:id="237"/>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3,883,632.04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532,800.21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783,030.65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3,633,401.60</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12"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285,254.28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285,254.28</w:t>
            </w:r>
          </w:p>
        </w:tc>
      </w:tr>
      <w:tr>
        <w:trPr>
          <w:trHeight w:val="40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10,763,078.43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2,012,860.63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9,024,357.56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3,751,581.50</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其他存货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8,221,864.65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5,254,906.86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3,354,214.36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10,122,557.15</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22,868,575.12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8,085,821.98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13,161,602.57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17,792,794.53</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7、其他流动资产" w:id="238"/>
      <w:bookmarkEnd w:id="238"/>
      <w:r>
        <w:rPr>
          <w:b w:val="0"/>
          <w:bCs w:val="0"/>
        </w:rPr>
      </w:r>
      <w:r>
        <w:rPr>
          <w:rFonts w:ascii="Times New Roman" w:hAnsi="Times New Roman" w:cs="Times New Roman" w:eastAsia="Times New Roman" w:hint="default"/>
        </w:rPr>
        <w:t>7</w:t>
      </w:r>
      <w:r>
        <w:rPr/>
        <w:t>、其他流动资产</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70,344,355.49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56,825,569.77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391,102.75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181,917.90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70,735,458.24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57,007,487.67</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8、长期股权投资" w:id="239"/>
      <w:bookmarkEnd w:id="239"/>
      <w:r>
        <w:rPr>
          <w:b w:val="0"/>
          <w:bCs w:val="0"/>
        </w:rPr>
      </w:r>
      <w:r>
        <w:rPr>
          <w:rFonts w:ascii="Times New Roman" w:hAnsi="Times New Roman" w:cs="Times New Roman" w:eastAsia="Times New Roman" w:hint="default"/>
        </w:rPr>
        <w:t>8</w:t>
      </w:r>
      <w:r>
        <w:rPr/>
        <w:t>、长期股权投资</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77"/>
        <w:gridCol w:w="850"/>
        <w:gridCol w:w="569"/>
        <w:gridCol w:w="492"/>
        <w:gridCol w:w="799"/>
        <w:gridCol w:w="797"/>
        <w:gridCol w:w="800"/>
        <w:gridCol w:w="797"/>
        <w:gridCol w:w="799"/>
        <w:gridCol w:w="797"/>
        <w:gridCol w:w="799"/>
        <w:gridCol w:w="797"/>
      </w:tblGrid>
      <w:tr>
        <w:trPr>
          <w:trHeight w:val="403" w:hRule="exact"/>
        </w:trPr>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60" w:right="59"/>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585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9"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98" w:right="99"/>
              <w:jc w:val="left"/>
              <w:rPr>
                <w:rFonts w:ascii="宋体" w:hAnsi="宋体" w:cs="宋体" w:eastAsia="宋体" w:hint="default"/>
                <w:sz w:val="18"/>
                <w:szCs w:val="18"/>
              </w:rPr>
            </w:pPr>
            <w:r>
              <w:rPr>
                <w:rFonts w:ascii="宋体" w:hAnsi="宋体" w:cs="宋体" w:eastAsia="宋体" w:hint="default"/>
                <w:sz w:val="18"/>
                <w:szCs w:val="18"/>
              </w:rPr>
              <w:t>追加 投资</w:t>
            </w:r>
          </w:p>
        </w:tc>
        <w:tc>
          <w:tcPr>
            <w:tcW w:w="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62" w:right="59"/>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成都摩宝网络 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22,262,43</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0.12</w:t>
            </w:r>
          </w:p>
        </w:tc>
        <w:tc>
          <w:tcPr>
            <w:tcW w:w="56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-1,648,82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7.10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20,613,60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3.02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成都市数字城 市运营管理有 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9,155,661.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59</w:t>
            </w:r>
          </w:p>
        </w:tc>
        <w:tc>
          <w:tcPr>
            <w:tcW w:w="56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-973,635.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8,182,026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31,418,09</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1.71</w:t>
            </w:r>
          </w:p>
        </w:tc>
        <w:tc>
          <w:tcPr>
            <w:tcW w:w="56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-2,622,46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2.15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28,795,62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9.56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31,418,09</w:t>
            </w:r>
          </w:p>
          <w:p>
            <w:pPr>
              <w:pStyle w:val="TableParagraph"/>
              <w:spacing w:line="240" w:lineRule="auto" w:before="102"/>
              <w:ind w:left="503" w:right="0"/>
              <w:jc w:val="left"/>
              <w:rPr>
                <w:rFonts w:ascii="Times New Roman" w:hAnsi="Times New Roman" w:cs="Times New Roman" w:eastAsia="Times New Roman" w:hint="default"/>
                <w:sz w:val="18"/>
                <w:szCs w:val="18"/>
              </w:rPr>
            </w:pPr>
            <w:r>
              <w:rPr>
                <w:rFonts w:ascii="Times New Roman"/>
                <w:sz w:val="18"/>
              </w:rPr>
              <w:t>1.71</w:t>
            </w:r>
          </w:p>
        </w:tc>
        <w:tc>
          <w:tcPr>
            <w:tcW w:w="56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-2,622,46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2.15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28,795,62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9.56</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9、其他权益工具投资" w:id="240"/>
      <w:bookmarkEnd w:id="240"/>
      <w:r>
        <w:rPr>
          <w:b w:val="0"/>
          <w:bCs w:val="0"/>
        </w:rPr>
      </w:r>
      <w:r>
        <w:rPr>
          <w:rFonts w:ascii="Times New Roman" w:hAnsi="Times New Roman" w:cs="Times New Roman" w:eastAsia="Times New Roman" w:hint="default"/>
        </w:rPr>
        <w:t>9</w:t>
      </w:r>
      <w:r>
        <w:rPr/>
        <w:t>、其他权益工具投资</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成都兴政电子政务运营服务有限公司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2,528,373.48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深圳市虹安信息安全技术有限公司</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2,528,373.48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分项披露本期非交易性权益工具投资</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1"/>
        <w:gridCol w:w="850"/>
        <w:gridCol w:w="994"/>
        <w:gridCol w:w="991"/>
        <w:gridCol w:w="1277"/>
        <w:gridCol w:w="2392"/>
        <w:gridCol w:w="1367"/>
      </w:tblGrid>
      <w:tr>
        <w:trPr>
          <w:trHeight w:val="1027"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8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1" w:right="59" w:hanging="92"/>
              <w:jc w:val="left"/>
              <w:rPr>
                <w:rFonts w:ascii="宋体" w:hAnsi="宋体" w:cs="宋体" w:eastAsia="宋体" w:hint="default"/>
                <w:sz w:val="18"/>
                <w:szCs w:val="18"/>
              </w:rPr>
            </w:pPr>
            <w:r>
              <w:rPr>
                <w:rFonts w:ascii="宋体" w:hAnsi="宋体" w:cs="宋体" w:eastAsia="宋体" w:hint="default"/>
                <w:sz w:val="18"/>
                <w:szCs w:val="18"/>
              </w:rPr>
              <w:t>确认的股 利收入</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2"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1"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3"/>
              <w:jc w:val="center"/>
              <w:rPr>
                <w:rFonts w:ascii="宋体" w:hAnsi="宋体" w:cs="宋体" w:eastAsia="宋体" w:hint="default"/>
                <w:sz w:val="18"/>
                <w:szCs w:val="18"/>
              </w:rPr>
            </w:pPr>
            <w:r>
              <w:rPr>
                <w:rFonts w:ascii="宋体" w:hAnsi="宋体" w:cs="宋体" w:eastAsia="宋体" w:hint="default"/>
                <w:sz w:val="18"/>
                <w:szCs w:val="18"/>
              </w:rPr>
              <w:t>其他综合收益 转入留存收益 的金额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 w:right="110"/>
              <w:jc w:val="center"/>
              <w:rPr>
                <w:rFonts w:ascii="宋体" w:hAnsi="宋体" w:cs="宋体" w:eastAsia="宋体" w:hint="default"/>
                <w:sz w:val="18"/>
                <w:szCs w:val="18"/>
              </w:rPr>
            </w:pPr>
            <w:r>
              <w:rPr>
                <w:rFonts w:ascii="宋体" w:hAnsi="宋体" w:cs="宋体" w:eastAsia="宋体" w:hint="default"/>
                <w:sz w:val="18"/>
                <w:szCs w:val="18"/>
              </w:rPr>
              <w:t>指定为以公允价值计量且其 变动计入其他综合收益的原 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bl>
    <w:p>
      <w:pPr>
        <w:spacing w:after="0" w:line="316"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702"/>
        <w:gridCol w:w="850"/>
        <w:gridCol w:w="994"/>
        <w:gridCol w:w="991"/>
        <w:gridCol w:w="1277"/>
        <w:gridCol w:w="2391"/>
        <w:gridCol w:w="1368"/>
      </w:tblGrid>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成都兴政电子政务运 营服务有限公司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528,373.48</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长期持有</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46"/>
              <w:jc w:val="left"/>
              <w:rPr>
                <w:rFonts w:ascii="宋体" w:hAnsi="宋体" w:cs="宋体" w:eastAsia="宋体" w:hint="default"/>
                <w:sz w:val="18"/>
                <w:szCs w:val="18"/>
              </w:rPr>
            </w:pPr>
            <w:r>
              <w:rPr>
                <w:rFonts w:ascii="宋体" w:hAnsi="宋体" w:cs="宋体" w:eastAsia="宋体" w:hint="default"/>
                <w:sz w:val="18"/>
                <w:szCs w:val="18"/>
              </w:rPr>
              <w:t>深圳市虹安信息安全 技术有限公司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长期持有</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528,373.48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10、固定资产" w:id="241"/>
      <w:bookmarkEnd w:id="241"/>
      <w:r>
        <w:rPr>
          <w:b w:val="0"/>
          <w:bCs w:val="0"/>
        </w:rPr>
      </w:r>
      <w:r>
        <w:rPr>
          <w:rFonts w:ascii="Times New Roman" w:hAnsi="Times New Roman" w:cs="Times New Roman" w:eastAsia="Times New Roman" w:hint="default"/>
        </w:rPr>
        <w:t>10</w:t>
      </w:r>
      <w:r>
        <w:rPr/>
        <w:t>、固定资产</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309,875,547.72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263,195,958.75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309,875,547.72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263,195,958.75</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1）固定资产情况" w:id="242"/>
      <w:bookmarkEnd w:id="242"/>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46"/>
        <w:gridCol w:w="1288"/>
        <w:gridCol w:w="1274"/>
        <w:gridCol w:w="1136"/>
        <w:gridCol w:w="1277"/>
        <w:gridCol w:w="1133"/>
        <w:gridCol w:w="1205"/>
      </w:tblGrid>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88" w:type="dxa"/>
            <w:tcBorders>
              <w:top w:val="single" w:sz="4" w:space="0" w:color="000000"/>
              <w:left w:val="single" w:sz="9"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268,849,005.31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23,617,970.45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17,391,696.06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111,331,148.49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6,851,220.32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428,041,040.63</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88" w:type="dxa"/>
            <w:tcBorders>
              <w:top w:val="single" w:sz="4" w:space="0" w:color="000000"/>
              <w:left w:val="single" w:sz="9"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55,216,308.20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820,879.64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15,651,716.57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80,672.42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71,769,576.83</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88" w:type="dxa"/>
            <w:tcBorders>
              <w:top w:val="single" w:sz="4" w:space="0" w:color="000000"/>
              <w:left w:val="single" w:sz="9"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562,524.17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820,879.64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15,651,716.57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80,672.42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17,115,792.80</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30"/>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288" w:type="dxa"/>
            <w:tcBorders>
              <w:top w:val="single" w:sz="4" w:space="0" w:color="000000"/>
              <w:left w:val="single" w:sz="9"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30"/>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288" w:type="dxa"/>
            <w:tcBorders>
              <w:top w:val="single" w:sz="4" w:space="0" w:color="000000"/>
              <w:left w:val="single" w:sz="9"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其他增加</w:t>
            </w:r>
          </w:p>
        </w:tc>
        <w:tc>
          <w:tcPr>
            <w:tcW w:w="1288" w:type="dxa"/>
            <w:tcBorders>
              <w:top w:val="single" w:sz="4" w:space="0" w:color="000000"/>
              <w:left w:val="single" w:sz="9"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54,653,784.03</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54,653,784.03</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88" w:type="dxa"/>
            <w:tcBorders>
              <w:top w:val="single" w:sz="4" w:space="0" w:color="000000"/>
              <w:left w:val="single" w:sz="9"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535,103.36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3,302,042.14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1,974,533.80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5,811,679.30</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88" w:type="dxa"/>
            <w:tcBorders>
              <w:top w:val="single" w:sz="4" w:space="0" w:color="000000"/>
              <w:left w:val="single" w:sz="9"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535,103.36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3,302,042.14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1,974,533.80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5,811,679.30</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288" w:type="dxa"/>
            <w:tcBorders>
              <w:top w:val="single" w:sz="4" w:space="0" w:color="000000"/>
              <w:left w:val="single" w:sz="9"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268,849,005.31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78,299,175.29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14,910,533.56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125,008,331.26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6,931,892.74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493,998,938.16</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288" w:type="dxa"/>
            <w:tcBorders>
              <w:top w:val="single" w:sz="4" w:space="0" w:color="000000"/>
              <w:left w:val="single" w:sz="9"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59,081,927.65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23,040,403.10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16,293,935.29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61,589,949.61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4,838,866.23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164,845,081.88</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5,128,466.16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272,503.67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384,144.54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18,478,770.70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664,160.38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24,928,045.45</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5,128,466.16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272,503.67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384,144.54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18,478,770.70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664,160.38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24,928,045.45</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88" w:type="dxa"/>
            <w:tcBorders>
              <w:top w:val="single" w:sz="4" w:space="0" w:color="000000"/>
              <w:left w:val="single" w:sz="9"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535,103.36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3,199,815.92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1,914,817.61</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5,649,736.89</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88" w:type="dxa"/>
            <w:tcBorders>
              <w:top w:val="single" w:sz="4" w:space="0" w:color="000000"/>
              <w:left w:val="single" w:sz="9"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535,103.36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3,199,815.92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1,914,817.61</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5,649,736.89</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64,210,393.81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22,777,803.41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13,478,263.91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78,153,902.70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5,503,026.61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184,123,390.44</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88" w:type="dxa"/>
            <w:tcBorders>
              <w:top w:val="single" w:sz="4" w:space="0" w:color="000000"/>
              <w:left w:val="single" w:sz="9"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67"/>
        <w:gridCol w:w="1277"/>
        <w:gridCol w:w="1274"/>
        <w:gridCol w:w="1136"/>
        <w:gridCol w:w="1277"/>
        <w:gridCol w:w="1133"/>
        <w:gridCol w:w="1205"/>
      </w:tblGrid>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204,638,611.50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55,521,371.88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1,432,269.65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46,854,428.56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1,428,866.13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left"/>
              <w:rPr>
                <w:rFonts w:ascii="Times New Roman" w:hAnsi="Times New Roman" w:cs="Times New Roman" w:eastAsia="Times New Roman" w:hint="default"/>
                <w:sz w:val="18"/>
                <w:szCs w:val="18"/>
              </w:rPr>
            </w:pPr>
            <w:r>
              <w:rPr>
                <w:rFonts w:ascii="Times New Roman"/>
                <w:sz w:val="18"/>
              </w:rPr>
              <w:t>309,875,547.72</w:t>
            </w: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209,767,077.66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577,567.35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1,097,760.77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49,741,198.88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2,012,354.09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263,195,958.75</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11、在建工程" w:id="243"/>
      <w:bookmarkEnd w:id="243"/>
      <w:r>
        <w:rPr>
          <w:b w:val="0"/>
          <w:bCs w:val="0"/>
        </w:rPr>
      </w:r>
      <w:r>
        <w:rPr>
          <w:rFonts w:ascii="Times New Roman" w:hAnsi="Times New Roman" w:cs="Times New Roman" w:eastAsia="Times New Roman" w:hint="default"/>
        </w:rPr>
        <w:t>11</w:t>
      </w:r>
      <w:r>
        <w:rPr/>
        <w:t>、在建工程</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1,176,786,119.27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1,174,009,876.86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1,176,786,119.27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1,174,009,876.86</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1）在建工程情况" w:id="244"/>
      <w:bookmarkEnd w:id="244"/>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5"/>
        <w:gridCol w:w="1419"/>
        <w:gridCol w:w="991"/>
        <w:gridCol w:w="1419"/>
        <w:gridCol w:w="1418"/>
        <w:gridCol w:w="973"/>
        <w:gridCol w:w="1368"/>
      </w:tblGrid>
      <w:tr>
        <w:trPr>
          <w:trHeight w:val="401" w:hRule="exact"/>
        </w:trPr>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5"/>
                <w:sz w:val="18"/>
                <w:szCs w:val="18"/>
              </w:rPr>
              <w:t>北京网安生产、研发及办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公环境建设项目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1,163,097,398.37</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1,163,097,398.37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1,163,097,398.37</w:t>
            </w:r>
          </w:p>
        </w:tc>
        <w:tc>
          <w:tcPr>
            <w:tcW w:w="97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1,163,097,398.37</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行业安全解决方案创新 中心平台建设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13,688,720.90</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13,688,720.90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8,999,848.29</w:t>
            </w:r>
          </w:p>
        </w:tc>
        <w:tc>
          <w:tcPr>
            <w:tcW w:w="97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8,999,848.29</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本部云平台建设项目</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1,912,630.20</w:t>
            </w:r>
          </w:p>
        </w:tc>
        <w:tc>
          <w:tcPr>
            <w:tcW w:w="97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1,912,630.20</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1,176,786,119.27</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1,176,786,119.27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1,174,009,876.86</w:t>
            </w:r>
          </w:p>
        </w:tc>
        <w:tc>
          <w:tcPr>
            <w:tcW w:w="97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1,174,009,876.86</w:t>
            </w:r>
          </w:p>
        </w:tc>
      </w:tr>
    </w:tbl>
    <w:p>
      <w:pPr>
        <w:spacing w:line="316" w:lineRule="auto" w:before="49"/>
        <w:ind w:left="152" w:right="1133" w:firstLine="0"/>
        <w:jc w:val="left"/>
        <w:rPr>
          <w:rFonts w:ascii="宋体" w:hAnsi="宋体" w:cs="宋体" w:eastAsia="宋体" w:hint="default"/>
          <w:sz w:val="18"/>
          <w:szCs w:val="18"/>
        </w:rPr>
      </w:pPr>
      <w:r>
        <w:rPr>
          <w:rFonts w:ascii="宋体" w:hAnsi="宋体" w:cs="宋体" w:eastAsia="宋体" w:hint="default"/>
          <w:spacing w:val="-2"/>
          <w:sz w:val="18"/>
          <w:szCs w:val="18"/>
        </w:rPr>
        <w:t>注：北京网安生产、研发及办公环境建设项目程情况详见本附注十三、承诺及或有事项（二）资产负债表日存在的重要或有</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事项“北京网安房产未决诉讼”。</w:t>
      </w:r>
    </w:p>
    <w:p>
      <w:pPr>
        <w:spacing w:line="240" w:lineRule="auto" w:before="9"/>
        <w:rPr>
          <w:rFonts w:ascii="宋体" w:hAnsi="宋体" w:cs="宋体" w:eastAsia="宋体" w:hint="default"/>
          <w:sz w:val="22"/>
          <w:szCs w:val="22"/>
        </w:rPr>
      </w:pPr>
    </w:p>
    <w:p>
      <w:pPr>
        <w:pStyle w:val="Heading4"/>
        <w:spacing w:line="240" w:lineRule="auto"/>
        <w:ind w:right="1133"/>
        <w:jc w:val="left"/>
        <w:rPr>
          <w:b w:val="0"/>
          <w:bCs w:val="0"/>
        </w:rPr>
      </w:pPr>
      <w:bookmarkStart w:name="（2）重要在建工程项目本期变动情况" w:id="245"/>
      <w:bookmarkEnd w:id="245"/>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4"/>
        <w:gridCol w:w="737"/>
        <w:gridCol w:w="737"/>
        <w:gridCol w:w="734"/>
        <w:gridCol w:w="737"/>
        <w:gridCol w:w="737"/>
        <w:gridCol w:w="734"/>
        <w:gridCol w:w="737"/>
        <w:gridCol w:w="737"/>
        <w:gridCol w:w="734"/>
        <w:gridCol w:w="737"/>
      </w:tblGrid>
      <w:tr>
        <w:trPr>
          <w:trHeight w:val="1337"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0"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961"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北京网 安生产、 研发及 办公环 境建设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1,342,68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0,000.00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1,163,09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7,398.37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1,163,09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7,398.37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86.63%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17"/>
              <w:jc w:val="center"/>
              <w:rPr>
                <w:rFonts w:ascii="Times New Roman" w:hAnsi="Times New Roman" w:cs="Times New Roman" w:eastAsia="Times New Roman" w:hint="default"/>
                <w:sz w:val="18"/>
                <w:szCs w:val="18"/>
              </w:rPr>
            </w:pPr>
            <w:r>
              <w:rPr>
                <w:rFonts w:ascii="Times New Roman"/>
                <w:sz w:val="18"/>
              </w:rPr>
              <w:t>86.63%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96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both"/>
              <w:rPr>
                <w:rFonts w:ascii="宋体" w:hAnsi="宋体" w:cs="宋体" w:eastAsia="宋体" w:hint="default"/>
                <w:sz w:val="18"/>
                <w:szCs w:val="18"/>
              </w:rPr>
            </w:pPr>
            <w:r>
              <w:rPr>
                <w:rFonts w:ascii="宋体" w:hAnsi="宋体" w:cs="宋体" w:eastAsia="宋体" w:hint="default"/>
                <w:sz w:val="18"/>
                <w:szCs w:val="18"/>
              </w:rPr>
              <w:t>行业安 全解决 方案创 新中心 平台建 设</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20,294,4</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8,999,84</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8.29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4,688,87</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2.61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13,688,7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20.90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67.45%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7"/>
              <w:jc w:val="center"/>
              <w:rPr>
                <w:rFonts w:ascii="Times New Roman" w:hAnsi="Times New Roman" w:cs="Times New Roman" w:eastAsia="Times New Roman" w:hint="default"/>
                <w:sz w:val="18"/>
                <w:szCs w:val="18"/>
              </w:rPr>
            </w:pPr>
            <w:r>
              <w:rPr>
                <w:rFonts w:ascii="Times New Roman"/>
                <w:sz w:val="18"/>
              </w:rPr>
              <w:t>67.45%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1,362,97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4,400.00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1,172,09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7,246.66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4,688,87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2.61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1,176,78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6,119.27</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12、无形资产" w:id="246"/>
      <w:bookmarkEnd w:id="246"/>
      <w:r>
        <w:rPr>
          <w:b w:val="0"/>
          <w:bCs w:val="0"/>
        </w:rPr>
      </w:r>
      <w:r>
        <w:rPr>
          <w:rFonts w:ascii="Times New Roman" w:hAnsi="Times New Roman" w:cs="Times New Roman" w:eastAsia="Times New Roman" w:hint="default"/>
        </w:rPr>
        <w:t>12</w:t>
      </w:r>
      <w:r>
        <w:rPr/>
        <w:t>、无形资产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1）无形资产情况" w:id="247"/>
      <w:bookmarkEnd w:id="247"/>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2416"/>
        <w:gridCol w:w="1451"/>
        <w:gridCol w:w="1940"/>
        <w:gridCol w:w="1940"/>
        <w:gridCol w:w="1939"/>
      </w:tblGrid>
      <w:tr>
        <w:trPr>
          <w:trHeight w:val="403" w:hRule="exact"/>
        </w:trPr>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专利权</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6"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51" w:type="dxa"/>
            <w:tcBorders>
              <w:top w:val="single" w:sz="4" w:space="0" w:color="000000"/>
              <w:left w:val="single" w:sz="10" w:space="0" w:color="D2D2D2"/>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84,886,862.85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52,130,741.94</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22,340,887.01</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159,358,491.80</w:t>
            </w:r>
          </w:p>
        </w:tc>
      </w:tr>
      <w:tr>
        <w:trPr>
          <w:trHeight w:val="401" w:hRule="exact"/>
        </w:trPr>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13,532,897.23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3,476,917.77</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12,152,796.91</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29,162,611.91</w:t>
            </w:r>
          </w:p>
        </w:tc>
      </w:tr>
      <w:tr>
        <w:trPr>
          <w:trHeight w:val="403" w:hRule="exact"/>
        </w:trPr>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1,066,647.82</w:t>
            </w:r>
          </w:p>
        </w:tc>
        <w:tc>
          <w:tcPr>
            <w:tcW w:w="1940"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1,066,647.82</w:t>
            </w:r>
          </w:p>
        </w:tc>
      </w:tr>
      <w:tr>
        <w:trPr>
          <w:trHeight w:val="401" w:hRule="exact"/>
        </w:trPr>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4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12,466,249.41</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3,476,917.77</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12,152,796.91</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28,095,964.09</w:t>
            </w:r>
          </w:p>
        </w:tc>
      </w:tr>
      <w:tr>
        <w:trPr>
          <w:trHeight w:val="403" w:hRule="exact"/>
        </w:trPr>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451" w:type="dxa"/>
            <w:tcBorders>
              <w:top w:val="single" w:sz="4" w:space="0" w:color="000000"/>
              <w:left w:val="single" w:sz="10" w:space="0" w:color="D2D2D2"/>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51" w:type="dxa"/>
            <w:tcBorders>
              <w:top w:val="single" w:sz="4" w:space="0" w:color="000000"/>
              <w:left w:val="single" w:sz="10" w:space="0" w:color="D2D2D2"/>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51" w:type="dxa"/>
            <w:tcBorders>
              <w:top w:val="single" w:sz="4" w:space="0" w:color="000000"/>
              <w:left w:val="single" w:sz="10" w:space="0" w:color="D2D2D2"/>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98,419,760.08</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55,607,659.71</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34,493,683.92</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188,521,103.71</w:t>
            </w:r>
          </w:p>
        </w:tc>
      </w:tr>
      <w:tr>
        <w:trPr>
          <w:trHeight w:val="403" w:hRule="exact"/>
        </w:trPr>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451" w:type="dxa"/>
            <w:tcBorders>
              <w:top w:val="single" w:sz="4" w:space="0" w:color="000000"/>
              <w:left w:val="single" w:sz="10" w:space="0" w:color="D2D2D2"/>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38,704,649.70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13,502,042.23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8,643,858.50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60,850,550.43</w:t>
            </w:r>
          </w:p>
        </w:tc>
      </w:tr>
      <w:tr>
        <w:trPr>
          <w:trHeight w:val="403" w:hRule="exact"/>
        </w:trPr>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14,689,199.61</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4,805,480.14</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10,553,741.27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30,048,421.02</w:t>
            </w:r>
          </w:p>
        </w:tc>
      </w:tr>
      <w:tr>
        <w:trPr>
          <w:trHeight w:val="401" w:hRule="exact"/>
        </w:trPr>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14,689,199.61</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4,805,480.14</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10,553,741.27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30,048,421.02</w:t>
            </w:r>
          </w:p>
        </w:tc>
      </w:tr>
      <w:tr>
        <w:trPr>
          <w:trHeight w:val="403" w:hRule="exact"/>
        </w:trPr>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51" w:type="dxa"/>
            <w:tcBorders>
              <w:top w:val="single" w:sz="4" w:space="0" w:color="000000"/>
              <w:left w:val="single" w:sz="10" w:space="0" w:color="D2D2D2"/>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51" w:type="dxa"/>
            <w:tcBorders>
              <w:top w:val="single" w:sz="4" w:space="0" w:color="000000"/>
              <w:left w:val="single" w:sz="10" w:space="0" w:color="D2D2D2"/>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53,393,849.31</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18,307,522.37</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19,197,599.77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90,898,971.45</w:t>
            </w:r>
          </w:p>
        </w:tc>
      </w:tr>
      <w:tr>
        <w:trPr>
          <w:trHeight w:val="403" w:hRule="exact"/>
        </w:trPr>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51" w:type="dxa"/>
            <w:tcBorders>
              <w:top w:val="single" w:sz="4" w:space="0" w:color="000000"/>
              <w:left w:val="single" w:sz="10" w:space="0" w:color="D2D2D2"/>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20" w:type="dxa"/>
        <w:tblLayout w:type="fixed"/>
        <w:tblCellMar>
          <w:top w:w="0" w:type="dxa"/>
          <w:left w:w="0" w:type="dxa"/>
          <w:bottom w:w="0" w:type="dxa"/>
          <w:right w:w="0" w:type="dxa"/>
        </w:tblCellMar>
        <w:tblLook w:val="01E0"/>
      </w:tblPr>
      <w:tblGrid>
        <w:gridCol w:w="2438"/>
        <w:gridCol w:w="1441"/>
        <w:gridCol w:w="1940"/>
        <w:gridCol w:w="1940"/>
        <w:gridCol w:w="1939"/>
      </w:tblGrid>
      <w:tr>
        <w:trPr>
          <w:trHeight w:val="401" w:hRule="exact"/>
        </w:trPr>
        <w:tc>
          <w:tcPr>
            <w:tcW w:w="2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4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25"/>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4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4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25"/>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4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4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4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4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2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45,025,910.77</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37,300,137.34</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15,296,084.15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97,622,132.26</w:t>
            </w:r>
          </w:p>
        </w:tc>
      </w:tr>
      <w:tr>
        <w:trPr>
          <w:trHeight w:val="403" w:hRule="exact"/>
        </w:trPr>
        <w:tc>
          <w:tcPr>
            <w:tcW w:w="2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5"/>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46,182,213.15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38,628,699.71</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13,697,028.51</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98,507,941.37</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51.44%</w:t>
      </w:r>
      <w:r>
        <w:rPr>
          <w:rFonts w:ascii="宋体" w:hAnsi="宋体" w:cs="宋体" w:eastAsia="宋体" w:hint="default"/>
          <w:sz w:val="18"/>
          <w:szCs w:val="18"/>
        </w:rPr>
        <w:t>。</w:t>
      </w:r>
    </w:p>
    <w:p>
      <w:pPr>
        <w:spacing w:line="240" w:lineRule="auto" w:before="0"/>
        <w:rPr>
          <w:rFonts w:ascii="宋体" w:hAnsi="宋体" w:cs="宋体" w:eastAsia="宋体" w:hint="default"/>
          <w:sz w:val="26"/>
          <w:szCs w:val="26"/>
        </w:rPr>
      </w:pPr>
    </w:p>
    <w:p>
      <w:pPr>
        <w:pStyle w:val="Heading4"/>
        <w:spacing w:line="240" w:lineRule="auto"/>
        <w:ind w:right="1133"/>
        <w:jc w:val="left"/>
        <w:rPr>
          <w:b w:val="0"/>
          <w:bCs w:val="0"/>
        </w:rPr>
      </w:pPr>
      <w:bookmarkStart w:name="13、开发支出" w:id="248"/>
      <w:bookmarkEnd w:id="248"/>
      <w:r>
        <w:rPr>
          <w:b w:val="0"/>
          <w:bCs w:val="0"/>
        </w:rPr>
      </w:r>
      <w:r>
        <w:rPr>
          <w:rFonts w:ascii="Times New Roman" w:hAnsi="Times New Roman" w:cs="Times New Roman" w:eastAsia="Times New Roman" w:hint="default"/>
        </w:rPr>
        <w:t>13</w:t>
      </w:r>
      <w:r>
        <w:rPr/>
        <w:t>、开发支出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2843"/>
        <w:gridCol w:w="1142"/>
        <w:gridCol w:w="1280"/>
        <w:gridCol w:w="566"/>
        <w:gridCol w:w="1416"/>
        <w:gridCol w:w="1277"/>
        <w:gridCol w:w="1162"/>
      </w:tblGrid>
      <w:tr>
        <w:trPr>
          <w:trHeight w:val="204" w:hRule="exact"/>
        </w:trPr>
        <w:tc>
          <w:tcPr>
            <w:tcW w:w="2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2"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6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0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2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6" w:type="dxa"/>
            <w:gridSpan w:val="2"/>
            <w:vMerge/>
            <w:tcBorders>
              <w:left w:val="single" w:sz="4" w:space="0" w:color="000000"/>
              <w:bottom w:val="single" w:sz="4" w:space="0" w:color="000000"/>
              <w:right w:val="single" w:sz="4" w:space="0" w:color="000000"/>
            </w:tcBorders>
            <w:shd w:val="clear" w:color="auto" w:fill="D2D2D2"/>
          </w:tcPr>
          <w:p>
            <w:pPr/>
          </w:p>
        </w:tc>
        <w:tc>
          <w:tcPr>
            <w:tcW w:w="2693" w:type="dxa"/>
            <w:gridSpan w:val="2"/>
            <w:vMerge/>
            <w:tcBorders>
              <w:left w:val="single" w:sz="4" w:space="0" w:color="000000"/>
              <w:bottom w:val="single" w:sz="4" w:space="0" w:color="000000"/>
              <w:right w:val="single" w:sz="4" w:space="0" w:color="000000"/>
            </w:tcBorders>
            <w:shd w:val="clear" w:color="auto" w:fill="D2D2D2"/>
          </w:tcPr>
          <w:p>
            <w:pPr/>
          </w:p>
        </w:tc>
        <w:tc>
          <w:tcPr>
            <w:tcW w:w="1162" w:type="dxa"/>
            <w:vMerge/>
            <w:tcBorders>
              <w:left w:val="single" w:sz="4" w:space="0" w:color="000000"/>
              <w:right w:val="single" w:sz="4" w:space="0" w:color="000000"/>
            </w:tcBorders>
            <w:shd w:val="clear" w:color="auto" w:fill="D2D2D2"/>
          </w:tcPr>
          <w:p>
            <w:pPr/>
          </w:p>
        </w:tc>
      </w:tr>
      <w:tr>
        <w:trPr>
          <w:trHeight w:val="197" w:hRule="exact"/>
        </w:trPr>
        <w:tc>
          <w:tcPr>
            <w:tcW w:w="2843" w:type="dxa"/>
            <w:vMerge/>
            <w:tcBorders>
              <w:left w:val="single" w:sz="4" w:space="0" w:color="000000"/>
              <w:bottom w:val="nil" w:sz="6" w:space="0" w:color="auto"/>
              <w:right w:val="single" w:sz="4" w:space="0" w:color="000000"/>
            </w:tcBorders>
            <w:shd w:val="clear" w:color="auto" w:fill="D2D2D2"/>
          </w:tcPr>
          <w:p>
            <w:pPr/>
          </w:p>
        </w:tc>
        <w:tc>
          <w:tcPr>
            <w:tcW w:w="1142" w:type="dxa"/>
            <w:vMerge/>
            <w:tcBorders>
              <w:left w:val="single" w:sz="4" w:space="0" w:color="000000"/>
              <w:bottom w:val="nil" w:sz="6" w:space="0" w:color="auto"/>
              <w:right w:val="single" w:sz="4" w:space="0" w:color="000000"/>
            </w:tcBorders>
            <w:shd w:val="clear" w:color="auto" w:fill="D2D2D2"/>
          </w:tcPr>
          <w:p>
            <w:pPr/>
          </w:p>
        </w:tc>
        <w:tc>
          <w:tcPr>
            <w:tcW w:w="12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162" w:type="dxa"/>
            <w:vMerge/>
            <w:tcBorders>
              <w:left w:val="single" w:sz="4" w:space="0" w:color="000000"/>
              <w:right w:val="single" w:sz="4" w:space="0" w:color="000000"/>
            </w:tcBorders>
            <w:shd w:val="clear" w:color="auto" w:fill="D2D2D2"/>
          </w:tcPr>
          <w:p>
            <w:pPr/>
          </w:p>
        </w:tc>
      </w:tr>
      <w:tr>
        <w:trPr>
          <w:trHeight w:val="206" w:hRule="exact"/>
        </w:trPr>
        <w:tc>
          <w:tcPr>
            <w:tcW w:w="2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0"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16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综合监管系统</w:t>
            </w:r>
          </w:p>
        </w:tc>
        <w:tc>
          <w:tcPr>
            <w:tcW w:w="11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9,126,643.15</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152,945.70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9,279,588.85</w:t>
            </w:r>
          </w:p>
        </w:tc>
      </w:tr>
      <w:tr>
        <w:trPr>
          <w:trHeight w:val="403" w:hRule="exact"/>
        </w:trPr>
        <w:tc>
          <w:tcPr>
            <w:tcW w:w="2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新一代</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VPN</w:t>
            </w:r>
          </w:p>
        </w:tc>
        <w:tc>
          <w:tcPr>
            <w:tcW w:w="11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1,213,672.96</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7,594,017.05</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8,807,690.01</w:t>
            </w:r>
          </w:p>
        </w:tc>
      </w:tr>
      <w:tr>
        <w:trPr>
          <w:trHeight w:val="401" w:hRule="exact"/>
        </w:trPr>
        <w:tc>
          <w:tcPr>
            <w:tcW w:w="2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统一认证平台</w:t>
            </w:r>
          </w:p>
        </w:tc>
        <w:tc>
          <w:tcPr>
            <w:tcW w:w="11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1,401,756.93</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6,605,323.66</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8,007,080.59</w:t>
            </w:r>
          </w:p>
        </w:tc>
      </w:tr>
      <w:tr>
        <w:trPr>
          <w:trHeight w:val="404" w:hRule="exact"/>
        </w:trPr>
        <w:tc>
          <w:tcPr>
            <w:tcW w:w="2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跨网跨域综合服务平台信任系统</w:t>
            </w:r>
          </w:p>
        </w:tc>
        <w:tc>
          <w:tcPr>
            <w:tcW w:w="1142" w:type="dxa"/>
            <w:tcBorders>
              <w:top w:val="single" w:sz="4" w:space="0" w:color="000000"/>
              <w:left w:val="single" w:sz="13" w:space="0" w:color="D2D2D2"/>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6,388,909.05</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6,388,909.05</w:t>
            </w:r>
          </w:p>
        </w:tc>
      </w:tr>
      <w:tr>
        <w:trPr>
          <w:trHeight w:val="401" w:hRule="exact"/>
        </w:trPr>
        <w:tc>
          <w:tcPr>
            <w:tcW w:w="2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出口型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HSM</w:t>
            </w:r>
          </w:p>
        </w:tc>
        <w:tc>
          <w:tcPr>
            <w:tcW w:w="1142" w:type="dxa"/>
            <w:tcBorders>
              <w:top w:val="single" w:sz="4" w:space="0" w:color="000000"/>
              <w:left w:val="single" w:sz="13" w:space="0" w:color="D2D2D2"/>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5,907,381.13</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5,907,381.13</w:t>
            </w:r>
          </w:p>
        </w:tc>
      </w:tr>
      <w:tr>
        <w:trPr>
          <w:trHeight w:val="403" w:hRule="exact"/>
        </w:trPr>
        <w:tc>
          <w:tcPr>
            <w:tcW w:w="2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网络安全监测装置</w:t>
            </w:r>
          </w:p>
        </w:tc>
        <w:tc>
          <w:tcPr>
            <w:tcW w:w="11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712,023.13</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3,808,500.24</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4,520,523.37</w:t>
            </w:r>
          </w:p>
        </w:tc>
      </w:tr>
      <w:tr>
        <w:trPr>
          <w:trHeight w:val="401" w:hRule="exact"/>
        </w:trPr>
        <w:tc>
          <w:tcPr>
            <w:tcW w:w="2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云服务器密码机</w:t>
            </w:r>
          </w:p>
        </w:tc>
        <w:tc>
          <w:tcPr>
            <w:tcW w:w="11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3,904,409.91</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194,263.10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4,098,673.01</w:t>
            </w:r>
          </w:p>
        </w:tc>
      </w:tr>
      <w:tr>
        <w:trPr>
          <w:trHeight w:val="403" w:hRule="exact"/>
        </w:trPr>
        <w:tc>
          <w:tcPr>
            <w:tcW w:w="2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密信通安全即时通信系统</w:t>
            </w:r>
          </w:p>
        </w:tc>
        <w:tc>
          <w:tcPr>
            <w:tcW w:w="1142" w:type="dxa"/>
            <w:tcBorders>
              <w:top w:val="single" w:sz="4" w:space="0" w:color="000000"/>
              <w:left w:val="single" w:sz="13" w:space="0" w:color="D2D2D2"/>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4,070,930.68</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4,070,930.68</w:t>
            </w:r>
          </w:p>
        </w:tc>
      </w:tr>
      <w:tr>
        <w:trPr>
          <w:trHeight w:val="401" w:hRule="exact"/>
        </w:trPr>
        <w:tc>
          <w:tcPr>
            <w:tcW w:w="2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电子文档标志管理系统</w:t>
            </w:r>
          </w:p>
        </w:tc>
        <w:tc>
          <w:tcPr>
            <w:tcW w:w="11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3,419,191.00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309,698.86</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3,728,889.86</w:t>
            </w:r>
          </w:p>
        </w:tc>
      </w:tr>
      <w:tr>
        <w:trPr>
          <w:trHeight w:val="403" w:hRule="exact"/>
        </w:trPr>
        <w:tc>
          <w:tcPr>
            <w:tcW w:w="2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卫士通网络安全管理系统</w:t>
            </w:r>
          </w:p>
        </w:tc>
        <w:tc>
          <w:tcPr>
            <w:tcW w:w="11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585,492.21</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2,969,396.01</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3,554,888.22</w:t>
            </w:r>
          </w:p>
        </w:tc>
      </w:tr>
      <w:tr>
        <w:trPr>
          <w:trHeight w:val="401" w:hRule="exact"/>
        </w:trPr>
        <w:tc>
          <w:tcPr>
            <w:tcW w:w="2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一兆型纵向加密认证装置</w:t>
            </w:r>
          </w:p>
        </w:tc>
        <w:tc>
          <w:tcPr>
            <w:tcW w:w="11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230,861.99</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2,499,749.83</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2,730,611.82</w:t>
            </w:r>
          </w:p>
        </w:tc>
      </w:tr>
      <w:tr>
        <w:trPr>
          <w:trHeight w:val="403" w:hRule="exact"/>
        </w:trPr>
        <w:tc>
          <w:tcPr>
            <w:tcW w:w="2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新型金融数据密码机</w:t>
            </w:r>
          </w:p>
        </w:tc>
        <w:tc>
          <w:tcPr>
            <w:tcW w:w="11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2,357,090.96</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105,008.48</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2,462,099.44</w:t>
            </w:r>
          </w:p>
        </w:tc>
      </w:tr>
      <w:tr>
        <w:trPr>
          <w:trHeight w:val="401" w:hRule="exact"/>
        </w:trPr>
        <w:tc>
          <w:tcPr>
            <w:tcW w:w="2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身份认证服务系统</w:t>
            </w:r>
          </w:p>
        </w:tc>
        <w:tc>
          <w:tcPr>
            <w:tcW w:w="11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2,327,419.26</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83,960.84</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2,411,380.10</w:t>
            </w:r>
          </w:p>
        </w:tc>
      </w:tr>
      <w:tr>
        <w:trPr>
          <w:trHeight w:val="403" w:hRule="exact"/>
        </w:trPr>
        <w:tc>
          <w:tcPr>
            <w:tcW w:w="2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资源服务管理系统（产品开发）</w:t>
            </w:r>
          </w:p>
        </w:tc>
        <w:tc>
          <w:tcPr>
            <w:tcW w:w="11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2,253,407.16</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70,855.84</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2,324,263.00</w:t>
            </w:r>
          </w:p>
        </w:tc>
      </w:tr>
      <w:tr>
        <w:trPr>
          <w:trHeight w:val="401" w:hRule="exact"/>
        </w:trPr>
        <w:tc>
          <w:tcPr>
            <w:tcW w:w="2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密钥管理产品</w:t>
            </w:r>
            <w:r>
              <w:rPr>
                <w:rFonts w:ascii="Times New Roman" w:hAnsi="Times New Roman" w:cs="Times New Roman" w:eastAsia="Times New Roman" w:hint="default"/>
                <w:sz w:val="18"/>
                <w:szCs w:val="18"/>
              </w:rPr>
              <w:t>-</w:t>
            </w:r>
            <w:r>
              <w:rPr>
                <w:rFonts w:ascii="宋体" w:hAnsi="宋体" w:cs="宋体" w:eastAsia="宋体" w:hint="default"/>
                <w:sz w:val="18"/>
                <w:szCs w:val="18"/>
              </w:rPr>
              <w:t>密钥管理系统</w:t>
            </w:r>
          </w:p>
        </w:tc>
        <w:tc>
          <w:tcPr>
            <w:tcW w:w="11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356,441.40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1,672,553.44</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2,028,994.84</w:t>
            </w:r>
          </w:p>
        </w:tc>
      </w:tr>
      <w:tr>
        <w:trPr>
          <w:trHeight w:val="403" w:hRule="exact"/>
        </w:trPr>
        <w:tc>
          <w:tcPr>
            <w:tcW w:w="2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专用光驱及移动存储介质管控系统</w:t>
            </w:r>
          </w:p>
        </w:tc>
        <w:tc>
          <w:tcPr>
            <w:tcW w:w="11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1,734,134.23</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206,465.90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1,940,600.13</w:t>
            </w:r>
          </w:p>
        </w:tc>
      </w:tr>
      <w:tr>
        <w:trPr>
          <w:trHeight w:val="401" w:hRule="exact"/>
        </w:trPr>
        <w:tc>
          <w:tcPr>
            <w:tcW w:w="2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高端主机密码机</w:t>
            </w:r>
          </w:p>
        </w:tc>
        <w:tc>
          <w:tcPr>
            <w:tcW w:w="11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1,740,934.80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157,512.72</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1,898,447.52</w:t>
            </w:r>
          </w:p>
        </w:tc>
      </w:tr>
      <w:tr>
        <w:trPr>
          <w:trHeight w:val="403" w:hRule="exact"/>
        </w:trPr>
        <w:tc>
          <w:tcPr>
            <w:tcW w:w="2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云计算应用密钥管理系统</w:t>
            </w:r>
          </w:p>
        </w:tc>
        <w:tc>
          <w:tcPr>
            <w:tcW w:w="11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1,646,283.36</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84,543.26</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1,730,826.62</w:t>
            </w:r>
          </w:p>
        </w:tc>
      </w:tr>
      <w:tr>
        <w:trPr>
          <w:trHeight w:val="401" w:hRule="exact"/>
        </w:trPr>
        <w:tc>
          <w:tcPr>
            <w:tcW w:w="2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安全应用中间件</w:t>
            </w:r>
          </w:p>
        </w:tc>
        <w:tc>
          <w:tcPr>
            <w:tcW w:w="11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1,425,957.73</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64,904.66</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1,490,862.39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20" w:type="dxa"/>
        <w:tblLayout w:type="fixed"/>
        <w:tblCellMar>
          <w:top w:w="0" w:type="dxa"/>
          <w:left w:w="0" w:type="dxa"/>
          <w:bottom w:w="0" w:type="dxa"/>
          <w:right w:w="0" w:type="dxa"/>
        </w:tblCellMar>
        <w:tblLook w:val="01E0"/>
      </w:tblPr>
      <w:tblGrid>
        <w:gridCol w:w="2853"/>
        <w:gridCol w:w="1142"/>
        <w:gridCol w:w="1280"/>
        <w:gridCol w:w="566"/>
        <w:gridCol w:w="1416"/>
        <w:gridCol w:w="1277"/>
        <w:gridCol w:w="1162"/>
      </w:tblGrid>
      <w:tr>
        <w:trPr>
          <w:trHeight w:val="401" w:hRule="exact"/>
        </w:trPr>
        <w:tc>
          <w:tcPr>
            <w:tcW w:w="2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终端安全管理系统非密版升级项目</w:t>
            </w:r>
          </w:p>
        </w:tc>
        <w:tc>
          <w:tcPr>
            <w:tcW w:w="11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1,176,591.56</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247,759.08</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1,424,350.64</w:t>
            </w:r>
          </w:p>
        </w:tc>
      </w:tr>
      <w:tr>
        <w:trPr>
          <w:trHeight w:val="403" w:hRule="exact"/>
        </w:trPr>
        <w:tc>
          <w:tcPr>
            <w:tcW w:w="2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保密防护监管系统</w:t>
            </w:r>
          </w:p>
        </w:tc>
        <w:tc>
          <w:tcPr>
            <w:tcW w:w="11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1,963,416.96</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-579,046.50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1,384,370.46</w:t>
            </w:r>
          </w:p>
        </w:tc>
      </w:tr>
      <w:tr>
        <w:trPr>
          <w:trHeight w:val="401" w:hRule="exact"/>
        </w:trPr>
        <w:tc>
          <w:tcPr>
            <w:tcW w:w="2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卫士通安全网关</w:t>
            </w:r>
          </w:p>
        </w:tc>
        <w:tc>
          <w:tcPr>
            <w:tcW w:w="11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1,194,794.54</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101,963.80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1,296,758.34</w:t>
            </w:r>
          </w:p>
        </w:tc>
      </w:tr>
      <w:tr>
        <w:trPr>
          <w:trHeight w:val="403" w:hRule="exact"/>
        </w:trPr>
        <w:tc>
          <w:tcPr>
            <w:tcW w:w="2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可信时间服务系统</w:t>
            </w:r>
          </w:p>
        </w:tc>
        <w:tc>
          <w:tcPr>
            <w:tcW w:w="11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1,238,926.97</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36,873.77</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1,275,800.74</w:t>
            </w:r>
          </w:p>
        </w:tc>
      </w:tr>
      <w:tr>
        <w:trPr>
          <w:trHeight w:val="401" w:hRule="exact"/>
        </w:trPr>
        <w:tc>
          <w:tcPr>
            <w:tcW w:w="2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云密码资源池管理平台</w:t>
            </w:r>
          </w:p>
        </w:tc>
        <w:tc>
          <w:tcPr>
            <w:tcW w:w="11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1,088,406.04</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99,967.50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1,188,373.54</w:t>
            </w:r>
          </w:p>
        </w:tc>
      </w:tr>
      <w:tr>
        <w:trPr>
          <w:trHeight w:val="403" w:hRule="exact"/>
        </w:trPr>
        <w:tc>
          <w:tcPr>
            <w:tcW w:w="2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基于安全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SE </w:t>
            </w:r>
            <w:r>
              <w:rPr>
                <w:rFonts w:ascii="宋体" w:hAnsi="宋体" w:cs="宋体" w:eastAsia="宋体" w:hint="default"/>
                <w:sz w:val="18"/>
                <w:szCs w:val="18"/>
              </w:rPr>
              <w:t>产品项目</w:t>
            </w:r>
          </w:p>
        </w:tc>
        <w:tc>
          <w:tcPr>
            <w:tcW w:w="1142" w:type="dxa"/>
            <w:tcBorders>
              <w:top w:val="single" w:sz="4" w:space="0" w:color="000000"/>
              <w:left w:val="single" w:sz="13" w:space="0" w:color="D2D2D2"/>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1,122,547.03</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1,122,547.03</w:t>
            </w:r>
          </w:p>
        </w:tc>
      </w:tr>
      <w:tr>
        <w:trPr>
          <w:trHeight w:val="401" w:hRule="exact"/>
        </w:trPr>
        <w:tc>
          <w:tcPr>
            <w:tcW w:w="2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授权管理服务系统</w:t>
            </w:r>
          </w:p>
        </w:tc>
        <w:tc>
          <w:tcPr>
            <w:tcW w:w="11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1,011,987.28</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39,834.04</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1,051,821.32</w:t>
            </w:r>
          </w:p>
        </w:tc>
      </w:tr>
      <w:tr>
        <w:trPr>
          <w:trHeight w:val="403" w:hRule="exact"/>
        </w:trPr>
        <w:tc>
          <w:tcPr>
            <w:tcW w:w="2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安全云终端</w:t>
            </w:r>
          </w:p>
        </w:tc>
        <w:tc>
          <w:tcPr>
            <w:tcW w:w="11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941,539.06</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72,594.77</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1,014,133.83</w:t>
            </w:r>
          </w:p>
        </w:tc>
      </w:tr>
      <w:tr>
        <w:trPr>
          <w:trHeight w:val="713" w:hRule="exact"/>
        </w:trPr>
        <w:tc>
          <w:tcPr>
            <w:tcW w:w="2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安全智能移动终端及应用服务产业 化项目</w:t>
            </w:r>
          </w:p>
        </w:tc>
        <w:tc>
          <w:tcPr>
            <w:tcW w:w="11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12,466,249.41</w:t>
            </w:r>
          </w:p>
        </w:tc>
        <w:tc>
          <w:tcPr>
            <w:tcW w:w="128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12,466,249.41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移动智能终端公共安全技术基础服 务平台</w:t>
            </w:r>
          </w:p>
        </w:tc>
        <w:tc>
          <w:tcPr>
            <w:tcW w:w="11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4,183,760.68</w:t>
            </w:r>
          </w:p>
        </w:tc>
        <w:tc>
          <w:tcPr>
            <w:tcW w:w="128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4,183,760.68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协同工作平台</w:t>
            </w:r>
          </w:p>
        </w:tc>
        <w:tc>
          <w:tcPr>
            <w:tcW w:w="11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5,837,442.93</w:t>
            </w:r>
          </w:p>
        </w:tc>
        <w:tc>
          <w:tcPr>
            <w:tcW w:w="128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5,837,442.93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卫士安全管理平台</w:t>
            </w:r>
          </w:p>
        </w:tc>
        <w:tc>
          <w:tcPr>
            <w:tcW w:w="11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2,131,593.30</w:t>
            </w:r>
          </w:p>
        </w:tc>
        <w:tc>
          <w:tcPr>
            <w:tcW w:w="128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2,131,593.30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2,861,887.68</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11,050,408.84</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3,476,917.77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27,384.37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10,407,994.38</w:t>
            </w:r>
          </w:p>
        </w:tc>
      </w:tr>
      <w:tr>
        <w:trPr>
          <w:trHeight w:val="403" w:hRule="exact"/>
        </w:trPr>
        <w:tc>
          <w:tcPr>
            <w:tcW w:w="2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70,532,316.59</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55,139,822.78</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28,095,964.09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27,384.37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97,548,790.91</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66" w:lineRule="auto" w:before="94"/>
        <w:ind w:left="573" w:right="1133"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b/>
          <w:bCs/>
          <w:w w:val="100"/>
          <w:sz w:val="21"/>
          <w:szCs w:val="21"/>
        </w:rPr>
        <w:t> </w:t>
      </w:r>
      <w:r>
        <w:rPr>
          <w:rFonts w:ascii="宋体" w:hAnsi="宋体" w:cs="宋体" w:eastAsia="宋体" w:hint="default"/>
          <w:sz w:val="21"/>
          <w:szCs w:val="21"/>
        </w:rPr>
        <w:t>研究阶段：为获取并理解新的科学或技术知识等而进行的独创性的有计划调查、研究活动的阶段。</w:t>
      </w:r>
      <w:r>
        <w:rPr>
          <w:rFonts w:ascii="宋体" w:hAnsi="宋体" w:cs="宋体" w:eastAsia="宋体" w:hint="default"/>
          <w:w w:val="100"/>
          <w:sz w:val="21"/>
          <w:szCs w:val="21"/>
        </w:rPr>
        <w:t> </w:t>
      </w:r>
      <w:r>
        <w:rPr>
          <w:rFonts w:ascii="宋体" w:hAnsi="宋体" w:cs="宋体" w:eastAsia="宋体" w:hint="default"/>
          <w:spacing w:val="-2"/>
          <w:sz w:val="21"/>
          <w:szCs w:val="21"/>
        </w:rPr>
        <w:t>开发阶段：在进行商业性生产或使用前，将研究成果或其他知识应用于某项计划或设计，以生产出新</w:t>
      </w:r>
    </w:p>
    <w:p>
      <w:pPr>
        <w:pStyle w:val="BodyText"/>
        <w:spacing w:line="266" w:lineRule="auto" w:before="14"/>
        <w:ind w:left="566" w:right="1133" w:hanging="414"/>
        <w:jc w:val="left"/>
      </w:pPr>
      <w:r>
        <w:rPr/>
        <w:t>的或具有实质性改进的材料、装置、产品等活动的阶段。</w:t>
      </w:r>
      <w:r>
        <w:rPr>
          <w:w w:val="100"/>
        </w:rPr>
        <w:t> </w:t>
      </w:r>
      <w:r>
        <w:rPr/>
        <w:t>内部研究开发项目研究阶段的支出，在发生时计入当期损益。</w:t>
      </w:r>
      <w:r>
        <w:rPr>
          <w:w w:val="100"/>
        </w:rPr>
        <w:t> </w:t>
      </w:r>
      <w:r>
        <w:rPr>
          <w:rFonts w:ascii="Times New Roman" w:hAnsi="Times New Roman" w:cs="Times New Roman" w:eastAsia="Times New Roman" w:hint="default"/>
          <w:b/>
          <w:bCs/>
        </w:rPr>
        <w:t>2</w:t>
      </w:r>
      <w:r>
        <w:rPr>
          <w:rFonts w:ascii="宋体" w:hAnsi="宋体" w:cs="宋体" w:eastAsia="宋体" w:hint="default"/>
          <w:b/>
          <w:bCs/>
        </w:rPr>
        <w:t>、开发阶段支出符合资本化的具体标准</w:t>
      </w:r>
      <w:r>
        <w:rPr>
          <w:rFonts w:ascii="宋体" w:hAnsi="宋体" w:cs="宋体" w:eastAsia="宋体" w:hint="default"/>
          <w:b/>
          <w:bCs/>
          <w:w w:val="100"/>
        </w:rPr>
        <w:t> </w:t>
      </w:r>
      <w:r>
        <w:rPr>
          <w:spacing w:val="-2"/>
        </w:rPr>
        <w:t>内部研究开发项目开发阶段的支出，同时满足下列条件时确认为无形资产：</w:t>
      </w:r>
    </w:p>
    <w:p>
      <w:pPr>
        <w:pStyle w:val="BodyText"/>
        <w:spacing w:line="240" w:lineRule="auto" w:before="14"/>
        <w:ind w:left="573" w:right="1133"/>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21"/>
        <w:ind w:left="573" w:right="1133"/>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256" w:lineRule="auto" w:before="21"/>
        <w:ind w:right="1133" w:firstLine="42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w:t>
      </w:r>
      <w:r>
        <w:rPr>
          <w:w w:val="100"/>
        </w:rPr>
        <w:t> </w:t>
      </w:r>
      <w:r>
        <w:rPr/>
        <w:t>自身存在市场，无形资产将在内部使用的，能够证明其有用性；</w:t>
      </w:r>
    </w:p>
    <w:p>
      <w:pPr>
        <w:pStyle w:val="BodyText"/>
        <w:spacing w:line="256" w:lineRule="auto" w:before="22"/>
        <w:ind w:right="1133" w:firstLine="42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w:t>
      </w:r>
      <w:r>
        <w:rPr>
          <w:w w:val="100"/>
        </w:rPr>
        <w:t> </w:t>
      </w:r>
      <w:r>
        <w:rPr/>
        <w:t>无形资产；</w:t>
      </w:r>
    </w:p>
    <w:p>
      <w:pPr>
        <w:pStyle w:val="BodyText"/>
        <w:spacing w:line="259" w:lineRule="auto" w:before="22"/>
        <w:ind w:left="573" w:right="1133"/>
        <w:jc w:val="left"/>
      </w:pPr>
      <w:r>
        <w:rPr/>
        <w:t>（</w:t>
      </w:r>
      <w:r>
        <w:rPr>
          <w:rFonts w:ascii="Times New Roman" w:hAnsi="Times New Roman" w:cs="Times New Roman" w:eastAsia="Times New Roman" w:hint="default"/>
        </w:rPr>
        <w:t>5</w:t>
      </w:r>
      <w:r>
        <w:rPr/>
        <w:t>）归属于该无形资产开发阶段的支出能够可靠地计量。</w:t>
      </w:r>
      <w:r>
        <w:rPr>
          <w:w w:val="100"/>
        </w:rPr>
        <w:t> </w:t>
      </w:r>
      <w:r>
        <w:rPr>
          <w:spacing w:val="-2"/>
        </w:rPr>
        <w:t>内部研究开发支出的资本化时点：研发项目经过前期市场调研和项目可行性论证，报经公司批准立项</w:t>
      </w:r>
    </w:p>
    <w:p>
      <w:pPr>
        <w:pStyle w:val="BodyText"/>
        <w:spacing w:line="273" w:lineRule="auto" w:before="20"/>
        <w:ind w:left="573" w:right="1133" w:hanging="421"/>
        <w:jc w:val="left"/>
      </w:pPr>
      <w:r>
        <w:rPr/>
        <w:t>后发生的开发费用计入开发支出，予以转资本化。</w:t>
      </w:r>
      <w:r>
        <w:rPr>
          <w:w w:val="100"/>
        </w:rPr>
        <w:t> </w:t>
      </w:r>
      <w:r>
        <w:rPr>
          <w:spacing w:val="-2"/>
        </w:rPr>
        <w:t>不满足上述条件的开发阶段的支出，于发生时计入当期损益。以前期间已计入损益的开发支出不在以</w:t>
      </w:r>
    </w:p>
    <w:p>
      <w:pPr>
        <w:pStyle w:val="BodyText"/>
        <w:spacing w:line="273" w:lineRule="auto"/>
        <w:ind w:right="1133"/>
        <w:jc w:val="left"/>
      </w:pPr>
      <w:r>
        <w:rPr>
          <w:spacing w:val="-2"/>
        </w:rPr>
        <w:t>后期间重新确认为资产。已资本化的开发阶段的支出在资产负债表上列示为开发支出，自该项目达到预定</w:t>
      </w:r>
      <w:r>
        <w:rPr>
          <w:spacing w:val="-42"/>
        </w:rPr>
        <w:t> </w:t>
      </w:r>
      <w:r>
        <w:rPr>
          <w:spacing w:val="-42"/>
        </w:rPr>
      </w:r>
      <w:r>
        <w:rPr/>
        <w:t>用途之日起转为无形资产。</w:t>
      </w:r>
    </w:p>
    <w:p>
      <w:pPr>
        <w:spacing w:after="0" w:line="273"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14、商誉" w:id="249"/>
      <w:bookmarkEnd w:id="249"/>
      <w:r>
        <w:rPr>
          <w:b w:val="0"/>
          <w:bCs w:val="0"/>
        </w:rPr>
      </w:r>
      <w:r>
        <w:rPr>
          <w:rFonts w:ascii="Times New Roman" w:hAnsi="Times New Roman" w:cs="Times New Roman" w:eastAsia="Times New Roman" w:hint="default"/>
        </w:rPr>
        <w:t>14</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商誉账面原值" w:id="250"/>
      <w:bookmarkEnd w:id="250"/>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51"/>
        <w:gridCol w:w="1558"/>
        <w:gridCol w:w="1419"/>
        <w:gridCol w:w="708"/>
        <w:gridCol w:w="853"/>
        <w:gridCol w:w="850"/>
        <w:gridCol w:w="922"/>
      </w:tblGrid>
      <w:tr>
        <w:trPr>
          <w:trHeight w:val="206" w:hRule="exact"/>
        </w:trPr>
        <w:tc>
          <w:tcPr>
            <w:tcW w:w="32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4" w:hRule="exact"/>
        </w:trPr>
        <w:tc>
          <w:tcPr>
            <w:tcW w:w="32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64"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5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27" w:type="dxa"/>
            <w:gridSpan w:val="2"/>
            <w:vMerge/>
            <w:tcBorders>
              <w:left w:val="single" w:sz="4" w:space="0" w:color="000000"/>
              <w:bottom w:val="single" w:sz="4" w:space="0" w:color="000000"/>
              <w:right w:val="single" w:sz="4" w:space="0" w:color="000000"/>
            </w:tcBorders>
            <w:shd w:val="clear" w:color="auto" w:fill="D2D2D2"/>
          </w:tcPr>
          <w:p>
            <w:pPr/>
          </w:p>
        </w:tc>
        <w:tc>
          <w:tcPr>
            <w:tcW w:w="1702" w:type="dxa"/>
            <w:gridSpan w:val="2"/>
            <w:vMerge/>
            <w:tcBorders>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right w:val="single" w:sz="4" w:space="0" w:color="000000"/>
            </w:tcBorders>
            <w:shd w:val="clear" w:color="auto" w:fill="D2D2D2"/>
          </w:tcPr>
          <w:p>
            <w:pPr/>
          </w:p>
        </w:tc>
      </w:tr>
      <w:tr>
        <w:trPr>
          <w:trHeight w:val="197" w:hRule="exact"/>
        </w:trPr>
        <w:tc>
          <w:tcPr>
            <w:tcW w:w="3251" w:type="dxa"/>
            <w:vMerge/>
            <w:tcBorders>
              <w:left w:val="single" w:sz="4" w:space="0" w:color="000000"/>
              <w:bottom w:val="nil" w:sz="6" w:space="0" w:color="auto"/>
              <w:right w:val="single" w:sz="4" w:space="0" w:color="000000"/>
            </w:tcBorders>
            <w:shd w:val="clear" w:color="auto" w:fill="D2D2D2"/>
          </w:tcPr>
          <w:p>
            <w:pPr/>
          </w:p>
        </w:tc>
        <w:tc>
          <w:tcPr>
            <w:tcW w:w="1558" w:type="dxa"/>
            <w:vMerge/>
            <w:tcBorders>
              <w:left w:val="single" w:sz="4" w:space="0" w:color="000000"/>
              <w:bottom w:val="nil" w:sz="6" w:space="0" w:color="auto"/>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708" w:type="dxa"/>
            <w:vMerge w:val="restart"/>
            <w:tcBorders>
              <w:top w:val="single" w:sz="4" w:space="0" w:color="000000"/>
              <w:left w:val="single" w:sz="4" w:space="0" w:color="000000"/>
              <w:right w:val="single" w:sz="4" w:space="0" w:color="000000"/>
            </w:tcBorders>
            <w:shd w:val="clear" w:color="auto" w:fill="D2D2D2"/>
          </w:tcPr>
          <w:p>
            <w:pPr/>
          </w:p>
        </w:tc>
        <w:tc>
          <w:tcPr>
            <w:tcW w:w="8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922" w:type="dxa"/>
            <w:vMerge/>
            <w:tcBorders>
              <w:left w:val="single" w:sz="4" w:space="0" w:color="000000"/>
              <w:right w:val="single" w:sz="4" w:space="0" w:color="000000"/>
            </w:tcBorders>
            <w:shd w:val="clear" w:color="auto" w:fill="D2D2D2"/>
          </w:tcPr>
          <w:p>
            <w:pPr/>
          </w:p>
        </w:tc>
      </w:tr>
      <w:tr>
        <w:trPr>
          <w:trHeight w:val="206" w:hRule="exact"/>
        </w:trPr>
        <w:tc>
          <w:tcPr>
            <w:tcW w:w="32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四川卫士通信息安全平台技术有限公司</w:t>
            </w:r>
          </w:p>
        </w:tc>
        <w:tc>
          <w:tcPr>
            <w:tcW w:w="155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7,991.91</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7,991.91</w:t>
            </w:r>
          </w:p>
        </w:tc>
      </w:tr>
      <w:tr>
        <w:trPr>
          <w:trHeight w:val="403" w:hRule="exact"/>
        </w:trPr>
        <w:tc>
          <w:tcPr>
            <w:tcW w:w="3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7,991.91</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7,991.91</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商誉减值准备" w:id="251"/>
      <w:bookmarkEnd w:id="251"/>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63"/>
        <w:gridCol w:w="1558"/>
        <w:gridCol w:w="1419"/>
        <w:gridCol w:w="708"/>
        <w:gridCol w:w="853"/>
        <w:gridCol w:w="850"/>
        <w:gridCol w:w="922"/>
      </w:tblGrid>
      <w:tr>
        <w:trPr>
          <w:trHeight w:val="206" w:hRule="exact"/>
        </w:trPr>
        <w:tc>
          <w:tcPr>
            <w:tcW w:w="32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32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76"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5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27" w:type="dxa"/>
            <w:gridSpan w:val="2"/>
            <w:vMerge/>
            <w:tcBorders>
              <w:left w:val="single" w:sz="4" w:space="0" w:color="000000"/>
              <w:bottom w:val="single" w:sz="4" w:space="0" w:color="000000"/>
              <w:right w:val="single" w:sz="4" w:space="0" w:color="000000"/>
            </w:tcBorders>
            <w:shd w:val="clear" w:color="auto" w:fill="D2D2D2"/>
          </w:tcPr>
          <w:p>
            <w:pPr/>
          </w:p>
        </w:tc>
        <w:tc>
          <w:tcPr>
            <w:tcW w:w="1702" w:type="dxa"/>
            <w:gridSpan w:val="2"/>
            <w:vMerge/>
            <w:tcBorders>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right w:val="single" w:sz="4" w:space="0" w:color="000000"/>
            </w:tcBorders>
            <w:shd w:val="clear" w:color="auto" w:fill="D2D2D2"/>
          </w:tcPr>
          <w:p>
            <w:pPr/>
          </w:p>
        </w:tc>
      </w:tr>
      <w:tr>
        <w:trPr>
          <w:trHeight w:val="194" w:hRule="exact"/>
        </w:trPr>
        <w:tc>
          <w:tcPr>
            <w:tcW w:w="3263" w:type="dxa"/>
            <w:vMerge/>
            <w:tcBorders>
              <w:left w:val="single" w:sz="4" w:space="0" w:color="000000"/>
              <w:bottom w:val="nil" w:sz="6" w:space="0" w:color="auto"/>
              <w:right w:val="single" w:sz="4" w:space="0" w:color="000000"/>
            </w:tcBorders>
            <w:shd w:val="clear" w:color="auto" w:fill="D2D2D2"/>
          </w:tcPr>
          <w:p>
            <w:pPr/>
          </w:p>
        </w:tc>
        <w:tc>
          <w:tcPr>
            <w:tcW w:w="1558" w:type="dxa"/>
            <w:vMerge/>
            <w:tcBorders>
              <w:left w:val="single" w:sz="4" w:space="0" w:color="000000"/>
              <w:bottom w:val="nil" w:sz="6" w:space="0" w:color="auto"/>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708" w:type="dxa"/>
            <w:vMerge w:val="restart"/>
            <w:tcBorders>
              <w:top w:val="single" w:sz="4" w:space="0" w:color="000000"/>
              <w:left w:val="single" w:sz="4" w:space="0" w:color="000000"/>
              <w:right w:val="single" w:sz="4" w:space="0" w:color="000000"/>
            </w:tcBorders>
            <w:shd w:val="clear" w:color="auto" w:fill="D2D2D2"/>
          </w:tcPr>
          <w:p>
            <w:pPr/>
          </w:p>
        </w:tc>
        <w:tc>
          <w:tcPr>
            <w:tcW w:w="8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922" w:type="dxa"/>
            <w:vMerge/>
            <w:tcBorders>
              <w:left w:val="single" w:sz="4" w:space="0" w:color="000000"/>
              <w:right w:val="single" w:sz="4" w:space="0" w:color="000000"/>
            </w:tcBorders>
            <w:shd w:val="clear" w:color="auto" w:fill="D2D2D2"/>
          </w:tcPr>
          <w:p>
            <w:pPr/>
          </w:p>
        </w:tc>
      </w:tr>
      <w:tr>
        <w:trPr>
          <w:trHeight w:val="206" w:hRule="exact"/>
        </w:trPr>
        <w:tc>
          <w:tcPr>
            <w:tcW w:w="32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四川卫士通信息安全平台技术有限公司</w:t>
            </w:r>
          </w:p>
        </w:tc>
        <w:tc>
          <w:tcPr>
            <w:tcW w:w="1558" w:type="dxa"/>
            <w:tcBorders>
              <w:top w:val="single" w:sz="4" w:space="0" w:color="000000"/>
              <w:left w:val="single" w:sz="9" w:space="0" w:color="D2D2D2"/>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7,991.91</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7,991.91</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4" w:space="0" w:color="000000"/>
              <w:left w:val="single" w:sz="9" w:space="0" w:color="D2D2D2"/>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7,991.91</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7,991.91</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商誉所在资产组或资产组组合的相关信息</w:t>
      </w:r>
    </w:p>
    <w:p>
      <w:pPr>
        <w:pStyle w:val="BodyText"/>
        <w:spacing w:line="273" w:lineRule="auto" w:before="96"/>
        <w:ind w:right="1126" w:firstLine="420"/>
        <w:jc w:val="both"/>
      </w:pPr>
      <w:r>
        <w:rPr>
          <w:spacing w:val="-2"/>
        </w:rPr>
        <w:t>因企业合并所形成的商誉和使用寿命不确定的无形资产，无论是否存在减值迹象，每年都进行减值测</w:t>
      </w:r>
      <w:r>
        <w:rPr>
          <w:w w:val="100"/>
        </w:rPr>
        <w:t> </w:t>
      </w:r>
      <w:r>
        <w:rPr/>
        <w:t>试。</w:t>
      </w:r>
    </w:p>
    <w:p>
      <w:pPr>
        <w:pStyle w:val="BodyText"/>
        <w:spacing w:line="273" w:lineRule="auto"/>
        <w:ind w:right="1126" w:firstLine="420"/>
        <w:jc w:val="both"/>
      </w:pPr>
      <w:r>
        <w:rPr>
          <w:spacing w:val="-2"/>
        </w:rPr>
        <w:t>在对商誉进行减值测试时，将商誉的账面价值分摊至预期从企业合并的协同效应中受益的资产组或资</w:t>
      </w:r>
      <w:r>
        <w:rPr>
          <w:w w:val="100"/>
        </w:rPr>
        <w:t> </w:t>
      </w:r>
      <w:r>
        <w:rPr>
          <w:spacing w:val="-2"/>
        </w:rPr>
        <w:t>产组组合。在对包含商誉的相关资产组或者资产组组合进行减值测试时，如与商誉相关的资产组或者资产</w:t>
      </w:r>
      <w:r>
        <w:rPr>
          <w:spacing w:val="-43"/>
        </w:rPr>
        <w:t> </w:t>
      </w:r>
      <w:r>
        <w:rPr>
          <w:spacing w:val="-43"/>
        </w:rPr>
      </w:r>
      <w:r>
        <w:rPr>
          <w:spacing w:val="-2"/>
        </w:rPr>
        <w:t>组组合存在减值迹象的，先对不包含商誉的资产组或者资产组组合进行减值测试，计算可收回金额，并与</w:t>
      </w:r>
      <w:r>
        <w:rPr>
          <w:spacing w:val="-43"/>
        </w:rPr>
        <w:t> </w:t>
      </w:r>
      <w:r>
        <w:rPr>
          <w:spacing w:val="-43"/>
        </w:rPr>
      </w:r>
      <w:r>
        <w:rPr>
          <w:spacing w:val="-2"/>
        </w:rPr>
        <w:t>相关账面价值相比较，确认相应的减值损失。再对包含商誉的资产组或者资产组组合进行减值测试，比较</w:t>
      </w:r>
      <w:r>
        <w:rPr>
          <w:spacing w:val="-43"/>
        </w:rPr>
        <w:t> </w:t>
      </w:r>
      <w:r>
        <w:rPr>
          <w:spacing w:val="-43"/>
        </w:rPr>
      </w:r>
      <w:r>
        <w:rPr>
          <w:spacing w:val="-2"/>
        </w:rPr>
        <w:t>这些相关资产组或者资产组组合的账面价值（包括所分摊的商誉的账面价值部分）与其可收回金额，如相</w:t>
      </w:r>
      <w:r>
        <w:rPr>
          <w:spacing w:val="-44"/>
        </w:rPr>
        <w:t> </w:t>
      </w:r>
      <w:r>
        <w:rPr>
          <w:spacing w:val="-44"/>
        </w:rPr>
      </w:r>
      <w:r>
        <w:rPr/>
        <w:t>关资产组或者资产组组合的可收回金额低于其账面价值的，确认商誉的减值损失。</w:t>
      </w:r>
    </w:p>
    <w:p>
      <w:pPr>
        <w:spacing w:line="240" w:lineRule="auto" w:before="7"/>
        <w:rPr>
          <w:rFonts w:ascii="宋体" w:hAnsi="宋体" w:cs="宋体" w:eastAsia="宋体" w:hint="default"/>
          <w:sz w:val="23"/>
          <w:szCs w:val="23"/>
        </w:rPr>
      </w:pPr>
    </w:p>
    <w:p>
      <w:pPr>
        <w:pStyle w:val="Heading4"/>
        <w:spacing w:line="240" w:lineRule="auto"/>
        <w:ind w:right="1133"/>
        <w:jc w:val="left"/>
        <w:rPr>
          <w:b w:val="0"/>
          <w:bCs w:val="0"/>
        </w:rPr>
      </w:pPr>
      <w:bookmarkStart w:name="15、长期待摊费用" w:id="252"/>
      <w:bookmarkEnd w:id="252"/>
      <w:r>
        <w:rPr>
          <w:b w:val="0"/>
          <w:bCs w:val="0"/>
        </w:rPr>
      </w:r>
      <w:r>
        <w:rPr>
          <w:rFonts w:ascii="Times New Roman" w:hAnsi="Times New Roman" w:cs="Times New Roman" w:eastAsia="Times New Roman" w:hint="default"/>
        </w:rPr>
        <w:t>15</w:t>
      </w:r>
      <w:r>
        <w:rPr/>
        <w:t>、长期待摊费用</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04"/>
        <w:gridCol w:w="991"/>
        <w:gridCol w:w="1277"/>
        <w:gridCol w:w="1416"/>
        <w:gridCol w:w="1419"/>
        <w:gridCol w:w="1061"/>
      </w:tblGrid>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办公楼装修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147,408.17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3"/>
                <w:sz w:val="18"/>
              </w:rPr>
              <w:t>117,111.63</w:t>
            </w:r>
          </w:p>
        </w:tc>
        <w:tc>
          <w:tcPr>
            <w:tcW w:w="1419"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30,296.54</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山东省政府一体化移动办公项目测试手机</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211,592.91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w w:val="95"/>
                <w:sz w:val="18"/>
              </w:rPr>
              <w:t>26,449.11</w:t>
            </w:r>
          </w:p>
        </w:tc>
        <w:tc>
          <w:tcPr>
            <w:tcW w:w="1419"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185,143.80</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147,408.17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211,592.91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143,560.74</w:t>
            </w:r>
          </w:p>
        </w:tc>
        <w:tc>
          <w:tcPr>
            <w:tcW w:w="1419"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215,440.34</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16、递延所得税资产/递延所得税负债" w:id="253"/>
      <w:bookmarkEnd w:id="253"/>
      <w:r>
        <w:rPr>
          <w:b w:val="0"/>
          <w:bCs w:val="0"/>
        </w:rPr>
      </w: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未经抵销的递延所得税资产" w:id="254"/>
      <w:bookmarkEnd w:id="254"/>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347,743,895.17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52,161,584.29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318,165,065.67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47,724,759.85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18,824,503.92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2,823,675.59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14,729,442.57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2,209,416.54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239,373,506.54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4"/>
              <w:jc w:val="right"/>
              <w:rPr>
                <w:rFonts w:ascii="Times New Roman" w:hAnsi="Times New Roman" w:cs="Times New Roman" w:eastAsia="Times New Roman" w:hint="default"/>
                <w:sz w:val="18"/>
                <w:szCs w:val="18"/>
              </w:rPr>
            </w:pPr>
            <w:r>
              <w:rPr>
                <w:rFonts w:ascii="Times New Roman"/>
                <w:spacing w:val="-1"/>
                <w:sz w:val="18"/>
              </w:rPr>
              <w:t>35,906,025.97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8"/>
                <w:szCs w:val="18"/>
              </w:rPr>
            </w:pPr>
            <w:r>
              <w:rPr>
                <w:rFonts w:ascii="Times New Roman"/>
                <w:spacing w:val="-1"/>
                <w:sz w:val="18"/>
              </w:rPr>
              <w:t>149,559,070.98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22,433,860.67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1,426,330.52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213,949.58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3,571,797.61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535,769.64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607,368,236.15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91,105,235.43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486,025,376.83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72,903,806.70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以抵销后净额列示的递延所得税资产或负债" w:id="255"/>
      <w:bookmarkEnd w:id="255"/>
      <w:r>
        <w:rPr>
          <w:b w:val="0"/>
          <w:bCs w:val="0"/>
        </w:rPr>
      </w:r>
      <w:r>
        <w:rPr/>
        <w:t>（</w:t>
      </w:r>
      <w:r>
        <w:rPr>
          <w:rFonts w:ascii="Times New Roman" w:hAnsi="Times New Roman" w:cs="Times New Roman" w:eastAsia="Times New Roman" w:hint="default"/>
        </w:rPr>
        <w:t>2</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0"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0"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6" w:right="0"/>
              <w:jc w:val="left"/>
              <w:rPr>
                <w:rFonts w:ascii="Times New Roman" w:hAnsi="Times New Roman" w:cs="Times New Roman" w:eastAsia="Times New Roman" w:hint="default"/>
                <w:sz w:val="18"/>
                <w:szCs w:val="18"/>
              </w:rPr>
            </w:pPr>
            <w:r>
              <w:rPr>
                <w:rFonts w:ascii="Times New Roman"/>
                <w:sz w:val="18"/>
              </w:rPr>
              <w:t>91,105,235.43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6" w:right="0"/>
              <w:jc w:val="left"/>
              <w:rPr>
                <w:rFonts w:ascii="Times New Roman" w:hAnsi="Times New Roman" w:cs="Times New Roman" w:eastAsia="Times New Roman" w:hint="default"/>
                <w:sz w:val="18"/>
                <w:szCs w:val="18"/>
              </w:rPr>
            </w:pPr>
            <w:r>
              <w:rPr>
                <w:rFonts w:ascii="Times New Roman"/>
                <w:sz w:val="18"/>
              </w:rPr>
              <w:t>72,903,806.70</w:t>
            </w:r>
          </w:p>
        </w:tc>
      </w:tr>
    </w:tbl>
    <w:p>
      <w:pPr>
        <w:spacing w:line="309" w:lineRule="auto" w:before="49"/>
        <w:ind w:left="152" w:right="1131" w:firstLine="0"/>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）上海卫士通网络安全有限公司于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日通过总裁办公会决议，决定注销上海卫士通并成立清算小组清理资 </w:t>
      </w:r>
      <w:r>
        <w:rPr>
          <w:rFonts w:ascii="宋体" w:hAnsi="宋体" w:cs="宋体" w:eastAsia="宋体" w:hint="default"/>
          <w:spacing w:val="-2"/>
          <w:sz w:val="18"/>
          <w:szCs w:val="18"/>
        </w:rPr>
        <w:t>产、处理未了结的业务、清缴税款以及清偿债权债务。预计未来不能获得足够的应纳税所得额，期初对其可抵扣暂时性差异</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及亏损未确认递延所得税资产。上海卫士通网络安全有限公司本期已完成清算，正在办理工商注销。</w:t>
      </w:r>
    </w:p>
    <w:p>
      <w:pPr>
        <w:spacing w:line="309" w:lineRule="auto" w:before="62"/>
        <w:ind w:left="152" w:right="1130"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）根据本公司</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spacing w:val="-1"/>
          <w:sz w:val="18"/>
          <w:szCs w:val="18"/>
        </w:rPr>
        <w:t>日召开的总裁办公会纪要（公司纪字</w:t>
      </w:r>
      <w:r>
        <w:rPr>
          <w:rFonts w:ascii="Times New Roman" w:hAnsi="Times New Roman" w:cs="Times New Roman" w:eastAsia="Times New Roman" w:hint="default"/>
          <w:spacing w:val="-1"/>
          <w:sz w:val="18"/>
          <w:szCs w:val="18"/>
        </w:rPr>
        <w:t>[2015]22</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号），决定注销成都三零豪赛网络安全技术</w:t>
      </w:r>
      <w:r>
        <w:rPr>
          <w:rFonts w:ascii="宋体" w:hAnsi="宋体" w:cs="宋体" w:eastAsia="宋体" w:hint="default"/>
          <w:sz w:val="18"/>
          <w:szCs w:val="18"/>
        </w:rPr>
        <w:t> </w:t>
      </w:r>
      <w:r>
        <w:rPr>
          <w:rFonts w:ascii="宋体" w:hAnsi="宋体" w:cs="宋体" w:eastAsia="宋体" w:hint="default"/>
          <w:spacing w:val="-2"/>
          <w:sz w:val="18"/>
          <w:szCs w:val="18"/>
        </w:rPr>
        <w:t>有限公司，预计未来不能获得足够的应纳税所得额，期初对其可抵扣暂时性差异及亏损未确认递延所得税资产。成都三零豪</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赛网络安全技术有限公司本期已完成工商注销。</w:t>
      </w:r>
    </w:p>
    <w:p>
      <w:pPr>
        <w:spacing w:line="309" w:lineRule="auto" w:before="65"/>
        <w:ind w:left="152" w:right="1131"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）中电科（天津）网络信息安全有限公司未来能否获得足够的应纳税所得额具有不确定性，对其可抵扣暂时性差异及亏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损未确认递延所得税资产。中电科（天津）网络信息安全有限公司高新技术企业税收优惠本期已经主管税务机关备案，企业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亏损结转弥补年限由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年延长至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line="240" w:lineRule="auto" w:before="10"/>
        <w:rPr>
          <w:rFonts w:ascii="宋体" w:hAnsi="宋体" w:cs="宋体" w:eastAsia="宋体" w:hint="default"/>
          <w:sz w:val="21"/>
          <w:szCs w:val="21"/>
        </w:rPr>
      </w:pPr>
    </w:p>
    <w:p>
      <w:pPr>
        <w:pStyle w:val="Heading4"/>
        <w:spacing w:line="240" w:lineRule="auto"/>
        <w:ind w:right="0"/>
        <w:jc w:val="both"/>
        <w:rPr>
          <w:b w:val="0"/>
          <w:bCs w:val="0"/>
        </w:rPr>
      </w:pPr>
      <w:bookmarkStart w:name="（3）未确认递延所得税资产明细" w:id="256"/>
      <w:bookmarkEnd w:id="256"/>
      <w:r>
        <w:rPr>
          <w:b w:val="0"/>
          <w:bCs w:val="0"/>
        </w:rPr>
      </w: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174,150.42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404,401.43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39,869,206.68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30,348,041.32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40,043,357.10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30,752,442.75</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4）未确认递延所得税资产的可抵扣亏损将于以下年度到期" w:id="257"/>
      <w:bookmarkEnd w:id="257"/>
      <w:r>
        <w:rPr>
          <w:b w:val="0"/>
          <w:bCs w:val="0"/>
        </w:rPr>
      </w: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1,090,081.70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1,090,081.70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29,257,959.62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29,257,959.62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9,521,165.36</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39,869,206.68</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30,348,041.32</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17、其他非流动资产" w:id="258"/>
      <w:bookmarkEnd w:id="258"/>
      <w:r>
        <w:rPr>
          <w:b w:val="0"/>
          <w:bCs w:val="0"/>
        </w:rPr>
      </w:r>
      <w:r>
        <w:rPr>
          <w:rFonts w:ascii="Times New Roman" w:hAnsi="Times New Roman" w:cs="Times New Roman" w:eastAsia="Times New Roman" w:hint="default"/>
        </w:rPr>
        <w:t>17</w:t>
      </w:r>
      <w:r>
        <w:rPr/>
        <w:t>、其他非流动资产</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科研及验证演示平台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13,781,966.30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13,211,966.30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电子政务网络体验演示环境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13,566,837.60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12,916,837.60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移动安全终端售后检测与维护系统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12,403,846.16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11,453,846.16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电子政务网络安全仿直联试演示环境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9,198,538.70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7,461,538.70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USB-KEY</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主控芯片项目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7,137,863.58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6,090,469.20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云平台大数据应用环境建设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3,016,550.77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1,733,550.77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AWS </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平台开发软件</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1,399,642.20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高性能嵌入式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SE</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1,273,584.90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707,547.20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创宇盾网站安全防御平台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677,845.62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云平台传输系统</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26,326,174.13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安全政务云科研及体验演示平台</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18,525,940.82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62,456,675.83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98,427,870.88</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18、短期借款" w:id="259"/>
      <w:bookmarkEnd w:id="259"/>
      <w:r>
        <w:rPr>
          <w:b w:val="0"/>
          <w:bCs w:val="0"/>
        </w:rPr>
      </w:r>
      <w:r>
        <w:rPr>
          <w:rFonts w:ascii="Times New Roman" w:hAnsi="Times New Roman" w:cs="Times New Roman" w:eastAsia="Times New Roman" w:hint="default"/>
        </w:rPr>
        <w:t>18</w:t>
      </w:r>
      <w:r>
        <w:rPr/>
        <w:t>、短期借款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1）短期借款分类" w:id="260"/>
      <w:bookmarkEnd w:id="260"/>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250,000,000.00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19、应付票据" w:id="261"/>
      <w:bookmarkEnd w:id="261"/>
      <w:r>
        <w:rPr>
          <w:b w:val="0"/>
          <w:bCs w:val="0"/>
        </w:rPr>
      </w:r>
      <w:r>
        <w:rPr>
          <w:rFonts w:ascii="Times New Roman" w:hAnsi="Times New Roman" w:cs="Times New Roman" w:eastAsia="Times New Roman" w:hint="default"/>
        </w:rPr>
        <w:t>19</w:t>
      </w:r>
      <w:r>
        <w:rPr/>
        <w:t>、应付票据</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121,013,887.70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129,525,673.32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4,465,500.00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3,808,189.00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125,479,387.70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133,333,862.32</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20、应付账款" w:id="262"/>
      <w:bookmarkEnd w:id="262"/>
      <w:r>
        <w:rPr>
          <w:b w:val="0"/>
          <w:bCs w:val="0"/>
        </w:rPr>
      </w:r>
      <w:r>
        <w:rPr>
          <w:rFonts w:ascii="Times New Roman" w:hAnsi="Times New Roman" w:cs="Times New Roman" w:eastAsia="Times New Roman" w:hint="default"/>
        </w:rPr>
        <w:t>20</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应付账款列示" w:id="263"/>
      <w:bookmarkEnd w:id="263"/>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584,142,597.25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683,347,095.29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163,591,153.09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231,235,780.87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123,076,517.22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82,957,980.37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86,186,595.01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44,829,932.18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956,996,862.57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1,042,370,788.71</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账龄超过1年的重要应付账款" w:id="264"/>
      <w:bookmarkEnd w:id="264"/>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11,808,345.45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未达结算条件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9,894,700.00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未达结算条件</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未达结算条件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7,995,709.41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未达结算条件</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7,528,183.54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未达结算条件</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45,226,938.40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1、预收款项" w:id="265"/>
      <w:bookmarkEnd w:id="265"/>
      <w:r>
        <w:rPr>
          <w:b w:val="0"/>
          <w:bCs w:val="0"/>
        </w:rPr>
      </w:r>
      <w:r>
        <w:rPr>
          <w:rFonts w:ascii="Times New Roman" w:hAnsi="Times New Roman" w:cs="Times New Roman" w:eastAsia="Times New Roman" w:hint="default"/>
        </w:rPr>
        <w:t>21</w:t>
      </w:r>
      <w:r>
        <w:rPr/>
        <w:t>、预收款项</w:t>
      </w:r>
      <w:r>
        <w:rPr>
          <w:b w:val="0"/>
          <w:bCs w:val="0"/>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1）预收款项列示" w:id="266"/>
      <w:bookmarkEnd w:id="266"/>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80,970,567.05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54,787,558.64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24,188,925.74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32,949,650.30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105,159,492.79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87,737,208.94</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账龄超过1年的重要预收款项" w:id="267"/>
      <w:bookmarkEnd w:id="267"/>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982,406.00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935,413.59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724,745.62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587,735.85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477,914.11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3,708,215.17</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2、应付职工薪酬" w:id="268"/>
      <w:bookmarkEnd w:id="268"/>
      <w:r>
        <w:rPr>
          <w:b w:val="0"/>
          <w:bCs w:val="0"/>
        </w:rPr>
      </w:r>
      <w:r>
        <w:rPr>
          <w:rFonts w:ascii="Times New Roman" w:hAnsi="Times New Roman" w:cs="Times New Roman" w:eastAsia="Times New Roman" w:hint="default"/>
        </w:rPr>
        <w:t>22</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应付职工薪酬列示" w:id="269"/>
      <w:bookmarkEnd w:id="269"/>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29"/>
        <w:gridCol w:w="1288"/>
        <w:gridCol w:w="1916"/>
        <w:gridCol w:w="1913"/>
        <w:gridCol w:w="1916"/>
      </w:tblGrid>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24,970,651.92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439,859,913.45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436,670,612.72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28,159,952.65</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1,806,908.31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29,183,382.69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26,056,224.49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4,934,066.51</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288"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2,358,622.40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2,358,622.40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26,777,560.23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471,401,918.54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465,085,459.61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33,094,019.16</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短期薪酬列示" w:id="270"/>
      <w:bookmarkEnd w:id="270"/>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672"/>
        <w:gridCol w:w="1145"/>
        <w:gridCol w:w="1916"/>
        <w:gridCol w:w="1913"/>
        <w:gridCol w:w="1916"/>
      </w:tblGrid>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15,792,367.62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340,188,225.07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336,749,712.54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19,230,880.15</w:t>
            </w: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14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28,255,205.77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28,255,205.77</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679,586.52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16,721,019.35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16,744,991.96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655,613.91</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662,203.67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15,910,025.04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15,936,274.48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635,954.23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95"/>
        <w:gridCol w:w="1133"/>
        <w:gridCol w:w="1916"/>
        <w:gridCol w:w="1913"/>
        <w:gridCol w:w="1916"/>
      </w:tblGrid>
      <w:tr>
        <w:trPr>
          <w:trHeight w:val="401" w:hRule="exact"/>
        </w:trPr>
        <w:tc>
          <w:tcPr>
            <w:tcW w:w="2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13,712.57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418,213.11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416,087.25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15,838.43</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3,670.28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392,781.20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392,630.23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3,821.25</w:t>
            </w: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177,191.72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34,567,576.82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33,926,080.16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818,688.38</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8,321,506.06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3,013,253.63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3,879,989.48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7,454,770.21</w:t>
            </w: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1,695,344.92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1,695,344.92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其他短期薪酬</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15,419,287.89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15,419,287.89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24,970,651.92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439,859,913.45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436,670,612.72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28,159,952.65</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设定提存计划列示" w:id="271"/>
      <w:bookmarkEnd w:id="271"/>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1,765,853.27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25,961,440.55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24,888,253.56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2,839,040.26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41,055.04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1,173,800.86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1,167,970.93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46,884.97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2,048,141.28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2,048,141.28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1,806,908.31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29,183,382.69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26,056,224.49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4,934,066.51</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3、应交税费" w:id="272"/>
      <w:bookmarkEnd w:id="272"/>
      <w:r>
        <w:rPr>
          <w:b w:val="0"/>
          <w:bCs w:val="0"/>
        </w:rPr>
      </w:r>
      <w:r>
        <w:rPr>
          <w:rFonts w:ascii="Times New Roman" w:hAnsi="Times New Roman" w:cs="Times New Roman" w:eastAsia="Times New Roman" w:hint="default"/>
        </w:rPr>
        <w:t>23</w:t>
      </w:r>
      <w:r>
        <w:rPr/>
        <w:t>、应交税费</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6"/>
        <w:gridCol w:w="3192"/>
        <w:gridCol w:w="3190"/>
      </w:tblGrid>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40,176,283.09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65,007,792.87</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11,994,351.74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29,918,592.57</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1,106,021.99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876,946.28</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2,824,674.70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2,465,650.49</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2,017,624.73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1,761,178.96</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164,208.27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164,208.27</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419,536.27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553,640.88</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58,702,700.79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100,748,010.32</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4、其他应付款" w:id="273"/>
      <w:bookmarkEnd w:id="273"/>
      <w:r>
        <w:rPr>
          <w:b w:val="0"/>
          <w:bCs w:val="0"/>
        </w:rPr>
      </w:r>
      <w:r>
        <w:rPr>
          <w:rFonts w:ascii="Times New Roman" w:hAnsi="Times New Roman" w:cs="Times New Roman" w:eastAsia="Times New Roman" w:hint="default"/>
        </w:rPr>
        <w:t>24</w:t>
      </w:r>
      <w:r>
        <w:rPr/>
        <w:t>、其他应付款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35,402,811.25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48,233,428.23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35,402,811.25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48,233,428.23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1）其他应付款" w:id="274"/>
      <w:bookmarkEnd w:id="274"/>
      <w:r>
        <w:rPr>
          <w:b w:val="0"/>
          <w:bCs w:val="0"/>
        </w:rPr>
      </w:r>
      <w:r>
        <w:rPr/>
        <w:t>（</w:t>
      </w:r>
      <w:r>
        <w:rPr>
          <w:rFonts w:ascii="Times New Roman" w:hAnsi="Times New Roman" w:cs="Times New Roman" w:eastAsia="Times New Roman" w:hint="default"/>
        </w:rPr>
        <w:t>1</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按款项性质列示其他应付款" w:id="275"/>
      <w:bookmarkEnd w:id="275"/>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应付单位款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20,264,221.77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31,494,798.06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暂收待付</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9,109,273.53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6,899,474.32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3,812,241.61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8,908,502.10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个人业务借款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2,217,074.34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930,653.75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35,402,811.25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48,233,428.23</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账龄超过1年的重要其他应付款" w:id="276"/>
      <w:bookmarkEnd w:id="276"/>
      <w:r>
        <w:rPr>
          <w:b w:val="0"/>
          <w:bCs w:val="0"/>
        </w:rPr>
      </w:r>
      <w:r>
        <w:rPr>
          <w:rFonts w:ascii="Times New Roman" w:hAnsi="Times New Roman" w:cs="Times New Roman" w:eastAsia="Times New Roman" w:hint="default"/>
        </w:rPr>
        <w:t>2</w:t>
      </w: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2,996,699.69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1,136,200.00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1,125,527.86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796,874.04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7,055,301.59</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5、递延收益" w:id="277"/>
      <w:bookmarkEnd w:id="277"/>
      <w:r>
        <w:rPr>
          <w:b w:val="0"/>
          <w:bCs w:val="0"/>
        </w:rPr>
      </w:r>
      <w:r>
        <w:rPr>
          <w:rFonts w:ascii="Times New Roman" w:hAnsi="Times New Roman" w:cs="Times New Roman" w:eastAsia="Times New Roman" w:hint="default"/>
        </w:rPr>
        <w:t>25</w:t>
      </w:r>
      <w:r>
        <w:rPr/>
        <w:t>、递延收益</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76,398,360.22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10,943,003.00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48,191,693.07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39,149,670.15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详见明细</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76,398,360.22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10,943,003.00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48,191,693.07</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39,149,670.15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27"/>
        <w:gridCol w:w="850"/>
        <w:gridCol w:w="852"/>
        <w:gridCol w:w="1274"/>
        <w:gridCol w:w="994"/>
        <w:gridCol w:w="991"/>
        <w:gridCol w:w="569"/>
        <w:gridCol w:w="903"/>
        <w:gridCol w:w="1010"/>
      </w:tblGrid>
      <w:tr>
        <w:trPr>
          <w:trHeight w:val="71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2" w:right="59"/>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0" w:right="41"/>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0" w:right="38"/>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8" w:right="98"/>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7"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年省科技重大专项： 第五代移动通信</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安全产 品研发及产业化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13,650,55</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8.81</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3,588,</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000.00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10,062,558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2.4GHz</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射频安全</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SOC</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芯片 研发及产业化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5,700,000.0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27"/>
        <w:gridCol w:w="850"/>
        <w:gridCol w:w="852"/>
        <w:gridCol w:w="1274"/>
        <w:gridCol w:w="994"/>
        <w:gridCol w:w="991"/>
        <w:gridCol w:w="569"/>
        <w:gridCol w:w="903"/>
        <w:gridCol w:w="1010"/>
      </w:tblGrid>
      <w:tr>
        <w:trPr>
          <w:trHeight w:val="71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应用于移动终端的安全</w:t>
            </w:r>
          </w:p>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SoC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芯片研发及产业化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1,800,</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000.00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7"/>
              <w:jc w:val="left"/>
              <w:rPr>
                <w:rFonts w:ascii="宋体" w:hAnsi="宋体" w:cs="宋体" w:eastAsia="宋体" w:hint="default"/>
                <w:sz w:val="18"/>
                <w:szCs w:val="18"/>
              </w:rPr>
            </w:pPr>
            <w:r>
              <w:rPr>
                <w:rFonts w:ascii="宋体" w:hAnsi="宋体" w:cs="宋体" w:eastAsia="宋体" w:hint="default"/>
                <w:sz w:val="18"/>
                <w:szCs w:val="18"/>
              </w:rPr>
              <w:t>基于物联网应用的网络安 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SoC </w:t>
            </w:r>
            <w:r>
              <w:rPr>
                <w:rFonts w:ascii="宋体" w:hAnsi="宋体" w:cs="宋体" w:eastAsia="宋体" w:hint="default"/>
                <w:sz w:val="18"/>
                <w:szCs w:val="18"/>
              </w:rPr>
              <w:t>芯片研发及产业化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可升级高安全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USBKEY</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核 心芯片研发及产业化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四川省科学技术厅</w:t>
            </w:r>
          </w:p>
          <w:p>
            <w:pPr>
              <w:pStyle w:val="TableParagraph"/>
              <w:spacing w:line="300" w:lineRule="auto" w:before="74"/>
              <w:ind w:left="24" w:right="43"/>
              <w:jc w:val="left"/>
              <w:rPr>
                <w:rFonts w:ascii="宋体" w:hAnsi="宋体" w:cs="宋体" w:eastAsia="宋体" w:hint="default"/>
                <w:sz w:val="18"/>
                <w:szCs w:val="18"/>
              </w:rPr>
            </w:pPr>
            <w:r>
              <w:rPr>
                <w:rFonts w:ascii="Times New Roman" w:hAnsi="Times New Roman" w:cs="Times New Roman" w:eastAsia="Times New Roman" w:hint="default"/>
                <w:sz w:val="18"/>
                <w:szCs w:val="18"/>
              </w:rPr>
              <w:t>-Embedded-SE </w:t>
            </w:r>
            <w:r>
              <w:rPr>
                <w:rFonts w:ascii="宋体" w:hAnsi="宋体" w:cs="宋体" w:eastAsia="宋体" w:hint="default"/>
                <w:sz w:val="18"/>
                <w:szCs w:val="18"/>
              </w:rPr>
              <w:t>安全核心研 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2"/>
              <w:ind w:left="40" w:right="0"/>
              <w:jc w:val="left"/>
              <w:rPr>
                <w:rFonts w:ascii="Times New Roman" w:hAnsi="Times New Roman" w:cs="Times New Roman" w:eastAsia="Times New Roman" w:hint="default"/>
                <w:sz w:val="18"/>
                <w:szCs w:val="18"/>
              </w:rPr>
            </w:pPr>
            <w:r>
              <w:rPr>
                <w:rFonts w:ascii="Times New Roman"/>
                <w:sz w:val="18"/>
              </w:rPr>
              <w:t>000.00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安全可控工控关键软硬件 研发及产业化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2,872,838.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39</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2,872,838.3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11"/>
              <w:jc w:val="left"/>
              <w:rPr>
                <w:rFonts w:ascii="宋体" w:hAnsi="宋体" w:cs="宋体" w:eastAsia="宋体" w:hint="default"/>
                <w:sz w:val="18"/>
                <w:szCs w:val="18"/>
              </w:rPr>
            </w:pPr>
            <w:r>
              <w:rPr>
                <w:rFonts w:ascii="宋体" w:hAnsi="宋体" w:cs="宋体" w:eastAsia="宋体" w:hint="default"/>
                <w:sz w:val="18"/>
                <w:szCs w:val="18"/>
              </w:rPr>
              <w:t>高安全等级移动终端关键 技术研究</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2,768,300.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660,650.00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2,107,650.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年科技三项费补助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2,599,837.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2,599,837.1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1"/>
              <w:jc w:val="left"/>
              <w:rPr>
                <w:rFonts w:ascii="宋体" w:hAnsi="宋体" w:cs="宋体" w:eastAsia="宋体" w:hint="default"/>
                <w:sz w:val="18"/>
                <w:szCs w:val="18"/>
              </w:rPr>
            </w:pPr>
            <w:r>
              <w:rPr>
                <w:rFonts w:ascii="宋体" w:hAnsi="宋体" w:cs="宋体" w:eastAsia="宋体" w:hint="default"/>
                <w:sz w:val="18"/>
                <w:szCs w:val="18"/>
              </w:rPr>
              <w:t>安全支付管理与监管关键 技术研究与系统实现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2,026,276.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-194,376.09</w:t>
            </w: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2,220,</w:t>
            </w:r>
          </w:p>
          <w:p>
            <w:pPr>
              <w:pStyle w:val="TableParagraph"/>
              <w:spacing w:line="240" w:lineRule="auto" w:before="102"/>
              <w:ind w:left="40" w:right="0"/>
              <w:jc w:val="left"/>
              <w:rPr>
                <w:rFonts w:ascii="Times New Roman" w:hAnsi="Times New Roman" w:cs="Times New Roman" w:eastAsia="Times New Roman" w:hint="default"/>
                <w:sz w:val="18"/>
                <w:szCs w:val="18"/>
              </w:rPr>
            </w:pPr>
            <w:r>
              <w:rPr>
                <w:rFonts w:ascii="Times New Roman"/>
                <w:sz w:val="18"/>
              </w:rPr>
              <w:t>652.79</w:t>
            </w:r>
          </w:p>
        </w:tc>
        <w:tc>
          <w:tcPr>
            <w:tcW w:w="903"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云密码设备技术研究与产 品开发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1"/>
              <w:jc w:val="left"/>
              <w:rPr>
                <w:rFonts w:ascii="宋体" w:hAnsi="宋体" w:cs="宋体" w:eastAsia="宋体" w:hint="default"/>
                <w:sz w:val="18"/>
                <w:szCs w:val="18"/>
              </w:rPr>
            </w:pPr>
            <w:r>
              <w:rPr>
                <w:rFonts w:ascii="宋体" w:hAnsi="宋体" w:cs="宋体" w:eastAsia="宋体" w:hint="default"/>
                <w:sz w:val="18"/>
                <w:szCs w:val="18"/>
              </w:rPr>
              <w:t>安全芯片创新研制应用平 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可重构安全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SoC </w:t>
            </w:r>
            <w:r>
              <w:rPr>
                <w:rFonts w:ascii="宋体" w:hAnsi="宋体" w:cs="宋体" w:eastAsia="宋体" w:hint="default"/>
                <w:sz w:val="18"/>
                <w:szCs w:val="18"/>
              </w:rPr>
              <w:t>系列芯片 的研发及产业化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1"/>
              <w:jc w:val="left"/>
              <w:rPr>
                <w:rFonts w:ascii="宋体" w:hAnsi="宋体" w:cs="宋体" w:eastAsia="宋体" w:hint="default"/>
                <w:sz w:val="18"/>
                <w:szCs w:val="18"/>
              </w:rPr>
            </w:pPr>
            <w:r>
              <w:rPr>
                <w:rFonts w:ascii="宋体" w:hAnsi="宋体" w:cs="宋体" w:eastAsia="宋体" w:hint="default"/>
                <w:sz w:val="18"/>
                <w:szCs w:val="18"/>
              </w:rPr>
              <w:t>四川省安全密码芯片工程 实验室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基于移动终端应用的低功 耗安全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SoC </w:t>
            </w:r>
            <w:r>
              <w:rPr>
                <w:rFonts w:ascii="宋体" w:hAnsi="宋体" w:cs="宋体" w:eastAsia="宋体" w:hint="default"/>
                <w:sz w:val="18"/>
                <w:szCs w:val="18"/>
              </w:rPr>
              <w:t>芯片</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38"/>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OFDM </w:t>
            </w:r>
            <w:r>
              <w:rPr>
                <w:rFonts w:ascii="宋体" w:hAnsi="宋体" w:cs="宋体" w:eastAsia="宋体" w:hint="default"/>
                <w:sz w:val="18"/>
                <w:szCs w:val="18"/>
              </w:rPr>
              <w:t>的电力载波通 信芯片研发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新一代智能安全芯片的研 发及产业化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1,436,400.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1,436,400.0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应用于保密手机的低功耗</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MicroSD </w:t>
            </w:r>
            <w:r>
              <w:rPr>
                <w:rFonts w:ascii="宋体" w:hAnsi="宋体" w:cs="宋体" w:eastAsia="宋体" w:hint="default"/>
                <w:sz w:val="18"/>
                <w:szCs w:val="18"/>
              </w:rPr>
              <w:t>安全芯片研究</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1,050,000.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1,050,000.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可编程安全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SoC </w:t>
            </w:r>
            <w:r>
              <w:rPr>
                <w:rFonts w:ascii="宋体" w:hAnsi="宋体" w:cs="宋体" w:eastAsia="宋体" w:hint="default"/>
                <w:sz w:val="18"/>
                <w:szCs w:val="18"/>
              </w:rPr>
              <w:t>芯片的研 发及产业化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1"/>
              <w:jc w:val="both"/>
              <w:rPr>
                <w:rFonts w:ascii="宋体" w:hAnsi="宋体" w:cs="宋体" w:eastAsia="宋体" w:hint="default"/>
                <w:sz w:val="18"/>
                <w:szCs w:val="18"/>
              </w:rPr>
            </w:pPr>
            <w:r>
              <w:rPr>
                <w:rFonts w:ascii="宋体" w:hAnsi="宋体" w:cs="宋体" w:eastAsia="宋体" w:hint="default"/>
                <w:sz w:val="18"/>
                <w:szCs w:val="18"/>
              </w:rPr>
              <w:t>基于密码的第五代移动通 信终端及管控系统研发及 产业化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0.00</w:t>
            </w:r>
          </w:p>
        </w:tc>
        <w:tc>
          <w:tcPr>
            <w:tcW w:w="903"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27"/>
        <w:gridCol w:w="850"/>
        <w:gridCol w:w="852"/>
        <w:gridCol w:w="1274"/>
        <w:gridCol w:w="994"/>
        <w:gridCol w:w="991"/>
        <w:gridCol w:w="569"/>
        <w:gridCol w:w="903"/>
        <w:gridCol w:w="1010"/>
      </w:tblGrid>
      <w:tr>
        <w:trPr>
          <w:trHeight w:val="71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应用于移动智能终端的安 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SoC </w:t>
            </w:r>
            <w:r>
              <w:rPr>
                <w:rFonts w:ascii="宋体" w:hAnsi="宋体" w:cs="宋体" w:eastAsia="宋体" w:hint="default"/>
                <w:sz w:val="18"/>
                <w:szCs w:val="18"/>
              </w:rPr>
              <w:t>芯片</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1"/>
              <w:jc w:val="both"/>
              <w:rPr>
                <w:rFonts w:ascii="宋体" w:hAnsi="宋体" w:cs="宋体" w:eastAsia="宋体" w:hint="default"/>
                <w:sz w:val="18"/>
                <w:szCs w:val="18"/>
              </w:rPr>
            </w:pPr>
            <w:r>
              <w:rPr>
                <w:rFonts w:ascii="宋体" w:hAnsi="宋体" w:cs="宋体" w:eastAsia="宋体" w:hint="default"/>
                <w:sz w:val="18"/>
                <w:szCs w:val="18"/>
              </w:rPr>
              <w:t>基于国产密码的安全电子 支付应用与支撑技术研究 及系统实现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1,099,614.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54" w:right="0"/>
              <w:jc w:val="left"/>
              <w:rPr>
                <w:rFonts w:ascii="Times New Roman" w:hAnsi="Times New Roman" w:cs="Times New Roman" w:eastAsia="Times New Roman" w:hint="default"/>
                <w:sz w:val="18"/>
                <w:szCs w:val="18"/>
              </w:rPr>
            </w:pPr>
            <w:r>
              <w:rPr>
                <w:rFonts w:ascii="Times New Roman"/>
                <w:sz w:val="18"/>
              </w:rPr>
              <w:t>14.50</w:t>
            </w: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1,099,</w:t>
            </w:r>
          </w:p>
          <w:p>
            <w:pPr>
              <w:pStyle w:val="TableParagraph"/>
              <w:spacing w:line="240" w:lineRule="auto" w:before="102"/>
              <w:ind w:left="40" w:right="0"/>
              <w:jc w:val="left"/>
              <w:rPr>
                <w:rFonts w:ascii="Times New Roman" w:hAnsi="Times New Roman" w:cs="Times New Roman" w:eastAsia="Times New Roman" w:hint="default"/>
                <w:sz w:val="18"/>
                <w:szCs w:val="18"/>
              </w:rPr>
            </w:pPr>
            <w:r>
              <w:rPr>
                <w:rFonts w:ascii="Times New Roman"/>
                <w:sz w:val="18"/>
              </w:rPr>
              <w:t>600.00</w:t>
            </w:r>
          </w:p>
        </w:tc>
        <w:tc>
          <w:tcPr>
            <w:tcW w:w="903"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1"/>
              <w:jc w:val="both"/>
              <w:rPr>
                <w:rFonts w:ascii="宋体" w:hAnsi="宋体" w:cs="宋体" w:eastAsia="宋体" w:hint="default"/>
                <w:sz w:val="18"/>
                <w:szCs w:val="18"/>
              </w:rPr>
            </w:pPr>
            <w:r>
              <w:rPr>
                <w:rFonts w:ascii="宋体" w:hAnsi="宋体" w:cs="宋体" w:eastAsia="宋体" w:hint="default"/>
                <w:sz w:val="18"/>
                <w:szCs w:val="18"/>
              </w:rPr>
              <w:t>基于国产密码算法的移动 互联网密码服务支撑基础 设施关键技术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361,300.0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1,083,525.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2,889,650.0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-1,444,</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825.00</w:t>
            </w:r>
          </w:p>
        </w:tc>
        <w:tc>
          <w:tcPr>
            <w:tcW w:w="903"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1"/>
              <w:jc w:val="left"/>
              <w:rPr>
                <w:rFonts w:ascii="宋体" w:hAnsi="宋体" w:cs="宋体" w:eastAsia="宋体" w:hint="default"/>
                <w:sz w:val="18"/>
                <w:szCs w:val="18"/>
              </w:rPr>
            </w:pPr>
            <w:r>
              <w:rPr>
                <w:rFonts w:ascii="宋体" w:hAnsi="宋体" w:cs="宋体" w:eastAsia="宋体" w:hint="default"/>
                <w:sz w:val="18"/>
                <w:szCs w:val="18"/>
              </w:rPr>
              <w:t>安全支付及其运行监管的 关键技术</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2,460,900.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2,460,900.0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电子记事本研制及应用验 证</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1"/>
              <w:jc w:val="left"/>
              <w:rPr>
                <w:rFonts w:ascii="宋体" w:hAnsi="宋体" w:cs="宋体" w:eastAsia="宋体" w:hint="default"/>
                <w:sz w:val="18"/>
                <w:szCs w:val="18"/>
              </w:rPr>
            </w:pPr>
            <w:r>
              <w:rPr>
                <w:rFonts w:ascii="宋体" w:hAnsi="宋体" w:cs="宋体" w:eastAsia="宋体" w:hint="default"/>
                <w:sz w:val="18"/>
                <w:szCs w:val="18"/>
              </w:rPr>
              <w:t>网络空间信息基础设施安 全服务基础技术</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1"/>
              <w:jc w:val="both"/>
              <w:rPr>
                <w:rFonts w:ascii="宋体" w:hAnsi="宋体" w:cs="宋体" w:eastAsia="宋体" w:hint="default"/>
                <w:sz w:val="18"/>
                <w:szCs w:val="18"/>
              </w:rPr>
            </w:pPr>
            <w:r>
              <w:rPr>
                <w:rFonts w:ascii="宋体" w:hAnsi="宋体" w:cs="宋体" w:eastAsia="宋体" w:hint="default"/>
                <w:sz w:val="18"/>
                <w:szCs w:val="18"/>
              </w:rPr>
              <w:t>成都高新技术产业开发区 经济运行与安全生产监管 局</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1,440,000.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1,440,000.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11,083,23</w:t>
            </w:r>
          </w:p>
          <w:p>
            <w:pPr>
              <w:pStyle w:val="TableParagraph"/>
              <w:spacing w:line="240" w:lineRule="auto" w:before="102"/>
              <w:ind w:left="503" w:right="0"/>
              <w:jc w:val="left"/>
              <w:rPr>
                <w:rFonts w:ascii="Times New Roman" w:hAnsi="Times New Roman" w:cs="Times New Roman" w:eastAsia="Times New Roman" w:hint="default"/>
                <w:sz w:val="18"/>
                <w:szCs w:val="18"/>
              </w:rPr>
            </w:pPr>
            <w:r>
              <w:rPr>
                <w:rFonts w:ascii="Times New Roman"/>
                <w:sz w:val="18"/>
              </w:rPr>
              <w:t>4.72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3,658,578.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183,743.08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9,118,608.3</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0.00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5,239,461.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76" w:lineRule="auto" w:before="94"/>
        <w:ind w:left="152" w:right="1133" w:firstLine="0"/>
        <w:jc w:val="left"/>
        <w:rPr>
          <w:rFonts w:ascii="宋体" w:hAnsi="宋体" w:cs="宋体" w:eastAsia="宋体" w:hint="default"/>
          <w:sz w:val="18"/>
          <w:szCs w:val="18"/>
        </w:rPr>
      </w:pPr>
      <w:r>
        <w:rPr>
          <w:rFonts w:ascii="宋体" w:hAnsi="宋体" w:cs="宋体" w:eastAsia="宋体" w:hint="default"/>
          <w:spacing w:val="-2"/>
          <w:sz w:val="21"/>
          <w:szCs w:val="21"/>
        </w:rPr>
        <w:t>注：本期计入当期损益金额中，计入其他收益</w:t>
      </w:r>
      <w:r>
        <w:rPr>
          <w:rFonts w:ascii="Times New Roman" w:hAnsi="Times New Roman" w:cs="Times New Roman" w:eastAsia="Times New Roman" w:hint="default"/>
          <w:spacing w:val="-2"/>
          <w:sz w:val="21"/>
          <w:szCs w:val="21"/>
        </w:rPr>
        <w:t>38,244,522.20</w:t>
      </w:r>
      <w:r>
        <w:rPr>
          <w:rFonts w:ascii="宋体" w:hAnsi="宋体" w:cs="宋体" w:eastAsia="宋体" w:hint="default"/>
          <w:spacing w:val="-2"/>
          <w:sz w:val="21"/>
          <w:szCs w:val="21"/>
        </w:rPr>
        <w:t>元，计入营业外收入</w:t>
      </w:r>
      <w:r>
        <w:rPr>
          <w:rFonts w:ascii="Times New Roman" w:hAnsi="Times New Roman" w:cs="Times New Roman" w:eastAsia="Times New Roman" w:hint="default"/>
          <w:spacing w:val="-2"/>
          <w:sz w:val="21"/>
          <w:szCs w:val="21"/>
        </w:rPr>
        <w:t>183,743.08</w:t>
      </w:r>
      <w:r>
        <w:rPr>
          <w:rFonts w:ascii="宋体" w:hAnsi="宋体" w:cs="宋体" w:eastAsia="宋体" w:hint="default"/>
          <w:spacing w:val="-2"/>
          <w:sz w:val="21"/>
          <w:szCs w:val="21"/>
        </w:rPr>
        <w:t>元。</w:t>
      </w:r>
      <w:r>
        <w:rPr>
          <w:rFonts w:ascii="宋体" w:hAnsi="宋体" w:cs="宋体" w:eastAsia="宋体" w:hint="default"/>
          <w:spacing w:val="-2"/>
          <w:sz w:val="18"/>
          <w:szCs w:val="18"/>
        </w:rPr>
        <w:t>本期其他变</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动系转移支付给项目合作开发单位。</w:t>
      </w:r>
    </w:p>
    <w:p>
      <w:pPr>
        <w:spacing w:line="240" w:lineRule="auto" w:before="2"/>
        <w:rPr>
          <w:rFonts w:ascii="宋体" w:hAnsi="宋体" w:cs="宋体" w:eastAsia="宋体" w:hint="default"/>
          <w:sz w:val="25"/>
          <w:szCs w:val="25"/>
        </w:rPr>
      </w:pPr>
    </w:p>
    <w:p>
      <w:pPr>
        <w:pStyle w:val="Heading4"/>
        <w:spacing w:line="240" w:lineRule="auto"/>
        <w:ind w:right="1133"/>
        <w:jc w:val="left"/>
        <w:rPr>
          <w:b w:val="0"/>
          <w:bCs w:val="0"/>
        </w:rPr>
      </w:pPr>
      <w:bookmarkStart w:name="26、股本" w:id="278"/>
      <w:bookmarkEnd w:id="278"/>
      <w:r>
        <w:rPr>
          <w:b w:val="0"/>
          <w:bCs w:val="0"/>
        </w:rPr>
      </w:r>
      <w:r>
        <w:rPr>
          <w:rFonts w:ascii="Times New Roman" w:hAnsi="Times New Roman" w:cs="Times New Roman" w:eastAsia="Times New Roman" w:hint="default"/>
        </w:rPr>
        <w:t>26</w:t>
      </w:r>
      <w:r>
        <w:rPr/>
        <w:t>、股本</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10"/>
        <w:gridCol w:w="1184"/>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7"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838,336,028.00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838,336,028.00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7、资本公积" w:id="279"/>
      <w:bookmarkEnd w:id="279"/>
      <w:r>
        <w:rPr>
          <w:b w:val="0"/>
          <w:bCs w:val="0"/>
        </w:rPr>
      </w:r>
      <w:r>
        <w:rPr>
          <w:rFonts w:ascii="Times New Roman" w:hAnsi="Times New Roman" w:cs="Times New Roman" w:eastAsia="Times New Roman" w:hint="default"/>
        </w:rPr>
        <w:t>27</w:t>
      </w:r>
      <w:r>
        <w:rPr/>
        <w:t>、资本公积</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2,543,349,217.45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2,543,349,217.45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47,810,971.02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189,653.26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48,000,624.28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2,591,160,188.47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189,653.26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2,591,349,841.73</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before="114"/>
        <w:ind w:left="513" w:right="0" w:firstLine="0"/>
        <w:jc w:val="left"/>
        <w:rPr>
          <w:rFonts w:ascii="宋体" w:hAnsi="宋体" w:cs="宋体" w:eastAsia="宋体" w:hint="default"/>
          <w:sz w:val="18"/>
          <w:szCs w:val="18"/>
        </w:rPr>
      </w:pPr>
      <w:r>
        <w:rPr>
          <w:rFonts w:ascii="宋体" w:hAnsi="宋体" w:cs="宋体" w:eastAsia="宋体" w:hint="default"/>
          <w:sz w:val="18"/>
          <w:szCs w:val="18"/>
        </w:rPr>
        <w:t>本公司于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年完成控股子</w:t>
      </w:r>
      <w:r>
        <w:rPr>
          <w:rFonts w:ascii="宋体" w:hAnsi="宋体" w:cs="宋体" w:eastAsia="宋体" w:hint="default"/>
          <w:spacing w:val="-3"/>
          <w:sz w:val="18"/>
          <w:szCs w:val="18"/>
        </w:rPr>
        <w:t>公</w:t>
      </w:r>
      <w:r>
        <w:rPr>
          <w:rFonts w:ascii="宋体" w:hAnsi="宋体" w:cs="宋体" w:eastAsia="宋体" w:hint="default"/>
          <w:sz w:val="18"/>
          <w:szCs w:val="18"/>
        </w:rPr>
        <w:t>司上海卫士通网络安全有限公</w:t>
      </w:r>
      <w:r>
        <w:rPr>
          <w:rFonts w:ascii="宋体" w:hAnsi="宋体" w:cs="宋体" w:eastAsia="宋体" w:hint="default"/>
          <w:spacing w:val="-22"/>
          <w:sz w:val="18"/>
          <w:szCs w:val="18"/>
        </w:rPr>
        <w:t>司</w:t>
      </w:r>
      <w:r>
        <w:rPr>
          <w:rFonts w:ascii="宋体" w:hAnsi="宋体" w:cs="宋体" w:eastAsia="宋体" w:hint="default"/>
          <w:sz w:val="18"/>
          <w:szCs w:val="18"/>
        </w:rPr>
        <w:t>（以下简</w:t>
      </w:r>
      <w:r>
        <w:rPr>
          <w:rFonts w:ascii="宋体" w:hAnsi="宋体" w:cs="宋体" w:eastAsia="宋体" w:hint="default"/>
          <w:spacing w:val="-22"/>
          <w:sz w:val="18"/>
          <w:szCs w:val="18"/>
        </w:rPr>
        <w:t>称</w:t>
      </w:r>
      <w:r>
        <w:rPr>
          <w:rFonts w:ascii="宋体" w:hAnsi="宋体" w:cs="宋体" w:eastAsia="宋体" w:hint="default"/>
          <w:sz w:val="18"/>
          <w:szCs w:val="18"/>
        </w:rPr>
        <w:t>“上海卫士通</w:t>
      </w:r>
      <w:r>
        <w:rPr>
          <w:rFonts w:ascii="宋体" w:hAnsi="宋体" w:cs="宋体" w:eastAsia="宋体" w:hint="default"/>
          <w:spacing w:val="-89"/>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的清</w:t>
      </w:r>
      <w:r>
        <w:rPr>
          <w:rFonts w:ascii="宋体" w:hAnsi="宋体" w:cs="宋体" w:eastAsia="宋体" w:hint="default"/>
          <w:spacing w:val="1"/>
          <w:sz w:val="18"/>
          <w:szCs w:val="18"/>
        </w:rPr>
        <w:t>算</w:t>
      </w:r>
      <w:r>
        <w:rPr>
          <w:rFonts w:ascii="宋体" w:hAnsi="宋体" w:cs="宋体" w:eastAsia="宋体" w:hint="default"/>
          <w:sz w:val="18"/>
          <w:szCs w:val="18"/>
        </w:rPr>
        <w:t>收益</w:t>
      </w:r>
      <w:r>
        <w:rPr>
          <w:rFonts w:ascii="宋体" w:hAnsi="宋体" w:cs="宋体" w:eastAsia="宋体" w:hint="default"/>
          <w:spacing w:val="-22"/>
          <w:sz w:val="18"/>
          <w:szCs w:val="18"/>
        </w:rPr>
        <w:t>，</w:t>
      </w:r>
      <w:r>
        <w:rPr>
          <w:rFonts w:ascii="宋体" w:hAnsi="宋体" w:cs="宋体" w:eastAsia="宋体" w:hint="default"/>
          <w:sz w:val="18"/>
          <w:szCs w:val="18"/>
        </w:rPr>
        <w:t>调增资本公积</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189,653.26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28、其他综合收益" w:id="280"/>
      <w:bookmarkEnd w:id="280"/>
      <w:r>
        <w:rPr>
          <w:b w:val="0"/>
          <w:bCs w:val="0"/>
        </w:rPr>
      </w:r>
      <w:r>
        <w:rPr>
          <w:rFonts w:ascii="Times New Roman" w:hAnsi="Times New Roman" w:cs="Times New Roman" w:eastAsia="Times New Roman" w:hint="default"/>
        </w:rPr>
        <w:t>28</w:t>
      </w:r>
      <w:r>
        <w:rPr/>
        <w:t>、其他综合收益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994"/>
        <w:gridCol w:w="1133"/>
        <w:gridCol w:w="1274"/>
        <w:gridCol w:w="1136"/>
        <w:gridCol w:w="566"/>
        <w:gridCol w:w="994"/>
        <w:gridCol w:w="708"/>
        <w:gridCol w:w="1063"/>
      </w:tblGrid>
      <w:tr>
        <w:trPr>
          <w:trHeight w:val="398" w:hRule="exact"/>
        </w:trPr>
        <w:tc>
          <w:tcPr>
            <w:tcW w:w="1702" w:type="dxa"/>
            <w:vMerge w:val="restart"/>
            <w:tcBorders>
              <w:top w:val="single" w:sz="4" w:space="0" w:color="000000"/>
              <w:left w:val="single" w:sz="4" w:space="0" w:color="000000"/>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
        </w:tc>
        <w:tc>
          <w:tcPr>
            <w:tcW w:w="581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063" w:type="dxa"/>
            <w:vMerge w:val="restart"/>
            <w:tcBorders>
              <w:top w:val="single" w:sz="4" w:space="0" w:color="000000"/>
              <w:left w:val="single" w:sz="4" w:space="0" w:color="000000"/>
              <w:right w:val="single" w:sz="4" w:space="0" w:color="000000"/>
            </w:tcBorders>
            <w:shd w:val="clear" w:color="auto" w:fill="D2D2D2"/>
          </w:tcPr>
          <w:p>
            <w:pPr/>
          </w:p>
        </w:tc>
      </w:tr>
      <w:tr>
        <w:trPr>
          <w:trHeight w:val="166" w:hRule="exact"/>
        </w:trPr>
        <w:tc>
          <w:tcPr>
            <w:tcW w:w="1702"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3" w:right="22"/>
              <w:jc w:val="center"/>
              <w:rPr>
                <w:rFonts w:ascii="宋体" w:hAnsi="宋体" w:cs="宋体" w:eastAsia="宋体" w:hint="default"/>
                <w:sz w:val="18"/>
                <w:szCs w:val="18"/>
              </w:rPr>
            </w:pPr>
            <w:r>
              <w:rPr>
                <w:rFonts w:ascii="宋体" w:hAnsi="宋体" w:cs="宋体" w:eastAsia="宋体" w:hint="default"/>
                <w:sz w:val="18"/>
                <w:szCs w:val="18"/>
              </w:rPr>
              <w:t>减：前期计入 其他综合收 益当期转入 留存收益</w:t>
            </w: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r>
      <w:tr>
        <w:trPr>
          <w:trHeight w:val="110" w:hRule="exact"/>
        </w:trPr>
        <w:tc>
          <w:tcPr>
            <w:tcW w:w="1702"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19"/>
              <w:jc w:val="center"/>
              <w:rPr>
                <w:rFonts w:ascii="宋体" w:hAnsi="宋体" w:cs="宋体" w:eastAsia="宋体" w:hint="default"/>
                <w:sz w:val="18"/>
                <w:szCs w:val="18"/>
              </w:rPr>
            </w:pPr>
            <w:r>
              <w:rPr>
                <w:rFonts w:ascii="宋体" w:hAnsi="宋体" w:cs="宋体" w:eastAsia="宋体" w:hint="default"/>
                <w:spacing w:val="-6"/>
                <w:sz w:val="18"/>
                <w:szCs w:val="18"/>
              </w:rPr>
              <w:t>减：前期计入其</w:t>
            </w:r>
            <w:r>
              <w:rPr>
                <w:rFonts w:ascii="宋体" w:hAnsi="宋体" w:cs="宋体" w:eastAsia="宋体" w:hint="default"/>
                <w:sz w:val="18"/>
                <w:szCs w:val="18"/>
              </w:rPr>
              <w:t> 他综合收益当 期转入损益</w:t>
            </w:r>
          </w:p>
        </w:tc>
        <w:tc>
          <w:tcPr>
            <w:tcW w:w="1136"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98" w:right="19" w:hanging="75"/>
              <w:jc w:val="left"/>
              <w:rPr>
                <w:rFonts w:ascii="宋体" w:hAnsi="宋体" w:cs="宋体" w:eastAsia="宋体" w:hint="default"/>
                <w:sz w:val="18"/>
                <w:szCs w:val="18"/>
              </w:rPr>
            </w:pPr>
            <w:r>
              <w:rPr>
                <w:rFonts w:ascii="宋体" w:hAnsi="宋体" w:cs="宋体" w:eastAsia="宋体" w:hint="default"/>
                <w:spacing w:val="-10"/>
                <w:sz w:val="18"/>
                <w:szCs w:val="18"/>
              </w:rPr>
              <w:t>减：所</w:t>
            </w:r>
            <w:r>
              <w:rPr>
                <w:rFonts w:ascii="宋体" w:hAnsi="宋体" w:cs="宋体" w:eastAsia="宋体" w:hint="default"/>
                <w:sz w:val="18"/>
                <w:szCs w:val="18"/>
              </w:rPr>
              <w:t> 得税 费用</w:t>
            </w:r>
          </w:p>
        </w:tc>
        <w:tc>
          <w:tcPr>
            <w:tcW w:w="994"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9" w:right="77"/>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1063" w:type="dxa"/>
            <w:vMerge/>
            <w:tcBorders>
              <w:left w:val="single" w:sz="4" w:space="0" w:color="000000"/>
              <w:bottom w:val="nil" w:sz="6" w:space="0" w:color="auto"/>
              <w:right w:val="single" w:sz="4" w:space="0" w:color="000000"/>
            </w:tcBorders>
            <w:shd w:val="clear" w:color="auto" w:fill="D2D2D2"/>
          </w:tcPr>
          <w:p>
            <w:pPr/>
          </w:p>
        </w:tc>
      </w:tr>
      <w:tr>
        <w:trPr>
          <w:trHeight w:val="368"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94"/>
              <w:ind w:left="201" w:right="108" w:hanging="89"/>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1274" w:type="dxa"/>
            <w:vMerge/>
            <w:tcBorders>
              <w:left w:val="single" w:sz="4" w:space="0" w:color="000000"/>
              <w:right w:val="single" w:sz="4" w:space="0" w:color="000000"/>
            </w:tcBorders>
            <w:shd w:val="clear" w:color="auto" w:fill="D2D2D2"/>
          </w:tcPr>
          <w:p>
            <w:pPr/>
          </w:p>
        </w:tc>
        <w:tc>
          <w:tcPr>
            <w:tcW w:w="113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220" w:right="41"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708" w:type="dxa"/>
            <w:vMerge/>
            <w:tcBorders>
              <w:left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1702" w:type="dxa"/>
            <w:vMerge w:val="restart"/>
            <w:tcBorders>
              <w:top w:val="nil" w:sz="6" w:space="0" w:color="auto"/>
              <w:left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c>
          <w:tcPr>
            <w:tcW w:w="113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1702"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13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r>
      <w:tr>
        <w:trPr>
          <w:trHeight w:val="161"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一、不能重分类进损 益的其他综合收益</w:t>
            </w:r>
          </w:p>
        </w:tc>
        <w:tc>
          <w:tcPr>
            <w:tcW w:w="9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-800,000.00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528,373.48</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528,373.48</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-271,626.52</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5" w:firstLine="540"/>
              <w:jc w:val="left"/>
              <w:rPr>
                <w:rFonts w:ascii="宋体" w:hAnsi="宋体" w:cs="宋体" w:eastAsia="宋体" w:hint="default"/>
                <w:sz w:val="18"/>
                <w:szCs w:val="18"/>
              </w:rPr>
            </w:pPr>
            <w:r>
              <w:rPr>
                <w:rFonts w:ascii="宋体" w:hAnsi="宋体" w:cs="宋体" w:eastAsia="宋体" w:hint="default"/>
                <w:sz w:val="18"/>
                <w:szCs w:val="18"/>
              </w:rPr>
              <w:t>其他权益工具 投资公允价值变动</w:t>
            </w:r>
          </w:p>
        </w:tc>
        <w:tc>
          <w:tcPr>
            <w:tcW w:w="9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-800,000.00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528,373.48</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528,373.48</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-271,626.52</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77" w:right="0"/>
              <w:jc w:val="left"/>
              <w:rPr>
                <w:rFonts w:ascii="Times New Roman" w:hAnsi="Times New Roman" w:cs="Times New Roman" w:eastAsia="Times New Roman" w:hint="default"/>
                <w:sz w:val="18"/>
                <w:szCs w:val="18"/>
              </w:rPr>
            </w:pPr>
            <w:r>
              <w:rPr>
                <w:rFonts w:ascii="Times New Roman"/>
                <w:sz w:val="18"/>
              </w:rPr>
              <w:t>-800,000.00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528,373.48</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528,373.48</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-271,626.52</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9、盈余公积" w:id="281"/>
      <w:bookmarkEnd w:id="281"/>
      <w:r>
        <w:rPr>
          <w:b w:val="0"/>
          <w:bCs w:val="0"/>
        </w:rPr>
      </w:r>
      <w:r>
        <w:rPr>
          <w:rFonts w:ascii="Times New Roman" w:hAnsi="Times New Roman" w:cs="Times New Roman" w:eastAsia="Times New Roman" w:hint="default"/>
        </w:rPr>
        <w:t>29</w:t>
      </w:r>
      <w:r>
        <w:rPr/>
        <w:t>、盈余公积</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53,927,961.69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1,712,238.21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55,640,199.90</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53,927,961.69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1,712,238.21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55,640,199.90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pStyle w:val="BodyText"/>
        <w:spacing w:line="240" w:lineRule="auto" w:before="94"/>
        <w:ind w:left="573" w:right="1133"/>
        <w:jc w:val="left"/>
      </w:pPr>
      <w:r>
        <w:rPr/>
        <w:t>本期增加为按照本年实现净利润的</w:t>
      </w:r>
      <w:r>
        <w:rPr>
          <w:rFonts w:ascii="Times New Roman" w:hAnsi="Times New Roman" w:cs="Times New Roman" w:eastAsia="Times New Roman" w:hint="default"/>
        </w:rPr>
        <w:t>10%</w:t>
      </w:r>
      <w:r>
        <w:rPr/>
        <w:t>提取法定盈余公积</w:t>
      </w:r>
      <w:r>
        <w:rPr>
          <w:rFonts w:ascii="Times New Roman" w:hAnsi="Times New Roman" w:cs="Times New Roman" w:eastAsia="Times New Roman" w:hint="default"/>
        </w:rPr>
        <w:t>1,712,238.21</w:t>
      </w:r>
      <w:r>
        <w:rPr/>
        <w:t>元。</w:t>
      </w:r>
    </w:p>
    <w:p>
      <w:pPr>
        <w:spacing w:line="240" w:lineRule="auto" w:before="7"/>
        <w:rPr>
          <w:rFonts w:ascii="宋体" w:hAnsi="宋体" w:cs="宋体" w:eastAsia="宋体" w:hint="default"/>
          <w:sz w:val="24"/>
          <w:szCs w:val="24"/>
        </w:rPr>
      </w:pPr>
    </w:p>
    <w:p>
      <w:pPr>
        <w:pStyle w:val="Heading4"/>
        <w:spacing w:line="240" w:lineRule="auto"/>
        <w:ind w:right="1133"/>
        <w:jc w:val="left"/>
        <w:rPr>
          <w:b w:val="0"/>
          <w:bCs w:val="0"/>
        </w:rPr>
      </w:pPr>
      <w:bookmarkStart w:name="30、未分配利润" w:id="282"/>
      <w:bookmarkEnd w:id="282"/>
      <w:r>
        <w:rPr>
          <w:b w:val="0"/>
          <w:bCs w:val="0"/>
        </w:rPr>
      </w:r>
      <w:r>
        <w:rPr>
          <w:rFonts w:ascii="Times New Roman" w:hAnsi="Times New Roman" w:cs="Times New Roman" w:eastAsia="Times New Roman" w:hint="default"/>
        </w:rPr>
        <w:t>30</w:t>
      </w:r>
      <w:r>
        <w:rPr/>
        <w:t>、未分配利润</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923,461,339.03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848,007,653.42</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924,261,339.03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848,007,653.42</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155,765,488.34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120,204,513.73</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1,712,238.21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2,834,026.72</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934"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12,575,040.42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41,916,801.40</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1,065,739,548.74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923,461,339.03</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1"/>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31、营业收入和营业成本" w:id="283"/>
      <w:bookmarkEnd w:id="283"/>
      <w:r>
        <w:rPr>
          <w:b w:val="0"/>
          <w:bCs w:val="0"/>
        </w:rPr>
      </w:r>
      <w:r>
        <w:rPr>
          <w:rFonts w:ascii="Times New Roman" w:hAnsi="Times New Roman" w:cs="Times New Roman" w:eastAsia="Times New Roman" w:hint="default"/>
        </w:rPr>
        <w:t>31</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2,102,073,969.21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1,419,198,764.60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1,929,880,173.48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1,254,943,283.94</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1,686,018.69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1,118,207.25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2,103,759,987.90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1,419,198,764.60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1,930,998,380.73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1,254,943,283.94</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32、税金及附加" w:id="284"/>
      <w:bookmarkEnd w:id="284"/>
      <w:r>
        <w:rPr>
          <w:b w:val="0"/>
          <w:bCs w:val="0"/>
        </w:rPr>
      </w:r>
      <w:r>
        <w:rPr>
          <w:rFonts w:ascii="Times New Roman" w:hAnsi="Times New Roman" w:cs="Times New Roman" w:eastAsia="Times New Roman" w:hint="default"/>
        </w:rPr>
        <w:t>32</w:t>
      </w:r>
      <w:r>
        <w:rPr/>
        <w:t>、税金及附加</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5,280,134.11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5,426,541.08</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3,774,473.61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3,886,299.53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2,256,692.66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2,257,179.02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34,816.76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34,816.76</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647,560.66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17,890.00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1,077,383.64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2,580,569.89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29,667.62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984.54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13,100,729.06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14,204,280.82</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4"/>
        <w:ind w:right="1133"/>
        <w:jc w:val="left"/>
      </w:pPr>
      <w:r>
        <w:rPr/>
        <w:t>其他系防洪工程维护费及外地工程项目个人所得税等。</w:t>
      </w:r>
    </w:p>
    <w:p>
      <w:pPr>
        <w:spacing w:line="240" w:lineRule="auto" w:before="11"/>
        <w:rPr>
          <w:rFonts w:ascii="宋体" w:hAnsi="宋体" w:cs="宋体" w:eastAsia="宋体" w:hint="default"/>
          <w:sz w:val="25"/>
          <w:szCs w:val="25"/>
        </w:rPr>
      </w:pPr>
    </w:p>
    <w:p>
      <w:pPr>
        <w:pStyle w:val="Heading4"/>
        <w:spacing w:line="240" w:lineRule="auto"/>
        <w:ind w:right="1133"/>
        <w:jc w:val="left"/>
        <w:rPr>
          <w:b w:val="0"/>
          <w:bCs w:val="0"/>
        </w:rPr>
      </w:pPr>
      <w:bookmarkStart w:name="33、销售费用" w:id="285"/>
      <w:bookmarkEnd w:id="285"/>
      <w:r>
        <w:rPr>
          <w:b w:val="0"/>
          <w:bCs w:val="0"/>
        </w:rPr>
      </w:r>
      <w:r>
        <w:rPr>
          <w:rFonts w:ascii="Times New Roman" w:hAnsi="Times New Roman" w:cs="Times New Roman" w:eastAsia="Times New Roman" w:hint="default"/>
        </w:rPr>
        <w:t>33</w:t>
      </w:r>
      <w:r>
        <w:rPr/>
        <w:t>、销售费用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180,784,563.74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161,857,325.98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19,576,337.42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20,024,541.50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12,707,447.15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8,780,386.49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8,796,567.56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11,886,948.83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投标费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4,643,336.71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3,035,670.93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4,523,395.89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5,137,824.26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广告与业务宣传费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2,190,511.38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3,329,024.03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2,021,627.90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1,570,362.70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交通运输费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1,493,747.78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3,983,823.19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1,293,523.55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919,814.50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634,757.45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3,428,916.48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9,908,769.71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7,627,943.75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248,574,586.24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231,582,582.64</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4、管理费用" w:id="286"/>
      <w:bookmarkEnd w:id="286"/>
      <w:r>
        <w:rPr>
          <w:b w:val="0"/>
          <w:bCs w:val="0"/>
        </w:rPr>
      </w:r>
      <w:r>
        <w:rPr>
          <w:rFonts w:ascii="Times New Roman" w:hAnsi="Times New Roman" w:cs="Times New Roman" w:eastAsia="Times New Roman" w:hint="default"/>
        </w:rPr>
        <w:t>34</w:t>
      </w:r>
      <w:r>
        <w:rPr/>
        <w:t>、管理费用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86,519,490.48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80,109,897.39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10,758,992.60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18,953,047.86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10,501,719.71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9,810,571.21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8,212,079.10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7,666,473.74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5,810,668.96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8,274,614.66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聘请中介机构费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5,488,818.75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686,062.00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3,046,067.78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2,667,508.61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党建经费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1,980,149.50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1,725,444.28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1,952,106.28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3,845,037.08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交通运输费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1,212,714.03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3,140,040.65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839,308.05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468,416.70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529,136.96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715,735.72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528,170.82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672,822.88</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3,749,226.81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4,476,773.18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141,128,649.83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143,212,445.96</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5、研发费用" w:id="287"/>
      <w:bookmarkEnd w:id="287"/>
      <w:r>
        <w:rPr>
          <w:b w:val="0"/>
          <w:bCs w:val="0"/>
        </w:rPr>
      </w:r>
      <w:r>
        <w:rPr>
          <w:rFonts w:ascii="Times New Roman" w:hAnsi="Times New Roman" w:cs="Times New Roman" w:eastAsia="Times New Roman" w:hint="default"/>
        </w:rPr>
        <w:t>35</w:t>
      </w:r>
      <w:r>
        <w:rPr/>
        <w:t>、研发费用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120,297,855.87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122,541,467.97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17,981,280.02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2,165,104.98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委托外协费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15,699,608.02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22,095,524.32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9,534,886.99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5,508,029.66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8,156,273.64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6,527,879.88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测试费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7,630,188.50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3,199,248.49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4,551,226.68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2,679,440.35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4,351,874.28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21,167,042.80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716,651.82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249,518.19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294,013.35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2,207,575.25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271,277.70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335,596.32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专利及软件费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201,176.57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205,939.97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1,909,228.78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3,782,982.63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191,595,542.22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192,665,350.81</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6、财务费用" w:id="288"/>
      <w:bookmarkEnd w:id="288"/>
      <w:r>
        <w:rPr>
          <w:b w:val="0"/>
          <w:bCs w:val="0"/>
        </w:rPr>
      </w:r>
      <w:r>
        <w:rPr>
          <w:rFonts w:ascii="Times New Roman" w:hAnsi="Times New Roman" w:cs="Times New Roman" w:eastAsia="Times New Roman" w:hint="default"/>
        </w:rPr>
        <w:t>36</w:t>
      </w:r>
      <w:r>
        <w:rPr/>
        <w:t>、财务费用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452,331.38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29,794,533.66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43,206,851.57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237,714.33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178,666.59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-29,104,487.95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-43,028,184.98</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7、其他收益" w:id="289"/>
      <w:bookmarkEnd w:id="289"/>
      <w:r>
        <w:rPr>
          <w:b w:val="0"/>
          <w:bCs w:val="0"/>
        </w:rPr>
      </w:r>
      <w:r>
        <w:rPr>
          <w:rFonts w:ascii="Times New Roman" w:hAnsi="Times New Roman" w:cs="Times New Roman" w:eastAsia="Times New Roman" w:hint="default"/>
        </w:rPr>
        <w:t>37</w:t>
      </w:r>
      <w:r>
        <w:rPr/>
        <w:t>、其他收益</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39,220,989.99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44,136,604.03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32,435,330.58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18,691,971.35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71,656,320.57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62,828,575.38</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8、投资收益" w:id="290"/>
      <w:bookmarkEnd w:id="290"/>
      <w:r>
        <w:rPr>
          <w:b w:val="0"/>
          <w:bCs w:val="0"/>
        </w:rPr>
      </w:r>
      <w:r>
        <w:rPr>
          <w:rFonts w:ascii="Times New Roman" w:hAnsi="Times New Roman" w:cs="Times New Roman" w:eastAsia="Times New Roman" w:hint="default"/>
        </w:rPr>
        <w:t>38</w:t>
      </w:r>
      <w:r>
        <w:rPr/>
        <w:t>、投资收益</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-2,622,462.15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-4,188,314.96</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61"/>
        <w:gridCol w:w="3190"/>
        <w:gridCol w:w="2919"/>
      </w:tblGrid>
      <w:tr>
        <w:trPr>
          <w:trHeight w:val="404"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-2,622,462.15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2" w:right="0"/>
              <w:jc w:val="left"/>
              <w:rPr>
                <w:rFonts w:ascii="Times New Roman" w:hAnsi="Times New Roman" w:cs="Times New Roman" w:eastAsia="Times New Roman" w:hint="default"/>
                <w:sz w:val="18"/>
                <w:szCs w:val="18"/>
              </w:rPr>
            </w:pPr>
            <w:r>
              <w:rPr>
                <w:rFonts w:ascii="Times New Roman"/>
                <w:sz w:val="18"/>
              </w:rPr>
              <w:t>-3,988,314.96</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9、信用减值损失" w:id="291"/>
      <w:bookmarkEnd w:id="291"/>
      <w:r>
        <w:rPr>
          <w:b w:val="0"/>
          <w:bCs w:val="0"/>
        </w:rPr>
      </w:r>
      <w:r>
        <w:rPr>
          <w:rFonts w:ascii="Times New Roman" w:hAnsi="Times New Roman" w:cs="Times New Roman" w:eastAsia="Times New Roman" w:hint="default"/>
        </w:rPr>
        <w:t>39</w:t>
      </w:r>
      <w:r>
        <w:rPr/>
        <w:t>、信用减值损失</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-2,336,175.11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-30,046,142.69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-32,382,317.80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40、资产减值损失" w:id="292"/>
      <w:bookmarkEnd w:id="292"/>
      <w:r>
        <w:rPr>
          <w:b w:val="0"/>
          <w:bCs w:val="0"/>
        </w:rPr>
      </w:r>
      <w:r>
        <w:rPr>
          <w:rFonts w:ascii="Times New Roman" w:hAnsi="Times New Roman" w:cs="Times New Roman" w:eastAsia="Times New Roman" w:hint="default"/>
        </w:rPr>
        <w:t>40</w:t>
      </w:r>
      <w:r>
        <w:rPr/>
        <w:t>、资产减值损失</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-80,129,350.04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-8,085,821.98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-10,767,615.82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-7,991.91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-8,093,813.89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-90,896,965.86</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41、资产处置收益" w:id="293"/>
      <w:bookmarkEnd w:id="293"/>
      <w:r>
        <w:rPr>
          <w:b w:val="0"/>
          <w:bCs w:val="0"/>
        </w:rPr>
      </w:r>
      <w:r>
        <w:rPr>
          <w:rFonts w:ascii="Times New Roman" w:hAnsi="Times New Roman" w:cs="Times New Roman" w:eastAsia="Times New Roman" w:hint="default"/>
        </w:rPr>
        <w:t>41</w:t>
      </w:r>
      <w:r>
        <w:rPr/>
        <w:t>、资产处置收益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非流动资产处置利得或损失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-20,699.46</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42、营业外收入" w:id="294"/>
      <w:bookmarkEnd w:id="294"/>
      <w:r>
        <w:rPr>
          <w:b w:val="0"/>
          <w:bCs w:val="0"/>
        </w:rPr>
      </w:r>
      <w:r>
        <w:rPr>
          <w:rFonts w:ascii="Times New Roman" w:hAnsi="Times New Roman" w:cs="Times New Roman" w:eastAsia="Times New Roman" w:hint="default"/>
        </w:rPr>
        <w:t>42</w:t>
      </w:r>
      <w:r>
        <w:rPr/>
        <w:t>、营业外收入</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5,622,043.08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23,349,900.42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5,622,043.08</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15,555.65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15,555.65</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700,340.88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304,778.31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700,340.88</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6,337,939.61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23,655,268.73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6,337,939.61</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19"/>
        <w:gridCol w:w="1985"/>
        <w:gridCol w:w="566"/>
        <w:gridCol w:w="1419"/>
        <w:gridCol w:w="991"/>
        <w:gridCol w:w="708"/>
        <w:gridCol w:w="711"/>
        <w:gridCol w:w="708"/>
        <w:gridCol w:w="1063"/>
      </w:tblGrid>
      <w:tr>
        <w:trPr>
          <w:trHeight w:val="71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0" w:right="38"/>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9" w:right="77"/>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9" w:right="80"/>
              <w:jc w:val="left"/>
              <w:rPr>
                <w:rFonts w:ascii="宋体" w:hAnsi="宋体" w:cs="宋体" w:eastAsia="宋体" w:hint="default"/>
                <w:sz w:val="18"/>
                <w:szCs w:val="18"/>
              </w:rPr>
            </w:pPr>
            <w:r>
              <w:rPr>
                <w:rFonts w:ascii="宋体" w:hAnsi="宋体" w:cs="宋体" w:eastAsia="宋体" w:hint="default"/>
                <w:sz w:val="18"/>
                <w:szCs w:val="18"/>
              </w:rPr>
              <w:t>本期发 生金额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9" w:right="77"/>
              <w:jc w:val="left"/>
              <w:rPr>
                <w:rFonts w:ascii="宋体" w:hAnsi="宋体" w:cs="宋体" w:eastAsia="宋体" w:hint="default"/>
                <w:sz w:val="18"/>
                <w:szCs w:val="18"/>
              </w:rPr>
            </w:pPr>
            <w:r>
              <w:rPr>
                <w:rFonts w:ascii="宋体" w:hAnsi="宋体" w:cs="宋体" w:eastAsia="宋体" w:hint="default"/>
                <w:sz w:val="18"/>
                <w:szCs w:val="18"/>
              </w:rPr>
              <w:t>上期发 生金额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123"/>
              <w:jc w:val="left"/>
              <w:rPr>
                <w:rFonts w:ascii="宋体" w:hAnsi="宋体" w:cs="宋体" w:eastAsia="宋体" w:hint="default"/>
                <w:sz w:val="18"/>
                <w:szCs w:val="18"/>
              </w:rPr>
            </w:pPr>
            <w:r>
              <w:rPr>
                <w:rFonts w:ascii="宋体" w:hAnsi="宋体" w:cs="宋体" w:eastAsia="宋体" w:hint="default"/>
                <w:sz w:val="18"/>
                <w:szCs w:val="18"/>
              </w:rPr>
              <w:t>成都市高新区经 信局补助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149"/>
              <w:jc w:val="left"/>
              <w:rPr>
                <w:rFonts w:ascii="宋体" w:hAnsi="宋体" w:cs="宋体" w:eastAsia="宋体" w:hint="default"/>
                <w:sz w:val="18"/>
                <w:szCs w:val="18"/>
              </w:rPr>
            </w:pPr>
            <w:r>
              <w:rPr>
                <w:rFonts w:ascii="宋体" w:hAnsi="宋体" w:cs="宋体" w:eastAsia="宋体" w:hint="default"/>
                <w:sz w:val="18"/>
                <w:szCs w:val="18"/>
              </w:rPr>
              <w:t>成都市高新区经济运行 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pacing w:val="-10"/>
                <w:sz w:val="18"/>
                <w:szCs w:val="18"/>
              </w:rPr>
              <w:t>因研究开发、技术</w:t>
            </w:r>
            <w:r>
              <w:rPr>
                <w:rFonts w:ascii="宋体" w:hAnsi="宋体" w:cs="宋体" w:eastAsia="宋体" w:hint="default"/>
                <w:sz w:val="18"/>
                <w:szCs w:val="18"/>
              </w:rPr>
              <w:t> 更新及改造等获 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3,131,70</w:t>
            </w:r>
          </w:p>
          <w:p>
            <w:pPr>
              <w:pStyle w:val="TableParagraph"/>
              <w:spacing w:line="240" w:lineRule="auto" w:before="102"/>
              <w:ind w:left="362" w:right="0"/>
              <w:jc w:val="lef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3,397,93</w:t>
            </w:r>
          </w:p>
          <w:p>
            <w:pPr>
              <w:pStyle w:val="TableParagraph"/>
              <w:spacing w:line="240" w:lineRule="auto" w:before="102"/>
              <w:ind w:left="362" w:right="0"/>
              <w:jc w:val="left"/>
              <w:rPr>
                <w:rFonts w:ascii="Times New Roman" w:hAnsi="Times New Roman" w:cs="Times New Roman" w:eastAsia="Times New Roman" w:hint="default"/>
                <w:sz w:val="18"/>
                <w:szCs w:val="18"/>
              </w:rPr>
            </w:pPr>
            <w:r>
              <w:rPr>
                <w:rFonts w:ascii="Times New Roman"/>
                <w:sz w:val="18"/>
              </w:rPr>
              <w:t>2.03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产业资金补助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成都市高新区经济运行 </w:t>
            </w:r>
            <w:r>
              <w:rPr>
                <w:rFonts w:ascii="宋体" w:hAnsi="宋体" w:cs="宋体" w:eastAsia="宋体" w:hint="default"/>
                <w:spacing w:val="-5"/>
                <w:sz w:val="18"/>
                <w:szCs w:val="18"/>
              </w:rPr>
              <w:t>局、北京中关村科技园区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丰台园管理委员会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10"/>
                <w:sz w:val="18"/>
                <w:szCs w:val="18"/>
              </w:rPr>
              <w:t>因研究开发、技术</w:t>
            </w:r>
            <w:r>
              <w:rPr>
                <w:rFonts w:ascii="宋体" w:hAnsi="宋体" w:cs="宋体" w:eastAsia="宋体" w:hint="default"/>
                <w:sz w:val="18"/>
                <w:szCs w:val="18"/>
              </w:rPr>
              <w:t> 更新及改造等获 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762,843.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203,008.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4" w:right="123"/>
              <w:jc w:val="left"/>
              <w:rPr>
                <w:rFonts w:ascii="宋体" w:hAnsi="宋体" w:cs="宋体" w:eastAsia="宋体" w:hint="default"/>
                <w:sz w:val="18"/>
                <w:szCs w:val="18"/>
              </w:rPr>
            </w:pPr>
            <w:r>
              <w:rPr>
                <w:rFonts w:ascii="宋体" w:hAnsi="宋体" w:cs="宋体" w:eastAsia="宋体" w:hint="default"/>
                <w:sz w:val="18"/>
                <w:szCs w:val="18"/>
              </w:rPr>
              <w:t>高质量发展专项 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49"/>
              <w:jc w:val="left"/>
              <w:rPr>
                <w:rFonts w:ascii="宋体" w:hAnsi="宋体" w:cs="宋体" w:eastAsia="宋体" w:hint="default"/>
                <w:sz w:val="18"/>
                <w:szCs w:val="18"/>
              </w:rPr>
            </w:pPr>
            <w:r>
              <w:rPr>
                <w:rFonts w:ascii="宋体" w:hAnsi="宋体" w:cs="宋体" w:eastAsia="宋体" w:hint="default"/>
                <w:sz w:val="18"/>
                <w:szCs w:val="18"/>
              </w:rPr>
              <w:t>成都市高新区经济运行 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3"/>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23"/>
              <w:jc w:val="both"/>
              <w:rPr>
                <w:rFonts w:ascii="宋体" w:hAnsi="宋体" w:cs="宋体" w:eastAsia="宋体" w:hint="default"/>
                <w:sz w:val="18"/>
                <w:szCs w:val="18"/>
              </w:rPr>
            </w:pPr>
            <w:r>
              <w:rPr>
                <w:rFonts w:ascii="宋体" w:hAnsi="宋体" w:cs="宋体" w:eastAsia="宋体" w:hint="default"/>
                <w:sz w:val="18"/>
                <w:szCs w:val="18"/>
              </w:rPr>
              <w:t>推进</w:t>
            </w:r>
            <w:r>
              <w:rPr>
                <w:rFonts w:ascii="Times New Roman" w:hAnsi="Times New Roman" w:cs="Times New Roman" w:eastAsia="Times New Roman" w:hint="default"/>
                <w:sz w:val="18"/>
                <w:szCs w:val="18"/>
              </w:rPr>
              <w:t>"</w:t>
            </w:r>
            <w:r>
              <w:rPr>
                <w:rFonts w:ascii="宋体" w:hAnsi="宋体" w:cs="宋体" w:eastAsia="宋体" w:hint="default"/>
                <w:sz w:val="18"/>
                <w:szCs w:val="18"/>
              </w:rPr>
              <w:t>三次创业</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支持战略新兴产 业企业加快发展 专项补助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成都市财政局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10"/>
                <w:sz w:val="18"/>
                <w:szCs w:val="18"/>
              </w:rPr>
              <w:t>因研究开发、技术</w:t>
            </w:r>
            <w:r>
              <w:rPr>
                <w:rFonts w:ascii="宋体" w:hAnsi="宋体" w:cs="宋体" w:eastAsia="宋体" w:hint="default"/>
                <w:sz w:val="18"/>
                <w:szCs w:val="18"/>
              </w:rPr>
              <w:t> 更新及改造等获 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2,150,00</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23"/>
              <w:jc w:val="both"/>
              <w:rPr>
                <w:rFonts w:ascii="宋体" w:hAnsi="宋体" w:cs="宋体" w:eastAsia="宋体" w:hint="default"/>
                <w:sz w:val="18"/>
                <w:szCs w:val="18"/>
              </w:rPr>
            </w:pPr>
            <w:r>
              <w:rPr>
                <w:rFonts w:ascii="宋体" w:hAnsi="宋体" w:cs="宋体" w:eastAsia="宋体" w:hint="default"/>
                <w:sz w:val="18"/>
                <w:szCs w:val="18"/>
              </w:rPr>
              <w:t>天津南开科委首 次获批国家高企 奖励资金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天津市科学技术局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3"/>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财政补贴拨款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成都市财政局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2"/>
              <w:jc w:val="left"/>
              <w:rPr>
                <w:rFonts w:ascii="宋体" w:hAnsi="宋体" w:cs="宋体" w:eastAsia="宋体" w:hint="default"/>
                <w:sz w:val="18"/>
                <w:szCs w:val="18"/>
              </w:rPr>
            </w:pPr>
            <w:r>
              <w:rPr>
                <w:rFonts w:ascii="宋体" w:hAnsi="宋体" w:cs="宋体" w:eastAsia="宋体" w:hint="default"/>
                <w:spacing w:val="-10"/>
                <w:sz w:val="18"/>
                <w:szCs w:val="18"/>
              </w:rPr>
              <w:t>因研究开发、技术</w:t>
            </w:r>
            <w:r>
              <w:rPr>
                <w:rFonts w:ascii="宋体" w:hAnsi="宋体" w:cs="宋体" w:eastAsia="宋体" w:hint="default"/>
                <w:sz w:val="18"/>
                <w:szCs w:val="18"/>
              </w:rPr>
              <w:t> 更新及改造等获 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15,496,4</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专利补助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成都市财政局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pacing w:val="-10"/>
                <w:sz w:val="18"/>
                <w:szCs w:val="18"/>
              </w:rPr>
              <w:t>因研究开发、技术</w:t>
            </w:r>
            <w:r>
              <w:rPr>
                <w:rFonts w:ascii="宋体" w:hAnsi="宋体" w:cs="宋体" w:eastAsia="宋体" w:hint="default"/>
                <w:sz w:val="18"/>
                <w:szCs w:val="18"/>
              </w:rPr>
              <w:t> 更新及改造等获 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33,500.0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117,202.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23"/>
              <w:jc w:val="both"/>
              <w:rPr>
                <w:rFonts w:ascii="宋体" w:hAnsi="宋体" w:cs="宋体" w:eastAsia="宋体" w:hint="default"/>
                <w:sz w:val="18"/>
                <w:szCs w:val="18"/>
              </w:rPr>
            </w:pPr>
            <w:r>
              <w:rPr>
                <w:rFonts w:ascii="宋体" w:hAnsi="宋体" w:cs="宋体" w:eastAsia="宋体" w:hint="default"/>
                <w:sz w:val="18"/>
                <w:szCs w:val="18"/>
              </w:rPr>
              <w:t>成都高新区电子 信息产业发展局 产业发展基金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49"/>
              <w:jc w:val="left"/>
              <w:rPr>
                <w:rFonts w:ascii="宋体" w:hAnsi="宋体" w:cs="宋体" w:eastAsia="宋体" w:hint="default"/>
                <w:sz w:val="18"/>
                <w:szCs w:val="18"/>
              </w:rPr>
            </w:pPr>
            <w:r>
              <w:rPr>
                <w:rFonts w:ascii="宋体" w:hAnsi="宋体" w:cs="宋体" w:eastAsia="宋体" w:hint="default"/>
                <w:sz w:val="18"/>
                <w:szCs w:val="18"/>
              </w:rPr>
              <w:t>成都市高新区电子信息 产业局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3"/>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1,024,00</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123"/>
              <w:jc w:val="left"/>
              <w:rPr>
                <w:rFonts w:ascii="宋体" w:hAnsi="宋体" w:cs="宋体" w:eastAsia="宋体" w:hint="default"/>
                <w:sz w:val="18"/>
                <w:szCs w:val="18"/>
              </w:rPr>
            </w:pPr>
            <w:r>
              <w:rPr>
                <w:rFonts w:ascii="宋体" w:hAnsi="宋体" w:cs="宋体" w:eastAsia="宋体" w:hint="default"/>
                <w:sz w:val="18"/>
                <w:szCs w:val="18"/>
              </w:rPr>
              <w:t>电子商务销售项 目补助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149"/>
              <w:jc w:val="left"/>
              <w:rPr>
                <w:rFonts w:ascii="宋体" w:hAnsi="宋体" w:cs="宋体" w:eastAsia="宋体" w:hint="default"/>
                <w:sz w:val="18"/>
                <w:szCs w:val="18"/>
              </w:rPr>
            </w:pPr>
            <w:r>
              <w:rPr>
                <w:rFonts w:ascii="宋体" w:hAnsi="宋体" w:cs="宋体" w:eastAsia="宋体" w:hint="default"/>
                <w:sz w:val="18"/>
                <w:szCs w:val="18"/>
              </w:rPr>
              <w:t>成都市高新区经济运行 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pacing w:val="-10"/>
                <w:sz w:val="18"/>
                <w:szCs w:val="18"/>
              </w:rPr>
              <w:t>因研究开发、技术</w:t>
            </w:r>
            <w:r>
              <w:rPr>
                <w:rFonts w:ascii="宋体" w:hAnsi="宋体" w:cs="宋体" w:eastAsia="宋体" w:hint="default"/>
                <w:sz w:val="18"/>
                <w:szCs w:val="18"/>
              </w:rPr>
              <w:t> 更新及改造等获 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536,700.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其他政府奖励</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成都市高新技术产业开 </w:t>
            </w:r>
            <w:r>
              <w:rPr>
                <w:rFonts w:ascii="宋体" w:hAnsi="宋体" w:cs="宋体" w:eastAsia="宋体" w:hint="default"/>
                <w:spacing w:val="-5"/>
                <w:sz w:val="18"/>
                <w:szCs w:val="18"/>
              </w:rPr>
              <w:t>发区财政金融局、成都市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高新区科技局、天津市商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10"/>
                <w:sz w:val="18"/>
                <w:szCs w:val="18"/>
              </w:rPr>
              <w:t>因研究开发、技术</w:t>
            </w:r>
            <w:r>
              <w:rPr>
                <w:rFonts w:ascii="宋体" w:hAnsi="宋体" w:cs="宋体" w:eastAsia="宋体" w:hint="default"/>
                <w:sz w:val="18"/>
                <w:szCs w:val="18"/>
              </w:rPr>
              <w:t> 更新及改造等获 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66,000.0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424,656.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5,622,04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3.08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23,349,9</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00.42</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6"/>
        <w:ind w:right="1133"/>
        <w:jc w:val="left"/>
        <w:rPr>
          <w:b w:val="0"/>
          <w:bCs w:val="0"/>
        </w:rPr>
      </w:pPr>
      <w:bookmarkStart w:name="43、营业外支出" w:id="295"/>
      <w:bookmarkEnd w:id="295"/>
      <w:r>
        <w:rPr>
          <w:b w:val="0"/>
          <w:bCs w:val="0"/>
        </w:rPr>
      </w:r>
      <w:r>
        <w:rPr>
          <w:rFonts w:ascii="Times New Roman" w:hAnsi="Times New Roman" w:cs="Times New Roman" w:eastAsia="Times New Roman" w:hint="default"/>
        </w:rPr>
        <w:t>43</w:t>
      </w:r>
      <w:r>
        <w:rPr/>
        <w:t>、营业外支出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163"/>
        <w:gridCol w:w="2624"/>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14,000.00</w:t>
            </w:r>
          </w:p>
        </w:tc>
        <w:tc>
          <w:tcPr>
            <w:tcW w:w="2163" w:type="dxa"/>
            <w:tcBorders>
              <w:top w:val="single" w:sz="4" w:space="0" w:color="000000"/>
              <w:left w:val="single" w:sz="4" w:space="0" w:color="000000"/>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84,600.06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11,877.08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84,600.06</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1,437,336.83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558,469.29</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1,437,336.83</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1,535,936.89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570,346.37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1,535,936.89</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44、所得税费用" w:id="296"/>
      <w:bookmarkEnd w:id="296"/>
      <w:r>
        <w:rPr>
          <w:b w:val="0"/>
          <w:bCs w:val="0"/>
        </w:rPr>
      </w:r>
      <w:r>
        <w:rPr>
          <w:rFonts w:ascii="Times New Roman" w:hAnsi="Times New Roman" w:cs="Times New Roman" w:eastAsia="Times New Roman" w:hint="default"/>
        </w:rPr>
        <w:t>44</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所得税费用表" w:id="297"/>
      <w:bookmarkEnd w:id="297"/>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11,870,260.95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31,260,072.13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-18,201,428.73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-27,316,198.47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-6,331,167.78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3,943,873.66</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会计利润与所得税费用调整过程" w:id="298"/>
      <w:bookmarkEnd w:id="298"/>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152,625,933.35</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22,893,890.00</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23,622.22</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-74,254.02</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393,369.32</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2,519,773.33</w:t>
            </w:r>
          </w:p>
        </w:tc>
      </w:tr>
      <w:tr>
        <w:trPr>
          <w:trHeight w:val="40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-2,407,605.96</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1,429,373.59</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其他（研发费用加计扣除及增值税即征即退返还）</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-31,109,336.24</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-6,331,167.78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line="544" w:lineRule="auto" w:before="36"/>
        <w:ind w:left="152" w:right="8857" w:firstLine="0"/>
        <w:jc w:val="left"/>
        <w:rPr>
          <w:rFonts w:ascii="宋体" w:hAnsi="宋体" w:cs="宋体" w:eastAsia="宋体" w:hint="default"/>
          <w:sz w:val="21"/>
          <w:szCs w:val="21"/>
        </w:rPr>
      </w:pPr>
      <w:bookmarkStart w:name="45、其他综合收益" w:id="299"/>
      <w:bookmarkEnd w:id="299"/>
      <w:r>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宋体" w:hAnsi="宋体" w:cs="宋体" w:eastAsia="宋体" w:hint="default"/>
          <w:sz w:val="18"/>
          <w:szCs w:val="18"/>
        </w:rPr>
        <w:t>。 </w:t>
      </w:r>
      <w:bookmarkStart w:name="46、现金流量表项目" w:id="300"/>
      <w:bookmarkEnd w:id="300"/>
      <w:r>
        <w:rPr>
          <w:rFonts w:ascii="宋体" w:hAnsi="宋体" w:cs="宋体" w:eastAsia="宋体" w:hint="default"/>
          <w:sz w:val="18"/>
          <w:szCs w:val="18"/>
        </w:rPr>
      </w: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28"/>
        <w:ind w:right="1133"/>
        <w:jc w:val="left"/>
        <w:rPr>
          <w:b w:val="0"/>
          <w:bCs w:val="0"/>
        </w:rPr>
      </w:pPr>
      <w:bookmarkStart w:name="（1）收到的其他与经营活动有关的现金" w:id="301"/>
      <w:bookmarkEnd w:id="301"/>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17,357,770.79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91,049,737.04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29,794,533.66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43,206,851.57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银行票据保证金解冻</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6,084,347.66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6,086,175.31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收到其他往来款项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1,389,718.04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收回保证金</w:t>
            </w:r>
            <w:r>
              <w:rPr>
                <w:rFonts w:ascii="Times New Roman" w:hAnsi="Times New Roman" w:cs="Times New Roman" w:eastAsia="Times New Roman" w:hint="default"/>
                <w:sz w:val="18"/>
                <w:szCs w:val="18"/>
              </w:rPr>
              <w:t>/</w:t>
            </w:r>
            <w:r>
              <w:rPr>
                <w:rFonts w:ascii="宋体" w:hAnsi="宋体" w:cs="宋体" w:eastAsia="宋体" w:hint="default"/>
                <w:sz w:val="18"/>
                <w:szCs w:val="18"/>
              </w:rPr>
              <w:t>押金等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10,394,445.80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21,050,243.31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63,631,097.91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162,782,725.27</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支付的其他与经营活动有关的现金" w:id="302"/>
      <w:bookmarkEnd w:id="302"/>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支付各项费用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149,402,343.02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125,992,731.16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支付保证金</w:t>
            </w:r>
            <w:r>
              <w:rPr>
                <w:rFonts w:ascii="Times New Roman" w:hAnsi="Times New Roman" w:cs="Times New Roman" w:eastAsia="Times New Roman" w:hint="default"/>
                <w:sz w:val="18"/>
                <w:szCs w:val="18"/>
              </w:rPr>
              <w:t>/</w:t>
            </w:r>
            <w:r>
              <w:rPr>
                <w:rFonts w:ascii="宋体" w:hAnsi="宋体" w:cs="宋体" w:eastAsia="宋体" w:hint="default"/>
                <w:sz w:val="18"/>
                <w:szCs w:val="18"/>
              </w:rPr>
              <w:t>押金等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21,075,329.05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33,245,929.02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银行票据保证金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4,877,954.82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7,718,754.89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个人业务借款等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7,239,848.44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1,914,057.20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Times New Roman" w:hAnsi="Times New Roman" w:cs="Times New Roman" w:eastAsia="Times New Roman" w:hint="default"/>
                <w:sz w:val="18"/>
                <w:szCs w:val="18"/>
              </w:rPr>
              <w:t>-</w:t>
            </w:r>
            <w:r>
              <w:rPr>
                <w:rFonts w:ascii="宋体" w:hAnsi="宋体" w:cs="宋体" w:eastAsia="宋体" w:hint="default"/>
                <w:sz w:val="18"/>
                <w:szCs w:val="18"/>
              </w:rPr>
              <w:t>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237,714.33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178,666.59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支付其他往来款项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33,406,709.06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216,239,898.72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169,050,138.86</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支付的其他与筹资活动有关的现金" w:id="303"/>
      <w:bookmarkEnd w:id="303"/>
      <w:r>
        <w:rPr>
          <w:b w:val="0"/>
          <w:bCs w:val="0"/>
        </w:rPr>
      </w:r>
      <w:r>
        <w:rPr/>
        <w:t>（</w:t>
      </w:r>
      <w:r>
        <w:rPr>
          <w:rFonts w:ascii="Times New Roman" w:hAnsi="Times New Roman" w:cs="Times New Roman" w:eastAsia="Times New Roman" w:hint="default"/>
        </w:rPr>
        <w:t>3</w:t>
      </w:r>
      <w:r>
        <w:rPr/>
        <w:t>）支付的其他与筹资活动有关的现金</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与证券公司结算年度分红手续费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7,680.18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25,263.03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收购子公司少数股东股权</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15,682,992.68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7,680.18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15,708,255.71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47、现金流量表补充资料" w:id="304"/>
      <w:bookmarkEnd w:id="304"/>
      <w:r>
        <w:rPr>
          <w:b w:val="0"/>
          <w:bCs w:val="0"/>
        </w:rPr>
      </w:r>
      <w:r>
        <w:rPr>
          <w:rFonts w:ascii="Times New Roman" w:hAnsi="Times New Roman" w:cs="Times New Roman" w:eastAsia="Times New Roman" w:hint="default"/>
        </w:rPr>
        <w:t>47</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现金流量表补充资料" w:id="305"/>
      <w:bookmarkEnd w:id="305"/>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6499"/>
        <w:gridCol w:w="1571"/>
        <w:gridCol w:w="1488"/>
      </w:tblGrid>
      <w:tr>
        <w:trPr>
          <w:trHeight w:val="401"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158,957,101.13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124,482,265.34</w:t>
            </w:r>
          </w:p>
        </w:tc>
      </w:tr>
      <w:tr>
        <w:trPr>
          <w:trHeight w:val="403"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40,476,131.69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90,896,965.86</w:t>
            </w:r>
          </w:p>
        </w:tc>
      </w:tr>
      <w:tr>
        <w:trPr>
          <w:trHeight w:val="401"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24,928,045.45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22,049,650.75</w:t>
            </w:r>
          </w:p>
        </w:tc>
      </w:tr>
      <w:tr>
        <w:trPr>
          <w:trHeight w:val="404"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30,048,421.02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23,834,319.79</w:t>
            </w:r>
          </w:p>
        </w:tc>
      </w:tr>
      <w:tr>
        <w:trPr>
          <w:trHeight w:val="401"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143,560.74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962,168.82</w:t>
            </w:r>
          </w:p>
        </w:tc>
      </w:tr>
      <w:tr>
        <w:trPr>
          <w:trHeight w:val="403"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1" w:type="dxa"/>
            <w:tcBorders>
              <w:top w:val="single" w:sz="4" w:space="0" w:color="000000"/>
              <w:left w:val="single" w:sz="10"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20,699.46</w:t>
            </w:r>
          </w:p>
        </w:tc>
      </w:tr>
      <w:tr>
        <w:trPr>
          <w:trHeight w:val="401"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69,044.41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11,287.08</w:t>
            </w:r>
          </w:p>
        </w:tc>
      </w:tr>
      <w:tr>
        <w:trPr>
          <w:trHeight w:val="403"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452,331.38</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2,622,462.15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3,988,314.96</w:t>
            </w:r>
          </w:p>
        </w:tc>
      </w:tr>
      <w:tr>
        <w:trPr>
          <w:trHeight w:val="403"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-18,201,428.73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-27,316,198.47</w:t>
            </w:r>
          </w:p>
        </w:tc>
      </w:tr>
      <w:tr>
        <w:trPr>
          <w:trHeight w:val="401"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24,379,434.46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-98,845,506.79</w:t>
            </w:r>
          </w:p>
        </w:tc>
      </w:tr>
      <w:tr>
        <w:trPr>
          <w:trHeight w:val="403"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-145,878,075.31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-225,758,791.62</w:t>
            </w:r>
          </w:p>
        </w:tc>
      </w:tr>
      <w:tr>
        <w:trPr>
          <w:trHeight w:val="401"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-215,883,065.72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118,543,782.31</w:t>
            </w:r>
          </w:p>
        </w:tc>
      </w:tr>
      <w:tr>
        <w:trPr>
          <w:trHeight w:val="403"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-97,886,037.33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32,868,957.49</w:t>
            </w:r>
          </w:p>
        </w:tc>
      </w:tr>
      <w:tr>
        <w:trPr>
          <w:trHeight w:val="401"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1,487,924,230.17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1,931,298,590.37</w:t>
            </w:r>
          </w:p>
        </w:tc>
      </w:tr>
      <w:tr>
        <w:trPr>
          <w:trHeight w:val="403"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1,931,298,590.37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1,868,057,166.79</w:t>
            </w:r>
          </w:p>
        </w:tc>
      </w:tr>
      <w:tr>
        <w:trPr>
          <w:trHeight w:val="401"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-443,374,360.20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63,241,423.58</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现金和现金等价物的构成" w:id="306"/>
      <w:bookmarkEnd w:id="306"/>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1,487,924,230.17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1,931,298,590.37</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125,229.22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344,119.78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1,487,799,000.95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1,930,954,470.59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1,487,924,230.17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1,931,298,590.37</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48、所有权或使用权受到限制的资产" w:id="307"/>
      <w:bookmarkEnd w:id="307"/>
      <w:r>
        <w:rPr>
          <w:b w:val="0"/>
          <w:bCs w:val="0"/>
        </w:rPr>
      </w:r>
      <w:r>
        <w:rPr>
          <w:rFonts w:ascii="Times New Roman" w:hAnsi="Times New Roman" w:cs="Times New Roman" w:eastAsia="Times New Roman" w:hint="default"/>
        </w:rPr>
        <w:t>48</w:t>
      </w:r>
      <w:r>
        <w:rPr/>
        <w:t>、所有权或使用权受到限制的资产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11,620,834.83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银行保函、汇票存出保证金</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1,163,097,398.37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因涉诉被法院查封</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1,174,718,233.20</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注：在建工程受限情况详见附注十三、</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49、政府补助" w:id="308"/>
      <w:bookmarkEnd w:id="308"/>
      <w:r>
        <w:rPr>
          <w:b w:val="0"/>
          <w:bCs w:val="0"/>
        </w:rPr>
      </w:r>
      <w:r>
        <w:rPr>
          <w:rFonts w:ascii="Times New Roman" w:hAnsi="Times New Roman" w:cs="Times New Roman" w:eastAsia="Times New Roman" w:hint="default"/>
        </w:rPr>
        <w:t>49</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政府补助基本情况" w:id="309"/>
      <w:bookmarkEnd w:id="309"/>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计入递延收益的政府补助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10,943,003.00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38,428,265.28</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计入其他收益的政府补助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976,467.79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976,467.79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计入营业外收入的政府补助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5,438,300.00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5,438,300.00</w:t>
            </w:r>
          </w:p>
        </w:tc>
      </w:tr>
      <w:tr>
        <w:trPr>
          <w:trHeight w:val="32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17,357,770.79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44,843,033.07</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政府补助退回情况" w:id="310"/>
      <w:bookmarkEnd w:id="310"/>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before="41"/>
        <w:ind w:left="152" w:right="1133" w:firstLine="0"/>
        <w:jc w:val="left"/>
        <w:rPr>
          <w:rFonts w:ascii="宋体" w:hAnsi="宋体" w:cs="宋体" w:eastAsia="宋体" w:hint="default"/>
          <w:sz w:val="18"/>
          <w:szCs w:val="18"/>
        </w:rPr>
      </w:pPr>
      <w:r>
        <w:rPr>
          <w:rFonts w:ascii="宋体" w:hAnsi="宋体" w:cs="宋体" w:eastAsia="宋体" w:hint="default"/>
          <w:sz w:val="18"/>
          <w:szCs w:val="18"/>
        </w:rPr>
        <w:t>计入递延收益的政府补助本期计入当期收益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38,428,265.28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元，其中：计入其他收益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38,244,522.20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元，计入营业外收入</w:t>
      </w:r>
    </w:p>
    <w:p>
      <w:pPr>
        <w:spacing w:before="63"/>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183,743.08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八、合并范围的变更" w:id="311"/>
      <w:bookmarkEnd w:id="311"/>
      <w:r>
        <w:rPr>
          <w:b w:val="0"/>
          <w:bCs w:val="0"/>
        </w:rPr>
      </w: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其他" w:id="312"/>
      <w:bookmarkEnd w:id="312"/>
      <w:r>
        <w:rPr>
          <w:b w:val="0"/>
          <w:bCs w:val="0"/>
        </w:rPr>
      </w:r>
      <w:r>
        <w:rPr>
          <w:rFonts w:ascii="Times New Roman" w:hAnsi="Times New Roman" w:cs="Times New Roman" w:eastAsia="Times New Roman" w:hint="default"/>
        </w:rPr>
        <w:t>1</w:t>
      </w:r>
      <w:r>
        <w:rPr/>
        <w:t>、其他</w:t>
      </w:r>
      <w:r>
        <w:rPr>
          <w:b w:val="0"/>
          <w:bCs w:val="0"/>
        </w:rPr>
      </w:r>
    </w:p>
    <w:p>
      <w:pPr>
        <w:spacing w:line="240" w:lineRule="auto" w:before="4"/>
        <w:rPr>
          <w:rFonts w:ascii="宋体" w:hAnsi="宋体" w:cs="宋体" w:eastAsia="宋体" w:hint="default"/>
          <w:b/>
          <w:bCs/>
          <w:sz w:val="26"/>
          <w:szCs w:val="26"/>
        </w:rPr>
      </w:pPr>
    </w:p>
    <w:p>
      <w:pPr>
        <w:spacing w:line="319" w:lineRule="auto" w:before="0"/>
        <w:ind w:left="152" w:right="1129" w:firstLine="360"/>
        <w:jc w:val="left"/>
        <w:rPr>
          <w:rFonts w:ascii="宋体" w:hAnsi="宋体" w:cs="宋体" w:eastAsia="宋体" w:hint="default"/>
          <w:sz w:val="18"/>
          <w:szCs w:val="18"/>
        </w:rPr>
      </w:pPr>
      <w:r>
        <w:rPr>
          <w:rFonts w:ascii="宋体" w:hAnsi="宋体" w:cs="宋体" w:eastAsia="宋体" w:hint="default"/>
          <w:spacing w:val="-2"/>
          <w:sz w:val="18"/>
          <w:szCs w:val="18"/>
        </w:rPr>
        <w:t>报告期本公司合并范围较上年无变化。其中：全资子公司成都三零豪赛网络安全技术有限公司本期已完成工商注销、控</w:t>
      </w:r>
      <w:r>
        <w:rPr>
          <w:rFonts w:ascii="宋体" w:hAnsi="宋体" w:cs="宋体" w:eastAsia="宋体" w:hint="default"/>
          <w:sz w:val="18"/>
          <w:szCs w:val="18"/>
        </w:rPr>
        <w:t> 股子公司上海卫士通网络安全有限公司本期已完成清算及税务注销，正在进行工商注销。</w:t>
      </w:r>
    </w:p>
    <w:p>
      <w:pPr>
        <w:spacing w:line="240" w:lineRule="auto" w:before="7"/>
        <w:rPr>
          <w:rFonts w:ascii="宋体" w:hAnsi="宋体" w:cs="宋体" w:eastAsia="宋体" w:hint="default"/>
          <w:sz w:val="20"/>
          <w:szCs w:val="20"/>
        </w:rPr>
      </w:pPr>
    </w:p>
    <w:p>
      <w:pPr>
        <w:pStyle w:val="Heading2"/>
        <w:spacing w:line="240" w:lineRule="auto"/>
        <w:ind w:right="1133"/>
        <w:jc w:val="left"/>
        <w:rPr>
          <w:b w:val="0"/>
          <w:bCs w:val="0"/>
        </w:rPr>
      </w:pPr>
      <w:bookmarkStart w:name="九、在其他主体中的权益" w:id="313"/>
      <w:bookmarkEnd w:id="313"/>
      <w:r>
        <w:rPr>
          <w:b w:val="0"/>
          <w:bCs w:val="0"/>
        </w:rPr>
      </w: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在子公司中的权益" w:id="314"/>
      <w:bookmarkEnd w:id="314"/>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企业集团的构成" w:id="315"/>
      <w:bookmarkEnd w:id="315"/>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20"/>
        <w:gridCol w:w="992"/>
        <w:gridCol w:w="1132"/>
        <w:gridCol w:w="1135"/>
        <w:gridCol w:w="1561"/>
        <w:gridCol w:w="1632"/>
      </w:tblGrid>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取得方式</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121"/>
        <w:gridCol w:w="991"/>
        <w:gridCol w:w="1133"/>
        <w:gridCol w:w="1135"/>
        <w:gridCol w:w="708"/>
        <w:gridCol w:w="853"/>
        <w:gridCol w:w="1632"/>
      </w:tblGrid>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中电科（北京）网络信息安全有限公司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信息安全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成都卫士通信息安全技术有限公司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信息安全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四川卫士通信息安全平台技术有限公司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信息安全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成都三零豪赛网络安全技术有限公司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信息安全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信息安全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96.20%</w:t>
            </w:r>
          </w:p>
        </w:tc>
        <w:tc>
          <w:tcPr>
            <w:tcW w:w="853"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同一控制下合并</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成都三零瑞通移动通信有限公司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信息安全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95.50%</w:t>
            </w:r>
          </w:p>
        </w:tc>
        <w:tc>
          <w:tcPr>
            <w:tcW w:w="853"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同一控制下合并</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成都三零嘉微电子有限公司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信息安全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88.15%</w:t>
            </w:r>
          </w:p>
        </w:tc>
        <w:tc>
          <w:tcPr>
            <w:tcW w:w="853"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同一控制下合并</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上海卫士通网络安全有限公司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信息安全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中电科（天津）网络信息安全有限公司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信息安全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65.00%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line="338" w:lineRule="auto" w:before="49"/>
        <w:ind w:left="152" w:right="1129" w:firstLine="0"/>
        <w:jc w:val="left"/>
        <w:rPr>
          <w:rFonts w:ascii="宋体" w:hAnsi="宋体" w:cs="宋体" w:eastAsia="宋体" w:hint="default"/>
          <w:sz w:val="18"/>
          <w:szCs w:val="18"/>
        </w:rPr>
      </w:pPr>
      <w:r>
        <w:rPr>
          <w:rFonts w:ascii="宋体" w:hAnsi="宋体" w:cs="宋体" w:eastAsia="宋体" w:hint="default"/>
          <w:sz w:val="18"/>
          <w:szCs w:val="18"/>
        </w:rPr>
        <w:t>其他说明 </w:t>
      </w:r>
      <w:r>
        <w:rPr>
          <w:rFonts w:ascii="宋体" w:hAnsi="宋体" w:cs="宋体" w:eastAsia="宋体" w:hint="default"/>
          <w:spacing w:val="-2"/>
          <w:sz w:val="18"/>
          <w:szCs w:val="18"/>
        </w:rPr>
        <w:t>全资子公司成都三零豪赛网络安全技术有限公司本期已完成工商注销、控股子公司上海卫士通网络安全有限公司本期已完成</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清算及税务注销，正在进行工商注销。</w:t>
      </w:r>
    </w:p>
    <w:p>
      <w:pPr>
        <w:spacing w:line="240" w:lineRule="auto" w:before="7"/>
        <w:rPr>
          <w:rFonts w:ascii="宋体" w:hAnsi="宋体" w:cs="宋体" w:eastAsia="宋体" w:hint="default"/>
          <w:sz w:val="21"/>
          <w:szCs w:val="21"/>
        </w:rPr>
      </w:pPr>
    </w:p>
    <w:p>
      <w:pPr>
        <w:pStyle w:val="Heading4"/>
        <w:spacing w:line="240" w:lineRule="auto"/>
        <w:ind w:right="1133"/>
        <w:jc w:val="left"/>
        <w:rPr>
          <w:b w:val="0"/>
          <w:bCs w:val="0"/>
        </w:rPr>
      </w:pPr>
      <w:bookmarkStart w:name="（2）重要的非全资子公司" w:id="316"/>
      <w:bookmarkEnd w:id="316"/>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21"/>
        <w:gridCol w:w="1274"/>
        <w:gridCol w:w="1349"/>
        <w:gridCol w:w="1913"/>
        <w:gridCol w:w="1916"/>
      </w:tblGrid>
      <w:tr>
        <w:trPr>
          <w:trHeight w:val="76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453" w:right="89" w:hanging="360"/>
              <w:jc w:val="left"/>
              <w:rPr>
                <w:rFonts w:ascii="宋体" w:hAnsi="宋体" w:cs="宋体" w:eastAsia="宋体" w:hint="default"/>
                <w:sz w:val="18"/>
                <w:szCs w:val="18"/>
              </w:rPr>
            </w:pPr>
            <w:r>
              <w:rPr>
                <w:rFonts w:ascii="宋体" w:hAnsi="宋体" w:cs="宋体" w:eastAsia="宋体" w:hint="default"/>
                <w:sz w:val="18"/>
                <w:szCs w:val="18"/>
              </w:rPr>
              <w:t>少数股东持股 比例</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220" w:right="36" w:hanging="180"/>
              <w:jc w:val="left"/>
              <w:rPr>
                <w:rFonts w:ascii="宋体" w:hAnsi="宋体" w:cs="宋体" w:eastAsia="宋体" w:hint="default"/>
                <w:sz w:val="18"/>
                <w:szCs w:val="18"/>
              </w:rPr>
            </w:pPr>
            <w:r>
              <w:rPr>
                <w:rFonts w:ascii="宋体" w:hAnsi="宋体" w:cs="宋体" w:eastAsia="宋体" w:hint="default"/>
                <w:sz w:val="18"/>
                <w:szCs w:val="18"/>
              </w:rPr>
              <w:t>本期归属于少数 股东的损益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-1,684,005.69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9,137,780.63</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成都三零瑞通移动通信有限公司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159,973.70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13,851,275.79</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成都三零嘉微电子有限公司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11.85%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4,602,686.16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32,997,898.75</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中电科（天津）网络信息安全有限公司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112,958.62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-4,140,847.90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6"/>
        <w:ind w:right="1133"/>
        <w:jc w:val="left"/>
      </w:pPr>
      <w:r>
        <w:rPr/>
        <w:t>本期天津网安少数股东投入实收资本</w:t>
      </w:r>
      <w:r>
        <w:rPr>
          <w:rFonts w:ascii="Times New Roman" w:hAnsi="Times New Roman" w:cs="Times New Roman" w:eastAsia="Times New Roman" w:hint="default"/>
        </w:rPr>
        <w:t>1,050,000.00</w:t>
      </w:r>
      <w:r>
        <w:rPr/>
        <w:t>元。</w:t>
      </w:r>
    </w:p>
    <w:p>
      <w:pPr>
        <w:spacing w:line="240" w:lineRule="auto" w:before="7"/>
        <w:rPr>
          <w:rFonts w:ascii="宋体" w:hAnsi="宋体" w:cs="宋体" w:eastAsia="宋体" w:hint="default"/>
          <w:sz w:val="24"/>
          <w:szCs w:val="24"/>
        </w:rPr>
      </w:pPr>
    </w:p>
    <w:p>
      <w:pPr>
        <w:pStyle w:val="Heading4"/>
        <w:spacing w:line="240" w:lineRule="auto"/>
        <w:ind w:right="1133"/>
        <w:jc w:val="left"/>
        <w:rPr>
          <w:b w:val="0"/>
          <w:bCs w:val="0"/>
        </w:rPr>
      </w:pPr>
      <w:bookmarkStart w:name="（3）重要非全资子公司的主要财务信息" w:id="317"/>
      <w:bookmarkEnd w:id="317"/>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401"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4" w:lineRule="auto"/>
              <w:ind w:left="182"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三零盛 安</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443,699,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502.51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54,312,6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92.04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498,012,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194.55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257,349,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047.37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442,636.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257,791,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683.49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570,711,</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298.33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48,120,8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55.20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618,832,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153.53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333,017,</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279.62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1,324,01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334,341,</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296.70</w:t>
            </w:r>
          </w:p>
        </w:tc>
      </w:tr>
      <w:tr>
        <w:trPr>
          <w:trHeight w:val="71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三零瑞 通</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846,921,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142.77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68,448,6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20.88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915,369,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763.65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601,040,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177.45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6,289,02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607,329,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205.45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697,532,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269.02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71,447,0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08.77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768,979,</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277.79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454,206,</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098.31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10,290,3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464,496,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398.31</w:t>
            </w:r>
          </w:p>
        </w:tc>
      </w:tr>
      <w:tr>
        <w:trPr>
          <w:trHeight w:val="71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三零嘉 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350,138,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513.89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17,487,1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86.35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367,625,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700.24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70,983,4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94.73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18,270,0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89,253,4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94.73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312,349,</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864.13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16,125,0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46.85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328,474,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910.98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53,214,8</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35.29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35,716,4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88,931,2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35.29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716"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天津网 安</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6,667,20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707,197.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7,374,40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4.09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19,205,3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98.10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19,205,3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98.10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3,369,77</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1.40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745,559.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4,115,33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19,269,0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63.54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19,269,0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63.54</w:t>
            </w:r>
          </w:p>
        </w:tc>
      </w:tr>
    </w:tbl>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三零盛安</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132,212,855.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-44,270,345.7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-44,270,345.7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-36,808,541.0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275,903,787.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824,773.05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824,773.05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-45,929,769.6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三零瑞通</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392,570,415.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3,557,678.72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3,557,678.72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-33,491,190.1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452,902,054.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38,686,364.4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38,686,364.4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-14,517,559.2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r>
      <w:tr>
        <w:trPr>
          <w:trHeight w:val="71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三零嘉微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139,218,719.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38,828,529.8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38,828,529.8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-27,309,960.9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183,457,048.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36,119,118.3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36,119,118.3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103,318,208.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06</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天津网安</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19,559,388.4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322,738.91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322,738.91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-2,222,924.35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8,352,528.15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-16,899,418.4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-16,899,418.4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555,810.37</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在合营安排或联营企业中的权益" w:id="318"/>
      <w:bookmarkEnd w:id="318"/>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不重要的合营企业和联营企业的汇总财务信息" w:id="319"/>
      <w:bookmarkEnd w:id="319"/>
      <w:r>
        <w:rPr>
          <w:b w:val="0"/>
          <w:bCs w:val="0"/>
        </w:rPr>
      </w:r>
      <w:r>
        <w:rPr/>
        <w:t>（</w:t>
      </w:r>
      <w:r>
        <w:rPr>
          <w:rFonts w:ascii="Times New Roman" w:hAnsi="Times New Roman" w:cs="Times New Roman" w:eastAsia="Times New Roman" w:hint="default"/>
        </w:rPr>
        <w:t>1</w:t>
      </w:r>
      <w:r>
        <w:rPr/>
        <w:t>）不重要的合营企业和联营企业的汇总财务信息</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28,795,629.56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31,418,091.71</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-2,622,462.15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-4,188,314.96</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-2,622,462.15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-4,188,314.96</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508" w:lineRule="auto" w:before="118"/>
        <w:ind w:left="152" w:right="1574" w:firstLine="0"/>
        <w:jc w:val="left"/>
        <w:rPr>
          <w:rFonts w:ascii="宋体" w:hAnsi="宋体" w:cs="宋体" w:eastAsia="宋体" w:hint="default"/>
          <w:sz w:val="24"/>
          <w:szCs w:val="24"/>
        </w:rPr>
      </w:pPr>
      <w:bookmarkStart w:name="（2）合营企业或联营企业向本公司转移资金的能力存在重大限制的说明" w:id="320"/>
      <w:bookmarkEnd w:id="32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）合营企业或联营企业向本公司转移资金的能力存在重大限制的说明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本公司无合营企业或联营企业向本公司转移资金的能力存在重大限制情况</w:t>
      </w:r>
      <w:r>
        <w:rPr>
          <w:rFonts w:ascii="宋体" w:hAnsi="宋体" w:cs="宋体" w:eastAsia="宋体" w:hint="default"/>
          <w:spacing w:val="-45"/>
          <w:sz w:val="21"/>
          <w:szCs w:val="21"/>
        </w:rPr>
        <w:t> </w:t>
      </w:r>
      <w:r>
        <w:rPr>
          <w:rFonts w:ascii="宋体" w:hAnsi="宋体" w:cs="宋体" w:eastAsia="宋体" w:hint="default"/>
          <w:spacing w:val="-45"/>
          <w:sz w:val="21"/>
          <w:szCs w:val="21"/>
        </w:rPr>
      </w:r>
      <w:bookmarkStart w:name="十、与金融工具相关的风险" w:id="321"/>
      <w:bookmarkEnd w:id="321"/>
      <w:r>
        <w:rPr>
          <w:rFonts w:ascii="宋体" w:hAnsi="宋体" w:cs="宋体" w:eastAsia="宋体" w:hint="default"/>
          <w:spacing w:val="-45"/>
          <w:sz w:val="21"/>
          <w:szCs w:val="21"/>
        </w:rPr>
      </w:r>
      <w:r>
        <w:rPr>
          <w:rFonts w:ascii="宋体" w:hAnsi="宋体" w:cs="宋体" w:eastAsia="宋体" w:hint="default"/>
          <w:b/>
          <w:bCs/>
          <w:sz w:val="24"/>
          <w:szCs w:val="24"/>
        </w:rPr>
        <w:t>十、与金融工具相关的风险</w:t>
      </w:r>
      <w:r>
        <w:rPr>
          <w:rFonts w:ascii="宋体" w:hAnsi="宋体" w:cs="宋体" w:eastAsia="宋体" w:hint="default"/>
          <w:sz w:val="24"/>
          <w:szCs w:val="24"/>
        </w:rPr>
      </w:r>
    </w:p>
    <w:p>
      <w:pPr>
        <w:pStyle w:val="BodyText"/>
        <w:spacing w:line="273" w:lineRule="auto" w:before="57"/>
        <w:ind w:right="1126" w:firstLine="420"/>
        <w:jc w:val="both"/>
      </w:pPr>
      <w:r>
        <w:rPr>
          <w:spacing w:val="-2"/>
        </w:rPr>
        <w:t>本公司的经营活动会面临各种金融风险：信用风险、流动风险和市场风险（主要为汇率风险和利率风</w:t>
      </w:r>
      <w:r>
        <w:rPr>
          <w:w w:val="100"/>
        </w:rPr>
        <w:t> </w:t>
      </w:r>
      <w:r>
        <w:rPr>
          <w:spacing w:val="-2"/>
        </w:rPr>
        <w:t>险）。本公司整体的风险管理计划针对金融市场的不可预见性，力求减少对本公司财务业绩的潜在不利影</w:t>
      </w:r>
      <w:r>
        <w:rPr>
          <w:spacing w:val="-43"/>
        </w:rPr>
        <w:t> </w:t>
      </w:r>
      <w:r>
        <w:rPr>
          <w:spacing w:val="-43"/>
        </w:rPr>
      </w:r>
      <w:r>
        <w:rPr/>
        <w:t>响。</w:t>
      </w:r>
    </w:p>
    <w:p>
      <w:pPr>
        <w:pStyle w:val="Heading4"/>
        <w:spacing w:line="240" w:lineRule="auto" w:before="7"/>
        <w:ind w:left="462" w:right="1133"/>
        <w:jc w:val="left"/>
        <w:rPr>
          <w:b w:val="0"/>
          <w:bCs w:val="0"/>
        </w:rPr>
      </w:pPr>
      <w:r>
        <w:rPr/>
        <w:t>（一）信用风险</w:t>
      </w:r>
      <w:r>
        <w:rPr>
          <w:b w:val="0"/>
          <w:bCs w:val="0"/>
        </w:rPr>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b/>
          <w:bCs/>
          <w:sz w:val="24"/>
          <w:szCs w:val="24"/>
        </w:rPr>
      </w:pPr>
    </w:p>
    <w:p>
      <w:pPr>
        <w:pStyle w:val="BodyText"/>
        <w:spacing w:line="273" w:lineRule="auto" w:before="36"/>
        <w:ind w:right="1126" w:firstLine="420"/>
        <w:jc w:val="both"/>
      </w:pPr>
      <w:r>
        <w:rPr>
          <w:spacing w:val="-2"/>
        </w:rPr>
        <w:t>信用风险是指交易对手未能履行合同义务而导致本公司产生财务损失的风险，管理层已制定适当的信</w:t>
      </w:r>
      <w:r>
        <w:rPr>
          <w:w w:val="100"/>
        </w:rPr>
        <w:t> </w:t>
      </w:r>
      <w:r>
        <w:rPr/>
        <w:t>用政策，并且不断监察信用风险的敞口。</w:t>
      </w:r>
    </w:p>
    <w:p>
      <w:pPr>
        <w:pStyle w:val="BodyText"/>
        <w:spacing w:line="273" w:lineRule="auto"/>
        <w:ind w:right="1105" w:firstLine="420"/>
        <w:jc w:val="both"/>
      </w:pPr>
      <w:r>
        <w:rPr>
          <w:spacing w:val="-2"/>
        </w:rPr>
        <w:t>本公司已采取政策只与信用良好的交易对手进行交易。另外，本公司基于对客户的财务状况、从第三</w:t>
      </w:r>
      <w:r>
        <w:rPr>
          <w:w w:val="100"/>
        </w:rPr>
        <w:t> </w:t>
      </w:r>
      <w:r>
        <w:rPr>
          <w:spacing w:val="-2"/>
        </w:rPr>
        <w:t>方获取担保的可能性、信用记录及其它因素诸如目前市场状况等评估客户的信用资质并设置相应信用期。</w:t>
      </w:r>
      <w:r>
        <w:rPr>
          <w:spacing w:val="-21"/>
        </w:rPr>
        <w:t> </w:t>
      </w:r>
      <w:r>
        <w:rPr>
          <w:spacing w:val="-21"/>
        </w:rPr>
      </w:r>
      <w:r>
        <w:rPr>
          <w:spacing w:val="-2"/>
        </w:rPr>
        <w:t>本公司对应收票据、应收账款余额及收回情况进行持续监控，对于信用记录不良的客户，本公司会采用书</w:t>
      </w:r>
      <w:r>
        <w:rPr>
          <w:spacing w:val="-43"/>
        </w:rPr>
        <w:t> </w:t>
      </w:r>
      <w:r>
        <w:rPr>
          <w:spacing w:val="-43"/>
        </w:rPr>
      </w:r>
      <w:r>
        <w:rPr>
          <w:spacing w:val="-2"/>
        </w:rPr>
        <w:t>面催款、缩短信用期或取消信用期等方式，以确保本公司不致面临重大信用损失。此外，本公司于每个资</w:t>
      </w:r>
      <w:r>
        <w:rPr>
          <w:spacing w:val="-47"/>
        </w:rPr>
        <w:t> </w:t>
      </w:r>
      <w:r>
        <w:rPr>
          <w:spacing w:val="-47"/>
        </w:rPr>
      </w:r>
      <w:r>
        <w:rPr/>
        <w:t>产负债表日审核金融资产的回收情况，以确保相关金融资产计提了充分的预期信用损失准备。</w:t>
      </w:r>
    </w:p>
    <w:p>
      <w:pPr>
        <w:pStyle w:val="BodyText"/>
        <w:spacing w:line="273" w:lineRule="auto"/>
        <w:ind w:right="1126" w:firstLine="420"/>
        <w:jc w:val="both"/>
      </w:pPr>
      <w:r>
        <w:rPr>
          <w:spacing w:val="-2"/>
        </w:rPr>
        <w:t>本公司其他金融资产包括货币资金及其他应收款，这些金融资产的信用风险源自于交易对手违约，最</w:t>
      </w:r>
      <w:r>
        <w:rPr>
          <w:w w:val="100"/>
        </w:rPr>
        <w:t> </w:t>
      </w:r>
      <w:r>
        <w:rPr>
          <w:spacing w:val="-2"/>
        </w:rPr>
        <w:t>大信用风险敞口为资产负债表中每项金融资产的账面金额。本公司没有提供任何其他可能令本公司承受信</w:t>
      </w:r>
      <w:r>
        <w:rPr>
          <w:spacing w:val="-43"/>
        </w:rPr>
        <w:t> </w:t>
      </w:r>
      <w:r>
        <w:rPr>
          <w:spacing w:val="-43"/>
        </w:rPr>
      </w:r>
      <w:r>
        <w:rPr/>
        <w:t>用风险的担保。</w:t>
      </w:r>
    </w:p>
    <w:p>
      <w:pPr>
        <w:pStyle w:val="BodyText"/>
        <w:spacing w:line="273" w:lineRule="auto"/>
        <w:ind w:right="1105" w:firstLine="420"/>
        <w:jc w:val="both"/>
      </w:pPr>
      <w:r>
        <w:rPr>
          <w:spacing w:val="2"/>
        </w:rPr>
        <w:t>本公司持有的货币资金主要存放于国有控股银行和其他大中型商业银行等金融机构以及中国电子科</w:t>
      </w:r>
      <w:r>
        <w:rPr>
          <w:w w:val="100"/>
        </w:rPr>
        <w:t> </w:t>
      </w:r>
      <w:r>
        <w:rPr>
          <w:spacing w:val="-2"/>
        </w:rPr>
        <w:t>技财务有限公司（集团财务公司），管理层认为这些商业银行及集团财务公司具备较高信誉和资产状况，</w:t>
      </w:r>
      <w:r>
        <w:rPr>
          <w:spacing w:val="-21"/>
        </w:rPr>
        <w:t> </w:t>
      </w:r>
      <w:r>
        <w:rPr>
          <w:spacing w:val="-21"/>
        </w:rPr>
      </w:r>
      <w:r>
        <w:rPr>
          <w:spacing w:val="-2"/>
        </w:rPr>
        <w:t>不存在重大的信用风险，不会产生因对方单位违约而导致的任何重大损失。本公司的政策是根据各知名金</w:t>
      </w:r>
      <w:r>
        <w:rPr>
          <w:spacing w:val="-42"/>
        </w:rPr>
        <w:t> </w:t>
      </w:r>
      <w:r>
        <w:rPr>
          <w:spacing w:val="-42"/>
        </w:rPr>
      </w:r>
      <w:r>
        <w:rPr>
          <w:spacing w:val="-2"/>
        </w:rPr>
        <w:t>融机构的市场信誉、经营规模及财务背景来控制存放当中的存款金额，以限制对任何单个金融机构的信用</w:t>
      </w:r>
      <w:r>
        <w:rPr>
          <w:spacing w:val="-42"/>
        </w:rPr>
        <w:t> </w:t>
      </w:r>
      <w:r>
        <w:rPr>
          <w:spacing w:val="-42"/>
        </w:rPr>
      </w:r>
      <w:r>
        <w:rPr/>
        <w:t>风险金额。</w:t>
      </w:r>
    </w:p>
    <w:p>
      <w:pPr>
        <w:pStyle w:val="BodyText"/>
        <w:spacing w:line="268" w:lineRule="auto"/>
        <w:ind w:right="1104" w:firstLine="420"/>
        <w:jc w:val="both"/>
      </w:pPr>
      <w:r>
        <w:rPr>
          <w:spacing w:val="-2"/>
        </w:rPr>
        <w:t>作为本公司信用风险资产管理的一部分，本公司利用账龄来评估应收账款和其他应收款的减值损失。</w:t>
      </w:r>
      <w:r>
        <w:rPr>
          <w:w w:val="100"/>
        </w:rPr>
        <w:t> </w:t>
      </w:r>
      <w:r>
        <w:rPr>
          <w:spacing w:val="-2"/>
        </w:rPr>
        <w:t>本公司的应收账款和其他应收款涉及大量客户，账龄信息可以反映这些客户对于应收账款和其他应收款的</w:t>
      </w:r>
      <w:r>
        <w:rPr>
          <w:spacing w:val="-43"/>
        </w:rPr>
        <w:t> </w:t>
      </w:r>
      <w:r>
        <w:rPr>
          <w:spacing w:val="-43"/>
        </w:rPr>
      </w:r>
      <w:r>
        <w:rPr>
          <w:spacing w:val="-2"/>
        </w:rPr>
        <w:t>偿付能力和坏账风险。本公司根据历史数据计算不同账龄期间的历史实际坏账率，并考虑了当前及未来经</w:t>
      </w:r>
      <w:r>
        <w:rPr>
          <w:spacing w:val="-43"/>
        </w:rPr>
        <w:t> </w:t>
      </w:r>
      <w:r>
        <w:rPr>
          <w:spacing w:val="-43"/>
        </w:rPr>
      </w:r>
      <w:r>
        <w:rPr>
          <w:spacing w:val="-2"/>
        </w:rPr>
        <w:t>济状况的预测，如国家</w:t>
      </w:r>
      <w:r>
        <w:rPr>
          <w:rFonts w:ascii="Times New Roman" w:hAnsi="Times New Roman" w:cs="Times New Roman" w:eastAsia="Times New Roman" w:hint="default"/>
          <w:spacing w:val="-2"/>
        </w:rPr>
        <w:t>GDP</w:t>
      </w:r>
      <w:r>
        <w:rPr>
          <w:spacing w:val="-2"/>
        </w:rPr>
        <w:t>增速、基建投资总额、国家货币政策等前瞻性信息进行调整得出预期损失率。</w:t>
      </w:r>
      <w:r>
        <w:rPr>
          <w:spacing w:val="-23"/>
        </w:rPr>
        <w:t> </w:t>
      </w:r>
      <w:r>
        <w:rPr>
          <w:spacing w:val="-23"/>
        </w:rPr>
      </w:r>
      <w:r>
        <w:rPr>
          <w:spacing w:val="-2"/>
        </w:rPr>
        <w:t>对于长期应收款，本公司综合考虑结算期、合同约定付款期、债务人的财务状况和债务人所处行业的经济</w:t>
      </w:r>
      <w:r>
        <w:rPr>
          <w:spacing w:val="-45"/>
        </w:rPr>
        <w:t> </w:t>
      </w:r>
      <w:r>
        <w:rPr>
          <w:spacing w:val="-45"/>
        </w:rPr>
      </w:r>
      <w:r>
        <w:rPr/>
        <w:t>形势，并考虑上述前瞻性信息进行调整后对于预期信用损失进行合理评估。</w:t>
      </w:r>
    </w:p>
    <w:p>
      <w:pPr>
        <w:pStyle w:val="BodyText"/>
        <w:spacing w:line="240" w:lineRule="auto" w:before="12"/>
        <w:ind w:left="573" w:right="1133"/>
        <w:jc w:val="left"/>
      </w:pP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日，相关资产的账面余额与预期信用减值损失情况如下：</w:t>
      </w:r>
    </w:p>
    <w:p>
      <w:pPr>
        <w:spacing w:line="240" w:lineRule="auto" w:before="8"/>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3656"/>
        <w:gridCol w:w="3051"/>
        <w:gridCol w:w="2953"/>
      </w:tblGrid>
      <w:tr>
        <w:trPr>
          <w:trHeight w:val="341"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642"/>
              <w:jc w:val="right"/>
              <w:rPr>
                <w:rFonts w:ascii="宋体" w:hAnsi="宋体" w:cs="宋体" w:eastAsia="宋体" w:hint="default"/>
                <w:sz w:val="18"/>
                <w:szCs w:val="18"/>
              </w:rPr>
            </w:pPr>
            <w:r>
              <w:rPr>
                <w:rFonts w:ascii="宋体" w:hAnsi="宋体" w:cs="宋体" w:eastAsia="宋体" w:hint="default"/>
                <w:sz w:val="18"/>
                <w:szCs w:val="18"/>
              </w:rPr>
              <w:t>账龄</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r>
      <w:tr>
        <w:trPr>
          <w:trHeight w:val="344"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546,101,869.69</w:t>
            </w:r>
          </w:p>
        </w:tc>
        <w:tc>
          <w:tcPr>
            <w:tcW w:w="295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1,833,194,901.98</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313,449,192.70</w:t>
            </w:r>
          </w:p>
        </w:tc>
      </w:tr>
      <w:tr>
        <w:trPr>
          <w:trHeight w:val="343"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80,297,514.56</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15,876,058.36</w:t>
            </w:r>
          </w:p>
        </w:tc>
      </w:tr>
      <w:tr>
        <w:trPr>
          <w:trHeight w:val="343"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642"/>
              <w:jc w:val="right"/>
              <w:rPr>
                <w:rFonts w:ascii="宋体" w:hAnsi="宋体" w:cs="宋体" w:eastAsia="宋体" w:hint="default"/>
                <w:sz w:val="18"/>
                <w:szCs w:val="18"/>
              </w:rPr>
            </w:pPr>
            <w:r>
              <w:rPr>
                <w:rFonts w:ascii="宋体" w:hAnsi="宋体" w:cs="宋体" w:eastAsia="宋体" w:hint="default"/>
                <w:sz w:val="18"/>
                <w:szCs w:val="18"/>
              </w:rPr>
              <w:t>合计</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2,459,594,286.23</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329,325,251.06</w:t>
            </w:r>
          </w:p>
        </w:tc>
      </w:tr>
    </w:tbl>
    <w:p>
      <w:pPr>
        <w:pStyle w:val="BodyText"/>
        <w:spacing w:line="273" w:lineRule="auto" w:before="0"/>
        <w:ind w:right="1133" w:firstLine="420"/>
        <w:jc w:val="left"/>
      </w:pPr>
      <w:r>
        <w:rPr>
          <w:spacing w:val="-2"/>
        </w:rPr>
        <w:t>本公司的主要客户为军队及政府机构以及电科集团关联企业等，该等客户具有可靠及良好的信誉，因</w:t>
      </w:r>
      <w:r>
        <w:rPr>
          <w:w w:val="100"/>
        </w:rPr>
        <w:t> </w:t>
      </w:r>
      <w:r>
        <w:rPr/>
        <w:t>此，本公司认为该等客户并无重大信用风险。由于本公司的客户广泛，因此没有重大的信用集中风险。</w:t>
      </w:r>
    </w:p>
    <w:p>
      <w:pPr>
        <w:pStyle w:val="BodyText"/>
        <w:spacing w:line="240" w:lineRule="auto"/>
        <w:ind w:left="573" w:right="0"/>
        <w:jc w:val="left"/>
      </w:pPr>
      <w:r>
        <w:rPr>
          <w:spacing w:val="7"/>
        </w:rPr>
        <w:t>截止</w:t>
      </w:r>
      <w:r>
        <w:rPr>
          <w:rFonts w:ascii="Times New Roman" w:hAnsi="Times New Roman" w:cs="Times New Roman" w:eastAsia="Times New Roman" w:hint="default"/>
          <w:spacing w:val="7"/>
        </w:rPr>
        <w:t>2019</w:t>
      </w:r>
      <w:r>
        <w:rPr>
          <w:spacing w:val="7"/>
        </w:rPr>
        <w:t>年</w:t>
      </w:r>
      <w:r>
        <w:rPr>
          <w:rFonts w:ascii="Times New Roman" w:hAnsi="Times New Roman" w:cs="Times New Roman" w:eastAsia="Times New Roman" w:hint="default"/>
          <w:spacing w:val="7"/>
        </w:rPr>
        <w:t>12</w:t>
      </w:r>
      <w:r>
        <w:rPr>
          <w:spacing w:val="7"/>
        </w:rPr>
        <w:t>月</w:t>
      </w:r>
      <w:r>
        <w:rPr>
          <w:rFonts w:ascii="Times New Roman" w:hAnsi="Times New Roman" w:cs="Times New Roman" w:eastAsia="Times New Roman" w:hint="default"/>
          <w:spacing w:val="7"/>
        </w:rPr>
        <w:t>31</w:t>
      </w:r>
      <w:r>
        <w:rPr>
          <w:spacing w:val="7"/>
        </w:rPr>
        <w:t>日，本公司的前五大客户的应收账款占本公司应收账款总额 </w:t>
      </w:r>
      <w:r>
        <w:rPr>
          <w:rFonts w:ascii="Times New Roman" w:hAnsi="Times New Roman" w:cs="Times New Roman" w:eastAsia="Times New Roman" w:hint="default"/>
        </w:rPr>
        <w:t>27.64% </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4"/>
        </w:rPr>
        <w:t>(2018</w:t>
      </w:r>
      <w:r>
        <w:rPr>
          <w:spacing w:val="4"/>
        </w:rPr>
        <w:t>年：</w:t>
      </w:r>
      <w:r>
        <w:rPr/>
      </w:r>
    </w:p>
    <w:p>
      <w:pPr>
        <w:pStyle w:val="BodyText"/>
        <w:spacing w:line="240" w:lineRule="auto" w:before="21"/>
        <w:ind w:right="0"/>
        <w:jc w:val="both"/>
      </w:pPr>
      <w:r>
        <w:rPr>
          <w:rFonts w:ascii="Times New Roman" w:hAnsi="Times New Roman" w:cs="Times New Roman" w:eastAsia="Times New Roman" w:hint="default"/>
        </w:rPr>
        <w:t>34.02%)</w:t>
      </w:r>
      <w:r>
        <w:rPr>
          <w:rFonts w:ascii="Times New Roman" w:hAnsi="Times New Roman" w:cs="Times New Roman" w:eastAsia="Times New Roman" w:hint="default"/>
          <w:spacing w:val="34"/>
        </w:rPr>
        <w:t> </w:t>
      </w:r>
      <w:r>
        <w:rPr/>
        <w:t>。</w:t>
      </w:r>
    </w:p>
    <w:p>
      <w:pPr>
        <w:pStyle w:val="BodyText"/>
        <w:spacing w:line="273" w:lineRule="auto" w:before="21"/>
        <w:ind w:right="1133" w:firstLine="420"/>
        <w:jc w:val="left"/>
      </w:pPr>
      <w:r>
        <w:rPr>
          <w:spacing w:val="-2"/>
        </w:rPr>
        <w:t>本公司购买的银行结构性存款，交易对方的信用评级须高于或与本公司相同。鉴于交易对方的信用评</w:t>
      </w:r>
      <w:r>
        <w:rPr>
          <w:w w:val="100"/>
        </w:rPr>
        <w:t> </w:t>
      </w:r>
      <w:r>
        <w:rPr/>
        <w:t>级良好，本公司管理层并不预期交易对方会无法履行义务。</w:t>
      </w:r>
    </w:p>
    <w:p>
      <w:pPr>
        <w:pStyle w:val="BodyText"/>
        <w:spacing w:line="256" w:lineRule="auto"/>
        <w:ind w:right="1133" w:firstLine="420"/>
        <w:jc w:val="left"/>
      </w:pPr>
      <w:r>
        <w:rPr>
          <w:spacing w:val="-2"/>
        </w:rPr>
        <w:t>本公司所承受的最大信用风险敞口为资产负债表中每项金融资产的账面金额。截至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spacing w:val="-3"/>
          <w:w w:val="100"/>
        </w:rPr>
        <w:t> </w:t>
      </w:r>
      <w:r>
        <w:rPr/>
        <w:t>本公司没有提供任何其他可能令本公司承受信用风险的担保。</w:t>
      </w:r>
    </w:p>
    <w:p>
      <w:pPr>
        <w:pStyle w:val="BodyText"/>
        <w:spacing w:line="273" w:lineRule="auto" w:before="143"/>
        <w:ind w:left="573" w:right="1133" w:hanging="111"/>
        <w:jc w:val="left"/>
      </w:pPr>
      <w:r>
        <w:rPr>
          <w:rFonts w:ascii="宋体" w:hAnsi="宋体" w:cs="宋体" w:eastAsia="宋体" w:hint="default"/>
          <w:b/>
          <w:bCs/>
        </w:rPr>
        <w:t>（二）流动性风险</w:t>
      </w:r>
      <w:r>
        <w:rPr>
          <w:rFonts w:ascii="宋体" w:hAnsi="宋体" w:cs="宋体" w:eastAsia="宋体" w:hint="default"/>
          <w:b/>
          <w:bCs/>
          <w:spacing w:val="-103"/>
        </w:rPr>
        <w:t> </w:t>
      </w:r>
      <w:r>
        <w:rPr>
          <w:spacing w:val="-2"/>
        </w:rPr>
        <w:t>流动性风险是指本公司在履行以交付现金或其他金融资产的方式结算的义务时发生资金短缺的风险。</w:t>
      </w:r>
    </w:p>
    <w:p>
      <w:pPr>
        <w:pStyle w:val="BodyText"/>
        <w:spacing w:line="273" w:lineRule="auto"/>
        <w:ind w:right="1105"/>
        <w:jc w:val="both"/>
      </w:pPr>
      <w:r>
        <w:rPr>
          <w:spacing w:val="-2"/>
        </w:rPr>
        <w:t>本公司下属成员企业各自负责其现金流量预测。公司下属财务部门基于各成员企业的现金流量预测结果，</w:t>
      </w:r>
      <w:r>
        <w:rPr>
          <w:spacing w:val="-21"/>
        </w:rPr>
        <w:t> </w:t>
      </w:r>
      <w:r>
        <w:rPr>
          <w:spacing w:val="-21"/>
        </w:rPr>
      </w:r>
      <w:r>
        <w:rPr>
          <w:spacing w:val="-2"/>
        </w:rPr>
        <w:t>在公司层面持续监控公司短期和长期的资金需求，以确保维持充裕的现金储备；同时持续监控是否符合借</w:t>
      </w:r>
      <w:r>
        <w:rPr>
          <w:spacing w:val="-43"/>
        </w:rPr>
        <w:t> </w:t>
      </w:r>
      <w:r>
        <w:rPr>
          <w:spacing w:val="-43"/>
        </w:rPr>
      </w:r>
      <w:r>
        <w:rPr>
          <w:spacing w:val="-2"/>
        </w:rPr>
        <w:t>款协议的规定，从主要金融机构以及电科集团财务公司获得提供足够备用资金的承诺，以满足短期和长期</w:t>
      </w:r>
      <w:r>
        <w:rPr>
          <w:spacing w:val="-42"/>
        </w:rPr>
        <w:t> </w:t>
      </w:r>
      <w:r>
        <w:rPr>
          <w:spacing w:val="-42"/>
        </w:rPr>
      </w:r>
      <w:r>
        <w:rPr/>
        <w:t>的资金需求。</w:t>
      </w:r>
    </w:p>
    <w:p>
      <w:pPr>
        <w:pStyle w:val="BodyText"/>
        <w:spacing w:line="240" w:lineRule="auto"/>
        <w:ind w:left="573" w:right="1133"/>
        <w:jc w:val="left"/>
      </w:pP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日，本公司金融负债以未折现的合同现金流量按合同剩余期限列示如下：</w:t>
      </w:r>
    </w:p>
    <w:p>
      <w:pPr>
        <w:spacing w:line="240" w:lineRule="auto" w:before="8"/>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1769"/>
        <w:gridCol w:w="7890"/>
      </w:tblGrid>
      <w:tr>
        <w:trPr>
          <w:trHeight w:val="341"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1769"/>
        <w:gridCol w:w="1316"/>
        <w:gridCol w:w="1315"/>
        <w:gridCol w:w="1316"/>
        <w:gridCol w:w="1315"/>
        <w:gridCol w:w="1316"/>
        <w:gridCol w:w="1313"/>
      </w:tblGrid>
      <w:tr>
        <w:trPr>
          <w:trHeight w:val="344" w:hRule="exact"/>
        </w:trPr>
        <w:tc>
          <w:tcPr>
            <w:tcW w:w="176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92"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41"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125,479,387.70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125,479,387.70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125,479,387.70</w:t>
            </w: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956,996,862.57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956,996,862.57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956,996,862.57</w:t>
            </w: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35,402,811.25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35,402,811.25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35,402,811.25</w:t>
            </w: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38" w:right="0"/>
              <w:jc w:val="left"/>
              <w:rPr>
                <w:rFonts w:ascii="宋体" w:hAnsi="宋体" w:cs="宋体" w:eastAsia="宋体" w:hint="default"/>
                <w:sz w:val="18"/>
                <w:szCs w:val="18"/>
              </w:rPr>
            </w:pPr>
            <w:r>
              <w:rPr>
                <w:rFonts w:ascii="宋体" w:hAnsi="宋体" w:cs="宋体" w:eastAsia="宋体" w:hint="default"/>
                <w:sz w:val="18"/>
                <w:szCs w:val="18"/>
              </w:rPr>
              <w:t>金融负债小计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pacing w:val="-1"/>
                <w:sz w:val="18"/>
              </w:rPr>
              <w:t>1,117,879,061.52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1,117,879,061.52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1,117,879,061.52</w:t>
            </w: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5"/>
          <w:szCs w:val="5"/>
        </w:rPr>
      </w:pPr>
    </w:p>
    <w:p>
      <w:pPr>
        <w:pStyle w:val="Heading4"/>
        <w:spacing w:line="240" w:lineRule="auto" w:before="36"/>
        <w:ind w:left="462" w:right="1133"/>
        <w:jc w:val="left"/>
        <w:rPr>
          <w:b w:val="0"/>
          <w:bCs w:val="0"/>
        </w:rPr>
      </w:pPr>
      <w:r>
        <w:rPr/>
        <w:t>（三）市场风险</w:t>
      </w:r>
      <w:r>
        <w:rPr>
          <w:b w:val="0"/>
          <w:bCs w:val="0"/>
        </w:rPr>
      </w:r>
    </w:p>
    <w:p>
      <w:pPr>
        <w:pStyle w:val="BodyText"/>
        <w:spacing w:line="273" w:lineRule="auto" w:before="157"/>
        <w:ind w:left="573" w:right="1133"/>
        <w:jc w:val="left"/>
      </w:pPr>
      <w:r>
        <w:rPr>
          <w:rFonts w:ascii="宋体" w:hAnsi="宋体" w:cs="宋体" w:eastAsia="宋体" w:hint="default"/>
          <w:b/>
          <w:bCs/>
        </w:rPr>
        <w:t>利率风险</w:t>
      </w:r>
      <w:r>
        <w:rPr>
          <w:rFonts w:ascii="宋体" w:hAnsi="宋体" w:cs="宋体" w:eastAsia="宋体" w:hint="default"/>
          <w:b/>
          <w:bCs/>
          <w:w w:val="100"/>
        </w:rPr>
        <w:t> </w:t>
      </w:r>
      <w:r>
        <w:rPr>
          <w:spacing w:val="-2"/>
        </w:rPr>
        <w:t>本公司的利率风险主要产生于短期借款等。浮动利率的金融负债使本公司面临现金流量利率风险，固</w:t>
      </w:r>
    </w:p>
    <w:p>
      <w:pPr>
        <w:pStyle w:val="BodyText"/>
        <w:spacing w:line="273" w:lineRule="auto"/>
        <w:ind w:right="1133"/>
        <w:jc w:val="left"/>
      </w:pPr>
      <w:r>
        <w:rPr>
          <w:spacing w:val="-2"/>
        </w:rPr>
        <w:t>定利率的金融负债使本公司面临公允价值利率风险。本公司根据当时的市场环境来决定固定利率及浮动利</w:t>
      </w:r>
      <w:r>
        <w:rPr>
          <w:spacing w:val="-43"/>
        </w:rPr>
        <w:t> </w:t>
      </w:r>
      <w:r>
        <w:rPr>
          <w:spacing w:val="-43"/>
        </w:rPr>
      </w:r>
      <w:r>
        <w:rPr/>
        <w:t>率合同的相对比例。</w:t>
      </w:r>
    </w:p>
    <w:p>
      <w:pPr>
        <w:pStyle w:val="BodyText"/>
        <w:spacing w:line="273" w:lineRule="auto"/>
        <w:ind w:right="1126" w:firstLine="420"/>
        <w:jc w:val="both"/>
      </w:pPr>
      <w:r>
        <w:rPr>
          <w:spacing w:val="-2"/>
        </w:rPr>
        <w:t>本公司财务部门持续监控公司利率水平。利率上升会增加新增带息债务的成本以及本公司尚未付清的</w:t>
      </w:r>
      <w:r>
        <w:rPr>
          <w:w w:val="100"/>
        </w:rPr>
        <w:t> </w:t>
      </w:r>
      <w:r>
        <w:rPr>
          <w:spacing w:val="-2"/>
        </w:rPr>
        <w:t>以浮动利率计息的带息债务的利息支出，并对本公司的财务业绩产生重大的不利影响，管理层会依据最新</w:t>
      </w:r>
      <w:r>
        <w:rPr>
          <w:spacing w:val="-42"/>
        </w:rPr>
        <w:t> </w:t>
      </w:r>
      <w:r>
        <w:rPr>
          <w:spacing w:val="-42"/>
        </w:rPr>
      </w:r>
      <w:r>
        <w:rPr/>
        <w:t>的市场状况及时做出调整。</w:t>
      </w:r>
    </w:p>
    <w:p>
      <w:pPr>
        <w:spacing w:line="484" w:lineRule="auto" w:before="7"/>
        <w:ind w:left="152" w:right="4994" w:firstLine="420"/>
        <w:jc w:val="left"/>
        <w:rPr>
          <w:rFonts w:ascii="宋体" w:hAnsi="宋体" w:cs="宋体" w:eastAsia="宋体" w:hint="default"/>
          <w:sz w:val="21"/>
          <w:szCs w:val="21"/>
        </w:rPr>
      </w:pPr>
      <w:r>
        <w:rPr>
          <w:rFonts w:ascii="宋体" w:hAnsi="宋体" w:cs="宋体" w:eastAsia="宋体" w:hint="default"/>
          <w:spacing w:val="-2"/>
          <w:sz w:val="21"/>
          <w:szCs w:val="21"/>
        </w:rPr>
        <w:t>截至</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日，本公司无长期带息债务。</w:t>
      </w:r>
      <w:r>
        <w:rPr>
          <w:rFonts w:ascii="宋体" w:hAnsi="宋体" w:cs="宋体" w:eastAsia="宋体" w:hint="default"/>
          <w:w w:val="100"/>
          <w:sz w:val="21"/>
          <w:szCs w:val="21"/>
        </w:rPr>
        <w:t> </w:t>
      </w:r>
      <w:bookmarkStart w:name="十一、公允价值的披露" w:id="322"/>
      <w:bookmarkEnd w:id="322"/>
      <w:r>
        <w:rPr>
          <w:rFonts w:ascii="宋体" w:hAnsi="宋体" w:cs="宋体" w:eastAsia="宋体" w:hint="default"/>
          <w:w w:val="100"/>
          <w:sz w:val="21"/>
          <w:szCs w:val="21"/>
        </w:rPr>
      </w:r>
      <w:r>
        <w:rPr>
          <w:rFonts w:ascii="宋体" w:hAnsi="宋体" w:cs="宋体" w:eastAsia="宋体" w:hint="default"/>
          <w:b/>
          <w:bCs/>
          <w:sz w:val="24"/>
          <w:szCs w:val="24"/>
        </w:rPr>
        <w:t>十一、公允价值的披露</w:t>
      </w:r>
      <w:r>
        <w:rPr>
          <w:rFonts w:ascii="宋体" w:hAnsi="宋体" w:cs="宋体" w:eastAsia="宋体" w:hint="default"/>
          <w:b/>
          <w:bCs/>
          <w:w w:val="99"/>
          <w:sz w:val="24"/>
          <w:szCs w:val="24"/>
        </w:rPr>
        <w:t> </w:t>
      </w:r>
      <w:bookmarkStart w:name="1、以公允价值计量的资产和负债的期末公允价值" w:id="323"/>
      <w:bookmarkEnd w:id="32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、以公允价值计量的资产和负债的期末公允价值</w:t>
      </w:r>
      <w:r>
        <w:rPr>
          <w:rFonts w:ascii="宋体" w:hAnsi="宋体" w:cs="宋体" w:eastAsia="宋体" w:hint="default"/>
          <w:sz w:val="21"/>
          <w:szCs w:val="21"/>
        </w:rPr>
      </w:r>
    </w:p>
    <w:p>
      <w:pPr>
        <w:spacing w:before="10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11"/>
        <w:gridCol w:w="1984"/>
        <w:gridCol w:w="2127"/>
        <w:gridCol w:w="1985"/>
        <w:gridCol w:w="1066"/>
      </w:tblGrid>
      <w:tr>
        <w:trPr>
          <w:trHeight w:val="205" w:hRule="exact"/>
        </w:trPr>
        <w:tc>
          <w:tcPr>
            <w:tcW w:w="24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92" w:hRule="exact"/>
        </w:trPr>
        <w:tc>
          <w:tcPr>
            <w:tcW w:w="24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162"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11" w:type="dxa"/>
            <w:vMerge/>
            <w:tcBorders>
              <w:left w:val="single" w:sz="4" w:space="0" w:color="000000"/>
              <w:bottom w:val="nil" w:sz="6" w:space="0" w:color="auto"/>
              <w:right w:val="single" w:sz="4" w:space="0" w:color="000000"/>
            </w:tcBorders>
            <w:shd w:val="clear" w:color="auto" w:fill="D2D2D2"/>
          </w:tcPr>
          <w:p>
            <w:pPr/>
          </w:p>
        </w:tc>
        <w:tc>
          <w:tcPr>
            <w:tcW w:w="19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7" w:right="0"/>
              <w:jc w:val="left"/>
              <w:rPr>
                <w:rFonts w:ascii="宋体" w:hAnsi="宋体" w:cs="宋体" w:eastAsia="宋体" w:hint="default"/>
                <w:sz w:val="18"/>
                <w:szCs w:val="18"/>
              </w:rPr>
            </w:pPr>
            <w:r>
              <w:rPr>
                <w:rFonts w:ascii="宋体" w:hAnsi="宋体" w:cs="宋体" w:eastAsia="宋体" w:hint="default"/>
                <w:sz w:val="18"/>
                <w:szCs w:val="18"/>
              </w:rPr>
              <w:t>第一层次公允价值计量</w:t>
            </w:r>
          </w:p>
        </w:tc>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6"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205" w:hRule="exact"/>
        </w:trPr>
        <w:tc>
          <w:tcPr>
            <w:tcW w:w="24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84" w:type="dxa"/>
            <w:vMerge/>
            <w:tcBorders>
              <w:left w:val="single" w:sz="4" w:space="0" w:color="000000"/>
              <w:bottom w:val="single" w:sz="4" w:space="0" w:color="000000"/>
              <w:right w:val="single" w:sz="4" w:space="0" w:color="000000"/>
            </w:tcBorders>
            <w:shd w:val="clear" w:color="auto" w:fill="D2D2D2"/>
          </w:tcPr>
          <w:p>
            <w:pPr/>
          </w:p>
        </w:tc>
        <w:tc>
          <w:tcPr>
            <w:tcW w:w="2127" w:type="dxa"/>
            <w:vMerge/>
            <w:tcBorders>
              <w:left w:val="single" w:sz="4" w:space="0" w:color="000000"/>
              <w:bottom w:val="single" w:sz="4" w:space="0" w:color="000000"/>
              <w:right w:val="single" w:sz="4" w:space="0" w:color="000000"/>
            </w:tcBorders>
            <w:shd w:val="clear" w:color="auto" w:fill="D2D2D2"/>
          </w:tcPr>
          <w:p>
            <w:pPr/>
          </w:p>
        </w:tc>
        <w:tc>
          <w:tcPr>
            <w:tcW w:w="1985"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26" w:right="0"/>
              <w:jc w:val="left"/>
              <w:rPr>
                <w:rFonts w:ascii="Times New Roman" w:hAnsi="Times New Roman" w:cs="Times New Roman" w:eastAsia="Times New Roman" w:hint="default"/>
                <w:sz w:val="18"/>
                <w:szCs w:val="18"/>
              </w:rPr>
            </w:pPr>
            <w:r>
              <w:rPr>
                <w:rFonts w:ascii="Times New Roman"/>
                <w:sz w:val="18"/>
              </w:rPr>
              <w:t>--</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（三）其他权益工具投资</w:t>
            </w:r>
          </w:p>
        </w:tc>
        <w:tc>
          <w:tcPr>
            <w:tcW w:w="1984" w:type="dxa"/>
            <w:tcBorders>
              <w:top w:val="single" w:sz="4" w:space="0" w:color="000000"/>
              <w:left w:val="single" w:sz="10" w:space="0" w:color="D2D2D2"/>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5" w:right="0"/>
              <w:jc w:val="left"/>
              <w:rPr>
                <w:rFonts w:ascii="Times New Roman" w:hAnsi="Times New Roman" w:cs="Times New Roman" w:eastAsia="Times New Roman" w:hint="default"/>
                <w:sz w:val="18"/>
                <w:szCs w:val="18"/>
              </w:rPr>
            </w:pPr>
            <w:r>
              <w:rPr>
                <w:rFonts w:ascii="Times New Roman"/>
                <w:sz w:val="18"/>
              </w:rPr>
              <w:t>2,528,373.48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2,528,373.48</w:t>
            </w:r>
          </w:p>
        </w:tc>
      </w:tr>
      <w:tr>
        <w:trPr>
          <w:trHeight w:val="403"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二、非持续的公允价值计量</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926" w:right="0"/>
              <w:jc w:val="left"/>
              <w:rPr>
                <w:rFonts w:ascii="Times New Roman" w:hAnsi="Times New Roman" w:cs="Times New Roman" w:eastAsia="Times New Roman" w:hint="default"/>
                <w:sz w:val="18"/>
                <w:szCs w:val="18"/>
              </w:rPr>
            </w:pPr>
            <w:r>
              <w:rPr>
                <w:rFonts w:ascii="Times New Roman"/>
                <w:sz w:val="18"/>
              </w:rPr>
              <w:t>--</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持续和非持续第三层次公允价值计量项目，采用的估值技术和重要参数的定性及定量信" w:id="324"/>
      <w:bookmarkEnd w:id="324"/>
      <w:r>
        <w:rPr>
          <w:b w:val="0"/>
          <w:bCs w:val="0"/>
        </w:rPr>
      </w:r>
      <w:r>
        <w:rPr>
          <w:rFonts w:ascii="Times New Roman" w:hAnsi="Times New Roman" w:cs="Times New Roman" w:eastAsia="Times New Roman" w:hint="default"/>
        </w:rPr>
        <w:t>2</w:t>
      </w:r>
      <w:r>
        <w:rPr/>
        <w:t>、持续和非持续第三层次公允价值计量项目，采用的估值技术和重要参数的定性及定量信息</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1568"/>
        <w:gridCol w:w="1563"/>
        <w:gridCol w:w="4114"/>
        <w:gridCol w:w="2415"/>
      </w:tblGrid>
      <w:tr>
        <w:trPr>
          <w:trHeight w:val="341"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37"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估值方法</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71" w:right="0"/>
              <w:jc w:val="left"/>
              <w:rPr>
                <w:rFonts w:ascii="宋体" w:hAnsi="宋体" w:cs="宋体" w:eastAsia="宋体" w:hint="default"/>
                <w:sz w:val="18"/>
                <w:szCs w:val="18"/>
              </w:rPr>
            </w:pPr>
            <w:r>
              <w:rPr>
                <w:rFonts w:ascii="宋体" w:hAnsi="宋体" w:cs="宋体" w:eastAsia="宋体" w:hint="default"/>
                <w:sz w:val="18"/>
                <w:szCs w:val="18"/>
              </w:rPr>
              <w:t>不可观察输入值</w:t>
            </w:r>
          </w:p>
        </w:tc>
      </w:tr>
      <w:tr>
        <w:trPr>
          <w:trHeight w:val="343"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6"/>
              <w:jc w:val="center"/>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2,528,373.48</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根据享有被投资企业资产净值确定其公允价值</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标的资产公允价值</w:t>
            </w:r>
          </w:p>
        </w:tc>
      </w:tr>
      <w:tr>
        <w:trPr>
          <w:trHeight w:val="341"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2,528,373.48</w:t>
            </w:r>
          </w:p>
        </w:tc>
        <w:tc>
          <w:tcPr>
            <w:tcW w:w="4114" w:type="dxa"/>
            <w:tcBorders>
              <w:top w:val="single" w:sz="4" w:space="0" w:color="000000"/>
              <w:left w:val="single" w:sz="4" w:space="0" w:color="000000"/>
              <w:bottom w:val="single" w:sz="4" w:space="0" w:color="000000"/>
              <w:right w:val="single" w:sz="4" w:space="0" w:color="000000"/>
            </w:tcBorders>
          </w:tcPr>
          <w:p>
            <w:pPr/>
          </w:p>
        </w:tc>
        <w:tc>
          <w:tcPr>
            <w:tcW w:w="24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bookmarkStart w:name="3、不以公允价值计量的金融资产和金融负债的公允价值情况" w:id="325"/>
      <w:bookmarkEnd w:id="325"/>
      <w:r>
        <w:rPr>
          <w:b w:val="0"/>
          <w:bCs w:val="0"/>
        </w:rPr>
      </w:r>
      <w:r>
        <w:rPr>
          <w:rFonts w:ascii="Times New Roman" w:hAnsi="Times New Roman" w:cs="Times New Roman" w:eastAsia="Times New Roman" w:hint="default"/>
        </w:rPr>
        <w:t>3</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left="573" w:right="1133"/>
        <w:jc w:val="left"/>
      </w:pPr>
      <w:r>
        <w:rPr>
          <w:spacing w:val="-2"/>
        </w:rPr>
        <w:t>不以公允价值计量的金融资产和负债主要包括：应收款项、短期借款、应付款项等。</w:t>
      </w:r>
      <w:r>
        <w:rPr>
          <w:spacing w:val="-35"/>
        </w:rPr>
        <w:t> </w:t>
      </w:r>
      <w:r>
        <w:rPr>
          <w:spacing w:val="-35"/>
        </w:rPr>
      </w:r>
      <w:r>
        <w:rPr/>
        <w:t>上述不以公允价值计量的金融资产和负债的账面价值与公允价值相差很小。</w:t>
      </w:r>
    </w:p>
    <w:p>
      <w:pPr>
        <w:spacing w:after="0" w:line="273"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十二、关联方及关联交易" w:id="326"/>
      <w:bookmarkEnd w:id="326"/>
      <w:r>
        <w:rPr>
          <w:b w:val="0"/>
          <w:bCs w:val="0"/>
        </w:rPr>
      </w:r>
      <w:r>
        <w:rPr/>
        <w:t>十二、关联方及关联交易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本企业的母公司情况" w:id="327"/>
      <w:bookmarkEnd w:id="327"/>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中国电子科技网络 信息安全有限公司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信息安全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35.43%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35.43%</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本企业最终控制方是中国电子科技集团有限公司。</w:t>
      </w:r>
    </w:p>
    <w:p>
      <w:pPr>
        <w:spacing w:line="240" w:lineRule="auto" w:before="0"/>
        <w:rPr>
          <w:rFonts w:ascii="宋体" w:hAnsi="宋体" w:cs="宋体" w:eastAsia="宋体" w:hint="default"/>
          <w:sz w:val="18"/>
          <w:szCs w:val="18"/>
        </w:rPr>
      </w:pPr>
    </w:p>
    <w:p>
      <w:pPr>
        <w:spacing w:line="547" w:lineRule="auto" w:before="120"/>
        <w:ind w:left="152" w:right="4274" w:firstLine="0"/>
        <w:jc w:val="left"/>
        <w:rPr>
          <w:rFonts w:ascii="宋体" w:hAnsi="宋体" w:cs="宋体" w:eastAsia="宋体" w:hint="default"/>
          <w:sz w:val="21"/>
          <w:szCs w:val="21"/>
        </w:rPr>
      </w:pPr>
      <w:bookmarkStart w:name="2、本企业的子公司情况" w:id="328"/>
      <w:bookmarkEnd w:id="32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本企业子公司的情况详见附注九、在其他主体中的权益之 </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 </w:t>
      </w:r>
      <w:bookmarkStart w:name="3、本企业合营和联营企业情况" w:id="329"/>
      <w:bookmarkEnd w:id="329"/>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40" w:lineRule="auto" w:before="46"/>
        <w:ind w:left="152" w:right="2294"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本企业重要的合营或联营企业详见附注九、在其他主体中的权益之</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、在合营安排或联营企业中的权益。 本期与本公司发生关联方交易，或前期与本公司发生关联方交易形成余额的其他合营或联营企业情况如下：</w:t>
      </w:r>
    </w:p>
    <w:p>
      <w:pPr>
        <w:spacing w:line="240" w:lineRule="auto" w:before="5"/>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成都摩宝网络科技有限公司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4、其他关联方情况" w:id="330"/>
      <w:bookmarkEnd w:id="330"/>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成都三零凯天通信实业有限公司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成都三零普瑞科技有限公司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成都深思科技有限公司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成都新欣神风电子科技有限公司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厦门雅迅网络股份有限公司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中电科网络空间安全研究院有限公司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中国电子科技集团公司第三十三研究所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太原鹏跃电子科技有限公司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成都国信安信息产业基地有限公司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成都欣瑞资产管理有限公司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四川信息安全与通信保密杂志社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安徽四创电子股份有限公司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凤凰光学股份有限公司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广州杰赛科技股份有限公司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国睿科技股份有限公司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杭州海康威视数字技术股份有限公司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太极计算机股份有限公司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中国电子科技财务有限公司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中国电子科技集团有限公司及其他下属企业</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bookmarkStart w:name="5、关联交易情况" w:id="331"/>
      <w:bookmarkEnd w:id="331"/>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33"/>
        <w:jc w:val="left"/>
        <w:rPr>
          <w:b w:val="0"/>
          <w:bCs w:val="0"/>
        </w:rPr>
      </w:pPr>
      <w:bookmarkStart w:name="（1）购销商品、提供和接受劳务的关联交易" w:id="332"/>
      <w:bookmarkEnd w:id="332"/>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687"/>
        <w:gridCol w:w="1277"/>
        <w:gridCol w:w="1275"/>
        <w:gridCol w:w="994"/>
        <w:gridCol w:w="1133"/>
        <w:gridCol w:w="1205"/>
      </w:tblGrid>
      <w:tr>
        <w:trPr>
          <w:trHeight w:val="715"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1" w:right="41" w:hanging="272"/>
              <w:jc w:val="left"/>
              <w:rPr>
                <w:rFonts w:ascii="宋体" w:hAnsi="宋体" w:cs="宋体" w:eastAsia="宋体" w:hint="default"/>
                <w:sz w:val="18"/>
                <w:szCs w:val="18"/>
              </w:rPr>
            </w:pPr>
            <w:r>
              <w:rPr>
                <w:rFonts w:ascii="宋体" w:hAnsi="宋体" w:cs="宋体" w:eastAsia="宋体" w:hint="default"/>
                <w:sz w:val="18"/>
                <w:szCs w:val="18"/>
              </w:rPr>
              <w:t>获批的交易 额度</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2" w:right="110" w:hanging="180"/>
              <w:jc w:val="left"/>
              <w:rPr>
                <w:rFonts w:ascii="宋体" w:hAnsi="宋体" w:cs="宋体" w:eastAsia="宋体" w:hint="default"/>
                <w:sz w:val="18"/>
                <w:szCs w:val="18"/>
              </w:rPr>
            </w:pPr>
            <w:r>
              <w:rPr>
                <w:rFonts w:ascii="宋体" w:hAnsi="宋体" w:cs="宋体" w:eastAsia="宋体" w:hint="default"/>
                <w:sz w:val="18"/>
                <w:szCs w:val="18"/>
              </w:rPr>
              <w:t>是否超过交 易额度</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74,808,879.23</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49,361,252.06</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杭州海康威视数字技术股份有限公司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29,918,778.76</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4,663,851.64</w:t>
            </w:r>
          </w:p>
        </w:tc>
      </w:tr>
      <w:tr>
        <w:trPr>
          <w:trHeight w:val="40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17,877,762.80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3,440,372.39</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12,965,236.57</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7,994,504.75</w:t>
            </w:r>
          </w:p>
        </w:tc>
      </w:tr>
      <w:tr>
        <w:trPr>
          <w:trHeight w:val="40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中国电子科技集团公司第三十三研究所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3,003,280.12</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3,727,108.69</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太极计算机股份有限公司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2,432,490.07</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1,662,630.19</w:t>
            </w:r>
          </w:p>
        </w:tc>
      </w:tr>
      <w:tr>
        <w:trPr>
          <w:trHeight w:val="40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广州杰赛科技股份有限公司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2,256,520.42</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861,231.72</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成都三零凯天通信实业有限公司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1,502,783.76</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891,048.08</w:t>
            </w:r>
          </w:p>
        </w:tc>
      </w:tr>
      <w:tr>
        <w:trPr>
          <w:trHeight w:val="40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太原鹏跃电子科技有限公司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1,310,811.08</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8,058,130.79</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成都新欣神风电子科技有限公司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1,149,869.85</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成都三零普瑞科技有限公司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4,810,471.70</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成都欣瑞资产管理有限公司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126,126.13</w:t>
            </w:r>
          </w:p>
        </w:tc>
      </w:tr>
      <w:tr>
        <w:trPr>
          <w:trHeight w:val="40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中国电子科技集团有限公司及其他下属企业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8,714,003.82</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9,738,980.94</w:t>
            </w:r>
          </w:p>
        </w:tc>
      </w:tr>
      <w:tr>
        <w:trPr>
          <w:trHeight w:val="40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成都欣瑞资产管理有限公司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8,255,899.72</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8,757,250.78</w:t>
            </w:r>
          </w:p>
        </w:tc>
      </w:tr>
      <w:tr>
        <w:trPr>
          <w:trHeight w:val="40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成都国信安信息产业基地有限公司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4,054,907.47</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3,955,477.40</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2,811,707.56</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1,033,018.87</w:t>
            </w:r>
          </w:p>
        </w:tc>
      </w:tr>
      <w:tr>
        <w:trPr>
          <w:trHeight w:val="40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2,023,491.82</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1,267,583.02</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太极计算机股份有限公司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377,358.49</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成都新欣神风电子科技有限公司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275,445.32</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中国电子科技集团公司第三十三研究所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154,545.45</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1,444,421.46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687"/>
        <w:gridCol w:w="1277"/>
        <w:gridCol w:w="1275"/>
        <w:gridCol w:w="994"/>
        <w:gridCol w:w="1133"/>
        <w:gridCol w:w="1205"/>
      </w:tblGrid>
      <w:tr>
        <w:trPr>
          <w:trHeight w:val="40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成都三零凯天通信实业有限公司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32,476.42</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1,293.10</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广州杰赛科技股份有限公司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15,876.00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12,681.12</w:t>
            </w:r>
          </w:p>
        </w:tc>
      </w:tr>
      <w:tr>
        <w:trPr>
          <w:trHeight w:val="40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杭州海康威视数字技术股份有限公司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2,135.35</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967.24</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四川信息安全与通信保密杂志社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1,415.09</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378,001.74</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中国电子科技集团有限公司及其他下属企业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1,655,636.36</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2,097,412.51</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389"/>
        <w:gridCol w:w="1416"/>
        <w:gridCol w:w="1419"/>
        <w:gridCol w:w="1346"/>
      </w:tblGrid>
      <w:tr>
        <w:trPr>
          <w:trHeight w:val="401" w:hRule="exact"/>
        </w:trPr>
        <w:tc>
          <w:tcPr>
            <w:tcW w:w="5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343,009,081.43</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311,337,710.88</w:t>
            </w: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太极计算机股份有限公司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92,992,729.83</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133,349,630.83</w:t>
            </w:r>
          </w:p>
        </w:tc>
      </w:tr>
      <w:tr>
        <w:trPr>
          <w:trHeight w:val="403"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1,534,170.75</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1,108,277.86</w:t>
            </w: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杭州海康威视数字技术股份有限公司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1,416,593.63</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708,737.86</w:t>
            </w:r>
          </w:p>
        </w:tc>
      </w:tr>
      <w:tr>
        <w:trPr>
          <w:trHeight w:val="403"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中电科网络空间安全研究院有限公司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504,424.78</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成都三零普瑞科技有限公司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371,681.40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394,108.51</w:t>
            </w:r>
          </w:p>
        </w:tc>
      </w:tr>
      <w:tr>
        <w:trPr>
          <w:trHeight w:val="403"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中国电子科技集团公司第三十三研究所</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276,889.39</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广州杰赛科技股份有限公司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276,724.14</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成都三零凯天通信实业有限公司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210,122.33</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96,594.83</w:t>
            </w: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145,603.97</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88,786.17</w:t>
            </w:r>
          </w:p>
        </w:tc>
      </w:tr>
      <w:tr>
        <w:trPr>
          <w:trHeight w:val="404"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太原鹏跃电子科技有限公司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39,121.68</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成都国信安信息产业基地有限公司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8,413.18</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600,179.33</w:t>
            </w:r>
          </w:p>
        </w:tc>
      </w:tr>
      <w:tr>
        <w:trPr>
          <w:trHeight w:val="403"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厦门雅迅网络股份有限公司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68,376.07</w:t>
            </w: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中国电子科技集团有限公司及其他下属企业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73,837,906.09</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42,344,121.63</w:t>
            </w:r>
          </w:p>
        </w:tc>
      </w:tr>
      <w:tr>
        <w:trPr>
          <w:trHeight w:val="403"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74,388,990.80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24,637,667.73</w:t>
            </w: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16,071,207.60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3,394,526.90</w:t>
            </w:r>
          </w:p>
        </w:tc>
      </w:tr>
      <w:tr>
        <w:trPr>
          <w:trHeight w:val="403"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太极计算机股份有限公司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1,811,320.76</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1,306,603.78</w:t>
            </w: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安徽四创电子股份有限公司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75,471.70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广州杰赛科技股份有限公司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70,754.72</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18,867.92</w:t>
            </w: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成都三零普瑞科技有限公司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66,037.74</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成都国信安信息产业基地有限公司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56,603.77</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凤凰光学股份有限公司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33,018.87</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国睿科技股份有限公司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28,301.89</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18,867.92</w:t>
            </w: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中国电子科技集团公司第三十三研究所</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23,584.91</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9,433.96</w:t>
            </w:r>
          </w:p>
        </w:tc>
      </w:tr>
      <w:tr>
        <w:trPr>
          <w:trHeight w:val="403"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成都新欣神风电子科技有限公司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33,018.87</w:t>
            </w: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厦门雅迅网络股份有限公司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33,018.87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389"/>
        <w:gridCol w:w="1416"/>
        <w:gridCol w:w="1419"/>
        <w:gridCol w:w="1346"/>
      </w:tblGrid>
      <w:tr>
        <w:trPr>
          <w:trHeight w:val="40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成都深思科技有限公司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33,018.87</w:t>
            </w:r>
          </w:p>
        </w:tc>
      </w:tr>
      <w:tr>
        <w:trPr>
          <w:trHeight w:val="403"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中国电子科技集团有限公司及其他下属企业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1" w:right="0"/>
              <w:jc w:val="left"/>
              <w:rPr>
                <w:rFonts w:ascii="Times New Roman" w:hAnsi="Times New Roman" w:cs="Times New Roman" w:eastAsia="Times New Roman" w:hint="default"/>
                <w:sz w:val="18"/>
                <w:szCs w:val="18"/>
              </w:rPr>
            </w:pPr>
            <w:r>
              <w:rPr>
                <w:rFonts w:ascii="Times New Roman"/>
                <w:sz w:val="18"/>
              </w:rPr>
              <w:t>9,304,850.36</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7,959,575.02</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关联租赁情况" w:id="333"/>
      <w:bookmarkEnd w:id="333"/>
      <w:r>
        <w:rPr>
          <w:b w:val="0"/>
          <w:bCs w:val="0"/>
        </w:rPr>
      </w:r>
      <w:r>
        <w:rPr/>
        <w:t>（</w:t>
      </w:r>
      <w:r>
        <w:rPr>
          <w:rFonts w:ascii="Times New Roman" w:hAnsi="Times New Roman" w:cs="Times New Roman" w:eastAsia="Times New Roman" w:hint="default"/>
        </w:rPr>
        <w:t>2</w:t>
      </w:r>
      <w:r>
        <w:rPr/>
        <w:t>）关联租赁情况</w:t>
      </w:r>
      <w:r>
        <w:rPr>
          <w:b w:val="0"/>
          <w:bCs w:val="0"/>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35"/>
        <w:gridCol w:w="1949"/>
        <w:gridCol w:w="2393"/>
        <w:gridCol w:w="2393"/>
      </w:tblGrid>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6" w:right="0"/>
              <w:jc w:val="left"/>
              <w:rPr>
                <w:rFonts w:ascii="Times New Roman" w:hAnsi="Times New Roman" w:cs="Times New Roman" w:eastAsia="Times New Roman" w:hint="default"/>
                <w:sz w:val="18"/>
                <w:szCs w:val="18"/>
              </w:rPr>
            </w:pPr>
            <w:r>
              <w:rPr>
                <w:rFonts w:ascii="Times New Roman"/>
                <w:sz w:val="18"/>
              </w:rPr>
              <w:t>1,434,515.59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0" w:right="0"/>
              <w:jc w:val="left"/>
              <w:rPr>
                <w:rFonts w:ascii="Times New Roman" w:hAnsi="Times New Roman" w:cs="Times New Roman" w:eastAsia="Times New Roman" w:hint="default"/>
                <w:sz w:val="18"/>
                <w:szCs w:val="18"/>
              </w:rPr>
            </w:pPr>
            <w:r>
              <w:rPr>
                <w:rFonts w:ascii="Times New Roman"/>
                <w:sz w:val="18"/>
              </w:rPr>
              <w:t>916,614.85</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46"/>
        <w:gridCol w:w="1238"/>
        <w:gridCol w:w="2393"/>
        <w:gridCol w:w="2393"/>
      </w:tblGrid>
      <w:tr>
        <w:trPr>
          <w:trHeight w:val="403"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出租方名称</w:t>
            </w:r>
          </w:p>
        </w:tc>
        <w:tc>
          <w:tcPr>
            <w:tcW w:w="1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成都国信安信息产业基地有限公司</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2,343,298.81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2,430,708.46</w:t>
            </w: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成都三零凯天通信实业有限公司</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1,029,669.58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608,884.30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关联方资金拆借" w:id="334"/>
      <w:bookmarkEnd w:id="334"/>
      <w:r>
        <w:rPr>
          <w:b w:val="0"/>
          <w:bCs w:val="0"/>
        </w:rPr>
      </w:r>
      <w:r>
        <w:rPr/>
        <w:t>（</w:t>
      </w:r>
      <w:r>
        <w:rPr>
          <w:rFonts w:ascii="Times New Roman" w:hAnsi="Times New Roman" w:cs="Times New Roman" w:eastAsia="Times New Roman" w:hint="default"/>
        </w:rPr>
        <w:t>3</w:t>
      </w:r>
      <w:r>
        <w:rPr/>
        <w:t>）关联方资金拆借</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497"/>
        <w:gridCol w:w="1419"/>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4"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中国电子科技财务有限公司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250,000,000.00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r>
      <w:tr>
        <w:trPr>
          <w:trHeight w:val="401" w:hRule="exact"/>
        </w:trPr>
        <w:tc>
          <w:tcPr>
            <w:tcW w:w="957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4）关键管理人员报酬" w:id="335"/>
      <w:bookmarkEnd w:id="335"/>
      <w:r>
        <w:rPr>
          <w:b w:val="0"/>
          <w:bCs w:val="0"/>
        </w:rPr>
      </w:r>
      <w:r>
        <w:rPr/>
        <w:t>（</w:t>
      </w:r>
      <w:r>
        <w:rPr>
          <w:rFonts w:ascii="Times New Roman" w:hAnsi="Times New Roman" w:cs="Times New Roman" w:eastAsia="Times New Roman" w:hint="default"/>
        </w:rPr>
        <w:t>4</w:t>
      </w:r>
      <w:r>
        <w:rPr/>
        <w:t>）关键管理人员报酬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7,616,905.82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5,094,652.00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6、关联方应收应付款项" w:id="336"/>
      <w:bookmarkEnd w:id="336"/>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33"/>
        <w:jc w:val="left"/>
        <w:rPr>
          <w:b w:val="0"/>
          <w:bCs w:val="0"/>
        </w:rPr>
      </w:pPr>
      <w:bookmarkStart w:name="（1）应收项目" w:id="337"/>
      <w:bookmarkEnd w:id="337"/>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94"/>
        <w:gridCol w:w="3685"/>
        <w:gridCol w:w="1277"/>
        <w:gridCol w:w="1133"/>
        <w:gridCol w:w="1277"/>
        <w:gridCol w:w="1202"/>
      </w:tblGrid>
      <w:tr>
        <w:trPr>
          <w:trHeight w:val="402" w:hRule="exact"/>
        </w:trPr>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6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994" w:type="dxa"/>
            <w:vMerge/>
            <w:tcBorders>
              <w:left w:val="single" w:sz="4" w:space="0" w:color="000000"/>
              <w:bottom w:val="single" w:sz="4" w:space="0" w:color="000000"/>
              <w:right w:val="single" w:sz="4" w:space="0" w:color="000000"/>
            </w:tcBorders>
            <w:shd w:val="clear" w:color="auto" w:fill="D2D2D2"/>
          </w:tcPr>
          <w:p>
            <w:pPr/>
          </w:p>
        </w:tc>
        <w:tc>
          <w:tcPr>
            <w:tcW w:w="3685"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469,340,050.70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center"/>
              <w:rPr>
                <w:rFonts w:ascii="Times New Roman" w:hAnsi="Times New Roman" w:cs="Times New Roman" w:eastAsia="Times New Roman" w:hint="default"/>
                <w:sz w:val="18"/>
                <w:szCs w:val="18"/>
              </w:rPr>
            </w:pPr>
            <w:r>
              <w:rPr>
                <w:rFonts w:ascii="Times New Roman"/>
                <w:sz w:val="18"/>
              </w:rPr>
              <w:t>116,245,480.00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太极计算机股份有限公司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5,920,000.00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 w:right="0"/>
              <w:jc w:val="center"/>
              <w:rPr>
                <w:rFonts w:ascii="Times New Roman" w:hAnsi="Times New Roman" w:cs="Times New Roman" w:eastAsia="Times New Roman" w:hint="default"/>
                <w:sz w:val="18"/>
                <w:szCs w:val="18"/>
              </w:rPr>
            </w:pPr>
            <w:r>
              <w:rPr>
                <w:rFonts w:ascii="Times New Roman"/>
                <w:sz w:val="18"/>
              </w:rPr>
              <w:t>60,000,000.00</w:t>
            </w:r>
          </w:p>
        </w:tc>
        <w:tc>
          <w:tcPr>
            <w:tcW w:w="12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94"/>
        <w:gridCol w:w="3685"/>
        <w:gridCol w:w="1277"/>
        <w:gridCol w:w="1133"/>
        <w:gridCol w:w="1277"/>
        <w:gridCol w:w="1202"/>
      </w:tblGrid>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中国电子科技集团有限公司及其他下属企业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675,220.00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567,800.00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215,375,652.42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13,644,354.76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260,625,280.38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14,960,991.17</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太极计算机股份有限公司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88,709,675.32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4,568,548.28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101,004,426.03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5,062,644.38</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6,535,397.24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350,632.46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3,258,937.00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162,946.85</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杭州海康威视数字技术股份有限公司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5,457,721.78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2,189,202.07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5,259,339.19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1,656,577.98</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3,153,114.00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230,646.34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2,261,554.00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113,077.70</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成都三零普瑞科技有限公司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2,597,201.53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1,828,072.69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2,597,201.53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1,835,375.72</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中电科网络空间安全研究院有限公司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29,355.00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成都国信安信息产业基地有限公司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324,042.45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77,322.83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741,767.25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50,971.81</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广州杰赛科技股份有限公司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224,700.00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11,572.05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89,841.90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47,242.10</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成都三零凯天通信实业有限公司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104,891.38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5,244.57</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中国电子科技集团公司第三十三研究所</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1,539,425.00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153,942.50</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中国电子科技集团有限公司及其他下属企业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65,621,555.93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8,495,000.17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54,699,683.27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5,376,900.75</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成都国信安信息产业基地有限公司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1,112,304.00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杭州海康威视数字技术股份有限公司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7,740,000.00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成都欣瑞资产管理有限公司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16,070.00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中国电子科技集团有限公司及其他下属企业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215,060.00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769,060.00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太极计算机股份有限公司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3,278,950.00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163,947.50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3,089,234.00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154,461.70</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杭州海康威视数字技术股份有限公司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916,561.51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798,243.21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916,561.51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555,771.76</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456,189.58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456,189.58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456,189.58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456,189.58</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成都国信安信息产业基地有限公司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107,473.17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107,473.17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107,473.17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107,473.17</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9"/>
                <w:sz w:val="18"/>
                <w:szCs w:val="18"/>
              </w:rPr>
              <w:t>成都摩宝网络科技有限公司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96,527.38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28,958.21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96,527.38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9,652.74</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中国电子科技集团有限公司及其他下属企业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2,052,000.00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1,022,400.00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2,160,000.00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628,000.00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应付项目" w:id="338"/>
      <w:bookmarkEnd w:id="338"/>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4556"/>
        <w:gridCol w:w="1277"/>
        <w:gridCol w:w="1346"/>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4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55,316,853.00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70,972,300.00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成都新欣神风电子科技有限公司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1,268,200.00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1,200,313.00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4,704,621.50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中国电子科技集团公司第三十三研究所</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5,379,414.82</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杭州海康威视数字技术股份有限公司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1,157,116.00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中国电子科技集团有限公司及其他下属企业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3,506,692.30</w:t>
            </w:r>
          </w:p>
        </w:tc>
        <w:tc>
          <w:tcPr>
            <w:tcW w:w="134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4556"/>
        <w:gridCol w:w="1277"/>
        <w:gridCol w:w="1346"/>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11,796,583.12</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8,221,332.20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杭州海康威视数字技术股份有限公司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8,448,629.00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481,400.00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中国电子科技集团公司第三十三研究所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3,885,736.90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1,754,790.13</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太原鹏跃电子科技有限公司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1,924,093.56</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3,030,855.13</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1,371,644.00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2,527,158.00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成都三零凯天通信实业有限公司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1,321,686.00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1,945,538.00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1,032,520.00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11,759,489.57</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广州杰赛科技股份有限公司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495,842.77</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706,962.35</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太极计算机股份有限公司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134,000.00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394,010.00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成都欣瑞资产管理有限公司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79,045.87</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684,774.43</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成都国信安信息产业基地有限公司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3,020,833.17</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中国电子科技集团有限公司及其他下属企业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2,256,085.40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1,108,561.77</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982,406.00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1,694,406.00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成都国信安信息产业基地有限公司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451,800.00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454,903.45</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广州杰赛科技股份有限公司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28,301.89</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安徽四创电子股份有限公司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1,504.27</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1,504.27</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510,000.00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中国电子科技集团公司第三十三研究所</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中国电子科技集团有限公司及其他下属企业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1,350,525.50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2,619,450.29</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4,500,345.31</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2,721,073.22</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1,464,284.13</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1,347,384.13</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太原鹏跃电子科技有限公司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成都国信安信息产业基地有限公司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18,000.00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18,000.00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中国电子科技集团公司第三十三研究所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116,900.00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中国电子科技集团有限公司及其他下属企业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689,602.62</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49,359.32</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十三、承诺及或有事项" w:id="339"/>
      <w:bookmarkEnd w:id="339"/>
      <w:r>
        <w:rPr>
          <w:b w:val="0"/>
          <w:bCs w:val="0"/>
        </w:rPr>
      </w:r>
      <w:r>
        <w:rPr/>
        <w:t>十三、承诺及或有事项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bookmarkStart w:name="1、重要承诺事项" w:id="340"/>
      <w:bookmarkEnd w:id="340"/>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40" w:lineRule="auto" w:before="94"/>
        <w:ind w:right="1133"/>
        <w:jc w:val="left"/>
      </w:pPr>
      <w:r>
        <w:rPr/>
        <w:t>本公司不存在需要披露的重要承诺事项。</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2、或有事项" w:id="341"/>
      <w:bookmarkEnd w:id="341"/>
      <w:r>
        <w:rPr>
          <w:b w:val="0"/>
          <w:bCs w:val="0"/>
        </w:rPr>
      </w:r>
      <w:r>
        <w:rPr>
          <w:rFonts w:ascii="Times New Roman" w:hAnsi="Times New Roman" w:cs="Times New Roman" w:eastAsia="Times New Roman" w:hint="default"/>
        </w:rPr>
        <w:t>2</w:t>
      </w:r>
      <w:r>
        <w:rPr/>
        <w:t>、或有事项</w:t>
      </w:r>
      <w:r>
        <w:rPr>
          <w:b w:val="0"/>
          <w:bCs w:val="0"/>
        </w:rPr>
      </w:r>
    </w:p>
    <w:p>
      <w:pPr>
        <w:pStyle w:val="Heading4"/>
        <w:spacing w:line="590" w:lineRule="atLeast" w:before="25"/>
        <w:ind w:left="575" w:right="6474" w:hanging="423"/>
        <w:jc w:val="left"/>
        <w:rPr>
          <w:b w:val="0"/>
          <w:bCs w:val="0"/>
        </w:rPr>
      </w:pPr>
      <w:bookmarkStart w:name="（1）资产负债表日存在的重要或有事项" w:id="342"/>
      <w:bookmarkEnd w:id="342"/>
      <w:r>
        <w:rPr>
          <w:b w:val="0"/>
          <w:bCs w:val="0"/>
        </w:rPr>
      </w:r>
      <w:r>
        <w:rPr>
          <w:spacing w:val="-1"/>
        </w:rPr>
        <w:t>（</w:t>
      </w:r>
      <w:r>
        <w:rPr>
          <w:rFonts w:ascii="Times New Roman" w:hAnsi="Times New Roman" w:cs="Times New Roman" w:eastAsia="Times New Roman" w:hint="default"/>
          <w:spacing w:val="-1"/>
        </w:rPr>
        <w:t>1</w:t>
      </w:r>
      <w:r>
        <w:rPr>
          <w:spacing w:val="-1"/>
        </w:rPr>
        <w:t>）资产负债表日存在的重要或有事项</w:t>
      </w:r>
      <w:r>
        <w:rPr>
          <w:spacing w:val="-88"/>
        </w:rPr>
        <w:t> </w:t>
      </w:r>
      <w:r>
        <w:rPr>
          <w:spacing w:val="-88"/>
        </w:rPr>
      </w:r>
      <w:r>
        <w:rPr/>
        <w:t>北京网安房产未决诉讼。</w:t>
      </w:r>
      <w:r>
        <w:rPr>
          <w:b w:val="0"/>
          <w:bCs w:val="0"/>
        </w:rPr>
      </w:r>
    </w:p>
    <w:p>
      <w:pPr>
        <w:pStyle w:val="BodyText"/>
        <w:spacing w:line="259" w:lineRule="auto" w:before="37"/>
        <w:ind w:right="1126" w:firstLine="420"/>
        <w:jc w:val="both"/>
      </w:pPr>
      <w:r>
        <w:rPr>
          <w:spacing w:val="-2"/>
        </w:rPr>
        <w:t>本公司于</w:t>
      </w:r>
      <w:r>
        <w:rPr>
          <w:rFonts w:ascii="Times New Roman" w:hAnsi="Times New Roman" w:cs="Times New Roman" w:eastAsia="Times New Roman" w:hint="default"/>
          <w:spacing w:val="-2"/>
        </w:rPr>
        <w:t>2015</w:t>
      </w:r>
      <w:r>
        <w:rPr>
          <w:spacing w:val="-2"/>
        </w:rPr>
        <w:t>年开始筹划非公开发行股票事宜，并由本公司的全资子公司中电科（北京）网络信息安</w:t>
      </w:r>
      <w:r>
        <w:rPr>
          <w:w w:val="100"/>
        </w:rPr>
        <w:t> </w:t>
      </w:r>
      <w:r>
        <w:rPr>
          <w:spacing w:val="-2"/>
        </w:rPr>
        <w:t>全有限公司（以下简称</w:t>
      </w:r>
      <w:r>
        <w:rPr>
          <w:rFonts w:ascii="Times New Roman" w:hAnsi="Times New Roman" w:cs="Times New Roman" w:eastAsia="Times New Roman" w:hint="default"/>
          <w:spacing w:val="-2"/>
        </w:rPr>
        <w:t>“</w:t>
      </w:r>
      <w:r>
        <w:rPr>
          <w:spacing w:val="-2"/>
        </w:rPr>
        <w:t>北京网安</w:t>
      </w:r>
      <w:r>
        <w:rPr>
          <w:rFonts w:ascii="Times New Roman" w:hAnsi="Times New Roman" w:cs="Times New Roman" w:eastAsia="Times New Roman" w:hint="default"/>
          <w:spacing w:val="-2"/>
        </w:rPr>
        <w:t>”</w:t>
      </w:r>
      <w:r>
        <w:rPr>
          <w:spacing w:val="-2"/>
        </w:rPr>
        <w:t>）作为投资项目实施主体，使用募集资金购买北京金丰科华房地产开发</w:t>
      </w:r>
      <w:r>
        <w:rPr>
          <w:spacing w:val="-20"/>
        </w:rPr>
        <w:t> </w:t>
      </w:r>
      <w:r>
        <w:rPr>
          <w:spacing w:val="-20"/>
        </w:rPr>
      </w:r>
      <w:r>
        <w:rPr/>
        <w:t>有限公司（以下简称</w:t>
      </w:r>
      <w:r>
        <w:rPr>
          <w:rFonts w:ascii="Times New Roman" w:hAnsi="Times New Roman" w:cs="Times New Roman" w:eastAsia="Times New Roman" w:hint="default"/>
        </w:rPr>
        <w:t>“</w:t>
      </w:r>
      <w:r>
        <w:rPr/>
        <w:t>金丰科华</w:t>
      </w:r>
      <w:r>
        <w:rPr>
          <w:rFonts w:ascii="Times New Roman" w:hAnsi="Times New Roman" w:cs="Times New Roman" w:eastAsia="Times New Roman" w:hint="default"/>
        </w:rPr>
        <w:t>”</w:t>
      </w:r>
      <w:r>
        <w:rPr/>
        <w:t>）开发的金丰能源中心项目</w:t>
      </w:r>
      <w:r>
        <w:rPr>
          <w:rFonts w:ascii="Times New Roman" w:hAnsi="Times New Roman" w:cs="Times New Roman" w:eastAsia="Times New Roman" w:hint="default"/>
        </w:rPr>
        <w:t>5</w:t>
      </w:r>
      <w:r>
        <w:rPr/>
        <w:t>号楼（以下简称</w:t>
      </w:r>
      <w:r>
        <w:rPr>
          <w:rFonts w:ascii="Times New Roman" w:hAnsi="Times New Roman" w:cs="Times New Roman" w:eastAsia="Times New Roman" w:hint="default"/>
        </w:rPr>
        <w:t>“</w:t>
      </w:r>
      <w:r>
        <w:rPr/>
        <w:t>标的房产</w:t>
      </w:r>
      <w:r>
        <w:rPr>
          <w:rFonts w:ascii="Times New Roman" w:hAnsi="Times New Roman" w:cs="Times New Roman" w:eastAsia="Times New Roman" w:hint="default"/>
        </w:rPr>
        <w:t>”</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7</w:t>
      </w:r>
      <w:r>
        <w:rPr>
          <w:rFonts w:ascii="Times New Roman" w:hAnsi="Times New Roman" w:cs="Times New Roman" w:eastAsia="Times New Roman" w:hint="default"/>
          <w:spacing w:val="19"/>
        </w:rPr>
        <w:t> </w:t>
      </w:r>
      <w:r>
        <w:rPr>
          <w:spacing w:val="-7"/>
        </w:rPr>
        <w:t>日，北京网安与金丰科华签署《房屋买卖意向协议》，根据该协议向金丰科华支付购房意向金</w:t>
      </w:r>
      <w:r>
        <w:rPr>
          <w:rFonts w:ascii="Times New Roman" w:hAnsi="Times New Roman" w:cs="Times New Roman" w:eastAsia="Times New Roman" w:hint="default"/>
          <w:spacing w:val="-7"/>
        </w:rPr>
        <w:t>0.5</w:t>
      </w:r>
      <w:r>
        <w:rPr>
          <w:spacing w:val="-7"/>
        </w:rPr>
        <w:t>亿元；</w:t>
      </w:r>
      <w:r>
        <w:rPr>
          <w:rFonts w:ascii="Times New Roman" w:hAnsi="Times New Roman" w:cs="Times New Roman" w:eastAsia="Times New Roman" w:hint="default"/>
          <w:spacing w:val="-7"/>
        </w:rPr>
        <w:t>2015</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日，北京网安与金丰科华签署《北京市商品房预售合同》，并在北京市住房和城乡建设委员会网</w:t>
      </w:r>
      <w:r>
        <w:rPr>
          <w:spacing w:val="-25"/>
        </w:rPr>
        <w:t> </w:t>
      </w:r>
      <w:r>
        <w:rPr>
          <w:spacing w:val="-25"/>
        </w:rPr>
      </w:r>
      <w:r>
        <w:rPr>
          <w:spacing w:val="-2"/>
        </w:rPr>
        <w:t>站办理了商品房预售合同网上联机备案；签订预售协议时，标的房产所属土地使用权及在建工程已设置抵</w:t>
      </w:r>
      <w:r>
        <w:rPr>
          <w:spacing w:val="-43"/>
        </w:rPr>
        <w:t> </w:t>
      </w:r>
      <w:r>
        <w:rPr>
          <w:spacing w:val="-43"/>
        </w:rPr>
      </w:r>
      <w:r>
        <w:rPr>
          <w:spacing w:val="-2"/>
        </w:rPr>
        <w:t>押，金丰科华取得了抵押权人出具的《抵押权人同意抵押房屋办理商品房预售许可证的证明》；截至</w:t>
      </w:r>
      <w:r>
        <w:rPr>
          <w:rFonts w:ascii="Times New Roman" w:hAnsi="Times New Roman" w:cs="Times New Roman" w:eastAsia="Times New Roman" w:hint="default"/>
          <w:spacing w:val="-2"/>
        </w:rPr>
        <w:t>2016</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spacing w:val="-1"/>
        </w:rPr>
        <w:t>年</w:t>
      </w:r>
      <w:r>
        <w:rPr>
          <w:rFonts w:ascii="Times New Roman" w:hAnsi="Times New Roman" w:cs="Times New Roman" w:eastAsia="Times New Roman" w:hint="default"/>
          <w:spacing w:val="-1"/>
        </w:rPr>
        <w:t>6</w:t>
      </w:r>
      <w:r>
        <w:rPr>
          <w:spacing w:val="-1"/>
        </w:rPr>
        <w:t>月，北京网安向金丰科华足额支付了预售合同约定的全部购房款</w:t>
      </w:r>
      <w:r>
        <w:rPr>
          <w:rFonts w:ascii="Times New Roman" w:hAnsi="Times New Roman" w:cs="Times New Roman" w:eastAsia="Times New Roman" w:hint="default"/>
          <w:spacing w:val="-1"/>
        </w:rPr>
        <w:t>11.29</w:t>
      </w:r>
      <w:r>
        <w:rPr>
          <w:spacing w:val="-1"/>
        </w:rPr>
        <w:t>亿元，购房资金均来源于卫士通</w:t>
      </w:r>
      <w:r>
        <w:rPr>
          <w:spacing w:val="-28"/>
        </w:rPr>
        <w:t> </w:t>
      </w:r>
      <w:r>
        <w:rPr>
          <w:spacing w:val="-28"/>
        </w:rPr>
      </w:r>
      <w:r>
        <w:rPr>
          <w:spacing w:val="-2"/>
        </w:rPr>
        <w:t>非公开发行股票募集资金。此后北京中宏瑞德投资管理中心（有限合伙）（以下简称</w:t>
      </w:r>
      <w:r>
        <w:rPr>
          <w:rFonts w:ascii="Times New Roman" w:hAnsi="Times New Roman" w:cs="Times New Roman" w:eastAsia="Times New Roman" w:hint="default"/>
          <w:spacing w:val="-2"/>
        </w:rPr>
        <w:t>“</w:t>
      </w:r>
      <w:r>
        <w:rPr>
          <w:spacing w:val="-2"/>
        </w:rPr>
        <w:t>北京中宏</w:t>
      </w:r>
      <w:r>
        <w:rPr>
          <w:rFonts w:ascii="Times New Roman" w:hAnsi="Times New Roman" w:cs="Times New Roman" w:eastAsia="Times New Roman" w:hint="default"/>
          <w:spacing w:val="-2"/>
        </w:rPr>
        <w:t>”</w:t>
      </w:r>
      <w:r>
        <w:rPr>
          <w:spacing w:val="-2"/>
        </w:rPr>
        <w:t>）基于购</w:t>
      </w:r>
      <w:r>
        <w:rPr>
          <w:spacing w:val="-17"/>
        </w:rPr>
        <w:t> </w:t>
      </w:r>
      <w:r>
        <w:rPr>
          <w:spacing w:val="-17"/>
        </w:rPr>
      </w:r>
      <w:r>
        <w:rPr/>
        <w:t>买债权的方式取得部分抵押债权。</w:t>
      </w:r>
    </w:p>
    <w:p>
      <w:pPr>
        <w:pStyle w:val="BodyText"/>
        <w:spacing w:line="264" w:lineRule="auto" w:before="20"/>
        <w:ind w:right="1126" w:firstLine="420"/>
        <w:jc w:val="both"/>
      </w:pPr>
      <w:r>
        <w:rPr>
          <w:spacing w:val="-2"/>
        </w:rPr>
        <w:t>因金丰科华涉及与北京中宏的其他债务纠纷，北京中宏依据生效法律文书向北京市第二中级人民法院</w:t>
      </w:r>
      <w:r>
        <w:rPr>
          <w:w w:val="100"/>
        </w:rPr>
        <w:t> </w:t>
      </w:r>
      <w:r>
        <w:rPr>
          <w:spacing w:val="-3"/>
          <w:w w:val="100"/>
        </w:rPr>
        <w:t>申请执行，并对开发商位于北京市丰台区花乡四合庄的金丰能源中心项目</w:t>
      </w:r>
      <w:r>
        <w:rPr>
          <w:rFonts w:ascii="Times New Roman" w:hAnsi="Times New Roman" w:cs="Times New Roman" w:eastAsia="Times New Roman" w:hint="default"/>
          <w:spacing w:val="-3"/>
          <w:w w:val="100"/>
        </w:rPr>
        <w:t>1516-15</w:t>
      </w:r>
      <w:r>
        <w:rPr>
          <w:spacing w:val="-3"/>
          <w:w w:val="100"/>
        </w:rPr>
        <w:t>地块</w:t>
      </w:r>
      <w:r>
        <w:rPr>
          <w:rFonts w:ascii="Times New Roman" w:hAnsi="Times New Roman" w:cs="Times New Roman" w:eastAsia="Times New Roman" w:hint="default"/>
          <w:spacing w:val="-3"/>
          <w:w w:val="100"/>
        </w:rPr>
        <w:t>37,651.02</w:t>
      </w:r>
      <w:r>
        <w:rPr>
          <w:spacing w:val="-3"/>
          <w:w w:val="100"/>
        </w:rPr>
        <w:t>㎡的土地使</w:t>
      </w:r>
      <w:r>
        <w:rPr>
          <w:spacing w:val="-99"/>
          <w:w w:val="100"/>
        </w:rPr>
        <w:t> </w:t>
      </w:r>
      <w:r>
        <w:rPr>
          <w:spacing w:val="-99"/>
          <w:w w:val="100"/>
        </w:rPr>
      </w:r>
      <w:r>
        <w:rPr/>
        <w:t>用权及地上</w:t>
      </w:r>
      <w:r>
        <w:rPr>
          <w:rFonts w:ascii="Times New Roman" w:hAnsi="Times New Roman" w:cs="Times New Roman" w:eastAsia="Times New Roman" w:hint="default"/>
        </w:rPr>
        <w:t>225,484.78</w:t>
      </w:r>
      <w:r>
        <w:rPr/>
        <w:t>㎡在建工程采取查封措施。</w:t>
      </w:r>
    </w:p>
    <w:p>
      <w:pPr>
        <w:pStyle w:val="BodyText"/>
        <w:spacing w:line="273" w:lineRule="auto" w:before="0"/>
        <w:ind w:left="573" w:right="1133"/>
        <w:jc w:val="left"/>
      </w:pPr>
      <w:r>
        <w:rPr/>
        <w:t>经本公司向北京市丰台区不动产登记中心查询，目前标的房产处于查封状态。</w:t>
      </w:r>
      <w:r>
        <w:rPr>
          <w:w w:val="100"/>
        </w:rPr>
        <w:t> </w:t>
      </w:r>
      <w:r>
        <w:rPr/>
        <w:t>北京网安于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日向北京市第二中级人民法院提交了民事诉讼状，就北京网安向金丰科华购</w:t>
      </w:r>
    </w:p>
    <w:p>
      <w:pPr>
        <w:pStyle w:val="BodyText"/>
        <w:spacing w:line="256" w:lineRule="auto" w:before="0"/>
        <w:ind w:right="1023"/>
        <w:jc w:val="both"/>
      </w:pPr>
      <w:r>
        <w:rPr/>
        <w:t>买的北京市丰台区花乡四合庄</w:t>
      </w:r>
      <w:r>
        <w:rPr>
          <w:rFonts w:ascii="Times New Roman" w:hAnsi="Times New Roman" w:cs="Times New Roman" w:eastAsia="Times New Roman" w:hint="default"/>
        </w:rPr>
        <w:t>1516-15</w:t>
      </w:r>
      <w:r>
        <w:rPr/>
        <w:t>地块上</w:t>
      </w:r>
      <w:r>
        <w:rPr>
          <w:rFonts w:ascii="Times New Roman" w:hAnsi="Times New Roman" w:cs="Times New Roman" w:eastAsia="Times New Roman" w:hint="default"/>
        </w:rPr>
        <w:t>5#</w:t>
      </w:r>
      <w:r>
        <w:rPr/>
        <w:t>办公商业楼及该房屋对应土地使用权的查封事项提起执行 </w:t>
      </w:r>
      <w:r>
        <w:rPr>
          <w:spacing w:val="-4"/>
        </w:rPr>
        <w:t>异议诉讼，并提交相关证据，请求北京市第二中级人民法院依法解除对丰台区花乡四合庄</w:t>
      </w:r>
      <w:r>
        <w:rPr>
          <w:rFonts w:ascii="Times New Roman" w:hAnsi="Times New Roman" w:cs="Times New Roman" w:eastAsia="Times New Roman" w:hint="default"/>
          <w:spacing w:val="-4"/>
        </w:rPr>
        <w:t>1516-15</w:t>
      </w:r>
      <w:r>
        <w:rPr>
          <w:spacing w:val="-4"/>
        </w:rPr>
        <w:t>地块上</w:t>
      </w:r>
      <w:r>
        <w:rPr>
          <w:rFonts w:ascii="Times New Roman" w:hAnsi="Times New Roman" w:cs="Times New Roman" w:eastAsia="Times New Roman" w:hint="default"/>
          <w:spacing w:val="-4"/>
        </w:rPr>
        <w:t>5#</w:t>
      </w:r>
      <w:r>
        <w:rPr>
          <w:rFonts w:ascii="Times New Roman" w:hAnsi="Times New Roman" w:cs="Times New Roman" w:eastAsia="Times New Roman" w:hint="default"/>
          <w:spacing w:val="-2"/>
        </w:rPr>
        <w:t> </w:t>
      </w:r>
      <w:r>
        <w:rPr>
          <w:spacing w:val="-2"/>
        </w:rPr>
        <w:t>办公商业楼及该房屋对应的土地使用权的查封。北京市第二中级人民法院于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w:t>
      </w:r>
      <w:r>
        <w:rPr>
          <w:spacing w:val="-2"/>
        </w:rPr>
        <w:t>日出具《受理案件</w:t>
      </w:r>
      <w:r>
        <w:rPr>
          <w:spacing w:val="-42"/>
        </w:rPr>
        <w:t> </w:t>
      </w:r>
      <w:r>
        <w:rPr>
          <w:spacing w:val="-42"/>
        </w:rPr>
      </w:r>
      <w:r>
        <w:rPr>
          <w:spacing w:val="-2"/>
        </w:rPr>
        <w:t>通知书》及《诉讼费交费通知书》，受理了本案。北京网安于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4</w:t>
      </w:r>
      <w:r>
        <w:rPr>
          <w:spacing w:val="-2"/>
        </w:rPr>
        <w:t>日收到一审判决，驳回了北京网</w:t>
      </w:r>
      <w:r>
        <w:rPr>
          <w:spacing w:val="-35"/>
        </w:rPr>
        <w:t> </w:t>
      </w:r>
      <w:r>
        <w:rPr>
          <w:spacing w:val="-35"/>
        </w:rPr>
      </w:r>
      <w:r>
        <w:rPr>
          <w:spacing w:val="-2"/>
        </w:rPr>
        <w:t>安的诉讼请求。</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17</w:t>
      </w:r>
      <w:r>
        <w:rPr>
          <w:spacing w:val="-2"/>
        </w:rPr>
        <w:t>日，北京网安通过北京市第二中级人民法院向北京市高级人民法院提起上诉。</w:t>
      </w:r>
    </w:p>
    <w:p>
      <w:pPr>
        <w:pStyle w:val="BodyText"/>
        <w:spacing w:line="256" w:lineRule="auto" w:before="5"/>
        <w:ind w:right="1126" w:firstLine="42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月，北京市丰台区人民法院已裁定受理债权人四川华西建筑装饰工程有限公司（以下简称</w:t>
      </w:r>
      <w:r>
        <w:rPr>
          <w:rFonts w:ascii="Times New Roman" w:hAnsi="Times New Roman" w:cs="Times New Roman" w:eastAsia="Times New Roman" w:hint="default"/>
          <w:spacing w:val="-2"/>
        </w:rPr>
        <w:t>“</w:t>
      </w:r>
      <w:r>
        <w:rPr>
          <w:spacing w:val="-2"/>
        </w:rPr>
        <w:t>华</w:t>
      </w:r>
      <w:r>
        <w:rPr>
          <w:w w:val="100"/>
        </w:rPr>
        <w:t> </w:t>
      </w:r>
      <w:r>
        <w:rPr/>
        <w:t>西建筑</w:t>
      </w:r>
      <w:r>
        <w:rPr>
          <w:rFonts w:ascii="Times New Roman" w:hAnsi="Times New Roman" w:cs="Times New Roman" w:eastAsia="Times New Roman" w:hint="default"/>
        </w:rPr>
        <w:t>”</w:t>
      </w:r>
      <w:r>
        <w:rPr/>
        <w:t>）申请债务人金丰科华破产清算一案，并决定采用竞争方式确定上述案件破产管理人。</w:t>
      </w:r>
    </w:p>
    <w:p>
      <w:pPr>
        <w:pStyle w:val="BodyText"/>
        <w:spacing w:line="256" w:lineRule="auto" w:before="5"/>
        <w:ind w:right="1128" w:firstLine="420"/>
        <w:jc w:val="both"/>
      </w:pPr>
      <w:r>
        <w:rPr/>
        <w:t>北京市丰台区人民法院于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日通过人民法院公告网发布的破产公告，丰台区人民法院已于</w:t>
      </w:r>
      <w:r>
        <w:rPr>
          <w:w w:val="100"/>
        </w:rPr>
        <w:t> </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20</w:t>
      </w:r>
      <w:r>
        <w:rPr>
          <w:spacing w:val="-2"/>
        </w:rPr>
        <w:t>日确定北京市东卫律师事务所担任金丰科华破产管理人，债权人应在</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26</w:t>
      </w:r>
      <w:r>
        <w:rPr>
          <w:spacing w:val="-2"/>
        </w:rPr>
        <w:t>日前向管理</w:t>
      </w:r>
      <w:r>
        <w:rPr>
          <w:spacing w:val="-36"/>
        </w:rPr>
        <w:t> </w:t>
      </w:r>
      <w:r>
        <w:rPr>
          <w:spacing w:val="-36"/>
        </w:rPr>
      </w:r>
      <w:r>
        <w:rPr/>
        <w:t>人北京市东卫律师事务所申报债权，并提交有关证明材料，第一次债权人会议将于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日下午</w:t>
      </w:r>
      <w:r>
        <w:rPr>
          <w:rFonts w:ascii="Times New Roman" w:hAnsi="Times New Roman" w:cs="Times New Roman" w:eastAsia="Times New Roman" w:hint="default"/>
        </w:rPr>
        <w:t>2</w:t>
      </w:r>
      <w:r>
        <w:rPr/>
        <w:t>时</w:t>
      </w:r>
      <w:r>
        <w:rPr>
          <w:spacing w:val="-23"/>
        </w:rPr>
        <w:t> </w:t>
      </w:r>
      <w:r>
        <w:rPr/>
        <w:t>在丰台法院科技园审判区第</w:t>
      </w:r>
      <w:r>
        <w:rPr>
          <w:rFonts w:ascii="Times New Roman" w:hAnsi="Times New Roman" w:cs="Times New Roman" w:eastAsia="Times New Roman" w:hint="default"/>
        </w:rPr>
        <w:t>7</w:t>
      </w:r>
      <w:r>
        <w:rPr/>
        <w:t>法庭召开。</w:t>
      </w:r>
    </w:p>
    <w:p>
      <w:pPr>
        <w:pStyle w:val="BodyText"/>
        <w:spacing w:line="256" w:lineRule="auto" w:before="5"/>
        <w:ind w:left="573" w:right="1133"/>
        <w:jc w:val="left"/>
        <w:rPr>
          <w:rFonts w:ascii="Times New Roman" w:hAnsi="Times New Roman" w:cs="Times New Roman" w:eastAsia="Times New Roman" w:hint="default"/>
        </w:rPr>
      </w:pPr>
      <w:r>
        <w:rPr/>
        <w:t>北京网安目前正在准备债权申报材料，并计划在</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日前向管理人申报债权。</w:t>
      </w:r>
      <w:r>
        <w:rPr>
          <w:w w:val="100"/>
        </w:rPr>
        <w:t> </w:t>
      </w:r>
      <w:r>
        <w:rPr/>
        <w:t>上述诉讼案目前尚未终审判决，被查封资产列报于</w:t>
      </w:r>
      <w:r>
        <w:rPr>
          <w:rFonts w:ascii="Times New Roman" w:hAnsi="Times New Roman" w:cs="Times New Roman" w:eastAsia="Times New Roman" w:hint="default"/>
        </w:rPr>
        <w:t>“</w:t>
      </w:r>
      <w:r>
        <w:rPr/>
        <w:t>在建工程</w:t>
      </w:r>
      <w:r>
        <w:rPr>
          <w:rFonts w:ascii="Times New Roman" w:hAnsi="Times New Roman" w:cs="Times New Roman" w:eastAsia="Times New Roman" w:hint="default"/>
        </w:rPr>
        <w:t>”</w:t>
      </w:r>
      <w:r>
        <w:rPr/>
        <w:t>项目，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w:t>
      </w:r>
      <w:r>
        <w:rPr>
          <w:rFonts w:ascii="Times New Roman" w:hAnsi="Times New Roman" w:cs="Times New Roman" w:eastAsia="Times New Roman" w:hint="default"/>
        </w:rPr>
        <w:t>116,309.74</w:t>
      </w:r>
    </w:p>
    <w:p>
      <w:pPr>
        <w:pStyle w:val="BodyText"/>
        <w:spacing w:line="240" w:lineRule="auto" w:before="5"/>
        <w:ind w:right="1133"/>
        <w:jc w:val="left"/>
      </w:pPr>
      <w:r>
        <w:rPr/>
        <w:t>万元。</w:t>
      </w:r>
    </w:p>
    <w:p>
      <w:pPr>
        <w:pStyle w:val="BodyText"/>
        <w:spacing w:line="240" w:lineRule="auto" w:before="37"/>
        <w:ind w:left="573" w:right="1133"/>
        <w:jc w:val="left"/>
      </w:pPr>
      <w:r>
        <w:rPr/>
        <w:t>除存在上述或有事项外，截止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日，本公司无其他应披露未披露的重要或有事项。</w:t>
      </w:r>
    </w:p>
    <w:p>
      <w:pPr>
        <w:spacing w:line="240" w:lineRule="auto" w:before="8"/>
        <w:rPr>
          <w:rFonts w:ascii="宋体" w:hAnsi="宋体" w:cs="宋体" w:eastAsia="宋体" w:hint="default"/>
          <w:sz w:val="24"/>
          <w:szCs w:val="24"/>
        </w:rPr>
      </w:pPr>
    </w:p>
    <w:p>
      <w:pPr>
        <w:pStyle w:val="Heading4"/>
        <w:spacing w:line="240" w:lineRule="auto"/>
        <w:ind w:right="1133"/>
        <w:jc w:val="left"/>
        <w:rPr>
          <w:b w:val="0"/>
          <w:bCs w:val="0"/>
        </w:rPr>
      </w:pPr>
      <w:bookmarkStart w:name="（2）公司没有需要披露的重要或有事项，也应予以说明" w:id="343"/>
      <w:bookmarkEnd w:id="343"/>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
        <w:rPr>
          <w:rFonts w:ascii="宋体" w:hAnsi="宋体" w:cs="宋体" w:eastAsia="宋体" w:hint="default"/>
          <w:sz w:val="25"/>
          <w:szCs w:val="25"/>
        </w:rPr>
      </w:pPr>
    </w:p>
    <w:p>
      <w:pPr>
        <w:spacing w:line="499" w:lineRule="auto" w:before="0"/>
        <w:ind w:left="152" w:right="6974" w:firstLine="0"/>
        <w:jc w:val="left"/>
        <w:rPr>
          <w:rFonts w:ascii="宋体" w:hAnsi="宋体" w:cs="宋体" w:eastAsia="宋体" w:hint="default"/>
          <w:sz w:val="21"/>
          <w:szCs w:val="21"/>
        </w:rPr>
      </w:pPr>
      <w:bookmarkStart w:name="十四、资产负债表日后事项" w:id="344"/>
      <w:bookmarkEnd w:id="344"/>
      <w:r>
        <w:rPr/>
      </w:r>
      <w:r>
        <w:rPr>
          <w:rFonts w:ascii="宋体" w:hAnsi="宋体" w:cs="宋体" w:eastAsia="宋体" w:hint="default"/>
          <w:b/>
          <w:bCs/>
          <w:sz w:val="24"/>
          <w:szCs w:val="24"/>
        </w:rPr>
        <w:t>十四、资产负债表日后事项</w:t>
      </w:r>
      <w:r>
        <w:rPr>
          <w:rFonts w:ascii="宋体" w:hAnsi="宋体" w:cs="宋体" w:eastAsia="宋体" w:hint="default"/>
          <w:b/>
          <w:bCs/>
          <w:w w:val="99"/>
          <w:sz w:val="24"/>
          <w:szCs w:val="24"/>
        </w:rPr>
        <w:t> </w:t>
      </w:r>
      <w:bookmarkStart w:name="1、销售退回" w:id="345"/>
      <w:bookmarkEnd w:id="34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、销售退回</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本公司无需要披露的重要销售退回情况。</w:t>
      </w:r>
    </w:p>
    <w:p>
      <w:pPr>
        <w:spacing w:after="0" w:line="499" w:lineRule="auto"/>
        <w:jc w:val="left"/>
        <w:rPr>
          <w:rFonts w:ascii="宋体" w:hAnsi="宋体" w:cs="宋体" w:eastAsia="宋体" w:hint="default"/>
          <w:sz w:val="21"/>
          <w:szCs w:val="21"/>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2、其他资产负债表日后事项说明" w:id="346"/>
      <w:bookmarkEnd w:id="346"/>
      <w:r>
        <w:rPr>
          <w:b w:val="0"/>
          <w:bCs w:val="0"/>
        </w:rPr>
      </w:r>
      <w:r>
        <w:rPr>
          <w:rFonts w:ascii="Times New Roman" w:hAnsi="Times New Roman" w:cs="Times New Roman" w:eastAsia="Times New Roman" w:hint="default"/>
        </w:rPr>
        <w:t>2</w:t>
      </w:r>
      <w:r>
        <w:rPr/>
        <w:t>、其他资产负债表日后事项说明</w:t>
      </w:r>
      <w:r>
        <w:rPr>
          <w:b w:val="0"/>
          <w:bCs w:val="0"/>
        </w:rPr>
      </w:r>
    </w:p>
    <w:p>
      <w:pPr>
        <w:spacing w:line="240" w:lineRule="auto" w:before="10"/>
        <w:rPr>
          <w:rFonts w:ascii="宋体" w:hAnsi="宋体" w:cs="宋体" w:eastAsia="宋体" w:hint="default"/>
          <w:b/>
          <w:bCs/>
          <w:sz w:val="24"/>
          <w:szCs w:val="24"/>
        </w:rPr>
      </w:pPr>
    </w:p>
    <w:p>
      <w:pPr>
        <w:pStyle w:val="BodyText"/>
        <w:spacing w:line="264" w:lineRule="auto" w:before="0"/>
        <w:ind w:right="1128" w:firstLine="420"/>
        <w:jc w:val="both"/>
      </w:pPr>
      <w:r>
        <w:rPr>
          <w:spacing w:val="-2"/>
        </w:rPr>
        <w:t>受新冠疫情影响，公司</w:t>
      </w:r>
      <w:r>
        <w:rPr>
          <w:rFonts w:ascii="Times New Roman" w:hAnsi="Times New Roman" w:cs="Times New Roman" w:eastAsia="Times New Roman" w:hint="default"/>
          <w:spacing w:val="-2"/>
        </w:rPr>
        <w:t>2020</w:t>
      </w:r>
      <w:r>
        <w:rPr>
          <w:spacing w:val="-2"/>
        </w:rPr>
        <w:t>年一季度部分项目招标计划推迟；部分客户单位还未能达到复工条件，公</w:t>
      </w:r>
      <w:r>
        <w:rPr>
          <w:w w:val="100"/>
        </w:rPr>
        <w:t> </w:t>
      </w:r>
      <w:r>
        <w:rPr>
          <w:spacing w:val="-2"/>
        </w:rPr>
        <w:t>司无法入场工作；产业链尚在恢复，影响公司生产及交货，进而影响项目完成进度，影响销售收入完成及</w:t>
      </w:r>
      <w:r>
        <w:rPr>
          <w:spacing w:val="-50"/>
        </w:rPr>
        <w:t> </w:t>
      </w:r>
      <w:r>
        <w:rPr>
          <w:spacing w:val="-50"/>
        </w:rPr>
      </w:r>
      <w:r>
        <w:rPr/>
        <w:t>回款。预计</w:t>
      </w:r>
      <w:r>
        <w:rPr>
          <w:rFonts w:ascii="Times New Roman" w:hAnsi="Times New Roman" w:cs="Times New Roman" w:eastAsia="Times New Roman" w:hint="default"/>
        </w:rPr>
        <w:t>2020</w:t>
      </w:r>
      <w:r>
        <w:rPr/>
        <w:t>年第一季度亏损金额较上年同期有所增加。</w:t>
      </w:r>
    </w:p>
    <w:p>
      <w:pPr>
        <w:pStyle w:val="BodyText"/>
        <w:spacing w:line="273" w:lineRule="auto" w:before="0"/>
        <w:ind w:right="0" w:firstLine="420"/>
        <w:jc w:val="left"/>
      </w:pPr>
      <w:r>
        <w:rPr/>
        <w:t>面对疫情带来的项目推迟的影响，公司将持续加强与客户沟通，推进项目实施进度，力争项目按原计</w:t>
      </w:r>
      <w:r>
        <w:rPr>
          <w:w w:val="100"/>
        </w:rPr>
        <w:t> </w:t>
      </w:r>
      <w:r>
        <w:rPr>
          <w:spacing w:val="-5"/>
        </w:rPr>
        <w:t>划开展，尽量减少疫情带来的项目影响。同时，公司将加大资源投入确保重点项目实施和重点产品的研发，</w:t>
      </w:r>
      <w:r>
        <w:rPr>
          <w:spacing w:val="-4"/>
        </w:rPr>
        <w:t> </w:t>
      </w:r>
      <w:r>
        <w:rPr>
          <w:spacing w:val="-4"/>
        </w:rPr>
      </w:r>
      <w:r>
        <w:rPr>
          <w:spacing w:val="-2"/>
        </w:rPr>
        <w:t>加强技术创新，提升公司核心竞争力和抗风险能力，为业务稳健发展提供强有力的支撑与保障。原计划一</w:t>
      </w:r>
      <w:r>
        <w:rPr>
          <w:spacing w:val="-44"/>
        </w:rPr>
        <w:t> </w:t>
      </w:r>
      <w:r>
        <w:rPr>
          <w:spacing w:val="-44"/>
        </w:rPr>
      </w:r>
      <w:r>
        <w:rPr/>
        <w:t>季度签订的</w:t>
      </w:r>
      <w:r>
        <w:rPr>
          <w:rFonts w:ascii="Times New Roman" w:hAnsi="Times New Roman" w:cs="Times New Roman" w:eastAsia="Times New Roman" w:hint="default"/>
        </w:rPr>
        <w:t>0.80</w:t>
      </w:r>
      <w:r>
        <w:rPr/>
        <w:t>亿元合同预计将推迟至二季度签订。</w:t>
      </w:r>
    </w:p>
    <w:p>
      <w:pPr>
        <w:pStyle w:val="BodyText"/>
        <w:spacing w:line="273" w:lineRule="auto" w:before="0"/>
        <w:ind w:right="1133" w:firstLine="420"/>
        <w:jc w:val="left"/>
      </w:pPr>
      <w:r>
        <w:rPr>
          <w:spacing w:val="-2"/>
        </w:rPr>
        <w:t>同时，公司将继续密切关注新冠疫情发展情况，评估和积极应对其对本公司财务状况、经营成果等方</w:t>
      </w:r>
      <w:r>
        <w:rPr>
          <w:w w:val="100"/>
        </w:rPr>
        <w:t> </w:t>
      </w:r>
      <w:r>
        <w:rPr/>
        <w:t>面的影响。截至本报告报出日，该评估工作尚在进行中。</w:t>
      </w:r>
    </w:p>
    <w:p>
      <w:pPr>
        <w:spacing w:line="240" w:lineRule="auto" w:before="8"/>
        <w:rPr>
          <w:rFonts w:ascii="宋体" w:hAnsi="宋体" w:cs="宋体" w:eastAsia="宋体" w:hint="default"/>
          <w:sz w:val="21"/>
          <w:szCs w:val="21"/>
        </w:rPr>
      </w:pPr>
    </w:p>
    <w:p>
      <w:pPr>
        <w:pStyle w:val="Heading2"/>
        <w:spacing w:line="240" w:lineRule="auto"/>
        <w:ind w:right="1133"/>
        <w:jc w:val="left"/>
        <w:rPr>
          <w:b w:val="0"/>
          <w:bCs w:val="0"/>
        </w:rPr>
      </w:pPr>
      <w:bookmarkStart w:name="十五、母公司财务报表主要项目注释" w:id="347"/>
      <w:bookmarkEnd w:id="347"/>
      <w:r>
        <w:rPr>
          <w:b w:val="0"/>
          <w:bCs w:val="0"/>
        </w:rPr>
      </w:r>
      <w:r>
        <w:rPr/>
        <w:t>十五、母公司财务报表主要项目注释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bookmarkStart w:name="1、应收账款" w:id="348"/>
      <w:bookmarkEnd w:id="348"/>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应收账款分类披露" w:id="349"/>
      <w:bookmarkEnd w:id="34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4"/>
        <w:gridCol w:w="761"/>
        <w:gridCol w:w="763"/>
        <w:gridCol w:w="790"/>
        <w:gridCol w:w="775"/>
        <w:gridCol w:w="797"/>
        <w:gridCol w:w="800"/>
        <w:gridCol w:w="790"/>
        <w:gridCol w:w="931"/>
      </w:tblGrid>
      <w:tr>
        <w:trPr>
          <w:trHeight w:val="396"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8"/>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1,149,70</w:t>
            </w:r>
          </w:p>
          <w:p>
            <w:pPr>
              <w:pStyle w:val="TableParagraph"/>
              <w:spacing w:line="240" w:lineRule="auto" w:before="105"/>
              <w:ind w:left="421" w:right="0"/>
              <w:jc w:val="left"/>
              <w:rPr>
                <w:rFonts w:ascii="Times New Roman" w:hAnsi="Times New Roman" w:cs="Times New Roman" w:eastAsia="Times New Roman" w:hint="default"/>
                <w:sz w:val="18"/>
                <w:szCs w:val="18"/>
              </w:rPr>
            </w:pPr>
            <w:r>
              <w:rPr>
                <w:rFonts w:ascii="Times New Roman"/>
                <w:sz w:val="18"/>
              </w:rPr>
              <w:t>5.40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1,149,70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5.40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1,149,705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1,149,705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392,938,</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986.88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99.71%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31,793,4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04.33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361,145,5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82.55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244,281,0</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72.77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99.53%</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32,238,59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3.63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13.20%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212,042,47</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9.14</w:t>
            </w:r>
          </w:p>
        </w:tc>
      </w:tr>
      <w:tr>
        <w:trPr>
          <w:trHeight w:val="401"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140,046,</w:t>
            </w:r>
          </w:p>
          <w:p>
            <w:pPr>
              <w:pStyle w:val="TableParagraph"/>
              <w:spacing w:line="240" w:lineRule="auto" w:before="105"/>
              <w:ind w:left="227" w:right="0"/>
              <w:jc w:val="center"/>
              <w:rPr>
                <w:rFonts w:ascii="Times New Roman" w:hAnsi="Times New Roman" w:cs="Times New Roman" w:eastAsia="Times New Roman" w:hint="default"/>
                <w:sz w:val="18"/>
                <w:szCs w:val="18"/>
              </w:rPr>
            </w:pPr>
            <w:r>
              <w:rPr>
                <w:rFonts w:ascii="Times New Roman"/>
                <w:sz w:val="18"/>
              </w:rPr>
              <w:t>314.81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35.54%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31,793,4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04.33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22.70%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108,252,9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10.48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171,345,1</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25.51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69.81%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32,238,59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3.63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18.82%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139,106,53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1.88</w:t>
            </w: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特别关联组合</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252,892,</w:t>
            </w:r>
          </w:p>
          <w:p>
            <w:pPr>
              <w:pStyle w:val="TableParagraph"/>
              <w:spacing w:line="240" w:lineRule="auto" w:before="105"/>
              <w:ind w:left="227" w:right="0"/>
              <w:jc w:val="center"/>
              <w:rPr>
                <w:rFonts w:ascii="Times New Roman" w:hAnsi="Times New Roman" w:cs="Times New Roman" w:eastAsia="Times New Roman" w:hint="default"/>
                <w:sz w:val="18"/>
                <w:szCs w:val="18"/>
              </w:rPr>
            </w:pPr>
            <w:r>
              <w:rPr>
                <w:rFonts w:ascii="Times New Roman"/>
                <w:sz w:val="18"/>
              </w:rPr>
              <w:t>672.07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64.17%</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252,892,6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72.07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72,935,94</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7.26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29.72%</w:t>
            </w: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72,935,947.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26</w:t>
            </w:r>
          </w:p>
        </w:tc>
      </w:tr>
      <w:tr>
        <w:trPr>
          <w:trHeight w:val="71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394,088,</w:t>
            </w:r>
          </w:p>
          <w:p>
            <w:pPr>
              <w:pStyle w:val="TableParagraph"/>
              <w:spacing w:line="240" w:lineRule="auto" w:before="105"/>
              <w:ind w:left="227" w:right="0"/>
              <w:jc w:val="center"/>
              <w:rPr>
                <w:rFonts w:ascii="Times New Roman" w:hAnsi="Times New Roman" w:cs="Times New Roman" w:eastAsia="Times New Roman" w:hint="default"/>
                <w:sz w:val="18"/>
                <w:szCs w:val="18"/>
              </w:rPr>
            </w:pPr>
            <w:r>
              <w:rPr>
                <w:rFonts w:ascii="Times New Roman"/>
                <w:sz w:val="18"/>
              </w:rPr>
              <w:t>692.28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32,943,1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09.73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361,145,5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82.55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245,430,7</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78.17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33,388,29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9.03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13.60%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212,042,47</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9.14</w:t>
            </w:r>
          </w:p>
        </w:tc>
      </w:tr>
    </w:tbl>
    <w:p>
      <w:pPr>
        <w:spacing w:before="49"/>
        <w:ind w:left="152" w:right="113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按单项计提坏账准备：</w:t>
      </w:r>
      <w:r>
        <w:rPr>
          <w:rFonts w:ascii="Times New Roman" w:hAnsi="Times New Roman" w:cs="Times New Roman" w:eastAsia="Times New Roman" w:hint="default"/>
          <w:sz w:val="18"/>
          <w:szCs w:val="18"/>
        </w:rPr>
        <w:t>1,149,705.40</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677"/>
        <w:gridCol w:w="1560"/>
        <w:gridCol w:w="1133"/>
        <w:gridCol w:w="853"/>
        <w:gridCol w:w="1349"/>
      </w:tblGrid>
      <w:tr>
        <w:trPr>
          <w:trHeight w:val="402" w:hRule="exact"/>
        </w:trPr>
        <w:tc>
          <w:tcPr>
            <w:tcW w:w="46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489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4677"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62"/>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9"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4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郑州英创电子技术有限公司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5" w:right="0"/>
              <w:jc w:val="left"/>
              <w:rPr>
                <w:rFonts w:ascii="Times New Roman" w:hAnsi="Times New Roman" w:cs="Times New Roman" w:eastAsia="Times New Roman" w:hint="default"/>
                <w:sz w:val="18"/>
                <w:szCs w:val="18"/>
              </w:rPr>
            </w:pPr>
            <w:r>
              <w:rPr>
                <w:rFonts w:ascii="Times New Roman"/>
                <w:sz w:val="18"/>
              </w:rPr>
              <w:t>243,310.00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243,310.00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预计难以收回</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679"/>
        <w:gridCol w:w="1560"/>
        <w:gridCol w:w="1133"/>
        <w:gridCol w:w="853"/>
        <w:gridCol w:w="1349"/>
      </w:tblGrid>
      <w:tr>
        <w:trPr>
          <w:trHeight w:val="401"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山西清华网络系统工程公司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213,110.00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213,110.00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预计难以收回</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DZ </w:t>
            </w:r>
            <w:r>
              <w:rPr>
                <w:rFonts w:ascii="宋体" w:hAnsi="宋体" w:cs="宋体" w:eastAsia="宋体" w:hint="default"/>
                <w:sz w:val="18"/>
                <w:szCs w:val="18"/>
              </w:rPr>
              <w:t>网巴中管理中心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189,800.00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189,800.00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预计难以收回</w:t>
            </w:r>
          </w:p>
        </w:tc>
      </w:tr>
      <w:tr>
        <w:trPr>
          <w:trHeight w:val="401"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北京天地迅达信息技术开发中心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预计难以收回</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中国地震局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114,229.00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114,229.00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预计难以收回</w:t>
            </w:r>
          </w:p>
        </w:tc>
      </w:tr>
      <w:tr>
        <w:trPr>
          <w:trHeight w:val="401"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云南官房电子科技有限公司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101,820.00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101,820.00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预计难以收回</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深圳市科技和信息局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36,956.40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36,956.40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预计难以收回</w:t>
            </w:r>
          </w:p>
        </w:tc>
      </w:tr>
      <w:tr>
        <w:trPr>
          <w:trHeight w:val="401"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昊华宇航化工有限责任公司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预计难以收回</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北京创原天地科技有限公司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预计难以收回</w:t>
            </w:r>
          </w:p>
        </w:tc>
      </w:tr>
      <w:tr>
        <w:trPr>
          <w:trHeight w:val="401"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中共广东政法委员会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预计难以收回</w:t>
            </w:r>
          </w:p>
        </w:tc>
      </w:tr>
      <w:tr>
        <w:trPr>
          <w:trHeight w:val="404"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北京中电普华信息技术有限公司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8,650.00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8,650.00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预计难以收回</w:t>
            </w:r>
          </w:p>
        </w:tc>
      </w:tr>
      <w:tr>
        <w:trPr>
          <w:trHeight w:val="401"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农行西藏区分行</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7,900.00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7,900.00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预计难以收回</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DZ </w:t>
            </w:r>
            <w:r>
              <w:rPr>
                <w:rFonts w:ascii="宋体" w:hAnsi="宋体" w:cs="宋体" w:eastAsia="宋体" w:hint="default"/>
                <w:sz w:val="18"/>
                <w:szCs w:val="18"/>
              </w:rPr>
              <w:t>网南充管理中心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3,930.00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3,930.00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预计难以收回</w:t>
            </w:r>
          </w:p>
        </w:tc>
      </w:tr>
      <w:tr>
        <w:trPr>
          <w:trHeight w:val="401"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成都市华锋电子有限公司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预计难以收回</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1,149,705.40</w:t>
            </w:r>
          </w:p>
        </w:tc>
        <w:tc>
          <w:tcPr>
            <w:tcW w:w="1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1,149,705.40</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3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按组合计提坏账准备：</w:t>
      </w:r>
      <w:r>
        <w:rPr>
          <w:rFonts w:ascii="Times New Roman" w:hAnsi="Times New Roman" w:cs="Times New Roman" w:eastAsia="Times New Roman" w:hint="default"/>
          <w:sz w:val="18"/>
          <w:szCs w:val="18"/>
        </w:rPr>
        <w:t>140,046,314.81</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83,749,337.52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4,153,967.14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4.96%</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14,568,811.51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1,404,433.43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9.64%</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17,231,309.72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5,002,249.21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29.03%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4,248,055.55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2,435,835.06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57.34%</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6,340,091.77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4,888,210.75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77.10%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13,908,708.74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13,908,708.74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140,046,314.81</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31,793,404.33</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273" w:lineRule="auto" w:before="94"/>
        <w:ind w:right="1104" w:firstLine="420"/>
        <w:jc w:val="both"/>
      </w:pPr>
      <w:r>
        <w:rPr>
          <w:spacing w:val="-2"/>
        </w:rPr>
        <w:t>当在单项工具层面无法以合理成本评估预期信用损失的充分证据时，本公司参考历史信用损失经验，</w:t>
      </w:r>
      <w:r>
        <w:rPr>
          <w:w w:val="100"/>
        </w:rPr>
        <w:t> </w:t>
      </w:r>
      <w:r>
        <w:rPr>
          <w:spacing w:val="-2"/>
        </w:rPr>
        <w:t>结合当前状况以及对未来经济状况的判断，依据信用风险特征将应收账款划分为若干组合，在组合基础上</w:t>
      </w:r>
      <w:r>
        <w:rPr>
          <w:spacing w:val="-43"/>
        </w:rPr>
        <w:t> </w:t>
      </w:r>
      <w:r>
        <w:rPr>
          <w:spacing w:val="-43"/>
        </w:rPr>
      </w:r>
      <w:r>
        <w:rPr/>
        <w:t>计算预期信用损失。确定组合的依据如下：</w:t>
      </w:r>
    </w:p>
    <w:tbl>
      <w:tblPr>
        <w:tblW w:w="0" w:type="auto"/>
        <w:jc w:val="left"/>
        <w:tblInd w:w="138" w:type="dxa"/>
        <w:tblLayout w:type="fixed"/>
        <w:tblCellMar>
          <w:top w:w="0" w:type="dxa"/>
          <w:left w:w="0" w:type="dxa"/>
          <w:bottom w:w="0" w:type="dxa"/>
          <w:right w:w="0" w:type="dxa"/>
        </w:tblCellMar>
        <w:tblLook w:val="01E0"/>
      </w:tblPr>
      <w:tblGrid>
        <w:gridCol w:w="1522"/>
        <w:gridCol w:w="5067"/>
        <w:gridCol w:w="3070"/>
      </w:tblGrid>
      <w:tr>
        <w:trPr>
          <w:trHeight w:val="343"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96"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5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653"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50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4"/>
              <w:jc w:val="left"/>
              <w:rPr>
                <w:rFonts w:ascii="宋体" w:hAnsi="宋体" w:cs="宋体" w:eastAsia="宋体" w:hint="default"/>
                <w:sz w:val="18"/>
                <w:szCs w:val="18"/>
              </w:rPr>
            </w:pPr>
            <w:r>
              <w:rPr>
                <w:rFonts w:ascii="宋体" w:hAnsi="宋体" w:cs="宋体" w:eastAsia="宋体" w:hint="default"/>
                <w:sz w:val="18"/>
                <w:szCs w:val="18"/>
              </w:rPr>
              <w:t>本公司根据以往的历史经验对应收款项预期信用损失计提比例作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出合理估计，参考应收款项的账龄进行信用风险组合分类</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
              <w:jc w:val="left"/>
              <w:rPr>
                <w:rFonts w:ascii="宋体" w:hAnsi="宋体" w:cs="宋体" w:eastAsia="宋体" w:hint="default"/>
                <w:sz w:val="18"/>
                <w:szCs w:val="18"/>
              </w:rPr>
            </w:pPr>
            <w:r>
              <w:rPr>
                <w:rFonts w:ascii="宋体" w:hAnsi="宋体" w:cs="宋体" w:eastAsia="宋体" w:hint="default"/>
                <w:spacing w:val="9"/>
                <w:sz w:val="18"/>
                <w:szCs w:val="18"/>
              </w:rPr>
              <w:t>按账龄与整个存续期预期信用损失率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对照表计提</w:t>
            </w:r>
          </w:p>
        </w:tc>
      </w:tr>
    </w:tbl>
    <w:p>
      <w:pPr>
        <w:spacing w:before="69"/>
        <w:ind w:left="152" w:right="113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按组合计提坏账准备：</w:t>
      </w:r>
      <w:r>
        <w:rPr>
          <w:rFonts w:ascii="Times New Roman" w:hAnsi="Times New Roman" w:cs="Times New Roman" w:eastAsia="Times New Roman" w:hint="default"/>
          <w:sz w:val="18"/>
          <w:szCs w:val="18"/>
        </w:rPr>
        <w:t>252,892,672.07</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396"/>
        <w:gridCol w:w="2391"/>
        <w:gridCol w:w="2393"/>
        <w:gridCol w:w="2393"/>
      </w:tblGrid>
      <w:tr>
        <w:trPr>
          <w:trHeight w:val="40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特别关联组合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252,892,672.07</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240" w:lineRule="auto" w:before="94"/>
        <w:ind w:left="573" w:right="1133"/>
        <w:jc w:val="left"/>
      </w:pPr>
      <w:r>
        <w:rPr/>
        <w:t>本公司与下属全资子公司间的往来款项作为特别关联方组合，不计提坏账准备。</w:t>
      </w:r>
    </w:p>
    <w:p>
      <w:pPr>
        <w:spacing w:before="98"/>
        <w:ind w:left="152" w:right="1133" w:firstLine="0"/>
        <w:jc w:val="left"/>
        <w:rPr>
          <w:rFonts w:ascii="宋体" w:hAnsi="宋体" w:cs="宋体" w:eastAsia="宋体" w:hint="default"/>
          <w:sz w:val="18"/>
          <w:szCs w:val="18"/>
        </w:rPr>
      </w:pPr>
      <w:r>
        <w:rPr>
          <w:rFonts w:ascii="宋体" w:hAnsi="宋体" w:cs="宋体" w:eastAsia="宋体" w:hint="default"/>
          <w:sz w:val="18"/>
          <w:szCs w:val="18"/>
        </w:rPr>
        <w:t>如是按照预期信用损失一般模型计提应收账款坏账准备，请参照其他应收款的披露方式披露坏账准备的相关信息：</w:t>
      </w:r>
    </w:p>
    <w:p>
      <w:pPr>
        <w:spacing w:line="340" w:lineRule="auto" w:before="115"/>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before="4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273,706,062.33</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77,504,758.77</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17,231,309.72</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25,646,561.46</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4,248,055.55</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6,340,091.77</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15,058,414.14</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394,088,692.28</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本期计提、收回或转回的坏账准备情况" w:id="350"/>
      <w:bookmarkEnd w:id="35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71"/>
        <w:gridCol w:w="1560"/>
        <w:gridCol w:w="566"/>
        <w:gridCol w:w="1135"/>
        <w:gridCol w:w="567"/>
        <w:gridCol w:w="566"/>
        <w:gridCol w:w="1207"/>
      </w:tblGrid>
      <w:tr>
        <w:trPr>
          <w:trHeight w:val="402" w:hRule="exact"/>
        </w:trPr>
        <w:tc>
          <w:tcPr>
            <w:tcW w:w="39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83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3" w:right="0"/>
              <w:jc w:val="left"/>
              <w:rPr>
                <w:rFonts w:ascii="宋体" w:hAnsi="宋体" w:cs="宋体" w:eastAsia="宋体" w:hint="default"/>
                <w:sz w:val="18"/>
                <w:szCs w:val="18"/>
              </w:rPr>
            </w:pPr>
            <w:r>
              <w:rPr>
                <w:rFonts w:ascii="宋体" w:hAnsi="宋体" w:cs="宋体" w:eastAsia="宋体" w:hint="default"/>
                <w:sz w:val="18"/>
                <w:szCs w:val="18"/>
              </w:rPr>
              <w:t>本期变动金额</w:t>
            </w: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971"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8"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8"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0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单项计提预期信用损失的应收账款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1,149,705.40</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1,149,705.40</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按组合计提预期信用损失的应收账款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32,238,593.63</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445,189.30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31,793,404.33</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33,388,299.03</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445,189.30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32,943,109.73</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按欠款方归集的期末余额前五名的应收账款情况" w:id="351"/>
      <w:bookmarkEnd w:id="351"/>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0"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204,861,307.62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51.98%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2,103,040.00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16,936,560.38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2,032,196.44</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10,931,364.45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2.77%</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395"/>
        <w:gridCol w:w="2391"/>
        <w:gridCol w:w="2405"/>
        <w:gridCol w:w="2369"/>
      </w:tblGrid>
      <w:tr>
        <w:trPr>
          <w:trHeight w:val="404" w:hRule="exact"/>
        </w:trPr>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312,229,232.45</w:t>
            </w:r>
          </w:p>
        </w:tc>
        <w:tc>
          <w:tcPr>
            <w:tcW w:w="240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79.23%</w:t>
            </w:r>
          </w:p>
        </w:tc>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其他应收款" w:id="352"/>
      <w:bookmarkEnd w:id="352"/>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29,711,438.00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34,334,267.62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29,711,438.00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84,334,267.62</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1）应收股利" w:id="353"/>
      <w:bookmarkEnd w:id="353"/>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应收股利分类" w:id="354"/>
      <w:bookmarkEnd w:id="354"/>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成都卫士通信息安全技术有限公司</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坏账准备计提情况" w:id="355"/>
      <w:bookmarkEnd w:id="355"/>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5"/>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2）其他应收款" w:id="356"/>
      <w:bookmarkEnd w:id="356"/>
      <w:r>
        <w:rPr>
          <w:b w:val="0"/>
          <w:bCs w:val="0"/>
        </w:rPr>
      </w:r>
      <w:r>
        <w:rPr/>
        <w:t>（</w:t>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其他应收款按款项性质分类情况" w:id="357"/>
      <w:bookmarkEnd w:id="357"/>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30,159,118.75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46,332,551.27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2,280,216.00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1,769,016.00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个人业务借款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797,620.36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1,302,199.12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49,625.40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854,393.71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17,135.00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33,286,580.51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50,275,295.10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坏账准备计提情况" w:id="358"/>
      <w:bookmarkEnd w:id="358"/>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246"/>
        <w:gridCol w:w="1310"/>
        <w:gridCol w:w="2098"/>
        <w:gridCol w:w="2101"/>
        <w:gridCol w:w="1805"/>
      </w:tblGrid>
      <w:tr>
        <w:trPr>
          <w:trHeight w:val="402" w:hRule="exact"/>
        </w:trPr>
        <w:tc>
          <w:tcPr>
            <w:tcW w:w="22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6"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2" w:hRule="exact"/>
        </w:trPr>
        <w:tc>
          <w:tcPr>
            <w:tcW w:w="22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1"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10"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205" w:right="53" w:hanging="13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 期信用损失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22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0"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31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874,504.92</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1,451,288.74</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13,615,233.82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15,941,027.48</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日余额在本期</w:t>
            </w:r>
          </w:p>
        </w:tc>
        <w:tc>
          <w:tcPr>
            <w:tcW w:w="13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31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-753,813.71</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753,813.71</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1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218,776.22</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537,333.27</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32,719.36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788,828.85</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310" w:type="dxa"/>
            <w:tcBorders>
              <w:top w:val="single" w:sz="4" w:space="0" w:color="000000"/>
              <w:left w:val="single" w:sz="9"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9,560.70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9,560.70</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本期转销</w:t>
            </w:r>
          </w:p>
        </w:tc>
        <w:tc>
          <w:tcPr>
            <w:tcW w:w="1310" w:type="dxa"/>
            <w:tcBorders>
              <w:top w:val="single" w:sz="4" w:space="0" w:color="000000"/>
              <w:left w:val="single" w:sz="9"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13,145,153.12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13,145,153.12</w:t>
            </w:r>
          </w:p>
        </w:tc>
      </w:tr>
      <w:tr>
        <w:trPr>
          <w:trHeight w:val="404"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31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339,467.43</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2,742,435.72</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493,239.36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3,575,142.51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before="49"/>
        <w:ind w:left="152" w:right="-14"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40" w:lineRule="auto" w:before="115"/>
        <w:ind w:left="15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因上海卫士通网络安全有限公司注销，核销坏账款准备</w:t>
      </w:r>
      <w:r>
        <w:rPr>
          <w:rFonts w:ascii="Times New Roman" w:hAnsi="Times New Roman" w:cs="Times New Roman" w:eastAsia="Times New Roman" w:hint="default"/>
          <w:sz w:val="18"/>
          <w:szCs w:val="18"/>
        </w:rPr>
        <w:t>13,145,153.12</w:t>
      </w:r>
      <w:r>
        <w:rPr>
          <w:rFonts w:ascii="宋体" w:hAnsi="宋体" w:cs="宋体" w:eastAsia="宋体" w:hint="default"/>
          <w:sz w:val="18"/>
          <w:szCs w:val="18"/>
        </w:rPr>
        <w:t>元。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5874" w:space="2955"/>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7,651,973.64</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15,168,919.02</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8,576,258.65</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1,889,429.20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189,317.66</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379,795.00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1,320,316.54</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33,286,580.51</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本期计提、收回或转回的坏账准备情况" w:id="359"/>
      <w:bookmarkEnd w:id="359"/>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46"/>
        <w:gridCol w:w="1274"/>
        <w:gridCol w:w="994"/>
        <w:gridCol w:w="991"/>
        <w:gridCol w:w="1136"/>
        <w:gridCol w:w="566"/>
        <w:gridCol w:w="1063"/>
      </w:tblGrid>
      <w:tr>
        <w:trPr>
          <w:trHeight w:val="404" w:hRule="exact"/>
        </w:trPr>
        <w:tc>
          <w:tcPr>
            <w:tcW w:w="35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68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3546"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8"/>
              <w:jc w:val="right"/>
              <w:rPr>
                <w:rFonts w:ascii="宋体" w:hAnsi="宋体" w:cs="宋体" w:eastAsia="宋体" w:hint="default"/>
                <w:sz w:val="18"/>
                <w:szCs w:val="18"/>
              </w:rPr>
            </w:pPr>
            <w:r>
              <w:rPr>
                <w:rFonts w:ascii="宋体" w:hAnsi="宋体" w:cs="宋体" w:eastAsia="宋体" w:hint="default"/>
                <w:sz w:val="18"/>
                <w:szCs w:val="18"/>
              </w:rPr>
              <w:t>收回或转回</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核销</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单项计提预期信用损失的其他应收款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13,615,233.82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23,158.66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13,145,153.12</w:t>
            </w:r>
          </w:p>
        </w:tc>
        <w:tc>
          <w:tcPr>
            <w:tcW w:w="5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 w:right="0"/>
              <w:jc w:val="center"/>
              <w:rPr>
                <w:rFonts w:ascii="Times New Roman" w:hAnsi="Times New Roman" w:cs="Times New Roman" w:eastAsia="Times New Roman" w:hint="default"/>
                <w:sz w:val="18"/>
                <w:szCs w:val="18"/>
              </w:rPr>
            </w:pPr>
            <w:r>
              <w:rPr>
                <w:rFonts w:ascii="Times New Roman"/>
                <w:sz w:val="18"/>
              </w:rPr>
              <w:t>493,239.36</w:t>
            </w: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按组合计提预期信用损失的其他应收款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2,325,793.66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765,670.19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9,560.70</w:t>
            </w: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center"/>
              <w:rPr>
                <w:rFonts w:ascii="Times New Roman" w:hAnsi="Times New Roman" w:cs="Times New Roman" w:eastAsia="Times New Roman" w:hint="default"/>
                <w:sz w:val="18"/>
                <w:szCs w:val="18"/>
              </w:rPr>
            </w:pPr>
            <w:r>
              <w:rPr>
                <w:rFonts w:ascii="Times New Roman"/>
                <w:sz w:val="18"/>
              </w:rPr>
              <w:t>3,081,903.15</w:t>
            </w: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15,941,027.48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788,828.85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9,560.70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13,145,153.12</w:t>
            </w:r>
          </w:p>
        </w:tc>
        <w:tc>
          <w:tcPr>
            <w:tcW w:w="5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center"/>
              <w:rPr>
                <w:rFonts w:ascii="Times New Roman" w:hAnsi="Times New Roman" w:cs="Times New Roman" w:eastAsia="Times New Roman" w:hint="default"/>
                <w:sz w:val="18"/>
                <w:szCs w:val="18"/>
              </w:rPr>
            </w:pPr>
            <w:r>
              <w:rPr>
                <w:rFonts w:ascii="Times New Roman"/>
                <w:sz w:val="18"/>
              </w:rPr>
              <w:t>3,575,142.51</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bookmarkStart w:name="4）本期实际核销的其他应收款情况" w:id="360"/>
      <w:bookmarkEnd w:id="360"/>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13,145,153.12</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10"/>
        <w:gridCol w:w="1419"/>
        <w:gridCol w:w="1135"/>
        <w:gridCol w:w="992"/>
        <w:gridCol w:w="1558"/>
        <w:gridCol w:w="2057"/>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43"/>
              <w:jc w:val="right"/>
              <w:rPr>
                <w:rFonts w:ascii="宋体" w:hAnsi="宋体" w:cs="宋体" w:eastAsia="宋体" w:hint="default"/>
                <w:sz w:val="18"/>
                <w:szCs w:val="18"/>
              </w:rPr>
            </w:pPr>
            <w:r>
              <w:rPr>
                <w:rFonts w:ascii="宋体" w:hAnsi="宋体" w:cs="宋体" w:eastAsia="宋体" w:hint="default"/>
                <w:sz w:val="18"/>
                <w:szCs w:val="18"/>
              </w:rPr>
              <w:t>履行的核销程序</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款项是否由关联交易产生</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上海卫士通网络安全有限公司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13,145,153.12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企业清算</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3"/>
              <w:jc w:val="right"/>
              <w:rPr>
                <w:rFonts w:ascii="宋体" w:hAnsi="宋体" w:cs="宋体" w:eastAsia="宋体" w:hint="default"/>
                <w:sz w:val="18"/>
                <w:szCs w:val="18"/>
              </w:rPr>
            </w:pPr>
            <w:r>
              <w:rPr>
                <w:rFonts w:ascii="宋体" w:hAnsi="宋体" w:cs="宋体" w:eastAsia="宋体" w:hint="default"/>
                <w:sz w:val="18"/>
                <w:szCs w:val="18"/>
              </w:rPr>
              <w:t>总经理办公会决议</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1135"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3"/>
              <w:ind w:left="44" w:right="0"/>
              <w:jc w:val="center"/>
              <w:rPr>
                <w:rFonts w:ascii="Times New Roman" w:hAnsi="Times New Roman" w:cs="Times New Roman" w:eastAsia="Times New Roman" w:hint="default"/>
                <w:sz w:val="18"/>
                <w:szCs w:val="18"/>
              </w:rPr>
            </w:pPr>
            <w:r>
              <w:rPr>
                <w:rFonts w:ascii="Times New Roman"/>
                <w:sz w:val="18"/>
              </w:rPr>
              <w:t>13,145,153.12</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49"/>
        <w:ind w:left="152" w:right="2564" w:firstLine="0"/>
        <w:jc w:val="left"/>
        <w:rPr>
          <w:rFonts w:ascii="宋体" w:hAnsi="宋体" w:cs="宋体" w:eastAsia="宋体" w:hint="default"/>
          <w:sz w:val="18"/>
          <w:szCs w:val="18"/>
        </w:rPr>
      </w:pPr>
      <w:r>
        <w:rPr>
          <w:rFonts w:ascii="宋体" w:hAnsi="宋体" w:cs="宋体" w:eastAsia="宋体" w:hint="default"/>
          <w:sz w:val="18"/>
          <w:szCs w:val="18"/>
        </w:rPr>
        <w:t>其他应收款核销说明： 因上海卫士通网络安全有限公司注销，核销其他应收款</w:t>
      </w:r>
      <w:r>
        <w:rPr>
          <w:rFonts w:ascii="Times New Roman" w:hAnsi="Times New Roman" w:cs="Times New Roman" w:eastAsia="Times New Roman" w:hint="default"/>
          <w:sz w:val="18"/>
          <w:szCs w:val="18"/>
        </w:rPr>
        <w:t>13,145,153.12</w:t>
      </w:r>
      <w:r>
        <w:rPr>
          <w:rFonts w:ascii="宋体" w:hAnsi="宋体" w:cs="宋体" w:eastAsia="宋体" w:hint="default"/>
          <w:sz w:val="18"/>
          <w:szCs w:val="18"/>
        </w:rPr>
        <w:t>元，核销坏账准备</w:t>
      </w:r>
      <w:r>
        <w:rPr>
          <w:rFonts w:ascii="Times New Roman" w:hAnsi="Times New Roman" w:cs="Times New Roman" w:eastAsia="Times New Roman" w:hint="default"/>
          <w:sz w:val="18"/>
          <w:szCs w:val="18"/>
        </w:rPr>
        <w:t>13,145,153.12</w:t>
      </w:r>
      <w:r>
        <w:rPr>
          <w:rFonts w:ascii="宋体" w:hAnsi="宋体" w:cs="宋体" w:eastAsia="宋体" w:hint="default"/>
          <w:sz w:val="18"/>
          <w:szCs w:val="18"/>
        </w:rPr>
        <w:t>元。</w:t>
      </w:r>
    </w:p>
    <w:p>
      <w:pPr>
        <w:spacing w:line="240" w:lineRule="auto" w:before="9"/>
        <w:rPr>
          <w:rFonts w:ascii="宋体" w:hAnsi="宋体" w:cs="宋体" w:eastAsia="宋体" w:hint="default"/>
          <w:sz w:val="18"/>
          <w:szCs w:val="18"/>
        </w:rPr>
      </w:pPr>
    </w:p>
    <w:p>
      <w:pPr>
        <w:pStyle w:val="Heading4"/>
        <w:spacing w:line="240" w:lineRule="auto"/>
        <w:ind w:right="1133"/>
        <w:jc w:val="left"/>
        <w:rPr>
          <w:b w:val="0"/>
          <w:bCs w:val="0"/>
        </w:rPr>
      </w:pPr>
      <w:bookmarkStart w:name="5）按欠款方归集的期末余额前五名的其他应收款情况" w:id="361"/>
      <w:bookmarkEnd w:id="361"/>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52"/>
        <w:gridCol w:w="1274"/>
        <w:gridCol w:w="1136"/>
        <w:gridCol w:w="1133"/>
        <w:gridCol w:w="3560"/>
        <w:gridCol w:w="1615"/>
      </w:tblGrid>
      <w:tr>
        <w:trPr>
          <w:trHeight w:val="401"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占其他应收款期末余额合计数的比例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17,576,969.72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52.80%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1,627,696.97</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8,586,790.57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25.80%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1,142,900.00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57,145.00</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767,800.00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38,390.00</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610,000.00</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28,684,460.29</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86.17%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2,333,231.97</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长期股权投资" w:id="362"/>
      <w:bookmarkEnd w:id="362"/>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33"/>
        <w:gridCol w:w="1418"/>
        <w:gridCol w:w="842"/>
        <w:gridCol w:w="1366"/>
        <w:gridCol w:w="1368"/>
        <w:gridCol w:w="1366"/>
        <w:gridCol w:w="1368"/>
      </w:tblGrid>
      <w:tr>
        <w:trPr>
          <w:trHeight w:val="206" w:hRule="exact"/>
        </w:trPr>
        <w:tc>
          <w:tcPr>
            <w:tcW w:w="1833" w:type="dxa"/>
            <w:tcBorders>
              <w:top w:val="single" w:sz="4" w:space="0" w:color="000000"/>
              <w:left w:val="single" w:sz="4" w:space="0" w:color="000000"/>
              <w:bottom w:val="nil" w:sz="6" w:space="0" w:color="auto"/>
              <w:right w:val="single" w:sz="4" w:space="0" w:color="000000"/>
            </w:tcBorders>
            <w:shd w:val="clear" w:color="auto" w:fill="D2D2D2"/>
          </w:tcPr>
          <w:p>
            <w:pPr/>
          </w:p>
        </w:tc>
        <w:tc>
          <w:tcPr>
            <w:tcW w:w="362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626"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33" w:type="dxa"/>
            <w:vMerge/>
            <w:tcBorders>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8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41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3,339,234,563.87</w:t>
            </w:r>
          </w:p>
        </w:tc>
        <w:tc>
          <w:tcPr>
            <w:tcW w:w="84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3,339,234,563.87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3,349,470,693.48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2,186,129.61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3,347,284,563.87</w:t>
            </w:r>
          </w:p>
        </w:tc>
      </w:tr>
      <w:tr>
        <w:trPr>
          <w:trHeight w:val="401"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41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28,795,629.56</w:t>
            </w:r>
          </w:p>
        </w:tc>
        <w:tc>
          <w:tcPr>
            <w:tcW w:w="84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28,795,629.56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31,418,091.71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31,418,091.71</w:t>
            </w:r>
          </w:p>
        </w:tc>
      </w:tr>
      <w:tr>
        <w:trPr>
          <w:trHeight w:val="403"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3,368,030,193.43</w:t>
            </w:r>
          </w:p>
        </w:tc>
        <w:tc>
          <w:tcPr>
            <w:tcW w:w="84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3,368,030,193.43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3,380,888,785.19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2,186,129.61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3,378,702,655.58</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1）对子公司投资" w:id="363"/>
      <w:bookmarkEnd w:id="363"/>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42"/>
        <w:gridCol w:w="1419"/>
        <w:gridCol w:w="1133"/>
        <w:gridCol w:w="1136"/>
        <w:gridCol w:w="1274"/>
        <w:gridCol w:w="566"/>
        <w:gridCol w:w="1419"/>
        <w:gridCol w:w="782"/>
      </w:tblGrid>
      <w:tr>
        <w:trPr>
          <w:trHeight w:val="403" w:hRule="exact"/>
        </w:trPr>
        <w:tc>
          <w:tcPr>
            <w:tcW w:w="18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4"/>
              <w:ind w:left="585" w:right="41" w:hanging="54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410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4"/>
              <w:ind w:left="586" w:right="41" w:hanging="541"/>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 w:right="24"/>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401" w:hRule="exact"/>
        </w:trPr>
        <w:tc>
          <w:tcPr>
            <w:tcW w:w="1842"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9" w:type="dxa"/>
            <w:vMerge/>
            <w:tcBorders>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844"/>
        <w:gridCol w:w="1419"/>
        <w:gridCol w:w="1133"/>
        <w:gridCol w:w="1136"/>
        <w:gridCol w:w="1274"/>
        <w:gridCol w:w="566"/>
        <w:gridCol w:w="1419"/>
        <w:gridCol w:w="782"/>
      </w:tblGrid>
      <w:tr>
        <w:trPr>
          <w:trHeight w:val="71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89"/>
              <w:jc w:val="left"/>
              <w:rPr>
                <w:rFonts w:ascii="宋体" w:hAnsi="宋体" w:cs="宋体" w:eastAsia="宋体" w:hint="default"/>
                <w:sz w:val="18"/>
                <w:szCs w:val="18"/>
              </w:rPr>
            </w:pPr>
            <w:r>
              <w:rPr>
                <w:rFonts w:ascii="宋体" w:hAnsi="宋体" w:cs="宋体" w:eastAsia="宋体" w:hint="default"/>
                <w:sz w:val="18"/>
                <w:szCs w:val="18"/>
              </w:rPr>
              <w:t>成都卫士通信息安全 技术有限公司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90,000,000.00</w:t>
            </w: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9"/>
              <w:jc w:val="left"/>
              <w:rPr>
                <w:rFonts w:ascii="宋体" w:hAnsi="宋体" w:cs="宋体" w:eastAsia="宋体" w:hint="default"/>
                <w:sz w:val="18"/>
                <w:szCs w:val="18"/>
              </w:rPr>
            </w:pPr>
            <w:r>
              <w:rPr>
                <w:rFonts w:ascii="宋体" w:hAnsi="宋体" w:cs="宋体" w:eastAsia="宋体" w:hint="default"/>
                <w:sz w:val="18"/>
                <w:szCs w:val="18"/>
              </w:rPr>
              <w:t>成都三零豪赛网络安 全技术有限公司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2"/>
                <w:sz w:val="18"/>
                <w:szCs w:val="18"/>
              </w:rPr>
              <w:t>中电科（北京）网络信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息安全有限公司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2,762,650,518.93</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2,762,650,518.93</w:t>
            </w: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9"/>
              <w:jc w:val="left"/>
              <w:rPr>
                <w:rFonts w:ascii="宋体" w:hAnsi="宋体" w:cs="宋体" w:eastAsia="宋体" w:hint="default"/>
                <w:sz w:val="18"/>
                <w:szCs w:val="18"/>
              </w:rPr>
            </w:pPr>
            <w:r>
              <w:rPr>
                <w:rFonts w:ascii="宋体" w:hAnsi="宋体" w:cs="宋体" w:eastAsia="宋体" w:hint="default"/>
                <w:sz w:val="18"/>
                <w:szCs w:val="18"/>
              </w:rPr>
              <w:t>四川卫士通信息安全 平台技术有限公司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41,749,835.74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41,749,835.74</w:t>
            </w: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7"/>
              <w:jc w:val="left"/>
              <w:rPr>
                <w:rFonts w:ascii="宋体" w:hAnsi="宋体" w:cs="宋体" w:eastAsia="宋体" w:hint="default"/>
                <w:sz w:val="18"/>
                <w:szCs w:val="18"/>
              </w:rPr>
            </w:pPr>
            <w:r>
              <w:rPr>
                <w:rFonts w:ascii="宋体" w:hAnsi="宋体" w:cs="宋体" w:eastAsia="宋体" w:hint="default"/>
                <w:sz w:val="18"/>
                <w:szCs w:val="18"/>
              </w:rPr>
              <w:t>成都三零盛安信息系 统有限公司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207,762,680.90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207,762,680.90</w:t>
            </w: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9"/>
              <w:jc w:val="left"/>
              <w:rPr>
                <w:rFonts w:ascii="宋体" w:hAnsi="宋体" w:cs="宋体" w:eastAsia="宋体" w:hint="default"/>
                <w:sz w:val="18"/>
                <w:szCs w:val="18"/>
              </w:rPr>
            </w:pPr>
            <w:r>
              <w:rPr>
                <w:rFonts w:ascii="宋体" w:hAnsi="宋体" w:cs="宋体" w:eastAsia="宋体" w:hint="default"/>
                <w:sz w:val="18"/>
                <w:szCs w:val="18"/>
              </w:rPr>
              <w:t>成都三零瑞通移动通 信有限公司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162,409,345.53</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162,409,345.53</w:t>
            </w: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left"/>
              <w:rPr>
                <w:rFonts w:ascii="宋体" w:hAnsi="宋体" w:cs="宋体" w:eastAsia="宋体" w:hint="default"/>
                <w:sz w:val="18"/>
                <w:szCs w:val="18"/>
              </w:rPr>
            </w:pPr>
            <w:r>
              <w:rPr>
                <w:rFonts w:ascii="宋体" w:hAnsi="宋体" w:cs="宋体" w:eastAsia="宋体" w:hint="default"/>
                <w:sz w:val="18"/>
                <w:szCs w:val="18"/>
              </w:rPr>
              <w:t>三零嘉微电子有限公 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70,437,182.77</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70,437,182.77</w:t>
            </w: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9"/>
              <w:jc w:val="left"/>
              <w:rPr>
                <w:rFonts w:ascii="宋体" w:hAnsi="宋体" w:cs="宋体" w:eastAsia="宋体" w:hint="default"/>
                <w:sz w:val="18"/>
                <w:szCs w:val="18"/>
              </w:rPr>
            </w:pPr>
            <w:r>
              <w:rPr>
                <w:rFonts w:ascii="宋体" w:hAnsi="宋体" w:cs="宋体" w:eastAsia="宋体" w:hint="default"/>
                <w:sz w:val="18"/>
                <w:szCs w:val="18"/>
              </w:rPr>
              <w:t>上海卫士通网络安全 有限公司</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2,186,129.61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-2,186,129.61</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2"/>
                <w:sz w:val="18"/>
                <w:szCs w:val="18"/>
              </w:rPr>
              <w:t>中电科（天津）网络信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息安全有限公司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4,225,000.00</w:t>
            </w: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3,347,284,563.87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12,186,129.61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-2,186,129.61</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3,339,234,563.87</w:t>
            </w:r>
          </w:p>
        </w:tc>
        <w:tc>
          <w:tcPr>
            <w:tcW w:w="78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对联营、合营企业投资" w:id="364"/>
      <w:bookmarkEnd w:id="364"/>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成都摩宝 网络科技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22,262,43</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0.12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-1,648,82</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7.10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20,613,60</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3.02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成都市数 字城市运 营管理有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9,155,661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-973,635.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8,182,026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31,418,09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1.71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-2,622,46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2.15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28,795,62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9.56</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799"/>
        <w:gridCol w:w="797"/>
        <w:gridCol w:w="797"/>
        <w:gridCol w:w="797"/>
        <w:gridCol w:w="799"/>
        <w:gridCol w:w="797"/>
        <w:gridCol w:w="800"/>
        <w:gridCol w:w="797"/>
        <w:gridCol w:w="799"/>
        <w:gridCol w:w="797"/>
        <w:gridCol w:w="799"/>
        <w:gridCol w:w="797"/>
      </w:tblGrid>
      <w:tr>
        <w:trPr>
          <w:trHeight w:val="716" w:hRule="exact"/>
        </w:trPr>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31,418,09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1.71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-2,622,46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2.15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28,795,62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9.56</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4、营业收入和营业成本" w:id="365"/>
      <w:bookmarkEnd w:id="365"/>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350,337,068.16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193,615,987.42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310,574,049.02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196,801,228.06</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7,107,908.66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3,211,929.81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357,444,976.82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193,615,987.42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313,785,978.83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196,801,228.06</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5、投资收益" w:id="366"/>
      <w:bookmarkEnd w:id="366"/>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-2,622,462.15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-4,188,314.96</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60"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3,718,275.70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1,095,813.55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46,011,685.04</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十六、补充资料" w:id="367"/>
      <w:bookmarkEnd w:id="367"/>
      <w:r>
        <w:rPr>
          <w:b w:val="0"/>
          <w:bCs w:val="0"/>
        </w:rPr>
      </w:r>
      <w:r>
        <w:rPr/>
        <w:t>十六、补充资料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bookmarkStart w:name="1、当期非经常性损益明细表" w:id="368"/>
      <w:bookmarkEnd w:id="368"/>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00"/>
        <w:gridCol w:w="4548"/>
        <w:gridCol w:w="922"/>
      </w:tblGrid>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45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-69,044.41</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
              <w:jc w:val="left"/>
              <w:rPr>
                <w:rFonts w:ascii="宋体" w:hAnsi="宋体" w:cs="宋体" w:eastAsia="宋体" w:hint="default"/>
                <w:sz w:val="18"/>
                <w:szCs w:val="18"/>
              </w:rPr>
            </w:pPr>
            <w:r>
              <w:rPr>
                <w:rFonts w:ascii="宋体" w:hAnsi="宋体" w:cs="宋体" w:eastAsia="宋体" w:hint="default"/>
                <w:spacing w:val="-4"/>
                <w:sz w:val="18"/>
                <w:szCs w:val="18"/>
              </w:rPr>
              <w:t>计入当期损益的政府补助（与企业业务密切相关，按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照国家统一标准定额或定量享受的政府补助除外）</w:t>
            </w:r>
          </w:p>
        </w:tc>
        <w:tc>
          <w:tcPr>
            <w:tcW w:w="45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44,226,251.84</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45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-750,995.95</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45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6,419,760.06</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45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2,126,399.66</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548"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34,860,051.76</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line="300" w:lineRule="auto" w:before="44"/>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bookmarkStart w:name="2、净资产收益率及每股收益" w:id="369"/>
      <w:bookmarkEnd w:id="369"/>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231"/>
        <w:gridCol w:w="1502"/>
        <w:gridCol w:w="1913"/>
        <w:gridCol w:w="1913"/>
      </w:tblGrid>
      <w:tr>
        <w:trPr>
          <w:trHeight w:val="206" w:hRule="exact"/>
        </w:trPr>
        <w:tc>
          <w:tcPr>
            <w:tcW w:w="4231" w:type="dxa"/>
            <w:tcBorders>
              <w:top w:val="single" w:sz="4" w:space="0" w:color="000000"/>
              <w:left w:val="single" w:sz="4" w:space="0" w:color="000000"/>
              <w:bottom w:val="nil" w:sz="6" w:space="0" w:color="auto"/>
              <w:right w:val="single" w:sz="4" w:space="0" w:color="000000"/>
            </w:tcBorders>
            <w:shd w:val="clear" w:color="auto" w:fill="D2D2D2"/>
          </w:tcPr>
          <w:p>
            <w:pPr/>
          </w:p>
        </w:tc>
        <w:tc>
          <w:tcPr>
            <w:tcW w:w="15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481" w:right="108" w:hanging="360"/>
              <w:jc w:val="left"/>
              <w:rPr>
                <w:rFonts w:ascii="宋体" w:hAnsi="宋体" w:cs="宋体" w:eastAsia="宋体" w:hint="default"/>
                <w:sz w:val="18"/>
                <w:szCs w:val="18"/>
              </w:rPr>
            </w:pPr>
            <w:r>
              <w:rPr>
                <w:rFonts w:ascii="宋体" w:hAnsi="宋体" w:cs="宋体" w:eastAsia="宋体" w:hint="default"/>
                <w:sz w:val="18"/>
                <w:szCs w:val="18"/>
              </w:rPr>
              <w:t>加权平均净资产 收益率</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42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502" w:type="dxa"/>
            <w:vMerge/>
            <w:tcBorders>
              <w:left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4231" w:type="dxa"/>
            <w:vMerge/>
            <w:tcBorders>
              <w:left w:val="single" w:sz="4" w:space="0" w:color="000000"/>
              <w:bottom w:val="nil" w:sz="6" w:space="0" w:color="auto"/>
              <w:right w:val="single" w:sz="4" w:space="0" w:color="000000"/>
            </w:tcBorders>
            <w:shd w:val="clear" w:color="auto" w:fill="D2D2D2"/>
          </w:tcPr>
          <w:p>
            <w:pPr/>
          </w:p>
        </w:tc>
        <w:tc>
          <w:tcPr>
            <w:tcW w:w="1502" w:type="dxa"/>
            <w:vMerge/>
            <w:tcBorders>
              <w:left w:val="single" w:sz="4" w:space="0" w:color="000000"/>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4231" w:type="dxa"/>
            <w:tcBorders>
              <w:top w:val="nil" w:sz="6" w:space="0" w:color="auto"/>
              <w:left w:val="single" w:sz="4" w:space="0" w:color="000000"/>
              <w:bottom w:val="single" w:sz="4" w:space="0" w:color="000000"/>
              <w:right w:val="single" w:sz="4" w:space="0" w:color="000000"/>
            </w:tcBorders>
            <w:shd w:val="clear" w:color="auto" w:fill="D2D2D2"/>
          </w:tcPr>
          <w:p>
            <w:pPr/>
          </w:p>
        </w:tc>
        <w:tc>
          <w:tcPr>
            <w:tcW w:w="1502"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502" w:type="dxa"/>
            <w:tcBorders>
              <w:top w:val="single" w:sz="22" w:space="0" w:color="D2D2D2"/>
              <w:left w:val="single" w:sz="12" w:space="0" w:color="D2D2D2"/>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8"/>
                <w:szCs w:val="18"/>
              </w:rPr>
            </w:pPr>
            <w:r>
              <w:rPr>
                <w:rFonts w:ascii="Times New Roman"/>
                <w:sz w:val="18"/>
              </w:rPr>
              <w:t>3.48%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0.1858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0.1858</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50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0.1442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0.1442</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bookmarkStart w:name="3、境内外会计准则下会计数据差异" w:id="370"/>
      <w:bookmarkEnd w:id="370"/>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同时按照国际会计准则与按中国会计准则披露的财务报告中净利润和净资产差异情况" w:id="371"/>
      <w:bookmarkEnd w:id="371"/>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bookmarkStart w:name="（2）同时按照境外会计准则与按中国会计准则披露的财务报告中净利润和净资产差异情况" w:id="372"/>
      <w:bookmarkEnd w:id="372"/>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1133"/>
        <w:jc w:val="left"/>
        <w:rPr>
          <w:b w:val="0"/>
          <w:bCs w:val="0"/>
        </w:rPr>
      </w:pPr>
      <w:bookmarkStart w:name="第十三节 备查文件目录" w:id="373"/>
      <w:bookmarkEnd w:id="373"/>
      <w:r>
        <w:rPr>
          <w:b w:val="0"/>
          <w:bCs w:val="0"/>
        </w:rPr>
      </w:r>
      <w:bookmarkStart w:name="_bookmark12" w:id="374"/>
      <w:bookmarkEnd w:id="374"/>
      <w:r>
        <w:rPr>
          <w:b w:val="0"/>
          <w:bCs w:val="0"/>
        </w:rPr>
      </w:r>
      <w:r>
        <w:rPr/>
        <w:t>第十三节</w:t>
      </w:r>
      <w:r>
        <w:rPr>
          <w:spacing w:val="-6"/>
        </w:rPr>
        <w:t> </w:t>
      </w:r>
      <w:r>
        <w:rPr/>
        <w:t>备查文件目录</w:t>
      </w:r>
      <w:r>
        <w:rPr>
          <w:b w:val="0"/>
          <w:bCs w:val="0"/>
        </w:rPr>
      </w:r>
    </w:p>
    <w:p>
      <w:pPr>
        <w:spacing w:line="240" w:lineRule="auto" w:before="9"/>
        <w:rPr>
          <w:rFonts w:ascii="宋体" w:hAnsi="宋体" w:cs="宋体" w:eastAsia="宋体" w:hint="default"/>
          <w:b/>
          <w:bCs/>
          <w:sz w:val="42"/>
          <w:szCs w:val="42"/>
        </w:rPr>
      </w:pPr>
    </w:p>
    <w:p>
      <w:pPr>
        <w:spacing w:line="312" w:lineRule="auto" w:before="0"/>
        <w:ind w:left="152" w:right="3554" w:firstLine="0"/>
        <w:jc w:val="left"/>
        <w:rPr>
          <w:rFonts w:ascii="宋体" w:hAnsi="宋体" w:cs="宋体" w:eastAsia="宋体" w:hint="default"/>
          <w:sz w:val="18"/>
          <w:szCs w:val="18"/>
        </w:rPr>
      </w:pPr>
      <w:r>
        <w:rPr>
          <w:rFonts w:ascii="宋体" w:hAnsi="宋体" w:cs="宋体" w:eastAsia="宋体" w:hint="default"/>
          <w:sz w:val="18"/>
          <w:szCs w:val="18"/>
        </w:rPr>
        <w:t>一、载有公司法定代表人签名并盖章的公司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年年度报告文本原件。 二、载有公司法定代表人、主管会计工作负责人及会计机构负责人签名并盖章的财务报表。 三、载有会计师事务所盖章、注册会计师签名并盖章的审计报告原件。 四、报告期内在中国证监会指定网站上公开披露过的所有公司文件的正本及公告的原稿。</w:t>
      </w:r>
    </w:p>
    <w:sectPr>
      <w:pgSz w:w="11910" w:h="16840"/>
      <w:pgMar w:header="745" w:footer="980"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76920" type="#_x0000_t75" stroked="false">
          <v:imagedata r:id="rId1" o:title=""/>
        </v:shape>
      </w:pict>
    </w:r>
    <w:r>
      <w:rPr/>
      <w:pict>
        <v:shape style="position:absolute;margin-left:533.099976pt;margin-top:795.637939pt;width:6.5pt;height:11pt;mso-position-horizontal-relative:page;mso-position-vertical-relative:page;z-index:-10768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76872" type="#_x0000_t75" stroked="false">
          <v:imagedata r:id="rId1" o:title=""/>
        </v:shape>
      </w:pict>
    </w:r>
    <w:r>
      <w:rPr/>
      <w:pict>
        <v:shape style="position:absolute;margin-left:527.659973pt;margin-top:781.933899pt;width:13.15pt;height:11pt;mso-position-horizontal-relative:page;mso-position-vertical-relative:page;z-index:-1076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76824" type="#_x0000_t75" stroked="false">
          <v:imagedata r:id="rId1" o:title=""/>
        </v:shape>
      </w:pict>
    </w:r>
    <w:r>
      <w:rPr/>
      <w:pict>
        <v:shape style="position:absolute;margin-left:524.099976pt;margin-top:781.933899pt;width:15.7pt;height:11pt;mso-position-horizontal-relative:page;mso-position-vertical-relative:page;z-index:-107680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76776" type="#_x0000_t75" stroked="false">
          <v:imagedata r:id="rId1" o:title=""/>
        </v:shape>
      </w:pict>
    </w:r>
    <w:r>
      <w:rPr/>
      <w:pict>
        <v:shape style="position:absolute;margin-left:523.099976pt;margin-top:781.933899pt;width:17.7pt;height:11pt;mso-position-horizontal-relative:page;mso-position-vertical-relative:page;z-index:-1076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76728" type="#_x0000_t75" stroked="false">
          <v:imagedata r:id="rId1" o:title=""/>
        </v:shape>
      </w:pict>
    </w:r>
    <w:r>
      <w:rPr/>
      <w:pict>
        <v:shape style="position:absolute;margin-left:523.460022pt;margin-top:781.933899pt;width:17.3pt;height:11pt;mso-position-horizontal-relative:page;mso-position-vertical-relative:page;z-index:-1076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76680" type="#_x0000_t75" stroked="false">
          <v:imagedata r:id="rId1" o:title=""/>
        </v:shape>
      </w:pict>
    </w:r>
    <w:r>
      <w:rPr/>
      <w:pict>
        <v:shape style="position:absolute;margin-left:523.099976pt;margin-top:781.933899pt;width:17.7pt;height:11pt;mso-position-horizontal-relative:page;mso-position-vertical-relative:page;z-index:-1076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7.070007pt;margin-top:36.265610pt;width:222.75pt;height:11.5pt;mso-position-horizontal-relative:page;mso-position-vertical-relative:page;z-index:-10769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成都卫士通信息产业股份有限公司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6"/>
      <w:ind w:left="152"/>
    </w:pPr>
    <w:rPr>
      <w:rFonts w:ascii="宋体" w:hAnsi="宋体" w:eastAsia="宋体"/>
      <w:b/>
      <w:bCs/>
      <w:sz w:val="24"/>
      <w:szCs w:val="24"/>
    </w:rPr>
  </w:style>
  <w:style w:styleId="BodyText" w:type="paragraph">
    <w:name w:val="Body Text"/>
    <w:basedOn w:val="Normal"/>
    <w:uiPriority w:val="1"/>
    <w:qFormat/>
    <w:pPr>
      <w:spacing w:before="7"/>
      <w:ind w:left="152"/>
    </w:pPr>
    <w:rPr>
      <w:rFonts w:ascii="宋体" w:hAnsi="宋体" w:eastAsia="宋体"/>
      <w:sz w:val="21"/>
      <w:szCs w:val="21"/>
    </w:rPr>
  </w:style>
  <w:style w:styleId="Heading1" w:type="paragraph">
    <w:name w:val="Heading 1"/>
    <w:basedOn w:val="Normal"/>
    <w:uiPriority w:val="1"/>
    <w:qFormat/>
    <w:pPr>
      <w:ind w:left="2241"/>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sz w:val="24"/>
      <w:szCs w:val="24"/>
    </w:rPr>
  </w:style>
  <w:style w:styleId="Heading4" w:type="paragraph">
    <w:name w:val="Heading 4"/>
    <w:basedOn w:val="Normal"/>
    <w:uiPriority w:val="1"/>
    <w:qFormat/>
    <w:pPr>
      <w:ind w:left="15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westone.com.cn/" TargetMode="External"/><Relationship Id="rId10" Type="http://schemas.openxmlformats.org/officeDocument/2006/relationships/hyperlink" Target="mailto:westone_dm1@163.com" TargetMode="External"/><Relationship Id="rId11" Type="http://schemas.openxmlformats.org/officeDocument/2006/relationships/hyperlink" Target="mailto:westone_zd@163.com" TargetMode="External"/><Relationship Id="rId12" Type="http://schemas.openxmlformats.org/officeDocument/2006/relationships/hyperlink" Target="http://www.cninfo.com.cn/" TargetMode="External"/><Relationship Id="rId13" Type="http://schemas.openxmlformats.org/officeDocument/2006/relationships/image" Target="media/image3.jpe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成都卫士通信息产业股份有限公司</dc:creator>
  <dc:title>成都卫士通信息产业股份有限公司2019年年度报告全文</dc:title>
  <dcterms:created xsi:type="dcterms:W3CDTF">2020-05-19T22:23:48Z</dcterms:created>
  <dcterms:modified xsi:type="dcterms:W3CDTF">2020-05-19T22:23:48Z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2020-04-28T00:00:00Z</vt:filetime>
  </property>
  <property fmtid="{D5CDD505-2E9C-101B-9397-08002B2CF9AE}" pid="3" name="Creator">
    <vt:lpwstr>Microsoft® Office Word 2007</vt:lpwstr>
  </property>
  <property fmtid="{D5CDD505-2E9C-101B-9397-08002B2CF9AE}" pid="4" name="LastSaved">
    <vt:filetime>2020-05-19T00:00:00Z</vt:filetime>
  </property>
</Properties>
</file>