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成都卫士通信息产业股份有限公司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702" w:right="1107" w:bottom="3702" w:left="110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公司负责人陈鑫、主管会计工作负责人刘志惠及会计机构负责人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周天文声明：保证本年度报告中财务报告的真实、准确、完整。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大华会计师事务所（特殊普通合伙）为本公司出具了带强调事项段的无保 留意见审计报告，本公司董事会、监事会对相关事项已有详细说明，请投资者 注意阅读。</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年度报告中所设定的经营计划和经营目标，为公司的内部管理控制指标， 不代表公司盈利预测，能否实现取决于宏观经济环境、市场情况、行业发展状 况与公司管理团队的努力等多种因素，存在很大的不确定性，请投资者注意投 资风险。</w:t>
      </w:r>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公司已在本报告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中详细描述公司经营中可能 存在的风险和应对措施，敬请投资者关注相关内容。</w:t>
      </w:r>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845,876,603</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6"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61"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32</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13"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15"/>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435"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15"/>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588"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54"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58"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72</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78" w:right="1108" w:bottom="2266" w:left="1106" w:header="0" w:footer="3" w:gutter="0"/>
          <w:cols w:space="720"/>
          <w:noEndnote/>
          <w:rtlGutter w:val="0"/>
          <w:docGrid w:linePitch="360"/>
        </w:sectPr>
      </w:pPr>
      <w:hyperlink w:anchor="bookmark662"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r>
        <w:fldChar w:fldCharType="end"/>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469" w:val="left"/>
        </w:tabs>
        <w:bidi w:val="0"/>
        <w:spacing w:before="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载有公司法定代表人签名并盖章的公司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年年度报告文本原件。</w:t>
      </w:r>
    </w:p>
    <w:p>
      <w:pPr>
        <w:pStyle w:val="Style18"/>
        <w:keepNext w:val="0"/>
        <w:keepLines w:val="0"/>
        <w:widowControl w:val="0"/>
        <w:shd w:val="clear" w:color="auto" w:fill="auto"/>
        <w:tabs>
          <w:tab w:pos="469" w:val="left"/>
        </w:tabs>
        <w:bidi w:val="0"/>
        <w:spacing w:before="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载有公司法定代表人、主管会计工作负责人及会计机构负责人签名并盖章的财务报表。</w:t>
      </w:r>
    </w:p>
    <w:p>
      <w:pPr>
        <w:pStyle w:val="Style18"/>
        <w:keepNext w:val="0"/>
        <w:keepLines w:val="0"/>
        <w:widowControl w:val="0"/>
        <w:shd w:val="clear" w:color="auto" w:fill="auto"/>
        <w:tabs>
          <w:tab w:pos="474" w:val="left"/>
        </w:tabs>
        <w:bidi w:val="0"/>
        <w:spacing w:before="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74" w:val="left"/>
        </w:tabs>
        <w:bidi w:val="0"/>
        <w:spacing w:before="0" w:line="240" w:lineRule="auto"/>
        <w:ind w:left="0" w:right="0" w:firstLine="0"/>
        <w:jc w:val="left"/>
        <w:sectPr>
          <w:footnotePr>
            <w:pos w:val="pageBottom"/>
            <w:numFmt w:val="decimal"/>
            <w:numRestart w:val="continuous"/>
          </w:footnotePr>
          <w:pgSz w:w="11900" w:h="16840"/>
          <w:pgMar w:top="2094" w:right="1117" w:bottom="2094" w:left="1112" w:header="0" w:footer="3" w:gutter="0"/>
          <w:cols w:space="720"/>
          <w:noEndnote/>
          <w:rtlGutter w:val="0"/>
          <w:docGrid w:linePitch="360"/>
        </w:sectPr>
      </w:pPr>
      <w:bookmarkStart w:id="7" w:name="bookmark7"/>
      <w:r>
        <w:rPr>
          <w:color w:val="000000"/>
          <w:spacing w:val="0"/>
          <w:w w:val="100"/>
          <w:position w:val="0"/>
        </w:rPr>
        <w:t>四</w:t>
      </w:r>
      <w:bookmarkEnd w:id="7"/>
      <w:r>
        <w:rPr>
          <w:color w:val="000000"/>
          <w:spacing w:val="0"/>
          <w:w w:val="100"/>
          <w:position w:val="0"/>
        </w:rPr>
        <w:t>、</w:t>
        <w:tab/>
        <w:t>报告期内在中国证监会指定网站上公开披露过的所有公司文件的正本及公告的原稿。</w:t>
      </w:r>
    </w:p>
    <w:p>
      <w:pPr>
        <w:pStyle w:val="Style4"/>
        <w:keepNext w:val="0"/>
        <w:keepLines w:val="0"/>
        <w:widowControl w:val="0"/>
        <w:shd w:val="clear" w:color="auto" w:fill="auto"/>
        <w:bidi w:val="0"/>
        <w:spacing w:before="86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公司、本公司、卫士通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控股股东、中国网安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西南通信研究所（中国电子科技集团公司第三十研究所）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中电科财务公司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实际控制人、中国电科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成都卫士通信息产业股份有限公司董事会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4"/>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卫士通</w:t>
              <w:tab/>
              <w:t>股票代码</w:t>
              <w:tab/>
            </w:r>
            <w:r>
              <w:rPr>
                <w:rFonts w:ascii="Times New Roman" w:eastAsia="Times New Roman" w:hAnsi="Times New Roman" w:cs="Times New Roman"/>
                <w:color w:val="000000"/>
                <w:spacing w:val="0"/>
                <w:w w:val="100"/>
                <w:position w:val="0"/>
                <w:sz w:val="18"/>
                <w:szCs w:val="18"/>
              </w:rPr>
              <w:t>002268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 Information Industry Inc.</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日注册地址由成都市高新大道创业路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号变更为成都高新区云华路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"http://www.westone.com.cn" </w:instrText>
            </w:r>
            <w:r>
              <w:fldChar w:fldCharType="separate"/>
            </w:r>
            <w:r>
              <w:rPr>
                <w:rFonts w:ascii="Times New Roman" w:eastAsia="Times New Roman" w:hAnsi="Times New Roman" w:cs="Times New Roman"/>
                <w:color w:val="000000"/>
                <w:spacing w:val="0"/>
                <w:w w:val="100"/>
                <w:position w:val="0"/>
                <w:sz w:val="18"/>
                <w:szCs w:val="18"/>
              </w:rPr>
              <w:t>http://www.westone.com.cn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westone_dm 1@163.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028-62386169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028-62386030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westone_dm 1@163. 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westone_zd@ 163.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408"/>
        <w:gridCol w:w="61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9151010070927392XM</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年公司控股股东由西南通信研究所（中国电子科技集团公司第三十研究 所）变更为中国电子科技网络信息安全有限公司，实际控制人未发生变更，仍 为中国电子科技集团有限公司。</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钟平修、曹云华</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021"/>
        <w:gridCol w:w="27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李金虎、贾鹏</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日到督导事项完毕</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1"/>
        <w:gridCol w:w="1704"/>
        <w:gridCol w:w="1555"/>
        <w:gridCol w:w="1704"/>
        <w:gridCol w:w="16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2,788,967,984.57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2,103,759,987.90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238,048,110.30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161,408,158.18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155,765,488.34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169,889,651.09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147,191,217.80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120,905,436.58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680,866,348.44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628,289,103.29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-97,886,037.33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0.2813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0.2813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上升</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7,065,919,833.20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6,480,446,949.22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5,956,625,043.53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5,029,700,958.30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4,707,198,263.56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4,550,793,991.85</w:t>
            </w:r>
          </w:p>
        </w:tc>
      </w:tr>
    </w:tbl>
    <w:p>
      <w:pPr>
        <w:pStyle w:val="Style2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2"/>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95"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282,760,122.23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560,913,099.06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692,528,270.56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1,252,766,492.72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-76,199,276.00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34,162,557.61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51,511,540.43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228,573,288.26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-77,726,626.01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34,068,228.13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47,969,623.31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165,578,425.66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-786,030,148.19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-149,484,012.93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-3,559,515.50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1,619,940,025.06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1277"/>
        <w:gridCol w:w="1277"/>
        <w:gridCol w:w="1195"/>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-69,044.41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 相关，符合国家政策规定、按照一定标准定额或定量 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6,800,975.38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16,976,479.74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44,226,251.84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除同公司正常经营业务相关的有效套期保值业务外，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11,170,023.03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1277"/>
        <w:gridCol w:w="1277"/>
        <w:gridCol w:w="1195"/>
        <w:gridCol w:w="1718"/>
      </w:tblGrid>
      <w:tr>
        <w:trPr>
          <w:trHeight w:val="98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持有交易性金融资产、交易性金融负债产生的公允价 值变动损益，以及处置交易性金融资产交易性金融负 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1,187,385.27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145,898.54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-750,995.95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60,998,280.23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系转让天津网安股权 确认的投资收益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12,031,000.75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2,573,118.45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6,419,760.06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17,211.73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364,064.23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2,126,399.66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68,158,459.21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14,216,940.38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34,860,051.76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22" w:lineRule="exact"/>
        <w:ind w:left="0" w:right="0" w:firstLine="0"/>
        <w:jc w:val="left"/>
        <w:sectPr>
          <w:footnotePr>
            <w:pos w:val="pageBottom"/>
            <w:numFmt w:val="decimal"/>
            <w:numRestart w:val="continuous"/>
          </w:footnotePr>
          <w:pgSz w:w="11900" w:h="16840"/>
          <w:pgMar w:top="1383" w:right="1126" w:bottom="1474" w:left="1087"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40" w:after="54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4"/>
        <w:keepNext/>
        <w:keepLines/>
        <w:widowControl w:val="0"/>
        <w:shd w:val="clear" w:color="auto" w:fill="auto"/>
        <w:bidi w:val="0"/>
        <w:spacing w:before="0" w:after="28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、报告期内公司所处的行业情况</w:t>
      </w:r>
      <w:bookmarkEnd w:id="59"/>
      <w:bookmarkEnd w:id="60"/>
      <w:bookmarkEnd w:id="62"/>
      <w:bookmarkEnd w:id="58"/>
    </w:p>
    <w:p>
      <w:pPr>
        <w:pStyle w:val="Style2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8"/>
        <w:keepNext w:val="0"/>
        <w:keepLines w:val="0"/>
        <w:widowControl w:val="0"/>
        <w:shd w:val="clear" w:color="auto" w:fill="auto"/>
        <w:bidi w:val="0"/>
        <w:spacing w:before="0" w:after="0" w:line="313" w:lineRule="exact"/>
        <w:ind w:left="0" w:right="0" w:firstLine="480"/>
        <w:jc w:val="both"/>
      </w:pPr>
      <w:bookmarkStart w:id="63" w:name="bookmark63"/>
      <w:r>
        <w:rPr>
          <w:rFonts w:ascii="Times New Roman" w:eastAsia="Times New Roman" w:hAnsi="Times New Roman" w:cs="Times New Roman"/>
          <w:b/>
          <w:bCs/>
          <w:color w:val="000000"/>
          <w:spacing w:val="0"/>
          <w:w w:val="100"/>
          <w:position w:val="0"/>
          <w:sz w:val="18"/>
          <w:szCs w:val="18"/>
        </w:rPr>
        <w:t>1</w:t>
      </w:r>
      <w:bookmarkEnd w:id="63"/>
      <w:r>
        <w:rPr>
          <w:b/>
          <w:bCs/>
          <w:color w:val="000000"/>
          <w:spacing w:val="0"/>
          <w:w w:val="100"/>
          <w:position w:val="0"/>
        </w:rPr>
        <w:t>、数据安全是数字经济发展的基石</w:t>
      </w:r>
    </w:p>
    <w:p>
      <w:pPr>
        <w:pStyle w:val="Style28"/>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年，党的十八届五中全会正式提出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实施国家大数据战略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，全面推进我国大数据的发展和应用，加快建设数据强国， 推动数据资源开放共享，促进经济转型升级。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日，中共中央、国务院发布《关于构建更加完善的要素市场化配置 体制机制的意见》，将数据纳入生产要素参与市场化配置，并提出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加快培育数据要素市场：研究根据数据性质完善产权性 质，制定数据隐私保护制度和安全审查制度，推动完善适用于大数据环境下的数据分类分级安全保护制度，加强对政务数据、 企业商业秘密和个人数据的保护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。国务院《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数字经济发展规划》指出，数字经济是继农业经济、工业经济之后的 主要经济形态，是以数据资源为关键要素，以现代信息网络为主要载体，以信息通信技术融合应用、全要素数字化转型为重 要推动力，促进公平与效率更加统一的新经济形态。</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我国高度重视数字经济对社会发展贡献的巨大潜能。伴随互联网、大数据、云计算、人工智能、区块链等技术在国内的 加速创新，日益融入经济社会发展各领域全过程。疫情期间，数字经济带动了我国协同办公、远程医疗、在线教育等新模式 和新业态的发展，迸发出了超常的经济韧性。但在数字经济发展的推动下，数据汇聚、融合、流动与应用等场景大幅增加， 数据应用技术的复杂性、数据海量汇聚的风险性、数据深度挖掘的隐私安全性都对新经济形势下的网络、数据安全保护提出 了新的挑战。</w:t>
      </w:r>
    </w:p>
    <w:p>
      <w:pPr>
        <w:pStyle w:val="Style28"/>
        <w:keepNext w:val="0"/>
        <w:keepLines w:val="0"/>
        <w:widowControl w:val="0"/>
        <w:shd w:val="clear" w:color="auto" w:fill="auto"/>
        <w:tabs>
          <w:tab w:pos="654" w:val="left"/>
        </w:tabs>
        <w:bidi w:val="0"/>
        <w:spacing w:before="0" w:after="0" w:line="313" w:lineRule="exact"/>
        <w:ind w:left="0" w:right="0" w:firstLine="360"/>
        <w:jc w:val="both"/>
      </w:pPr>
      <w:bookmarkStart w:id="64" w:name="bookmark64"/>
      <w:r>
        <w:rPr>
          <w:rFonts w:ascii="Times New Roman" w:eastAsia="Times New Roman" w:hAnsi="Times New Roman" w:cs="Times New Roman"/>
          <w:b/>
          <w:bCs/>
          <w:color w:val="000000"/>
          <w:spacing w:val="0"/>
          <w:w w:val="100"/>
          <w:position w:val="0"/>
          <w:sz w:val="18"/>
          <w:szCs w:val="18"/>
        </w:rPr>
        <w:t>2</w:t>
      </w:r>
      <w:bookmarkEnd w:id="64"/>
      <w:r>
        <w:rPr>
          <w:b/>
          <w:bCs/>
          <w:color w:val="000000"/>
          <w:spacing w:val="0"/>
          <w:w w:val="100"/>
          <w:position w:val="0"/>
        </w:rPr>
        <w:t>、</w:t>
        <w:tab/>
        <w:t>数据安全的法规体系初步形成，推动数据安全体系能力建设全面加强</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国家高度重视数字经济发展中的数据安全问题，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月，《数据安全法》发布实施，与之前颁布的《网络安全法》、 《密码法》共同构成了我国网络与数据领域治理基础性法律，确立了数据分级分类管理以及风险评估、监测预警和应急处置 等数据安全管理各项基本制度；明确了开展数据活动的组织、个人的数据安全保护义务及落实数据安全保护责任；强调坚持 安全与发展并重，规定支持促进数据安全与发展的措施；建立了保障政务数据安全和推动政务数据开放的制度措施。</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月，《个人信息保护法》正式施行，明确了个人信息处理规则、个人信息跨境提供的规则、个人在个人信息处理活动中 的权利、个人信息处理者的义务、履行个人信息保护职责的部门等。数据安全法律体系已经初步形成，相关配套制度和标准 逐渐完善，国家各监管部门也在逐步加大对数据安全的监管，从企业层面来看，数据安全将从过去少部分机构的风险控制需 求转向全面的合规建设需求，关键信息基础设施运营者、互联网网络平台运营者数据安全体系能力建设在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年将全面加强。</w:t>
      </w:r>
    </w:p>
    <w:p>
      <w:pPr>
        <w:pStyle w:val="Style28"/>
        <w:keepNext w:val="0"/>
        <w:keepLines w:val="0"/>
        <w:widowControl w:val="0"/>
        <w:shd w:val="clear" w:color="auto" w:fill="auto"/>
        <w:tabs>
          <w:tab w:pos="654" w:val="left"/>
        </w:tabs>
        <w:bidi w:val="0"/>
        <w:spacing w:before="0" w:after="0" w:line="313" w:lineRule="exact"/>
        <w:ind w:left="0" w:right="0" w:firstLine="360"/>
        <w:jc w:val="both"/>
      </w:pPr>
      <w:bookmarkStart w:id="65" w:name="bookmark65"/>
      <w:r>
        <w:rPr>
          <w:rFonts w:ascii="Times New Roman" w:eastAsia="Times New Roman" w:hAnsi="Times New Roman" w:cs="Times New Roman"/>
          <w:b/>
          <w:bCs/>
          <w:color w:val="000000"/>
          <w:spacing w:val="0"/>
          <w:w w:val="100"/>
          <w:position w:val="0"/>
          <w:sz w:val="18"/>
          <w:szCs w:val="18"/>
        </w:rPr>
        <w:t>3</w:t>
      </w:r>
      <w:bookmarkEnd w:id="65"/>
      <w:r>
        <w:rPr>
          <w:b/>
          <w:bCs/>
          <w:color w:val="000000"/>
          <w:spacing w:val="0"/>
          <w:w w:val="100"/>
          <w:position w:val="0"/>
        </w:rPr>
        <w:t>、</w:t>
        <w:tab/>
        <w:t>以密码学为核心的隐私计算技术促进数据可信共享和流通</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当前，数据作为基础性战略资源已形成充分共识，但在数据流通过程中的法律属性、产权规则、交易制度等在理论和立 法层面长期未能清晰界定，如何在保证数据安全和保护个人隐私的前提下，让数据流通起来创造价值，是当前面临的重要课 题。以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密码学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为核心，融合统计学、人工智能、大数据、计算机系统的隐私计算技术为数据流通过程中的数据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可用不可 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提供了解决方案，已在金融、医疗、政务等领域开始探索应用。隐私计算不侵害数据本身的安全和隐私，有效挖掘数据 中的价值，实现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数据可用不可见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，从而促进数据交易所、政府数据共享、数据银行等跨机构跨组织跨场景的大数据可信共 享和流通。</w:t>
      </w:r>
    </w:p>
    <w:p>
      <w:pPr>
        <w:pStyle w:val="Style28"/>
        <w:keepNext w:val="0"/>
        <w:keepLines w:val="0"/>
        <w:widowControl w:val="0"/>
        <w:shd w:val="clear" w:color="auto" w:fill="auto"/>
        <w:tabs>
          <w:tab w:pos="649" w:val="left"/>
        </w:tabs>
        <w:bidi w:val="0"/>
        <w:spacing w:before="0" w:after="0" w:line="313" w:lineRule="exact"/>
        <w:ind w:left="0" w:right="0" w:firstLine="360"/>
        <w:jc w:val="both"/>
      </w:pPr>
      <w:bookmarkStart w:id="66" w:name="bookmark66"/>
      <w:r>
        <w:rPr>
          <w:rFonts w:ascii="Times New Roman" w:eastAsia="Times New Roman" w:hAnsi="Times New Roman" w:cs="Times New Roman"/>
          <w:b/>
          <w:bCs/>
          <w:color w:val="000000"/>
          <w:spacing w:val="0"/>
          <w:w w:val="100"/>
          <w:position w:val="0"/>
          <w:sz w:val="18"/>
          <w:szCs w:val="18"/>
        </w:rPr>
        <w:t>4</w:t>
      </w:r>
      <w:bookmarkEnd w:id="66"/>
      <w:r>
        <w:rPr>
          <w:b/>
          <w:bCs/>
          <w:color w:val="000000"/>
          <w:spacing w:val="0"/>
          <w:w w:val="100"/>
          <w:position w:val="0"/>
        </w:rPr>
        <w:t>、</w:t>
        <w:tab/>
        <w:t>商用密码应用全面保障关键基础设施数据安全</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《关键信息基础设施安全保护条例》自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日起施行，《条例》明确关键信息基础设施范围和保护工作原则、监 督管理体制、关键信息基础设施认定机制、运营者责任义务、保障和促进措施和法律责任。保障关键信息基础设施安全，最 重要的是要保障数据资产和信息系统安全，而密码是保障网络与信息安全的核心技术和基础支撑。《密码法》规定关键信息 基础设施运营者应当使用商用密码进行保护，密码作为内生安全的必要核心，基于其在身份认证、信息加密，完整性保护和 抗抵赖等方面的突出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，能够通过为数字空间的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鉴别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三大安全基因赋能，来保障网络空间实体的真 实、行为的可信以及网络空间安全的可治理、可管控，保障关键信息基础设施数据安全。</w:t>
      </w:r>
    </w:p>
    <w:p>
      <w:pPr>
        <w:pStyle w:val="Style28"/>
        <w:keepNext w:val="0"/>
        <w:keepLines w:val="0"/>
        <w:widowControl w:val="0"/>
        <w:shd w:val="clear" w:color="auto" w:fill="auto"/>
        <w:tabs>
          <w:tab w:pos="649" w:val="left"/>
        </w:tabs>
        <w:bidi w:val="0"/>
        <w:spacing w:before="0" w:after="0" w:line="313" w:lineRule="exact"/>
        <w:ind w:left="0" w:right="0" w:firstLine="360"/>
        <w:jc w:val="both"/>
      </w:pPr>
      <w:bookmarkStart w:id="67" w:name="bookmark67"/>
      <w:r>
        <w:rPr>
          <w:rFonts w:ascii="Times New Roman" w:eastAsia="Times New Roman" w:hAnsi="Times New Roman" w:cs="Times New Roman"/>
          <w:b/>
          <w:bCs/>
          <w:color w:val="000000"/>
          <w:spacing w:val="0"/>
          <w:w w:val="100"/>
          <w:position w:val="0"/>
          <w:sz w:val="18"/>
          <w:szCs w:val="18"/>
        </w:rPr>
        <w:t>5</w:t>
      </w:r>
      <w:bookmarkEnd w:id="67"/>
      <w:r>
        <w:rPr>
          <w:b/>
          <w:bCs/>
          <w:color w:val="000000"/>
          <w:spacing w:val="0"/>
          <w:w w:val="100"/>
          <w:position w:val="0"/>
        </w:rPr>
        <w:t>、</w:t>
        <w:tab/>
        <w:t>个人信息保护更加严格，互联网行业将面临监管挑战</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在以信息资源为核心的数字经济时代，随着互联网、社交网络、人工智能等新技术应用和智慧城市建设的快速推进，各 行各业为了改善管理、扩大营销、提升客户体验的需要，无不在收集、处理和利用民众的个人信息。个人信息已经成为了互 联网产业链上的重要资产，其经济价值和商业价值在数字经济时代更加凸显，个人的姓名、身份证号、信用卡号、婚姻、教 育、医疗、经济活动等公民个人信息已成为各大厂家争相抢夺的数据资源。面对新兴信息技术背景下我国个人信息安全保护 的挑战，国家网信办、工信部办公厅、公安部办公厅以及国家市场监督总局办公厅联合发布了《常见类型移动互联网应用程 序必要个人信息范围规定》，明确了</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种常见类型</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的必要个人信息范围，要求其运营者不得因用户不同意提供非必要个 人信息，而拒绝用户使用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基本功能服务，旨在有效规范</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收集使用个人信息行为并促进</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的健康发展；《移动互联 网应用程序个人信息保护管理暂行规定》确立了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知情同意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最小必要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两项重要原则，细化了</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开发运营者、分发平台、 第三方服务提供者、终端生产企业、网络接入服务提供者等五类主体责任义务，提出了投诉举报、监督检查、处置措施、风 险提示等四方面规范要求。随着《个人信息保护法》出台，进一步健全了我国个人信息安全保护的法律法规，个人信息保护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有法可依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。互联网行业的商业模式对数据的依赖程度很高，个人信息保护的法律法规逐步完善，对数据保护的要求将更加 严格，其获取的个人信息如何合法合规使用将面临监管挑战。</w:t>
      </w:r>
    </w:p>
    <w:p>
      <w:pPr>
        <w:pStyle w:val="Style24"/>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、报告期内公司从事的主要业务</w:t>
      </w:r>
      <w:bookmarkEnd w:id="68"/>
      <w:bookmarkEnd w:id="69"/>
      <w:bookmarkEnd w:id="71"/>
    </w:p>
    <w:p>
      <w:pPr>
        <w:pStyle w:val="Style28"/>
        <w:keepNext w:val="0"/>
        <w:keepLines w:val="0"/>
        <w:widowControl w:val="0"/>
        <w:shd w:val="clear" w:color="auto" w:fill="auto"/>
        <w:bidi w:val="0"/>
        <w:spacing w:before="0" w:after="120" w:line="313" w:lineRule="exact"/>
        <w:ind w:left="0" w:right="0"/>
        <w:jc w:val="left"/>
      </w:pPr>
      <w:r>
        <w:rPr>
          <w:color w:val="000000"/>
          <w:spacing w:val="0"/>
          <w:w w:val="100"/>
          <w:position w:val="0"/>
        </w:rPr>
        <w:t>报告期内，公司聚焦数据安全业务，覆盖包括个人隐私安全保护，数据防泄露，数据安全流动共享在内的数据安全众 多相关领域；基于密码能力，构建数据的密码基础算力能力，形成数据安全底座；围绕承载数据的基础设施的安全，构建了 体系化的网络安全防护能力；围绕隐私计算构建数据了安全流通共享平台，保护数据流动通道的安全，支撑数据交易业务； 围绕数据安全应用合规要求，构建了数据安全治理体系，强化对数据安全领域法律法规的支撑保障能力；通过提供内嵌安全 属性的应用实现数据的应用安全，在为应用赋能的同时，增强数据获取效率，夯实数据智能化所需的海量数据基础。经过多 年的耕耘，公司已构建了相对完善的数据安全能力供给体系和数据安全生态圈，具备多个行业应用场景下的数据安全整体解 决方案提供能力。</w:t>
      </w:r>
    </w:p>
    <w:p>
      <w:pPr>
        <w:pStyle w:val="Style28"/>
        <w:keepNext w:val="0"/>
        <w:keepLines w:val="0"/>
        <w:widowControl w:val="0"/>
        <w:shd w:val="clear" w:color="auto" w:fill="auto"/>
        <w:tabs>
          <w:tab w:pos="659" w:val="left"/>
        </w:tabs>
        <w:bidi w:val="0"/>
        <w:spacing w:before="0" w:after="0" w:line="360" w:lineRule="auto"/>
        <w:ind w:left="0" w:right="0"/>
        <w:jc w:val="both"/>
      </w:pPr>
      <w:bookmarkStart w:id="72" w:name="bookmark72"/>
      <w:r>
        <w:rPr>
          <w:rFonts w:ascii="Times New Roman" w:eastAsia="Times New Roman" w:hAnsi="Times New Roman" w:cs="Times New Roman"/>
          <w:b/>
          <w:bCs/>
          <w:color w:val="000000"/>
          <w:spacing w:val="0"/>
          <w:w w:val="100"/>
          <w:position w:val="0"/>
          <w:sz w:val="18"/>
          <w:szCs w:val="18"/>
        </w:rPr>
        <w:t>1</w:t>
      </w:r>
      <w:bookmarkEnd w:id="72"/>
      <w:r>
        <w:rPr>
          <w:b/>
          <w:bCs/>
          <w:color w:val="000000"/>
          <w:spacing w:val="0"/>
          <w:w w:val="100"/>
          <w:position w:val="0"/>
        </w:rPr>
        <w:t>、</w:t>
        <w:tab/>
        <w:t>数据的密码基础算力</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数据机密性是数据安全的根本和起点，密码能够确保数据在各种场景下的机密性，从最初的文件加密，到现在的数据库 加密，再到基于密码的数据多方安全共享等，密码技术始终是其核心和灵魂。</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公司围绕数据的密码基础算力已经形成系列化产品，能提供包括安全</w:t>
      </w:r>
      <w:r>
        <w:rPr>
          <w:rFonts w:ascii="Times New Roman" w:eastAsia="Times New Roman" w:hAnsi="Times New Roman" w:cs="Times New Roman"/>
          <w:color w:val="000000"/>
          <w:spacing w:val="0"/>
          <w:w w:val="100"/>
          <w:position w:val="0"/>
          <w:sz w:val="18"/>
          <w:szCs w:val="18"/>
        </w:rPr>
        <w:t>SE IP</w:t>
      </w:r>
      <w:r>
        <w:rPr>
          <w:color w:val="000000"/>
          <w:spacing w:val="0"/>
          <w:w w:val="100"/>
          <w:position w:val="0"/>
        </w:rPr>
        <w:t>核，密码软件、密码芯片、密码模块、密码 板卡、密码整机和密码系统在内的各形态产品，产品主要包括嵌入式安全</w:t>
      </w:r>
      <w:r>
        <w:rPr>
          <w:rFonts w:ascii="Times New Roman" w:eastAsia="Times New Roman" w:hAnsi="Times New Roman" w:cs="Times New Roman"/>
          <w:color w:val="000000"/>
          <w:spacing w:val="0"/>
          <w:w w:val="100"/>
          <w:position w:val="0"/>
          <w:sz w:val="18"/>
          <w:szCs w:val="18"/>
        </w:rPr>
        <w:t>SEIP</w:t>
      </w:r>
      <w:r>
        <w:rPr>
          <w:color w:val="000000"/>
          <w:spacing w:val="0"/>
          <w:w w:val="100"/>
          <w:position w:val="0"/>
        </w:rPr>
        <w:t>核、低功耗安全芯片系列、高性能安全芯片 系列、物理噪声源芯片系列、高性能高安全密码卡系统、服务器密码机系统、签名验签服务器系统、数字证书认证系统、密 钥管理系统和密码服务平台等。</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公司产品安全性高，全面支持国产化硬件平台和操作系统，支持全系列商用密码算法，核心产品全部通过国家主管机关 资质认证，软件密码模块全平台产品通过主管机关二级测评，嵌入式安全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为国内首款通过主管机关二级鉴定的</w:t>
      </w:r>
      <w:r>
        <w:rPr>
          <w:rFonts w:ascii="Times New Roman" w:eastAsia="Times New Roman" w:hAnsi="Times New Roman" w:cs="Times New Roman"/>
          <w:color w:val="000000"/>
          <w:spacing w:val="0"/>
          <w:w w:val="100"/>
          <w:position w:val="0"/>
          <w:sz w:val="18"/>
          <w:szCs w:val="18"/>
        </w:rPr>
        <w:t>SE IP</w:t>
      </w:r>
      <w:r>
        <w:rPr>
          <w:color w:val="000000"/>
          <w:spacing w:val="0"/>
          <w:w w:val="100"/>
          <w:position w:val="0"/>
        </w:rPr>
        <w:t>核； 产品场景适应性广，硬件产品全面云化，软件产品全平台适配，嵌入式安全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芯片将密码运算和可信计算等安全能力以</w:t>
      </w:r>
      <w:r>
        <w:rPr>
          <w:rFonts w:ascii="Times New Roman" w:eastAsia="Times New Roman" w:hAnsi="Times New Roman" w:cs="Times New Roman"/>
          <w:color w:val="000000"/>
          <w:spacing w:val="0"/>
          <w:w w:val="100"/>
          <w:position w:val="0"/>
          <w:sz w:val="18"/>
          <w:szCs w:val="18"/>
        </w:rPr>
        <w:t xml:space="preserve">IP </w:t>
      </w:r>
      <w:r>
        <w:rPr>
          <w:color w:val="000000"/>
          <w:spacing w:val="0"/>
          <w:w w:val="100"/>
          <w:position w:val="0"/>
        </w:rPr>
        <w:t>核方式深度融合到国产化处理器中，产品加解密性能覆盖从低端到万兆，多款车联网密码产品应用于工信部试点示范项目， 低功耗芯片广泛应用于物联网终端或移动终端；产品体系性强，在金融、政务、电信、交通等行业构建起了以密码产品为核 心的信创安全产品体系，逐步实现在国家重要行业中的顶层布局；产品全面支持服务化，已建立起以密码服务平台为核心， 自有密码产品为支撑的密码服务运营平台，可提供按需分配和场景化的密码服务能力。</w:t>
      </w:r>
    </w:p>
    <w:p>
      <w:pPr>
        <w:pStyle w:val="Style28"/>
        <w:keepNext w:val="0"/>
        <w:keepLines w:val="0"/>
        <w:widowControl w:val="0"/>
        <w:shd w:val="clear" w:color="auto" w:fill="auto"/>
        <w:bidi w:val="0"/>
        <w:spacing w:before="0" w:after="120" w:line="313" w:lineRule="exact"/>
        <w:ind w:left="0" w:right="0"/>
        <w:jc w:val="both"/>
      </w:pPr>
      <w:r>
        <w:rPr>
          <w:color w:val="000000"/>
          <w:spacing w:val="0"/>
          <w:w w:val="100"/>
          <w:position w:val="0"/>
        </w:rPr>
        <w:t>公司具有较强的算法设计与实现能力，积极承担国家科技技术攻关项目，依托核高基项目完成突破的芯片可重构密码引 擎设计技术处于国内领先地位，基于该技术的安全芯片获国家科学技术进步一等奖。加快技术创新，在公司内部设立密码创 新中心，牵头密码科技创新与技术支撑，以应对数据加密对密码算法和密码应用带来的新挑战，在同态加密、多方计算、可 搜索加密、区块链等前沿密码算法研究取得多项研究成果；积极引领行业技术方向，牵头可搜索加密机制、量子密钥接口应 用规范、云服务器密码机技术规范等超</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个标准的制定和研究。</w:t>
      </w:r>
    </w:p>
    <w:p>
      <w:pPr>
        <w:pStyle w:val="Style28"/>
        <w:keepNext w:val="0"/>
        <w:keepLines w:val="0"/>
        <w:widowControl w:val="0"/>
        <w:shd w:val="clear" w:color="auto" w:fill="auto"/>
        <w:tabs>
          <w:tab w:pos="674" w:val="left"/>
        </w:tabs>
        <w:bidi w:val="0"/>
        <w:spacing w:before="0" w:after="0" w:line="360" w:lineRule="auto"/>
        <w:ind w:left="0" w:right="0"/>
        <w:jc w:val="both"/>
      </w:pPr>
      <w:bookmarkStart w:id="73" w:name="bookmark73"/>
      <w:r>
        <w:rPr>
          <w:rFonts w:ascii="Times New Roman" w:eastAsia="Times New Roman" w:hAnsi="Times New Roman" w:cs="Times New Roman"/>
          <w:b/>
          <w:bCs/>
          <w:color w:val="000000"/>
          <w:spacing w:val="0"/>
          <w:w w:val="100"/>
          <w:position w:val="0"/>
          <w:sz w:val="18"/>
          <w:szCs w:val="18"/>
        </w:rPr>
        <w:t>2</w:t>
      </w:r>
      <w:bookmarkEnd w:id="73"/>
      <w:r>
        <w:rPr>
          <w:b/>
          <w:bCs/>
          <w:color w:val="000000"/>
          <w:spacing w:val="0"/>
          <w:w w:val="100"/>
          <w:position w:val="0"/>
        </w:rPr>
        <w:t>、</w:t>
        <w:tab/>
        <w:t>数据的网络安全防护</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物理环境、通信网络和计算环境承载着数据，网络安全为数据安全的基础支撑。公司在身份认证、权限控制、传输通道 加密、数据安全策略管理、日志审计等方面具有丰富的技术积累，可以为数据采集、数据传输、数据存储、数据处理、数据 </w:t>
      </w:r>
      <w:r>
        <w:rPr>
          <w:color w:val="000000"/>
          <w:spacing w:val="0"/>
          <w:w w:val="100"/>
          <w:position w:val="0"/>
        </w:rPr>
        <w:t>交换和数据管理等数据全生命周期提供体系化的安全防护保障。</w:t>
      </w:r>
    </w:p>
    <w:p>
      <w:pPr>
        <w:pStyle w:val="Style28"/>
        <w:keepNext w:val="0"/>
        <w:keepLines w:val="0"/>
        <w:widowControl w:val="0"/>
        <w:shd w:val="clear" w:color="auto" w:fill="auto"/>
        <w:bidi w:val="0"/>
        <w:spacing w:before="0" w:after="100" w:line="312" w:lineRule="exact"/>
        <w:ind w:left="0" w:right="0"/>
        <w:jc w:val="left"/>
      </w:pPr>
      <w:r>
        <w:rPr>
          <w:color w:val="000000"/>
          <w:spacing w:val="0"/>
          <w:w w:val="100"/>
          <w:position w:val="0"/>
        </w:rPr>
        <w:t>公司具有较为完善的网络安全防护体系，能够为承载数据的基础环境安全提供涵盖网络边界安全、终端安全、身份安全、 安全管理的全面保护。其中网络边界安全产品主要包括防火墙、</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color w:val="000000"/>
          <w:spacing w:val="0"/>
          <w:w w:val="100"/>
          <w:position w:val="0"/>
        </w:rPr>
        <w:t>入侵检测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入侵防御、安全认证网关、安全接入网关、 网络隔离与信息交换、网络隔离与单向导入、应用交付网关等，能满足通信传输安全、访问控制、入侵防范等安全需求。终 端安全产品主要包括身份鉴别系统、主机监控与审计系统、服务器审计系统、安全保密记事本等，能满足用户身份鉴别，主 机资源管控、用户行为审计、和终端安全加固等安全需求。身份安全产品主要包括统一身份认证系统、信任服务系统、安全 认证网关等，以及零信任安全解决方案，产品支持证书、动态口令、生物特征、法人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自然人等多种认证方式，能提供</w:t>
      </w:r>
      <w:r>
        <w:rPr>
          <w:rFonts w:ascii="Times New Roman" w:eastAsia="Times New Roman" w:hAnsi="Times New Roman" w:cs="Times New Roman"/>
          <w:color w:val="000000"/>
          <w:spacing w:val="0"/>
          <w:w w:val="100"/>
          <w:position w:val="0"/>
          <w:sz w:val="18"/>
          <w:szCs w:val="18"/>
        </w:rPr>
        <w:t>MAC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RBAC</w:t>
      </w:r>
      <w:r>
        <w:rPr>
          <w:color w:val="000000"/>
          <w:spacing w:val="0"/>
          <w:w w:val="100"/>
          <w:position w:val="0"/>
        </w:rPr>
        <w:t>等多种访问控制机制，信任服务系统占据政务内网身份认证过半的市场份额。安全管理产品主要包括网络安全管理系 统、安全运行监管系统、日志收集与审计系统、高级威胁检测分析系统等安全管理产品，能实现与众多设备的对接，能提供 网络安全威胁实时检测和安全态势感知，能对数据资产进行全面和细粒度的管理分析，并对数据合规风险进行全面的评估。 公司积极推进在新兴领域的业务和产品布局</w:t>
      </w:r>
      <w:r>
        <w:rPr>
          <w:color w:val="000000"/>
          <w:spacing w:val="0"/>
          <w:w w:val="100"/>
          <w:position w:val="0"/>
          <w:sz w:val="18"/>
          <w:szCs w:val="18"/>
        </w:rPr>
        <w:t>，</w:t>
      </w:r>
      <w:r>
        <w:rPr>
          <w:color w:val="000000"/>
          <w:spacing w:val="0"/>
          <w:w w:val="100"/>
          <w:position w:val="0"/>
        </w:rPr>
        <w:t>积极开展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卫星互联网阵联网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元宇宙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企业数字化 转型等场景下的数据安全、密码应用、身份认证、隐私保护技术的研究。</w:t>
      </w:r>
    </w:p>
    <w:p>
      <w:pPr>
        <w:pStyle w:val="Style28"/>
        <w:keepNext w:val="0"/>
        <w:keepLines w:val="0"/>
        <w:widowControl w:val="0"/>
        <w:shd w:val="clear" w:color="auto" w:fill="auto"/>
        <w:tabs>
          <w:tab w:pos="674" w:val="left"/>
        </w:tabs>
        <w:bidi w:val="0"/>
        <w:spacing w:before="0" w:after="0" w:line="360" w:lineRule="auto"/>
        <w:ind w:left="0" w:right="0"/>
        <w:jc w:val="both"/>
      </w:pPr>
      <w:bookmarkStart w:id="74" w:name="bookmark74"/>
      <w:r>
        <w:rPr>
          <w:rFonts w:ascii="Times New Roman" w:eastAsia="Times New Roman" w:hAnsi="Times New Roman" w:cs="Times New Roman"/>
          <w:b/>
          <w:bCs/>
          <w:color w:val="000000"/>
          <w:spacing w:val="0"/>
          <w:w w:val="100"/>
          <w:position w:val="0"/>
          <w:sz w:val="18"/>
          <w:szCs w:val="18"/>
        </w:rPr>
        <w:t>3</w:t>
      </w:r>
      <w:bookmarkEnd w:id="74"/>
      <w:r>
        <w:rPr>
          <w:b/>
          <w:bCs/>
          <w:color w:val="000000"/>
          <w:spacing w:val="0"/>
          <w:w w:val="100"/>
          <w:position w:val="0"/>
        </w:rPr>
        <w:t>、</w:t>
        <w:tab/>
        <w:t>数据的安全应用合规</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公司依托密码核心能力，重点聚焦互联网企业的个人信息合规利用，构建第三方的数据安全合规服务平台，依托平台面 向大中型企业提供独立的第三方加密、去标识化、合规审计等数据安全服务，满足互联网企业在数据监管、个人信息隐私保 护等方面的合规需求，帮助互联网企业在数据收集、处理、运算过程中，规避因数据流动所带来的安全风险和合规风险。其 中加密服务能够加强企业数据流转使用过程的清晰度、透明度和可控性；去标识化服务能够降低数据建模、数据分析时的泄 露风险；合规审计对数据处理行为进行分析，通过数据主体同意授权的情况与企业内数据流转和敏感数据访问行为对比，使 得企业能够将数据收集、使用或共享过程处理用户数据的合法记录和用户同意授权相关联，发现数据在不同阶段的处理活动 是否均遵循数据处理协议以及相关数据安全法律法规的要求，帮助企业及时规避合规风险。目前，已完成首个互联网游戏场 景下的数据安全标杆项目的落地。</w:t>
      </w:r>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面向行业数据安全需求，聚焦数据分级分类和数据安全治理，构建了一套以密码为核心的数据全生命周期安全防护体系， 满足政务领域、关基重点行业数据安全市场需求，开展敏感数据发现与分级、数据脱敏、数据合规审计等产品的研制。敏感 数据发现与分级系统通过自动化的数据扫描和策略识别的方式来定位数据、分类数据，以进一步实现分级保护，并在数据发 现过程中应用搜索算法，实现对所需敏感信息的自动检索，并机器智能学习模式，自动将库、表中的数据进行识别和分级分 类，并可视化分级分类结果。在数据分级分类已提出了详细要求的行业中，数据自动化发现、分级分类与标识在行业中应用 的程度较高，已经有体系化的数据安全防护方案落地，有效协助用户发现内部数据，打造分级管控基础以降低数据安全风险 运营成本。</w:t>
      </w:r>
    </w:p>
    <w:p>
      <w:pPr>
        <w:pStyle w:val="Style28"/>
        <w:keepNext w:val="0"/>
        <w:keepLines w:val="0"/>
        <w:widowControl w:val="0"/>
        <w:shd w:val="clear" w:color="auto" w:fill="auto"/>
        <w:tabs>
          <w:tab w:pos="674" w:val="left"/>
        </w:tabs>
        <w:bidi w:val="0"/>
        <w:spacing w:before="0" w:after="0" w:line="360" w:lineRule="auto"/>
        <w:ind w:left="0" w:right="0"/>
        <w:jc w:val="left"/>
      </w:pPr>
      <w:bookmarkStart w:id="75" w:name="bookmark75"/>
      <w:r>
        <w:rPr>
          <w:rFonts w:ascii="Times New Roman" w:eastAsia="Times New Roman" w:hAnsi="Times New Roman" w:cs="Times New Roman"/>
          <w:b/>
          <w:bCs/>
          <w:color w:val="000000"/>
          <w:spacing w:val="0"/>
          <w:w w:val="100"/>
          <w:position w:val="0"/>
          <w:sz w:val="18"/>
          <w:szCs w:val="18"/>
        </w:rPr>
        <w:t>4</w:t>
      </w:r>
      <w:bookmarkEnd w:id="75"/>
      <w:r>
        <w:rPr>
          <w:b/>
          <w:bCs/>
          <w:color w:val="000000"/>
          <w:spacing w:val="0"/>
          <w:w w:val="100"/>
          <w:position w:val="0"/>
        </w:rPr>
        <w:t>、</w:t>
        <w:tab/>
        <w:t>数据的安全流通共享</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围绕国家着力推动的数据要素市场流通，聚焦政务领域，面向政务数据共享交换和智慧政务数据安全开放，持续打造政 务大数据安全治理解决方案，整合生态提供数据分级分类、数据加密、数据追溯、数据泄露防护、数据安全评估等一系列服 务能力，解决政务数据安全共享和合规流通难题。开展数据共享安全管控、终端数据防泄漏、电子文件密级标志管理等产品 的研制。重点布局隐私计算技术，开展</w:t>
      </w:r>
      <w:r>
        <w:rPr>
          <w:rFonts w:ascii="Times New Roman" w:eastAsia="Times New Roman" w:hAnsi="Times New Roman" w:cs="Times New Roman"/>
          <w:color w:val="000000"/>
          <w:spacing w:val="0"/>
          <w:w w:val="100"/>
          <w:position w:val="0"/>
          <w:sz w:val="18"/>
          <w:szCs w:val="18"/>
        </w:rPr>
        <w:t>MPC</w:t>
      </w:r>
      <w:r>
        <w:rPr>
          <w:color w:val="000000"/>
          <w:spacing w:val="0"/>
          <w:w w:val="100"/>
          <w:position w:val="0"/>
        </w:rPr>
        <w:t>、</w:t>
      </w:r>
      <w:r>
        <w:rPr>
          <w:color w:val="000000"/>
          <w:spacing w:val="0"/>
          <w:w w:val="100"/>
          <w:position w:val="0"/>
        </w:rPr>
        <w:t>云上可验证计算、密码算法白盒实现等关键技术研究，着力在抗量子攻击密 码算法设计和商用密码算法加速实现等方面进行突破。积极参与国家密码领域标准化建设，牵头研究秘密分享、可搜索加密、 分组密码算法等国家和密码行业标准的制定和研究。</w:t>
      </w:r>
    </w:p>
    <w:p>
      <w:pPr>
        <w:pStyle w:val="Style28"/>
        <w:keepNext w:val="0"/>
        <w:keepLines w:val="0"/>
        <w:widowControl w:val="0"/>
        <w:shd w:val="clear" w:color="auto" w:fill="auto"/>
        <w:bidi w:val="0"/>
        <w:spacing w:before="0" w:after="100" w:line="312" w:lineRule="exact"/>
        <w:ind w:left="0" w:right="0"/>
        <w:jc w:val="left"/>
      </w:pPr>
      <w:r>
        <w:rPr>
          <w:color w:val="000000"/>
          <w:spacing w:val="0"/>
          <w:w w:val="100"/>
          <w:position w:val="0"/>
        </w:rPr>
        <w:t>积极参与政务领域内数据安全治理项目的建设，基于数据共享安全管控系统构建面向数据服务共享的数据应用平台，实 现数据资源的纵向贯通和横向互联，并结合人工智能技术，实现上万类政务数据的有序分级、全场景下数据流动的全过程追 溯、不同场景下数据的有效控制和防护，以及基于数据级别的安全防护策略的动态协同，实现不同场景下的数据安全共享、 数据开放、数据治理以及数据利用，并成都市完成业内首个全服务化的政务云数据安全治理项目的建设，表明在复杂的城市 级政务数据应用场景下，数据安全治理的可行性以及实现效果是良好的，对于其他城市级的数据安全治理有一定的参考价值。</w:t>
      </w:r>
    </w:p>
    <w:p>
      <w:pPr>
        <w:pStyle w:val="Style28"/>
        <w:keepNext w:val="0"/>
        <w:keepLines w:val="0"/>
        <w:widowControl w:val="0"/>
        <w:shd w:val="clear" w:color="auto" w:fill="auto"/>
        <w:tabs>
          <w:tab w:pos="674" w:val="left"/>
        </w:tabs>
        <w:bidi w:val="0"/>
        <w:spacing w:before="0" w:after="0" w:line="360" w:lineRule="auto"/>
        <w:ind w:left="0" w:right="0"/>
        <w:jc w:val="left"/>
      </w:pPr>
      <w:bookmarkStart w:id="76" w:name="bookmark76"/>
      <w:r>
        <w:rPr>
          <w:rFonts w:ascii="Times New Roman" w:eastAsia="Times New Roman" w:hAnsi="Times New Roman" w:cs="Times New Roman"/>
          <w:b/>
          <w:bCs/>
          <w:color w:val="000000"/>
          <w:spacing w:val="0"/>
          <w:w w:val="100"/>
          <w:position w:val="0"/>
          <w:sz w:val="18"/>
          <w:szCs w:val="18"/>
        </w:rPr>
        <w:t>5</w:t>
      </w:r>
      <w:bookmarkEnd w:id="76"/>
      <w:r>
        <w:rPr>
          <w:b/>
          <w:bCs/>
          <w:color w:val="000000"/>
          <w:spacing w:val="0"/>
          <w:w w:val="100"/>
          <w:position w:val="0"/>
        </w:rPr>
        <w:t>、</w:t>
        <w:tab/>
        <w:t>数据的业务应用安全</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全面对接公司的数据安全基础底座能力，致力于为用户提供内嵌安全属性和密码属性的应用，推出满足高安全用户需求 的通讯安全应用系列和文档安全管理系列产品，实现对用户应用数据交换和流动的安全防护。</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基于合规密码应用，打造橙讯安全即时通讯应用平台，构建可进行广泛生态链接的的安全通信沟通和移动办公入口应用平台， </w:t>
      </w:r>
      <w:r>
        <w:rPr>
          <w:color w:val="000000"/>
          <w:spacing w:val="0"/>
          <w:w w:val="100"/>
          <w:position w:val="0"/>
        </w:rPr>
        <w:t>构建以橙讯为核心的推出安全即时消息、安全语音电话和安全音视频会议等通讯安全应用系列产品，形成具有完善纵深防护 体系和常态化防护机制，具备物理环境检测、业务监测预警、攻防检验、重大事项保障面向高效沟通，协同工作、业务聚合 等的应用场景的体系化安全应用完整整体解决保护方案，有效解决用户移动办公场景下的数据安全问题。</w:t>
      </w:r>
    </w:p>
    <w:p>
      <w:pPr>
        <w:pStyle w:val="Style28"/>
        <w:keepNext w:val="0"/>
        <w:keepLines w:val="0"/>
        <w:widowControl w:val="0"/>
        <w:shd w:val="clear" w:color="auto" w:fill="auto"/>
        <w:bidi w:val="0"/>
        <w:spacing w:before="0" w:after="120" w:line="311" w:lineRule="exact"/>
        <w:ind w:left="0" w:right="0"/>
        <w:jc w:val="left"/>
      </w:pPr>
      <w:r>
        <w:rPr>
          <w:color w:val="000000"/>
          <w:spacing w:val="0"/>
          <w:w w:val="100"/>
          <w:position w:val="0"/>
        </w:rPr>
        <w:t>立足密码安全体系，围绕文件安全存储、管理、流转、协同、智能等方向，构筑新一代文件数字资产安全防护和应用服 务平台，形成覆盖多场景的文件安全管理系列产品与文档安全整体解决方案，保护非结构化数字资产安全，产品主要包括卫 士云盘，电子文档安全管理系统、打印刻录审计系统、电子文件发文隐写与溯源系统等。</w:t>
      </w:r>
    </w:p>
    <w:p>
      <w:pPr>
        <w:pStyle w:val="Style28"/>
        <w:keepNext w:val="0"/>
        <w:keepLines w:val="0"/>
        <w:widowControl w:val="0"/>
        <w:shd w:val="clear" w:color="auto" w:fill="auto"/>
        <w:bidi w:val="0"/>
        <w:spacing w:before="0" w:after="0" w:line="360" w:lineRule="auto"/>
        <w:ind w:left="0" w:right="0"/>
        <w:jc w:val="left"/>
      </w:pPr>
      <w:bookmarkStart w:id="77" w:name="bookmark77"/>
      <w:r>
        <w:rPr>
          <w:rFonts w:ascii="Times New Roman" w:eastAsia="Times New Roman" w:hAnsi="Times New Roman" w:cs="Times New Roman"/>
          <w:b/>
          <w:bCs/>
          <w:color w:val="000000"/>
          <w:spacing w:val="0"/>
          <w:w w:val="100"/>
          <w:position w:val="0"/>
          <w:sz w:val="18"/>
          <w:szCs w:val="18"/>
        </w:rPr>
        <w:t>6</w:t>
      </w:r>
      <w:bookmarkEnd w:id="77"/>
      <w:r>
        <w:rPr>
          <w:b/>
          <w:bCs/>
          <w:color w:val="000000"/>
          <w:spacing w:val="0"/>
          <w:w w:val="100"/>
          <w:position w:val="0"/>
        </w:rPr>
        <w:t>、数据的安全保障服务化</w:t>
      </w:r>
    </w:p>
    <w:p>
      <w:pPr>
        <w:pStyle w:val="Style28"/>
        <w:keepNext w:val="0"/>
        <w:keepLines w:val="0"/>
        <w:widowControl w:val="0"/>
        <w:shd w:val="clear" w:color="auto" w:fill="auto"/>
        <w:bidi w:val="0"/>
        <w:spacing w:before="0" w:after="380" w:line="311" w:lineRule="exact"/>
        <w:ind w:left="0" w:right="0"/>
        <w:jc w:val="left"/>
      </w:pPr>
      <w:r>
        <w:rPr>
          <w:color w:val="000000"/>
          <w:spacing w:val="0"/>
          <w:w w:val="100"/>
          <w:position w:val="0"/>
        </w:rPr>
        <w:t>公司对安全服务业务的对象、商业模式、服务内容以及技术支撑平台进一步论证，聚焦保障数据全生命周期的安全服务， 建立以数据为中心的全面整体的风险识别、弹性动态的安全防护、全时全域的威胁监测、高效及时的应急处置、统筹指挥的 运营管理的网络安全综合保障服务。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年围绕服务发展布局、基础设施建设、服务生态建设等资源分配，加大对安全运营 交付能力、攻防能力资源投入，安全服务能力进一步提升。完成北京安全运营中心的改造升级，进一步提升服务基础设施质 量效果；积极研发新一代网络安全服务产品，开发网络安全指挥平台、监测分析平台、安全运营平台、威胁情报平台等支撑 平台，打通数据壁垒；成立网络安全攻防实验室，进一步加强网络安全攻防能力储备和技术研究；积极拓展政府部委、中央 企业、地方国企等客户，扩展服务市场占有率，为业务及数据安全保驾护航。</w:t>
      </w:r>
    </w:p>
    <w:p>
      <w:pPr>
        <w:pStyle w:val="Style24"/>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三</w:t>
      </w:r>
      <w:bookmarkEnd w:id="80"/>
      <w:r>
        <w:rPr>
          <w:color w:val="000000"/>
          <w:spacing w:val="0"/>
          <w:w w:val="100"/>
          <w:position w:val="0"/>
        </w:rPr>
        <w:t>、核心竞争力分析</w:t>
      </w:r>
      <w:bookmarkEnd w:id="78"/>
      <w:bookmarkEnd w:id="79"/>
      <w:bookmarkEnd w:id="81"/>
    </w:p>
    <w:p>
      <w:pPr>
        <w:pStyle w:val="Style28"/>
        <w:keepNext w:val="0"/>
        <w:keepLines w:val="0"/>
        <w:widowControl w:val="0"/>
        <w:shd w:val="clear" w:color="auto" w:fill="auto"/>
        <w:bidi w:val="0"/>
        <w:spacing w:before="0" w:after="0" w:line="312"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一）持续领先的核心技术能力与创新能力</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算法研究能力：在内部，公司拥有研究院、摩石实验室等科技创新团队，整合国内知名密码领域专家学者资源，开展以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系统密码宣发需求、抗泄露密码、后量子密码以及商用密码基础理论、前沿技术研究，并积极参与国家相关密码和安全 技术标准的制定；在外部，公司与外部高校、科研院所成立联合创新机构，如可信云计算与大数据四川省重点实验室、国信 卫士研究院以及整合产、学、研、多方资源打造的各类联合实验室，在公司现有产品和服务体系基础上，不断加大在信息技 术应用创新、工业控制、可信计算、隐私计算、密码基础前沿研究及应用等领域的科技创新投入，突破掌握密码和网络安全 的核心技术和前沿技术，形成了超过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项科技创新成果，具备一流的密码和安全算法设计研究能力，为公司持续的技术创 新提供强有力的保障。</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密码服务能力：密码服务提供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的赋能型服务模式，通过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一个服务平台、一套技术体系、一套管理制度、一 种交付模式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简化密码应用难度。在政务密码应用场景中，以密码服务平台为核心产品，以监管平台和运营平台为管理运维 工具，提供标准化、规范化的密码服务能力。在政务云标杆项目中，不仅解决了密码行业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的痛点，还配合地方大数 据局打造了以地方政务商用密码应用标准，通过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统一规划、统一监管、一体化建设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的形式，建成了全国首个省市一体化的 密码服务平台。同时，基于标准的密码服务交付模式，赋能地方信息化产业平台，联营共建运营密码服务业务。在互联网密 码应用场景中，围绕互联网应用和公有云上用户的数据安全需求，公司与大型公有云和互联网应用厂商合作构建了第三方在 线密码服务。</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安全服务能力：公司的安全服务平台聚合行业生态，构建起多维度的安全服务能力，通过提供体系联动的安全策略、弹 性动态的系统防护、攻防博弈的渗透检测、高效及时的响应处置，实现安全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与安全保障整体能力交付。</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攻防对抗能力：持续有效地进行威胁监控、分析研判、应急响应、溯源反制、事件上报等网络攻防演练保障工作，公司加大 对攻防能力的资源投入，成立了网络安全攻防实验室，进一步加强网络安全攻防能力储备和技术研究。报告期内，公司助力 大型央企在网络安全演练中取得优异成绩。</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共性安全能力：公司进一步构建了统一硬件平台和共性软件平台，汇聚基础安全能力，构建起安全、可靠、灵活的平台 共享基础设施，对共性安全能力进行统一编排、统一调用、统一管理，能够支撑技术能力和产品资源的泛在连接、弹性供给 和高效配置。</w:t>
      </w:r>
    </w:p>
    <w:p>
      <w:pPr>
        <w:pStyle w:val="Style28"/>
        <w:keepNext w:val="0"/>
        <w:keepLines w:val="0"/>
        <w:widowControl w:val="0"/>
        <w:shd w:val="clear" w:color="auto" w:fill="auto"/>
        <w:bidi w:val="0"/>
        <w:spacing w:before="0" w:after="0" w:line="312"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二）具有强大的密码和安全芯片设计能力</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公司下属嘉微公司，专业从事信息安全与通信保密系统相关的安全芯片设计，具备强大的密码及安全算法产品支撑能力 以及完善的安全芯片产品体系，产品覆盖高性能安全芯片、低功耗安全芯片、嵌入式安全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等三大芯片系列，覆盖商用密 码、移动互联网安全、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安全、物联网安全、云计算与大数据安全、工控安全、态势感知七大商用密码领域，能够为公司 </w:t>
      </w:r>
      <w:r>
        <w:rPr>
          <w:color w:val="000000"/>
          <w:spacing w:val="0"/>
          <w:w w:val="100"/>
          <w:position w:val="0"/>
        </w:rPr>
        <w:t>构建国产化、泛在化的数据安全产品体系提供坚实的基础支撑。</w:t>
      </w:r>
    </w:p>
    <w:p>
      <w:pPr>
        <w:pStyle w:val="Style28"/>
        <w:keepNext w:val="0"/>
        <w:keepLines w:val="0"/>
        <w:widowControl w:val="0"/>
        <w:shd w:val="clear" w:color="auto" w:fill="auto"/>
        <w:tabs>
          <w:tab w:pos="813" w:val="left"/>
        </w:tabs>
        <w:bidi w:val="0"/>
        <w:spacing w:before="0" w:after="0" w:line="312"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三）</w:t>
        <w:tab/>
        <w:t>与业务应用场景深度融合的安全技术方案能力</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公司已建立全国一体化技术咨询服务体系和覆盖基础安全、网络安全、数据安全、安全应用、安全服务五大业务的咨询 专家体系。并以密码为核心，围绕五大业务方向，面向党政、政法、军工、金融、交通、能源等行业发布了一系列行业级解 决方案。通过紧跟政策走向、感知业务变化和技术融合更新，持续为客户提供更贴近业务需求的咨询与方案服务。</w:t>
      </w:r>
    </w:p>
    <w:p>
      <w:pPr>
        <w:pStyle w:val="Style28"/>
        <w:keepNext w:val="0"/>
        <w:keepLines w:val="0"/>
        <w:widowControl w:val="0"/>
        <w:shd w:val="clear" w:color="auto" w:fill="auto"/>
        <w:tabs>
          <w:tab w:pos="813" w:val="left"/>
        </w:tabs>
        <w:bidi w:val="0"/>
        <w:spacing w:before="0" w:after="0" w:line="312" w:lineRule="exact"/>
        <w:ind w:left="0" w:right="0"/>
        <w:jc w:val="both"/>
      </w:pPr>
      <w:bookmarkStart w:id="85" w:name="bookmark85"/>
      <w:r>
        <w:rPr>
          <w:b/>
          <w:bCs/>
          <w:color w:val="000000"/>
          <w:spacing w:val="0"/>
          <w:w w:val="100"/>
          <w:position w:val="0"/>
        </w:rPr>
        <w:t>（</w:t>
      </w:r>
      <w:bookmarkEnd w:id="85"/>
      <w:r>
        <w:rPr>
          <w:b/>
          <w:bCs/>
          <w:color w:val="000000"/>
          <w:spacing w:val="0"/>
          <w:w w:val="100"/>
          <w:position w:val="0"/>
        </w:rPr>
        <w:t>四）</w:t>
        <w:tab/>
        <w:t>以客户为中心的产品和服务专业交付能力</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公司基于二十余年的产品和服务管理经验和项目实践，以强大的产品方案整合能力，依托业界领先的服务交付平台，建 立了覆盖全国的网格化交付服务体系，拥有一支以客户为中心，技术过硬、具备攻坚克难能力的专业交付团队。团队在密码 测评、密码和安全服务、网络攻防演练等专业技术方向领域持续提升能力，形成了高质量的交付标准，为用户提供优质的交 付服务奠定坚实的基础，得到了用户的一致好评。</w:t>
      </w:r>
    </w:p>
    <w:p>
      <w:pPr>
        <w:pStyle w:val="Style28"/>
        <w:keepNext w:val="0"/>
        <w:keepLines w:val="0"/>
        <w:widowControl w:val="0"/>
        <w:shd w:val="clear" w:color="auto" w:fill="auto"/>
        <w:tabs>
          <w:tab w:pos="813" w:val="left"/>
        </w:tabs>
        <w:bidi w:val="0"/>
        <w:spacing w:before="0" w:after="0" w:line="312" w:lineRule="exact"/>
        <w:ind w:left="0" w:right="0"/>
        <w:jc w:val="both"/>
      </w:pPr>
      <w:bookmarkStart w:id="86" w:name="bookmark86"/>
      <w:r>
        <w:rPr>
          <w:b/>
          <w:bCs/>
          <w:color w:val="000000"/>
          <w:spacing w:val="0"/>
          <w:w w:val="100"/>
          <w:position w:val="0"/>
        </w:rPr>
        <w:t>（</w:t>
      </w:r>
      <w:bookmarkEnd w:id="86"/>
      <w:r>
        <w:rPr>
          <w:b/>
          <w:bCs/>
          <w:color w:val="000000"/>
          <w:spacing w:val="0"/>
          <w:w w:val="100"/>
          <w:position w:val="0"/>
        </w:rPr>
        <w:t>五）</w:t>
        <w:tab/>
        <w:t>持续优化、不断增长的业务发展规模</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公司持续保持在党政、军工、金融、能源等重点行业的优势地位，积极拓展安全服务、数据安全等新业务领域，实现公 司业务发展模式的多元化。并通过积极参与国家发改委、工信部、科技部等部委及省市的重点专项政策制定，承担国家级重 大技术攻关及产业化项目以及国家、省部委重点新产品、重点技术创新科研项目，持续优化公司业务布局，为公司可持续、 规模化发展奠定基础。</w:t>
      </w:r>
    </w:p>
    <w:p>
      <w:pPr>
        <w:pStyle w:val="Style28"/>
        <w:keepNext w:val="0"/>
        <w:keepLines w:val="0"/>
        <w:widowControl w:val="0"/>
        <w:shd w:val="clear" w:color="auto" w:fill="auto"/>
        <w:tabs>
          <w:tab w:pos="813" w:val="left"/>
        </w:tabs>
        <w:bidi w:val="0"/>
        <w:spacing w:before="0" w:after="0" w:line="312" w:lineRule="exact"/>
        <w:ind w:left="0" w:right="0"/>
        <w:jc w:val="both"/>
      </w:pPr>
      <w:bookmarkStart w:id="87" w:name="bookmark87"/>
      <w:r>
        <w:rPr>
          <w:b/>
          <w:bCs/>
          <w:color w:val="000000"/>
          <w:spacing w:val="0"/>
          <w:w w:val="100"/>
          <w:position w:val="0"/>
        </w:rPr>
        <w:t>（</w:t>
      </w:r>
      <w:bookmarkEnd w:id="87"/>
      <w:r>
        <w:rPr>
          <w:b/>
          <w:bCs/>
          <w:color w:val="000000"/>
          <w:spacing w:val="0"/>
          <w:w w:val="100"/>
          <w:position w:val="0"/>
        </w:rPr>
        <w:t>六）</w:t>
        <w:tab/>
        <w:t>稳定的人才团队优势</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公司具有稳定的高素质人才队伍，持续开展网络安全核心人才挖掘和培养，拥有人力资源和社会保障部认定的企业博士 后科研工作站。报告期内，公司完成限制性股票长期激励计划首期授予，对稳定公司核心人才和骨干团队起到突出作用。同 时，公司引进、培养了一批面向新基建等热点领域的技术和管理人才，建立了稳定的技术技术研发、总体规划、营销策划等 核心人才后备团队。</w:t>
      </w:r>
    </w:p>
    <w:p>
      <w:pPr>
        <w:pStyle w:val="Style28"/>
        <w:keepNext w:val="0"/>
        <w:keepLines w:val="0"/>
        <w:widowControl w:val="0"/>
        <w:shd w:val="clear" w:color="auto" w:fill="auto"/>
        <w:tabs>
          <w:tab w:pos="813" w:val="left"/>
        </w:tabs>
        <w:bidi w:val="0"/>
        <w:spacing w:before="0" w:after="0" w:line="312" w:lineRule="exact"/>
        <w:ind w:left="0" w:right="0"/>
        <w:jc w:val="both"/>
      </w:pPr>
      <w:bookmarkStart w:id="88" w:name="bookmark88"/>
      <w:r>
        <w:rPr>
          <w:b/>
          <w:bCs/>
          <w:color w:val="000000"/>
          <w:spacing w:val="0"/>
          <w:w w:val="100"/>
          <w:position w:val="0"/>
        </w:rPr>
        <w:t>（</w:t>
      </w:r>
      <w:bookmarkEnd w:id="88"/>
      <w:r>
        <w:rPr>
          <w:b/>
          <w:bCs/>
          <w:color w:val="000000"/>
          <w:spacing w:val="0"/>
          <w:w w:val="100"/>
          <w:position w:val="0"/>
        </w:rPr>
        <w:t>七）</w:t>
        <w:tab/>
        <w:t>值得信赖的企业品牌形象</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公司是中国电科的三级成员单位，具有值得客户信赖的央企背景，具备雄厚的技术实力、创新能力和资本运作能力，在 支撑国家网络安全战略和赢得关键领域客户顶层信任方面具有天然的优势。公司持续参与北京奥运会、冬奥会、杭州</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 会、上海世博会、抗击新冠疫情应急指挥等国家重大活动及事件的安全保障任务，切实肩负起了保障社会公共安全的责任。</w:t>
      </w:r>
    </w:p>
    <w:p>
      <w:pPr>
        <w:pStyle w:val="Style24"/>
        <w:keepNext/>
        <w:keepLines/>
        <w:widowControl w:val="0"/>
        <w:shd w:val="clear" w:color="auto" w:fill="auto"/>
        <w:bidi w:val="0"/>
        <w:spacing w:before="0" w:after="3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四</w:t>
      </w:r>
      <w:bookmarkEnd w:id="91"/>
      <w:r>
        <w:rPr>
          <w:color w:val="000000"/>
          <w:spacing w:val="0"/>
          <w:w w:val="100"/>
          <w:position w:val="0"/>
        </w:rPr>
        <w:t>、主营业务分析</w:t>
      </w:r>
      <w:bookmarkEnd w:id="89"/>
      <w:bookmarkEnd w:id="90"/>
      <w:bookmarkEnd w:id="92"/>
    </w:p>
    <w:p>
      <w:pPr>
        <w:pStyle w:val="Style32"/>
        <w:keepNext/>
        <w:keepLines/>
        <w:widowControl w:val="0"/>
        <w:shd w:val="clear" w:color="auto" w:fill="auto"/>
        <w:bidi w:val="0"/>
        <w:spacing w:before="0" w:after="24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、概述</w:t>
      </w:r>
      <w:bookmarkEnd w:id="93"/>
      <w:bookmarkEnd w:id="94"/>
      <w:bookmarkEnd w:id="96"/>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公司作为中国电子科技集团有限公司（以下简称：中国电科）网络安全版块的核心产业平台和资本运作平台、中国网安 的民品产业平台，紧密围绕国家网络安全新格局，坚持高质量发展、坚持自主创新，充分发挥公司作为中国电科网络安全业 务板块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产业发展主阵地、资产保值增值主力军、对外投融资的主渠道、体制机制创新的主平台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的作用，践行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护航数字中 国、守卫智慧社会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的使命担当，打造成为密码产业主力军，安全服务引领者，数据安全国家战略科技力量。</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数据作为生产要素，安全是数字经济发展的前提，而密码是保障数据安全的核心。要保障数据安全，就需要构建以密码 为基础的安全底座、提升数据安全整体保护效能。报告期内，公司致力于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构建数字经济时代的数字安全底座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以密 码为核心的数据智能安全服务商匚密码作为数据安全的核心技术基础支撑，通过加密保护和安全认证两大核心功能，可以 完整实现防假冒、防泄密、防篡改、抗抵赖等安全需求，保障数字经济发展、关键信息基础设施领域、重要信息系统、企业 数字化转型过程中的数据安全；数据驱动安全，围绕数据在采集、传输、存储、使用、共享、销毁等全生命周期的活动提供 安全防护，深度挖掘数据价值，对数据的采集存储、开发应用、规范管理进行能力提升；人工智能赋能安全，基于数字经济 时代网络重构和边界模糊化的挑战特点，加强对人工智能算法合规性、智能系统本身防攻击能力的建设，利用智能化技术提 供数据价值和风险评估、安全风险识别和监控等动态防御能力；安全服务支撑，打造以数据为驱动的智能化安全体系，实现 服务在线化、流程标准化、能力工具化与人员层次化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提供常态化，体系化，实战化的安全服务。</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 xml:space="preserve">报告期内，公司以数据安全业务为核心，重点加强以密码为核心的数据分类保护、安全监管治理、安全共享利用等数据 安全技术研究和产品研制，突破隐私计算、人工智能等核心技术，探索数据共享流通新模式，积极构建数据治理新生态。大 </w:t>
      </w:r>
      <w:r>
        <w:rPr>
          <w:color w:val="000000"/>
          <w:spacing w:val="0"/>
          <w:w w:val="100"/>
          <w:position w:val="0"/>
        </w:rPr>
        <w:t>力发展基础安全业务，打造数据的密码基础算力，以芯片、软模块等产品为载体，针对金融、政务、电信、交通等关键基础 设施行业的数据安全保护需求，推动密码在行业中的深度渗透及应用，实现密码在行业应用中的泛在化。全力发展网络安全 业务，提升数据的安全防护能力，加速推动密码与国产基础软硬件的深度融合，建立以自主产品为核心的集约、高效的关键 基础设施安全防护体系，输出数据治理能力和安全保障能力。重点发展安全应用业务，打造基于数据的安全业务应用系统， 支撑不同类型、不同地域间的数据汇聚、互联互通和共享应用，保障数据产生、流转、存储与销毁全流程的数据安全。聚力 开拓安全服务业务，通过体系联动的安全策略、弹性动态的系统防护、高效及时的响应处置服务，推动安全服务模式的服务 化转型，实现体系化数据安全和网络安全能力交付。</w:t>
      </w:r>
    </w:p>
    <w:p>
      <w:pPr>
        <w:pStyle w:val="Style28"/>
        <w:keepNext w:val="0"/>
        <w:keepLines w:val="0"/>
        <w:widowControl w:val="0"/>
        <w:shd w:val="clear" w:color="auto" w:fill="auto"/>
        <w:tabs>
          <w:tab w:pos="659" w:val="left"/>
        </w:tabs>
        <w:bidi w:val="0"/>
        <w:spacing w:before="0" w:after="0" w:line="360" w:lineRule="auto"/>
        <w:ind w:left="0" w:right="0"/>
        <w:jc w:val="both"/>
      </w:pPr>
      <w:bookmarkStart w:id="97" w:name="bookmark97"/>
      <w:r>
        <w:rPr>
          <w:rFonts w:ascii="Times New Roman" w:eastAsia="Times New Roman" w:hAnsi="Times New Roman" w:cs="Times New Roman"/>
          <w:b/>
          <w:bCs/>
          <w:color w:val="000000"/>
          <w:spacing w:val="0"/>
          <w:w w:val="100"/>
          <w:position w:val="0"/>
          <w:sz w:val="18"/>
          <w:szCs w:val="18"/>
        </w:rPr>
        <w:t>1</w:t>
      </w:r>
      <w:bookmarkEnd w:id="97"/>
      <w:r>
        <w:rPr>
          <w:b/>
          <w:bCs/>
          <w:color w:val="000000"/>
          <w:spacing w:val="0"/>
          <w:w w:val="100"/>
          <w:position w:val="0"/>
        </w:rPr>
        <w:t>、</w:t>
        <w:tab/>
        <w:t>安全芯片泛在化应用进一步拓展</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报告期内，公司不断升级密码基础算力，完成</w:t>
      </w:r>
      <w:r>
        <w:rPr>
          <w:rFonts w:ascii="Times New Roman" w:eastAsia="Times New Roman" w:hAnsi="Times New Roman" w:cs="Times New Roman"/>
          <w:color w:val="000000"/>
          <w:spacing w:val="0"/>
          <w:w w:val="100"/>
          <w:position w:val="0"/>
          <w:sz w:val="18"/>
          <w:szCs w:val="18"/>
        </w:rPr>
        <w:t>40Gbps</w:t>
      </w:r>
      <w:r>
        <w:rPr>
          <w:color w:val="000000"/>
          <w:spacing w:val="0"/>
          <w:w w:val="100"/>
          <w:position w:val="0"/>
        </w:rPr>
        <w:t>高性能安全芯片设计验证，建立了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个型号涵盖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大平台的软件密 码模块体系产品，其中，</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平台的二级软模块为全国首次通过。面向新应用场景，实现低功耗安全芯片在物 联网终端的广泛应用，实现嵌入式安全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在党政、重点行业的融合应用。同时，加快向产业链上游发展，以芯片为基础， 推动密码技术和安全服务在关键信息基础设施行业的泛在化应用。</w:t>
      </w:r>
    </w:p>
    <w:p>
      <w:pPr>
        <w:pStyle w:val="Style28"/>
        <w:keepNext w:val="0"/>
        <w:keepLines w:val="0"/>
        <w:widowControl w:val="0"/>
        <w:shd w:val="clear" w:color="auto" w:fill="auto"/>
        <w:tabs>
          <w:tab w:pos="674" w:val="left"/>
        </w:tabs>
        <w:bidi w:val="0"/>
        <w:spacing w:before="0" w:after="0" w:line="360" w:lineRule="auto"/>
        <w:ind w:left="0" w:right="0"/>
        <w:jc w:val="both"/>
      </w:pPr>
      <w:bookmarkStart w:id="98" w:name="bookmark98"/>
      <w:r>
        <w:rPr>
          <w:rFonts w:ascii="Times New Roman" w:eastAsia="Times New Roman" w:hAnsi="Times New Roman" w:cs="Times New Roman"/>
          <w:b/>
          <w:bCs/>
          <w:color w:val="000000"/>
          <w:spacing w:val="0"/>
          <w:w w:val="100"/>
          <w:position w:val="0"/>
          <w:sz w:val="18"/>
          <w:szCs w:val="18"/>
        </w:rPr>
        <w:t>2</w:t>
      </w:r>
      <w:bookmarkEnd w:id="98"/>
      <w:r>
        <w:rPr>
          <w:b/>
          <w:bCs/>
          <w:color w:val="000000"/>
          <w:spacing w:val="0"/>
          <w:w w:val="100"/>
          <w:position w:val="0"/>
        </w:rPr>
        <w:t>、</w:t>
        <w:tab/>
        <w:t>车联网领域探索取得新突破</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持续加大对新业务新场景的探索力度。报告期内，公司以深厚的密码技术积淀为基础，作为主要的密码厂商参与各类密 码顶层专项的申报与试点建设工作，公司车联网商密应用示范项目入选工信部试点名单，实现了新领域的新突破。</w:t>
      </w:r>
    </w:p>
    <w:p>
      <w:pPr>
        <w:pStyle w:val="Style28"/>
        <w:keepNext w:val="0"/>
        <w:keepLines w:val="0"/>
        <w:widowControl w:val="0"/>
        <w:shd w:val="clear" w:color="auto" w:fill="auto"/>
        <w:tabs>
          <w:tab w:pos="674" w:val="left"/>
        </w:tabs>
        <w:bidi w:val="0"/>
        <w:spacing w:before="0" w:after="0" w:line="360" w:lineRule="auto"/>
        <w:ind w:left="0" w:right="0"/>
        <w:jc w:val="both"/>
      </w:pPr>
      <w:bookmarkStart w:id="99" w:name="bookmark99"/>
      <w:r>
        <w:rPr>
          <w:rFonts w:ascii="Times New Roman" w:eastAsia="Times New Roman" w:hAnsi="Times New Roman" w:cs="Times New Roman"/>
          <w:b/>
          <w:bCs/>
          <w:color w:val="000000"/>
          <w:spacing w:val="0"/>
          <w:w w:val="100"/>
          <w:position w:val="0"/>
          <w:sz w:val="18"/>
          <w:szCs w:val="18"/>
        </w:rPr>
        <w:t>3</w:t>
      </w:r>
      <w:bookmarkEnd w:id="99"/>
      <w:r>
        <w:rPr>
          <w:b/>
          <w:bCs/>
          <w:color w:val="000000"/>
          <w:spacing w:val="0"/>
          <w:w w:val="100"/>
          <w:position w:val="0"/>
        </w:rPr>
        <w:t>、</w:t>
        <w:tab/>
        <w:t>互联网个人信息保护标杆项目落地</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分类治理、多方信任、安全共享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的数据安全理念，面向互联网的个人数据、用户隐私、敏感数据防护等应用场景， 积极开展与数据拥有方、数据运营方的合作，打造数据安合规共享生态和数据流通应用新模式，报告期内，与世纪华通在游 戏数据领域落地了首个互联网游戏场景下的数据安全标杆项目。</w:t>
      </w:r>
    </w:p>
    <w:p>
      <w:pPr>
        <w:pStyle w:val="Style28"/>
        <w:keepNext w:val="0"/>
        <w:keepLines w:val="0"/>
        <w:widowControl w:val="0"/>
        <w:shd w:val="clear" w:color="auto" w:fill="auto"/>
        <w:tabs>
          <w:tab w:pos="674" w:val="left"/>
        </w:tabs>
        <w:bidi w:val="0"/>
        <w:spacing w:before="0" w:after="0" w:line="360" w:lineRule="auto"/>
        <w:ind w:left="0" w:right="0"/>
        <w:jc w:val="both"/>
      </w:pPr>
      <w:bookmarkStart w:id="100" w:name="bookmark100"/>
      <w:r>
        <w:rPr>
          <w:rFonts w:ascii="Times New Roman" w:eastAsia="Times New Roman" w:hAnsi="Times New Roman" w:cs="Times New Roman"/>
          <w:b/>
          <w:bCs/>
          <w:color w:val="000000"/>
          <w:spacing w:val="0"/>
          <w:w w:val="100"/>
          <w:position w:val="0"/>
          <w:sz w:val="18"/>
          <w:szCs w:val="18"/>
        </w:rPr>
        <w:t>4</w:t>
      </w:r>
      <w:bookmarkEnd w:id="100"/>
      <w:r>
        <w:rPr>
          <w:b/>
          <w:bCs/>
          <w:color w:val="000000"/>
          <w:spacing w:val="0"/>
          <w:w w:val="100"/>
          <w:position w:val="0"/>
        </w:rPr>
        <w:t>、</w:t>
        <w:tab/>
        <w:t>云密码服务项目产生良好示范效应</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进一步丰富密码服务平台的平台级产品能力、完善针对重点行业的场景化，通过为提供整合的密码资源、标准化应用接 口、易用的密码产品，以实现密码使用的合理合规为目的，围绕个人信息保护，提供第三方加密和典型密码应用服务，如密 码基础设施建设与运营、在线密码服务等。报告期内，公司建成全国首个省市一体化密码服务平台，并形成标杆示范效应， 向全国市场推广。</w:t>
      </w:r>
    </w:p>
    <w:p>
      <w:pPr>
        <w:pStyle w:val="Style28"/>
        <w:keepNext w:val="0"/>
        <w:keepLines w:val="0"/>
        <w:widowControl w:val="0"/>
        <w:shd w:val="clear" w:color="auto" w:fill="auto"/>
        <w:tabs>
          <w:tab w:pos="674" w:val="left"/>
        </w:tabs>
        <w:bidi w:val="0"/>
        <w:spacing w:before="0" w:after="0" w:line="360" w:lineRule="auto"/>
        <w:ind w:left="0" w:right="0"/>
        <w:jc w:val="both"/>
      </w:pPr>
      <w:bookmarkStart w:id="101" w:name="bookmark101"/>
      <w:r>
        <w:rPr>
          <w:rFonts w:ascii="Times New Roman" w:eastAsia="Times New Roman" w:hAnsi="Times New Roman" w:cs="Times New Roman"/>
          <w:b/>
          <w:bCs/>
          <w:color w:val="000000"/>
          <w:spacing w:val="0"/>
          <w:w w:val="100"/>
          <w:position w:val="0"/>
          <w:sz w:val="18"/>
          <w:szCs w:val="18"/>
        </w:rPr>
        <w:t>5</w:t>
      </w:r>
      <w:bookmarkEnd w:id="101"/>
      <w:r>
        <w:rPr>
          <w:b/>
          <w:bCs/>
          <w:color w:val="000000"/>
          <w:spacing w:val="0"/>
          <w:w w:val="100"/>
          <w:position w:val="0"/>
        </w:rPr>
        <w:t>、</w:t>
        <w:tab/>
        <w:t>高安全应用平台推广取得初步成效</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以橙讯为核心平台，形成了覆盖电子政务、公检法、金融、能源等重点行业的安全应用产品，针对安全通信、安全接入、 安全管控三大场景保障重要工作信息的安全传递。报告期内，公司全面提升橙讯产品的安全能力和亿级运营服务能力，已在 政务、电信运营商、中国电科等大型政企单位广泛应用，并逐步构建起基于商用密码技术为核心的国家级移动安全应用平台。</w:t>
      </w:r>
    </w:p>
    <w:p>
      <w:pPr>
        <w:pStyle w:val="Style28"/>
        <w:keepNext w:val="0"/>
        <w:keepLines w:val="0"/>
        <w:widowControl w:val="0"/>
        <w:shd w:val="clear" w:color="auto" w:fill="auto"/>
        <w:tabs>
          <w:tab w:pos="674" w:val="left"/>
        </w:tabs>
        <w:bidi w:val="0"/>
        <w:spacing w:before="0" w:after="0" w:line="360" w:lineRule="auto"/>
        <w:ind w:left="0" w:right="0"/>
        <w:jc w:val="both"/>
      </w:pPr>
      <w:bookmarkStart w:id="102" w:name="bookmark102"/>
      <w:r>
        <w:rPr>
          <w:rFonts w:ascii="Times New Roman" w:eastAsia="Times New Roman" w:hAnsi="Times New Roman" w:cs="Times New Roman"/>
          <w:b/>
          <w:bCs/>
          <w:color w:val="000000"/>
          <w:spacing w:val="0"/>
          <w:w w:val="100"/>
          <w:position w:val="0"/>
          <w:sz w:val="18"/>
          <w:szCs w:val="18"/>
        </w:rPr>
        <w:t>6</w:t>
      </w:r>
      <w:bookmarkEnd w:id="102"/>
      <w:r>
        <w:rPr>
          <w:b/>
          <w:bCs/>
          <w:color w:val="000000"/>
          <w:spacing w:val="0"/>
          <w:w w:val="100"/>
          <w:position w:val="0"/>
        </w:rPr>
        <w:t>、</w:t>
        <w:tab/>
        <w:t>新能源内生安全保障系统成功挂网应用</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公司与国电南自、华电广东积极合作，开展联合攻关，不断深化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碳达标、碳中和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下新能源网络安全体系建设，报告期 内，实现国内首套新能源集控商用密码内生安全保障系统成功挂网应用，解决了当前新能源领域因点多面广、设备离散等安 全风险导致的突出问题，填补了密码技术在新能源集控领域中的应用空白，形成了系统化、体系化的密码应用整体解决方案， 实现了密码保障与重要信息系统的同步规划、同步建设、同步运行，为新能源产业的发展提供坚实的安全保障。</w:t>
      </w:r>
    </w:p>
    <w:p>
      <w:pPr>
        <w:pStyle w:val="Style28"/>
        <w:keepNext w:val="0"/>
        <w:keepLines w:val="0"/>
        <w:widowControl w:val="0"/>
        <w:shd w:val="clear" w:color="auto" w:fill="auto"/>
        <w:tabs>
          <w:tab w:pos="674" w:val="left"/>
        </w:tabs>
        <w:bidi w:val="0"/>
        <w:spacing w:before="0" w:after="0" w:line="360" w:lineRule="auto"/>
        <w:ind w:left="0" w:right="0"/>
        <w:jc w:val="both"/>
      </w:pPr>
      <w:bookmarkStart w:id="103" w:name="bookmark103"/>
      <w:r>
        <w:rPr>
          <w:rFonts w:ascii="Times New Roman" w:eastAsia="Times New Roman" w:hAnsi="Times New Roman" w:cs="Times New Roman"/>
          <w:b/>
          <w:bCs/>
          <w:color w:val="000000"/>
          <w:spacing w:val="0"/>
          <w:w w:val="100"/>
          <w:position w:val="0"/>
          <w:sz w:val="18"/>
          <w:szCs w:val="18"/>
        </w:rPr>
        <w:t>7</w:t>
      </w:r>
      <w:bookmarkEnd w:id="103"/>
      <w:r>
        <w:rPr>
          <w:b/>
          <w:bCs/>
          <w:color w:val="000000"/>
          <w:spacing w:val="0"/>
          <w:w w:val="100"/>
          <w:position w:val="0"/>
        </w:rPr>
        <w:t>、</w:t>
        <w:tab/>
        <w:t>安全服务能力持续提升</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公司持续提升线上线下相结合的网络安全综合保障服务能力，推出功能持续完善的安全服务运营平台等平台化产品，通 过赋能客户的方式，面向政府和企事业单位客户提供专业化服务。报告期内，公司建成全国首个省市一体化密码服务平台， 并形成标杆示范效应，向全国市场推广。</w:t>
      </w:r>
    </w:p>
    <w:p>
      <w:pPr>
        <w:pStyle w:val="Style28"/>
        <w:keepNext w:val="0"/>
        <w:keepLines w:val="0"/>
        <w:widowControl w:val="0"/>
        <w:shd w:val="clear" w:color="auto" w:fill="auto"/>
        <w:tabs>
          <w:tab w:pos="674" w:val="left"/>
        </w:tabs>
        <w:bidi w:val="0"/>
        <w:spacing w:before="0" w:after="0" w:line="360" w:lineRule="auto"/>
        <w:ind w:left="0" w:right="0"/>
        <w:jc w:val="both"/>
      </w:pPr>
      <w:bookmarkStart w:id="104" w:name="bookmark104"/>
      <w:r>
        <w:rPr>
          <w:rFonts w:ascii="Times New Roman" w:eastAsia="Times New Roman" w:hAnsi="Times New Roman" w:cs="Times New Roman"/>
          <w:b/>
          <w:bCs/>
          <w:color w:val="000000"/>
          <w:spacing w:val="0"/>
          <w:w w:val="100"/>
          <w:position w:val="0"/>
          <w:sz w:val="18"/>
          <w:szCs w:val="18"/>
        </w:rPr>
        <w:t>8</w:t>
      </w:r>
      <w:bookmarkEnd w:id="104"/>
      <w:r>
        <w:rPr>
          <w:b/>
          <w:bCs/>
          <w:color w:val="000000"/>
          <w:spacing w:val="0"/>
          <w:w w:val="100"/>
          <w:position w:val="0"/>
        </w:rPr>
        <w:t>、</w:t>
        <w:tab/>
        <w:t>政务信任服务优势进一步巩固</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公司通过融合自有产品与技术能力，形成针对网络基础设施、移动互联网、信息系统等的通用解决方案，以及针对政务 信息系统典型应用场景的解决方案，其中，统一身份认证系统、信任服务系统、安全认证网关、零信任等系列产品与解决方 案产值稳步提升。</w:t>
      </w:r>
      <w:r>
        <w:br w:type="page"/>
      </w:r>
    </w:p>
    <w:p>
      <w:pPr>
        <w:pStyle w:val="Style32"/>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、收入与成本</w:t>
      </w:r>
      <w:bookmarkEnd w:id="105"/>
      <w:bookmarkEnd w:id="106"/>
      <w:bookmarkEnd w:id="108"/>
    </w:p>
    <w:p>
      <w:pPr>
        <w:pStyle w:val="Style37"/>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2,788,967,984.57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数据安全与网络安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2,788,967,984.57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安全芯片与模块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503,663,001.78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376,838,637.42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安全整机与系统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727,024,363.06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580,809,945.09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安全集成与服务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1,558,280,619.73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1,426,056,359.97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984,759,243.61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998,495,195.48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926,478,518.14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744,566,000.45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308,068,429.89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217,359,156.91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218,063,552.84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124,298,016.78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205,010,939.66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178,786,186.49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79,306,281.80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32,597,995.23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67,281,018.63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87,602,391.14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2,723,579,354.21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2,344,989,038.70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65,388,630.36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38,715,903.78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119" w:line="1" w:lineRule="exact"/>
      </w:pPr>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282,760,122.</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560,913,099.</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692,528,270.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1,252,766,49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59,030,952.5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374,170,653.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546,628,201.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1,403,875,13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-76,199,276.</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34,162,557.6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51,511,540.4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228,573,288.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-135,858,02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3,388,615.60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38,641,530.9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255,236,032.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8"/>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 xml:space="preserve">由于公司客户主要为政府机构、银行、国有大型企业等，这些客户一般一季度提交大宗采购计划及审批，二、三季度开 始招标、谈判及签订合同，四季度集中付款。因此，本公司在每年一季度销售相对较少，二季度销售开始持续增加，直到四 </w:t>
      </w:r>
      <w:r>
        <w:rPr>
          <w:color w:val="000000"/>
          <w:spacing w:val="0"/>
          <w:w w:val="100"/>
          <w:position w:val="0"/>
        </w:rPr>
        <w:t>季度达到峰值。公司针对销售季节性变化特征，积极与客户同步信息，排除障碍，突破瓶颈，推进项目验收，实现项目平稳 落地，本年季节性波动大幅缩小，未来收入趋于平稳的趋势将更加明显。</w:t>
      </w:r>
    </w:p>
    <w:p>
      <w:pPr>
        <w:pStyle w:val="Style37"/>
        <w:keepNext/>
        <w:keepLines/>
        <w:widowControl w:val="0"/>
        <w:shd w:val="clear" w:color="auto" w:fill="auto"/>
        <w:bidi w:val="0"/>
        <w:spacing w:before="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3"/>
      <w:bookmarkEnd w:id="114"/>
      <w:bookmarkEnd w:id="116"/>
    </w:p>
    <w:p>
      <w:pPr>
        <w:pStyle w:val="Style28"/>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60" w:line="28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数据安全与网络 安全行业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2,788,967,984.57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1,731,326,558.94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安全芯片与模块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503,663,001.78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220,809,701.22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安全整机与系统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727,024,363.06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247,645,207.83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安全集成与服务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1,558,280,619.73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1,262,871,649.89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984,759,243.61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588,070,484.94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926,478,518.14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563,543,488.95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308,068,429.89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194,183,283.07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7"/>
      <w:bookmarkEnd w:id="118"/>
      <w:bookmarkEnd w:id="12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1"/>
      <w:bookmarkEnd w:id="122"/>
      <w:bookmarkEnd w:id="12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850"/>
        <w:gridCol w:w="1416"/>
        <w:gridCol w:w="1416"/>
        <w:gridCol w:w="1421"/>
        <w:gridCol w:w="1416"/>
        <w:gridCol w:w="79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数据安全与网络安全行业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1,636,499,415.47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1,451,076,560.95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r>
    </w:tbl>
    <w:p>
      <w:pPr>
        <w:spacing w:lineRule="exact" w:line="1"/>
        <w:rPr>
          <w:sz w:val="2"/>
          <w:szCs w:val="2"/>
        </w:rPr>
      </w:pPr>
      <w:r>
        <w:br w:type="page"/>
      </w:r>
    </w:p>
    <w:tbl>
      <w:tblPr>
        <w:tblOverlap w:val="never"/>
        <w:jc w:val="center"/>
        <w:tblLayout w:type="fixed"/>
      </w:tblPr>
      <w:tblGrid>
        <w:gridCol w:w="2275"/>
        <w:gridCol w:w="850"/>
        <w:gridCol w:w="1416"/>
        <w:gridCol w:w="1416"/>
        <w:gridCol w:w="1421"/>
        <w:gridCol w:w="1416"/>
        <w:gridCol w:w="79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数据安全与网络安全行业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37,374,707.62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31,635,806.39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数据安全与网络安全行业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57,452,435.85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55,336,698.84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公司积极开拓市场，产品体系进一步完善，销售收入大幅增长，营业成本相应增长。</w:t>
      </w:r>
    </w:p>
    <w:p>
      <w:pPr>
        <w:pStyle w:val="Style28"/>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主营业务成本构成</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1,636,499,415.47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1,451,076,560.95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37,374,707.62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31,635,806.39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57,452,435.85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55,336,698.84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bl>
    <w:p>
      <w:pPr>
        <w:widowControl w:val="0"/>
        <w:spacing w:after="239" w:line="1" w:lineRule="exact"/>
      </w:pPr>
    </w:p>
    <w:p>
      <w:pPr>
        <w:pStyle w:val="Style37"/>
        <w:keepNext/>
        <w:keepLines/>
        <w:widowControl w:val="0"/>
        <w:shd w:val="clear" w:color="auto" w:fill="auto"/>
        <w:tabs>
          <w:tab w:pos="493" w:val="left"/>
        </w:tabs>
        <w:bidi w:val="0"/>
        <w:spacing w:before="0" w:line="322" w:lineRule="exact"/>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300" w:line="322" w:lineRule="exact"/>
        <w:ind w:left="0" w:right="0" w:firstLine="0"/>
        <w:jc w:val="left"/>
      </w:pPr>
      <w:r>
        <w:rPr>
          <w:color w:val="000000"/>
          <w:spacing w:val="0"/>
          <w:w w:val="100"/>
          <w:position w:val="0"/>
        </w:rPr>
        <w:t>报告期本公司合并范围较上年上期相比，减少</w:t>
      </w:r>
      <w:r>
        <w:rPr>
          <w:rFonts w:ascii="Times New Roman" w:eastAsia="Times New Roman" w:hAnsi="Times New Roman" w:cs="Times New Roman"/>
          <w:color w:val="000000"/>
          <w:spacing w:val="0"/>
          <w:w w:val="100"/>
          <w:position w:val="0"/>
        </w:rPr>
        <w:t>1</w:t>
      </w:r>
      <w:r>
        <w:rPr>
          <w:color w:val="000000"/>
          <w:spacing w:val="0"/>
          <w:w w:val="100"/>
          <w:position w:val="0"/>
        </w:rPr>
        <w:t>户：本期出售中电科（天津）网络信息安全有限公司</w:t>
      </w:r>
      <w:r>
        <w:rPr>
          <w:rFonts w:ascii="Times New Roman" w:eastAsia="Times New Roman" w:hAnsi="Times New Roman" w:cs="Times New Roman"/>
          <w:color w:val="000000"/>
          <w:spacing w:val="0"/>
          <w:w w:val="100"/>
          <w:position w:val="0"/>
        </w:rPr>
        <w:t xml:space="preserve">35% </w:t>
      </w:r>
      <w:r>
        <w:rPr>
          <w:color w:val="000000"/>
          <w:spacing w:val="0"/>
          <w:w w:val="100"/>
          <w:position w:val="0"/>
        </w:rPr>
        <w:t>股权，丧失控制权，不再纳入合并范围。</w:t>
      </w:r>
    </w:p>
    <w:p>
      <w:pPr>
        <w:pStyle w:val="Style37"/>
        <w:keepNext/>
        <w:keepLines/>
        <w:widowControl w:val="0"/>
        <w:shd w:val="clear" w:color="auto" w:fill="auto"/>
        <w:tabs>
          <w:tab w:pos="493" w:val="left"/>
        </w:tabs>
        <w:bidi w:val="0"/>
        <w:spacing w:before="0" w:line="322" w:lineRule="exact"/>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22" w:lineRule="exact"/>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893,999,043.82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527,815,373.88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124,470,501.94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101,854,710.99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72,722,740.20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67,135,716.81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893,999,043.82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r>
        <w:br w:type="page"/>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第一名与公司受同一控股股东中国网安控制，是公司的关联方。</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354,125,428.45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116,194,830.29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86,643,127.68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62,065,151.73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47,689,104.46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41,533,214.29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354,125,428.45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第一名与公司受同一控股股东中国网安控制，是公司的关联方。</w:t>
      </w:r>
    </w:p>
    <w:p>
      <w:pPr>
        <w:pStyle w:val="Style32"/>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333,315,307.54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274,228,766.90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168,469,816.67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157,745,639.08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-11,351,080.78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-25,262,119.96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282,925,506.16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247,594,767.24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2126"/>
        <w:gridCol w:w="2266"/>
        <w:gridCol w:w="2270"/>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预计对公司未来发展的 影响</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商密芯片系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从嵌入式安全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w:t>
            </w:r>
            <w:r>
              <w:rPr>
                <w:color w:val="000000"/>
                <w:spacing w:val="0"/>
                <w:w w:val="100"/>
                <w:position w:val="0"/>
              </w:rPr>
              <w:t>高性能 安全芯片等技术路线上形 成丰富的芯片产品谱系。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龙芯嵌入式安全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已完成</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款产品研制；高性能商密安 全芯片已完成设计验证。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形成完善的芯片产品谱系， 支撑全系列密码产品的研 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芯片作为密码产品和安 全产品的基础，在降低 产品成本，提升产品性 能、增强产品安全性方 面具有重要作用。</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密码模块系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研制硬件密码模块和软件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高安全高性能硬件密码卡正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形成完善的密码模块产品谱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支撑公司密码产品和安</w:t>
            </w:r>
          </w:p>
        </w:tc>
      </w:tr>
    </w:tbl>
    <w:p>
      <w:pPr>
        <w:spacing w:lineRule="exact" w:line="1"/>
        <w:rPr>
          <w:sz w:val="2"/>
          <w:szCs w:val="2"/>
        </w:rPr>
      </w:pPr>
      <w:r>
        <w:br w:type="page"/>
      </w:r>
    </w:p>
    <w:tbl>
      <w:tblPr>
        <w:tblOverlap w:val="never"/>
        <w:jc w:val="center"/>
        <w:tblLayout w:type="fixed"/>
      </w:tblPr>
      <w:tblGrid>
        <w:gridCol w:w="998"/>
        <w:gridCol w:w="2126"/>
        <w:gridCol w:w="2266"/>
        <w:gridCol w:w="2270"/>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 影响</w:t>
            </w:r>
          </w:p>
        </w:tc>
      </w:tr>
      <w:tr>
        <w:trPr>
          <w:trHeight w:val="129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密码模块，满足不同应用场 景需求。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在国家主管部门测评；软密 码模块已完成包括</w:t>
            </w:r>
            <w:r>
              <w:rPr>
                <w:rFonts w:ascii="Times New Roman" w:eastAsia="Times New Roman" w:hAnsi="Times New Roman" w:cs="Times New Roman"/>
                <w:color w:val="000000"/>
                <w:spacing w:val="0"/>
                <w:w w:val="100"/>
                <w:position w:val="0"/>
                <w:sz w:val="18"/>
                <w:szCs w:val="18"/>
              </w:rPr>
              <w:t xml:space="preserve">Windows </w:t>
            </w:r>
            <w:r>
              <w:rPr>
                <w:color w:val="000000"/>
                <w:spacing w:val="0"/>
                <w:w w:val="100"/>
                <w:position w:val="0"/>
              </w:rPr>
              <w:t>在内的全平台适配，并通过 二级测评。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系，支撑全系列密码产品的 研制。</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全产品的研制，实现密 码性能指标国内领先。</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密码服务平 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实现密钥管理服务、证书管 理服务和密码计算服务等 密码服务的统一提供，和密 码资源的统一管理。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已完成与鲲鹏、</w:t>
            </w:r>
            <w:r>
              <w:rPr>
                <w:rFonts w:ascii="Times New Roman" w:eastAsia="Times New Roman" w:hAnsi="Times New Roman" w:cs="Times New Roman"/>
                <w:color w:val="000000"/>
                <w:spacing w:val="0"/>
                <w:w w:val="100"/>
                <w:position w:val="0"/>
                <w:sz w:val="18"/>
                <w:szCs w:val="18"/>
              </w:rPr>
              <w:t>UOS</w:t>
            </w:r>
            <w:r>
              <w:rPr>
                <w:color w:val="000000"/>
                <w:spacing w:val="0"/>
                <w:w w:val="100"/>
                <w:position w:val="0"/>
              </w:rPr>
              <w:t>的适配 互认、</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多个应用适配，后 续拟完善场景化能力，提升 产品的安全性、可靠性、易 用性、易集成性、可运维性 等产品化水平。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通过打造一款具备服务化、 场景化，易于业务系统快速 对接集成，能实现密码服务 按需获取，弹性扩展的密码 服务能力平台，进一步提升 公司密码服务能力。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整合公司密码能力，支 持公司安全服务化战 略。</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统一身份认 证系统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研制一款能提供基于多种 认证方式，具有身份管理、 安全身份认证、访问控制以 及单点登录等核心功能的 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化服务功能升级 改造，完成单一网络，隔离 跨网以及上下级层级网络环 境下的支持能力升级改造。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与公司网络安全其他产品形 成整体解决方案，能够在政 企、各行业为用户提供满足 信创、等保以及密评等要求 综合能力。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完善网络安全产品谱 系，增强公司在商密 </w:t>
            </w:r>
            <w:r>
              <w:rPr>
                <w:rFonts w:ascii="Times New Roman" w:eastAsia="Times New Roman" w:hAnsi="Times New Roman" w:cs="Times New Roman"/>
                <w:color w:val="000000"/>
                <w:spacing w:val="0"/>
                <w:w w:val="100"/>
                <w:position w:val="0"/>
                <w:sz w:val="18"/>
                <w:szCs w:val="18"/>
              </w:rPr>
              <w:t>IAM</w:t>
            </w:r>
            <w:r>
              <w:rPr>
                <w:color w:val="000000"/>
                <w:spacing w:val="0"/>
                <w:w w:val="100"/>
                <w:position w:val="0"/>
              </w:rPr>
              <w:t>领域的市场竞争 力。</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安全网</w:t>
            </w:r>
          </w:p>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研制国产化以及非国产化 全系列产品产品，强化产品 在云环境下适用的能力。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完成国产化平台和非国产平 台多个系列产品的发布，完 成云</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产品研制。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完善产品谱系，形成国产化 和非国产化系列产品，并形 成针对不同行业、不同应用 场景的解决方案。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通过产品的系列化和国 产化，形成差异化竞争 能力，提升公司在网络 安全产品市场的占有 率。</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安全运行监</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提供专业的安全合规监管 服务，增强对网络运行状况 的安全态势感知和综合掌 控能力，提升对全网各类设 备的综合运行监管和动态 安全管控能力。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产品已具备安全风险预防、 合规风险在线监测、安全事 件处置、安全策略调整、追 溯安全威胁来源、辅助领导 决策指挥等功能；已在最高 法部署并完成产品验收。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打造可用于党政、专用云、 新能源等行业的安全合规监 管平台、安全态势感知平台、 安全运行管控平台，成为安 全合规监管的抓手性工具。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通过占据党政等重要市 场，扩大公司品牌形象， 提升公司在网络安全板 块里的产品竞争力。</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橙讯安全即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时通信系统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研制具备加密音视频会议、 加密邮件功能，支持第三方 应用集成能力的安全即时 通讯和移动办公协作平台。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产品功能逐步完善，已能提 供面向党政军企客户的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化服务，并支持私有 化部署方式。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国家可控、组织可信、 平台可靠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的国家级平台，服 务党政军企等重要客户，形 成企业安全应用生态圈。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提升公司国家级移动互 联网安全应用服务能 力，实现公司营收和用 户规模的跨越式发展。</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敏感数据发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现与分级系</w:t>
            </w:r>
          </w:p>
          <w:p>
            <w:pPr>
              <w:pStyle w:val="Style21"/>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研制具有多源异构数据精 准发现，敏感数据智能化分 级分类，数据内外流动全面 监测和追溯，数据资产安全 风险评估等功能的产品。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年度内完成多个版本迭代， 具备数据资产主动扫描，数 据的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分类分级，数据资产 访问追溯和风险评估等核心 能力。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面向数据分级防护要求，帮 助不同行业用户理清数据资 产，掌握敏感数据的分布和 访问情况，发现数据资产潜 在的安全风险和访问异常。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是公司数据安全产品体 系中的基础支撑产品， 也是数据安全服务重要 工具，支撑公司更好的 切入各行业数据安全服 务业务。</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安全服务运 营平台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针对公司安全服务需要提 供专用的安全运营平台，以 实现安全服务在线化的目 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已完成在线化安全服务交</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付、资产管理、安全产品运 维、租户安全中心、应急响 应通讯、安全管理等基础功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成为公司安全运营服务的重 要平台。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安全运营平台是公司向 服务化转型的关键产 品，是公司安全服务化 的具体承载平台。</w:t>
            </w:r>
          </w:p>
        </w:tc>
      </w:tr>
    </w:tbl>
    <w:p>
      <w:pPr>
        <w:spacing w:lineRule="exact" w:line="1"/>
        <w:rPr>
          <w:sz w:val="2"/>
          <w:szCs w:val="2"/>
        </w:rPr>
      </w:pPr>
      <w:r>
        <w:br w:type="page"/>
      </w:r>
    </w:p>
    <w:tbl>
      <w:tblPr>
        <w:tblOverlap w:val="never"/>
        <w:jc w:val="center"/>
        <w:tblLayout w:type="fixed"/>
      </w:tblPr>
      <w:tblGrid>
        <w:gridCol w:w="998"/>
        <w:gridCol w:w="2126"/>
        <w:gridCol w:w="2266"/>
        <w:gridCol w:w="2270"/>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 影响</w:t>
            </w:r>
          </w:p>
        </w:tc>
      </w:tr>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能的开发。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317,093,479.41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297,304,911.64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57,587,073.47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60,577,517.47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416"/>
        <w:gridCol w:w="3403"/>
        <w:gridCol w:w="34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密码基础服务 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17,311,721.48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实现密钥管理服务、证书管理服务和密码计 算服务等密码服务的统一提供，和密码资源 的统一管理。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已完成与鲲鹏、</w:t>
            </w:r>
            <w:r>
              <w:rPr>
                <w:rFonts w:ascii="Times New Roman" w:eastAsia="Times New Roman" w:hAnsi="Times New Roman" w:cs="Times New Roman"/>
                <w:color w:val="000000"/>
                <w:spacing w:val="0"/>
                <w:w w:val="100"/>
                <w:position w:val="0"/>
                <w:sz w:val="18"/>
                <w:szCs w:val="18"/>
              </w:rPr>
              <w:t>UOS</w:t>
            </w:r>
            <w:r>
              <w:rPr>
                <w:color w:val="000000"/>
                <w:spacing w:val="0"/>
                <w:w w:val="100"/>
                <w:position w:val="0"/>
              </w:rPr>
              <w:t>的适配互认、</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 应用适配，后续拟完善场景化能力，提升产 品的安全性、可靠性、易用性、易集成性、 可运维性等产品化水平。</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跨网跨域综合</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服务平台信任 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11,937,530.66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满足融合跨网数据交换场景需求，实现对跨 网交换场景中的用户的身份管理、用户访问 应用的授权、全网身份标识管理以及访问控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在试点项目进行先导平台产品的试用，后续 根据试用情况进行产品功能的完善。</w:t>
            </w:r>
          </w:p>
        </w:tc>
      </w:tr>
    </w:tbl>
    <w:p>
      <w:pPr>
        <w:spacing w:lineRule="exact" w:line="1"/>
        <w:rPr>
          <w:sz w:val="2"/>
          <w:szCs w:val="2"/>
        </w:rPr>
      </w:pPr>
      <w:r>
        <w:br w:type="page"/>
      </w:r>
    </w:p>
    <w:tbl>
      <w:tblPr>
        <w:tblOverlap w:val="never"/>
        <w:jc w:val="center"/>
        <w:tblLayout w:type="fixed"/>
      </w:tblPr>
      <w:tblGrid>
        <w:gridCol w:w="1282"/>
        <w:gridCol w:w="1416"/>
        <w:gridCol w:w="3403"/>
        <w:gridCol w:w="348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制的管理。</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安全服务运营 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7,602,234.14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项目按照</w:t>
            </w:r>
            <w:r>
              <w:rPr>
                <w:rFonts w:ascii="Times New Roman" w:eastAsia="Times New Roman" w:hAnsi="Times New Roman" w:cs="Times New Roman"/>
                <w:color w:val="000000"/>
                <w:spacing w:val="0"/>
                <w:w w:val="100"/>
                <w:position w:val="0"/>
                <w:sz w:val="18"/>
                <w:szCs w:val="18"/>
              </w:rPr>
              <w:t>"3+2+N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的整体平台规划（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：指 挥管理平台、安全运维平台、监测分析平台；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：资产管理平台和威胁情报平台；</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w:t>
            </w:r>
            <w:r>
              <w:rPr>
                <w:color w:val="000000"/>
                <w:spacing w:val="0"/>
                <w:w w:val="100"/>
                <w:position w:val="0"/>
              </w:rPr>
              <w:t>其 他安全工具及支撑平台系统），面向客户提 供运营中心级的一体化安全运营服务。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已完成在线化安全服务交付、资产管理、安 全产品运维、租户安全中心、应急响应通讯、 安全管理等基础功能的开发，目前正在根据 安全服务需求进行更新和迭代。</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20,735,587.19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93"/>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4,130,386,152.00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3,107,681,824.03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3,449,519,803.56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2,479,392,720.74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680,866,348.44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628,289,103.29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1,188,645,053.36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1,639,619.85%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1,249,759,289.98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114,195,199.10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-61,114,236.62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-114,122,708.36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89,960,085.62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27,777,993.68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41,673,434.87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62,182,091.94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-41,673,434.87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681,934,203.76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472,492,960.06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w:t>
            </w:r>
          </w:p>
        </w:tc>
      </w:tr>
    </w:tbl>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numPr>
          <w:ilvl w:val="0"/>
          <w:numId w:val="1"/>
        </w:numPr>
        <w:shd w:val="clear" w:color="auto" w:fill="auto"/>
        <w:tabs>
          <w:tab w:pos="310" w:val="left"/>
        </w:tabs>
        <w:bidi w:val="0"/>
        <w:spacing w:before="0" w:after="0" w:line="322" w:lineRule="exact"/>
        <w:ind w:left="0" w:right="0" w:firstLine="0"/>
        <w:jc w:val="left"/>
      </w:pPr>
      <w:bookmarkStart w:id="153" w:name="bookmark153"/>
      <w:bookmarkEnd w:id="153"/>
      <w:r>
        <w:rPr>
          <w:color w:val="000000"/>
          <w:spacing w:val="0"/>
          <w:w w:val="100"/>
          <w:position w:val="0"/>
        </w:rPr>
        <w:t>投资活动产生的现金流量净额比上年增加</w:t>
      </w:r>
      <w:r>
        <w:rPr>
          <w:rFonts w:ascii="Times New Roman" w:eastAsia="Times New Roman" w:hAnsi="Times New Roman" w:cs="Times New Roman"/>
          <w:color w:val="000000"/>
          <w:spacing w:val="0"/>
          <w:w w:val="100"/>
          <w:position w:val="0"/>
          <w:sz w:val="18"/>
          <w:szCs w:val="18"/>
        </w:rPr>
        <w:t>46.45%</w:t>
      </w:r>
      <w:r>
        <w:rPr>
          <w:color w:val="000000"/>
          <w:spacing w:val="0"/>
          <w:w w:val="100"/>
          <w:position w:val="0"/>
        </w:rPr>
        <w:t>，主要系报告期公司收到中电科（天津）网络信息安全有限公司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 转让款。</w:t>
      </w:r>
    </w:p>
    <w:p>
      <w:pPr>
        <w:pStyle w:val="Style28"/>
        <w:keepNext w:val="0"/>
        <w:keepLines w:val="0"/>
        <w:widowControl w:val="0"/>
        <w:numPr>
          <w:ilvl w:val="0"/>
          <w:numId w:val="1"/>
        </w:numPr>
        <w:shd w:val="clear" w:color="auto" w:fill="auto"/>
        <w:tabs>
          <w:tab w:pos="320" w:val="left"/>
        </w:tabs>
        <w:bidi w:val="0"/>
        <w:spacing w:before="0" w:after="0" w:line="322" w:lineRule="exact"/>
        <w:ind w:left="0" w:right="0" w:firstLine="0"/>
        <w:jc w:val="left"/>
      </w:pPr>
      <w:bookmarkStart w:id="154" w:name="bookmark154"/>
      <w:bookmarkEnd w:id="154"/>
      <w:r>
        <w:rPr>
          <w:color w:val="000000"/>
          <w:spacing w:val="0"/>
          <w:w w:val="100"/>
          <w:position w:val="0"/>
        </w:rPr>
        <w:t>筹资活动产生的现金流量净额比上年增加</w:t>
      </w:r>
      <w:r>
        <w:rPr>
          <w:rFonts w:ascii="Times New Roman" w:eastAsia="Times New Roman" w:hAnsi="Times New Roman" w:cs="Times New Roman"/>
          <w:color w:val="000000"/>
          <w:spacing w:val="0"/>
          <w:w w:val="100"/>
          <w:position w:val="0"/>
          <w:sz w:val="18"/>
          <w:szCs w:val="18"/>
        </w:rPr>
        <w:t>249.21%</w:t>
      </w:r>
      <w:r>
        <w:rPr>
          <w:color w:val="000000"/>
          <w:spacing w:val="0"/>
          <w:w w:val="100"/>
          <w:position w:val="0"/>
        </w:rPr>
        <w:t>，主要系报告期公司实施股权激励收到员工股权认购款所致。</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40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五</w:t>
      </w:r>
      <w:bookmarkEnd w:id="157"/>
      <w:r>
        <w:rPr>
          <w:color w:val="000000"/>
          <w:spacing w:val="0"/>
          <w:w w:val="100"/>
          <w:position w:val="0"/>
        </w:rPr>
        <w:t>、非主营业务分析</w:t>
      </w:r>
      <w:bookmarkEnd w:id="155"/>
      <w:bookmarkEnd w:id="156"/>
      <w:bookmarkEnd w:id="158"/>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421"/>
        <w:gridCol w:w="1416"/>
        <w:gridCol w:w="3120"/>
        <w:gridCol w:w="248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69,617,841.05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主要系转让天津网安股权确认的投资收 益及结构性存款利息收入。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除转让天津网安股权确认的投 资收益外，其他具有可持续性</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-117,980,115.76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主要系公司根据会计准则对存货、合同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除在建工程减值外，其他具有</w:t>
            </w:r>
          </w:p>
        </w:tc>
      </w:tr>
    </w:tbl>
    <w:p>
      <w:pPr>
        <w:spacing w:lineRule="exact" w:line="1"/>
        <w:rPr>
          <w:sz w:val="2"/>
          <w:szCs w:val="2"/>
        </w:rPr>
      </w:pPr>
      <w:r>
        <w:br w:type="page"/>
      </w:r>
    </w:p>
    <w:tbl>
      <w:tblPr>
        <w:tblOverlap w:val="never"/>
        <w:jc w:val="center"/>
        <w:tblLayout w:type="fixed"/>
      </w:tblPr>
      <w:tblGrid>
        <w:gridCol w:w="1138"/>
        <w:gridCol w:w="1421"/>
        <w:gridCol w:w="1416"/>
        <w:gridCol w:w="3120"/>
        <w:gridCol w:w="24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资产、在建工程计提的减值及坏账准备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6,069,317.81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主要系政策性市场政府补助收入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199,824.76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主要系未计提减值的应收款项本期核销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-8,387,852.83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主要系公司根据会计准则对应收账款、 其他应收账款计提的坏账准备。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六</w:t>
      </w:r>
      <w:bookmarkEnd w:id="161"/>
      <w:r>
        <w:rPr>
          <w:color w:val="000000"/>
          <w:spacing w:val="0"/>
          <w:w w:val="100"/>
          <w:position w:val="0"/>
        </w:rPr>
        <w:t>、资产及负债状况分析</w:t>
      </w:r>
      <w:bookmarkEnd w:id="159"/>
      <w:bookmarkEnd w:id="160"/>
      <w:bookmarkEnd w:id="162"/>
    </w:p>
    <w:p>
      <w:pPr>
        <w:pStyle w:val="Style32"/>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2035"/>
        <w:gridCol w:w="1277"/>
        <w:gridCol w:w="1416"/>
        <w:gridCol w:w="1277"/>
        <w:gridCol w:w="850"/>
        <w:gridCol w:w="13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2,658,179,662.01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1,985,273,734.86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793,610,219.97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1,274,671,255.83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87,516,497.10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117,586,640.09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968,475,592.64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475,493,509.36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87,725,266.75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58,447,728.96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306,569,718.55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316,104,932.94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1,115,933,080.69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14,795,838.56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662,436,601.78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313,991,222.20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6,494,184.95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878"/>
        <w:gridCol w:w="1416"/>
        <w:gridCol w:w="1416"/>
        <w:gridCol w:w="466"/>
        <w:gridCol w:w="103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11,170,023.03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1,161,170,023.03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205,777.20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1,206,014.19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3,206,014.19</w:t>
            </w:r>
          </w:p>
        </w:tc>
      </w:tr>
    </w:tbl>
    <w:tbl>
      <w:tblPr>
        <w:tblOverlap w:val="never"/>
        <w:jc w:val="center"/>
        <w:tblLayout w:type="fixed"/>
      </w:tblPr>
      <w:tblGrid>
        <w:gridCol w:w="1104"/>
        <w:gridCol w:w="1090"/>
        <w:gridCol w:w="1090"/>
        <w:gridCol w:w="1090"/>
        <w:gridCol w:w="878"/>
        <w:gridCol w:w="1416"/>
        <w:gridCol w:w="1416"/>
        <w:gridCol w:w="427"/>
        <w:gridCol w:w="1070"/>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11,375,800.23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1,206,014.19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1,161,170,023.03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3,206,014.19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11,375,800.23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1,206,014.19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1,161,170,023.03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3,206,014.19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、截至报告期末的资产权利受限情况</w:t>
      </w:r>
      <w:bookmarkEnd w:id="171"/>
      <w:bookmarkEnd w:id="172"/>
      <w:bookmarkEnd w:id="174"/>
    </w:p>
    <w:tbl>
      <w:tblPr>
        <w:tblOverlap w:val="never"/>
        <w:jc w:val="left"/>
        <w:tblLayout w:type="fixed"/>
      </w:tblPr>
      <w:tblGrid>
        <w:gridCol w:w="2846"/>
        <w:gridCol w:w="2842"/>
        <w:gridCol w:w="2856"/>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15,828,268.02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银行保函存出保证金</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1,115,933,080.69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因涉诉使用受限</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1,131,761,348.71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七</w:t>
      </w:r>
      <w:bookmarkEnd w:id="177"/>
      <w:r>
        <w:rPr>
          <w:color w:val="000000"/>
          <w:spacing w:val="0"/>
          <w:w w:val="100"/>
          <w:position w:val="0"/>
        </w:rPr>
        <w:t>、投资状况分析</w:t>
      </w:r>
      <w:bookmarkEnd w:id="175"/>
      <w:bookmarkEnd w:id="176"/>
      <w:bookmarkEnd w:id="178"/>
    </w:p>
    <w:p>
      <w:pPr>
        <w:pStyle w:val="Style32"/>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、总体情况</w:t>
      </w:r>
      <w:bookmarkEnd w:id="179"/>
      <w:bookmarkEnd w:id="180"/>
      <w:bookmarkEnd w:id="182"/>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报告期内获取的重大的股权投资情况</w:t>
      </w:r>
      <w:bookmarkEnd w:id="183"/>
      <w:bookmarkEnd w:id="184"/>
      <w:bookmarkEnd w:id="18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w:t>
        <w:tab/>
        <w:t>报告期内正在进行的重大的非股权投资情况</w:t>
      </w:r>
      <w:bookmarkEnd w:id="187"/>
      <w:bookmarkEnd w:id="188"/>
      <w:bookmarkEnd w:id="19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w:t>
        <w:tab/>
        <w:t>金融资产投资</w:t>
      </w:r>
      <w:bookmarkEnd w:id="191"/>
      <w:bookmarkEnd w:id="192"/>
      <w:bookmarkEnd w:id="194"/>
    </w:p>
    <w:p>
      <w:pPr>
        <w:pStyle w:val="Style37"/>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5"/>
      <w:bookmarkEnd w:id="196"/>
      <w:bookmarkEnd w:id="19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7"/>
        <w:keepNext/>
        <w:keepLines/>
        <w:widowControl w:val="0"/>
        <w:numPr>
          <w:ilvl w:val="0"/>
          <w:numId w:val="3"/>
        </w:numPr>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衍生品投资情况</w:t>
      </w:r>
      <w:bookmarkEnd w:id="199"/>
      <w:bookmarkEnd w:id="200"/>
      <w:bookmarkEnd w:id="202"/>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、募集资金使用情况</w:t>
      </w:r>
      <w:bookmarkEnd w:id="203"/>
      <w:bookmarkEnd w:id="204"/>
      <w:bookmarkEnd w:id="206"/>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numPr>
          <w:ilvl w:val="0"/>
          <w:numId w:val="5"/>
        </w:numPr>
        <w:shd w:val="clear" w:color="auto" w:fill="auto"/>
        <w:bidi w:val="0"/>
        <w:spacing w:before="0" w:line="240" w:lineRule="auto"/>
        <w:ind w:left="0" w:right="0" w:firstLine="0"/>
        <w:jc w:val="both"/>
      </w:pPr>
      <w:bookmarkStart w:id="207" w:name="bookmark207"/>
      <w:bookmarkStart w:id="208" w:name="bookmark208"/>
      <w:bookmarkStart w:id="209" w:name="bookmark209"/>
      <w:bookmarkStart w:id="210" w:name="bookmark210"/>
      <w:bookmarkEnd w:id="209"/>
      <w:r>
        <w:rPr>
          <w:color w:val="000000"/>
          <w:spacing w:val="0"/>
          <w:w w:val="100"/>
          <w:position w:val="0"/>
        </w:rPr>
        <w:t>募集资金总体使用情况</w:t>
      </w:r>
      <w:bookmarkEnd w:id="207"/>
      <w:bookmarkEnd w:id="208"/>
      <w:bookmarkEnd w:id="210"/>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变更用途</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的募集资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尚未使用</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募集资金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199,851.79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66,381.38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暂时补充 流动资金</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22420 </w:t>
            </w:r>
            <w:r>
              <w:rPr>
                <w:color w:val="000000"/>
                <w:spacing w:val="0"/>
                <w:w w:val="100"/>
                <w:position w:val="0"/>
              </w:rPr>
              <w:t>万 元，剩余未 使用部分 存放于标 的公司募 集资金专 户中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199,851.79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66,381.38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共使用募集资金</w:t>
            </w:r>
            <w:r>
              <w:rPr>
                <w:rFonts w:ascii="Times New Roman" w:eastAsia="Times New Roman" w:hAnsi="Times New Roman" w:cs="Times New Roman"/>
                <w:color w:val="000000"/>
                <w:spacing w:val="0"/>
                <w:w w:val="100"/>
                <w:position w:val="0"/>
                <w:sz w:val="18"/>
                <w:szCs w:val="18"/>
              </w:rPr>
              <w:t>353.2</w:t>
            </w:r>
            <w:r>
              <w:rPr>
                <w:color w:val="000000"/>
                <w:spacing w:val="0"/>
                <w:w w:val="100"/>
                <w:position w:val="0"/>
              </w:rPr>
              <w:t>万元，本报告期募集资金专用账户取得利息收入净额为</w:t>
            </w:r>
            <w:r>
              <w:rPr>
                <w:rFonts w:ascii="Times New Roman" w:eastAsia="Times New Roman" w:hAnsi="Times New Roman" w:cs="Times New Roman"/>
                <w:color w:val="000000"/>
                <w:spacing w:val="0"/>
                <w:w w:val="100"/>
                <w:position w:val="0"/>
                <w:sz w:val="18"/>
                <w:szCs w:val="18"/>
              </w:rPr>
              <w:t>175,378</w:t>
            </w:r>
            <w:r>
              <w:rPr>
                <w:color w:val="000000"/>
                <w:spacing w:val="0"/>
                <w:w w:val="100"/>
                <w:position w:val="0"/>
              </w:rPr>
              <w:t>万元(包 含结构性存款利息收入)。截止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日，募集资金累计直接投入募投项目</w:t>
            </w:r>
            <w:r>
              <w:rPr>
                <w:rFonts w:ascii="Times New Roman" w:eastAsia="Times New Roman" w:hAnsi="Times New Roman" w:cs="Times New Roman"/>
                <w:color w:val="000000"/>
                <w:spacing w:val="0"/>
                <w:w w:val="100"/>
                <w:position w:val="0"/>
                <w:sz w:val="18"/>
                <w:szCs w:val="18"/>
              </w:rPr>
              <w:t>199,851.79</w:t>
            </w:r>
            <w:r>
              <w:rPr>
                <w:color w:val="000000"/>
                <w:spacing w:val="0"/>
                <w:w w:val="100"/>
                <w:position w:val="0"/>
              </w:rPr>
              <w:t>万元，募集资金专用账户 累积取得利息收入净额为</w:t>
            </w:r>
            <w:r>
              <w:rPr>
                <w:rFonts w:ascii="Times New Roman" w:eastAsia="Times New Roman" w:hAnsi="Times New Roman" w:cs="Times New Roman"/>
                <w:color w:val="000000"/>
                <w:spacing w:val="0"/>
                <w:w w:val="100"/>
                <w:position w:val="0"/>
                <w:sz w:val="18"/>
                <w:szCs w:val="18"/>
              </w:rPr>
              <w:t>12,197.78</w:t>
            </w:r>
            <w:r>
              <w:rPr>
                <w:color w:val="000000"/>
                <w:spacing w:val="0"/>
                <w:w w:val="100"/>
                <w:position w:val="0"/>
              </w:rPr>
              <w:t>万元(包含结构性存款利息收入)，以募集资金暂时补充流动资金占用</w:t>
            </w:r>
            <w:r>
              <w:rPr>
                <w:rFonts w:ascii="Times New Roman" w:eastAsia="Times New Roman" w:hAnsi="Times New Roman" w:cs="Times New Roman"/>
                <w:color w:val="000000"/>
                <w:spacing w:val="0"/>
                <w:w w:val="100"/>
                <w:position w:val="0"/>
                <w:sz w:val="18"/>
                <w:szCs w:val="18"/>
              </w:rPr>
              <w:t>22,420</w:t>
            </w:r>
            <w:r>
              <w:rPr>
                <w:color w:val="000000"/>
                <w:spacing w:val="0"/>
                <w:w w:val="100"/>
                <w:position w:val="0"/>
              </w:rPr>
              <w:t>万元，募 集资金账户余额为人民币</w:t>
            </w:r>
            <w:r>
              <w:rPr>
                <w:rFonts w:ascii="Times New Roman" w:eastAsia="Times New Roman" w:hAnsi="Times New Roman" w:cs="Times New Roman"/>
                <w:color w:val="000000"/>
                <w:spacing w:val="0"/>
                <w:w w:val="100"/>
                <w:position w:val="0"/>
                <w:sz w:val="18"/>
                <w:szCs w:val="18"/>
              </w:rPr>
              <w:t>56,159.16</w:t>
            </w:r>
            <w:r>
              <w:rPr>
                <w:color w:val="000000"/>
                <w:spacing w:val="0"/>
                <w:w w:val="100"/>
                <w:position w:val="0"/>
              </w:rPr>
              <w:t>万元。</w:t>
            </w:r>
          </w:p>
        </w:tc>
      </w:tr>
    </w:tbl>
    <w:p>
      <w:pPr>
        <w:widowControl w:val="0"/>
        <w:spacing w:after="319" w:line="1" w:lineRule="exact"/>
      </w:pPr>
    </w:p>
    <w:p>
      <w:pPr>
        <w:pStyle w:val="Style37"/>
        <w:keepNext/>
        <w:keepLines/>
        <w:widowControl w:val="0"/>
        <w:numPr>
          <w:ilvl w:val="0"/>
          <w:numId w:val="5"/>
        </w:numPr>
        <w:shd w:val="clear" w:color="auto" w:fill="auto"/>
        <w:bidi w:val="0"/>
        <w:spacing w:before="0" w:line="240" w:lineRule="auto"/>
        <w:ind w:left="0" w:right="0" w:firstLine="0"/>
        <w:jc w:val="both"/>
      </w:pPr>
      <w:bookmarkStart w:id="211" w:name="bookmark211"/>
      <w:bookmarkStart w:id="212" w:name="bookmark212"/>
      <w:bookmarkStart w:id="213" w:name="bookmark213"/>
      <w:bookmarkStart w:id="214" w:name="bookmark214"/>
      <w:bookmarkEnd w:id="213"/>
      <w:r>
        <w:rPr>
          <w:color w:val="000000"/>
          <w:spacing w:val="0"/>
          <w:w w:val="100"/>
          <w:position w:val="0"/>
        </w:rPr>
        <w:t>募集资金承诺项目情况</w:t>
      </w:r>
      <w:bookmarkEnd w:id="211"/>
      <w:bookmarkEnd w:id="212"/>
      <w:bookmarkEnd w:id="214"/>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是否已变</w:t>
            </w:r>
          </w:p>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更项目</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预定可使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用状态日</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实现的效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bl>
    <w:p>
      <w:pPr>
        <w:spacing w:lineRule="exact" w:line="1"/>
        <w:rPr>
          <w:sz w:val="2"/>
          <w:szCs w:val="2"/>
        </w:rPr>
      </w:pPr>
      <w:r>
        <w:br w:type="page"/>
      </w:r>
    </w:p>
    <w:tbl>
      <w:tblPr>
        <w:tblOverlap w:val="never"/>
        <w:jc w:val="center"/>
        <w:tblLayout w:type="fixed"/>
      </w:tblPr>
      <w:tblGrid>
        <w:gridCol w:w="1771"/>
        <w:gridCol w:w="782"/>
        <w:gridCol w:w="782"/>
        <w:gridCol w:w="778"/>
        <w:gridCol w:w="778"/>
        <w:gridCol w:w="782"/>
        <w:gridCol w:w="778"/>
        <w:gridCol w:w="782"/>
        <w:gridCol w:w="778"/>
        <w:gridCol w:w="782"/>
        <w:gridCol w:w="787"/>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新型商用密码系列产 品产业化及国际化项 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65,580.17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57,211.58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安全智能移动终端及 应用服务产业化项目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国产自主高安全专用 终端项目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面向工业控制系统和 物联网的系列安全芯 片项目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行业安全解决方案创 新中心项目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199,851.7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199,851.7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未达到计划进度或预</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计收益的情况和原因</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根据《非公开发行股票预案（修订稿）》，为了确保五个募投项目的顺利实施，公司募集资金到位前， 以自筹资金实际预先投入</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万元，在本次非公开发行股票募集资金到位后，以募集资金置 换预先投入自筹资金</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日，公司第六届董事会第二十五次会议、第 六届监事会第二十二次会议审议通过了《关于使用募集资金置换预先投入募投项目自筹资金的议 案》，同意公司以募集资金置换预先已投入募投项目自筹资金</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万元。独立董事对该议案发 表了同意的独立意见。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用闲置募集资金暂时</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71"/>
        <w:gridCol w:w="7810"/>
      </w:tblGrid>
      <w:tr>
        <w:trPr>
          <w:trHeight w:val="2904"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在确保不影响募集资金投资项目正常实施进度的前提下，公司为降低财务费用，提高经营效益，使 用了部分闲置资金暂时补充流动资金，总额不超过人民币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万元，使用期限为自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个月内。相关事项已经第七届董事会第十六次会议、第七届监事会第十二次会议审议通 过，并按要求进行了公告。独立董事及保荐机构均对该议案发表了同意意见。具体内容详见</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日公司在指定信息披露媒体《证券时报》、《中国证券报》和巨潮资讯网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w:t>
            </w:r>
          </w:p>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）披露的《第七届董事会第十六次会议决议公告》（公告编号：</w:t>
            </w: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）、《第 七届监事会第十二次会议决议公告》（公告编号：</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）、《使用部分闲置募集资金暂时补充流动 资金的公告》（公告编号：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）。公司实际使用闲置募集资金</w:t>
            </w:r>
            <w:r>
              <w:rPr>
                <w:rFonts w:ascii="Times New Roman" w:eastAsia="Times New Roman" w:hAnsi="Times New Roman" w:cs="Times New Roman"/>
                <w:color w:val="000000"/>
                <w:spacing w:val="0"/>
                <w:w w:val="100"/>
                <w:position w:val="0"/>
                <w:sz w:val="18"/>
                <w:szCs w:val="18"/>
              </w:rPr>
              <w:t>22,420</w:t>
            </w:r>
            <w:r>
              <w:rPr>
                <w:color w:val="000000"/>
                <w:spacing w:val="0"/>
                <w:w w:val="100"/>
                <w:position w:val="0"/>
              </w:rPr>
              <w:t>万元用于暂时补充流动资 金，截至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日尚未到期归还。</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公司使用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年非公开发行股票暂时闲置募集资金暂时补充流动资金</w:t>
            </w:r>
            <w:r>
              <w:rPr>
                <w:rFonts w:ascii="Times New Roman" w:eastAsia="Times New Roman" w:hAnsi="Times New Roman" w:cs="Times New Roman"/>
                <w:color w:val="000000"/>
                <w:spacing w:val="0"/>
                <w:w w:val="100"/>
                <w:position w:val="0"/>
                <w:sz w:val="18"/>
                <w:szCs w:val="18"/>
              </w:rPr>
              <w:t>22,420</w:t>
            </w:r>
            <w:r>
              <w:rPr>
                <w:color w:val="000000"/>
                <w:spacing w:val="0"/>
                <w:w w:val="100"/>
                <w:position w:val="0"/>
              </w:rPr>
              <w:t>万元，剩余未使用部 分存放于标的公司募集资金专户中；截至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日，募集资金账户余额为</w:t>
            </w:r>
            <w:r>
              <w:rPr>
                <w:rFonts w:ascii="Times New Roman" w:eastAsia="Times New Roman" w:hAnsi="Times New Roman" w:cs="Times New Roman"/>
                <w:color w:val="000000"/>
                <w:spacing w:val="0"/>
                <w:w w:val="100"/>
                <w:position w:val="0"/>
                <w:sz w:val="18"/>
                <w:szCs w:val="18"/>
              </w:rPr>
              <w:t>56,159.16</w:t>
            </w:r>
            <w:r>
              <w:rPr>
                <w:color w:val="000000"/>
                <w:spacing w:val="0"/>
                <w:w w:val="100"/>
                <w:position w:val="0"/>
              </w:rPr>
              <w:t>万元。</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5"/>
      <w:bookmarkEnd w:id="216"/>
      <w:bookmarkEnd w:id="218"/>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公司报告期不存在募集资金变更项目情况。</w:t>
      </w:r>
    </w:p>
    <w:p>
      <w:pPr>
        <w:pStyle w:val="Style24"/>
        <w:keepNext/>
        <w:keepLines/>
        <w:widowControl w:val="0"/>
        <w:shd w:val="clear" w:color="auto" w:fill="auto"/>
        <w:tabs>
          <w:tab w:pos="517" w:val="left"/>
        </w:tabs>
        <w:bidi w:val="0"/>
        <w:spacing w:before="0" w:after="38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rPr>
        <w:t>八</w:t>
      </w:r>
      <w:bookmarkEnd w:id="221"/>
      <w:r>
        <w:rPr>
          <w:color w:val="000000"/>
          <w:spacing w:val="0"/>
          <w:w w:val="100"/>
          <w:position w:val="0"/>
        </w:rPr>
        <w:t>、</w:t>
        <w:tab/>
        <w:t>重大资产和股权出售</w:t>
      </w:r>
      <w:bookmarkEnd w:id="219"/>
      <w:bookmarkEnd w:id="220"/>
      <w:bookmarkEnd w:id="222"/>
    </w:p>
    <w:p>
      <w:pPr>
        <w:pStyle w:val="Style32"/>
        <w:keepNext/>
        <w:keepLines/>
        <w:widowControl w:val="0"/>
        <w:shd w:val="clear" w:color="auto" w:fill="auto"/>
        <w:tabs>
          <w:tab w:pos="392" w:val="left"/>
        </w:tabs>
        <w:bidi w:val="0"/>
        <w:spacing w:before="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公司报告期未出售重大资产。</w:t>
      </w:r>
    </w:p>
    <w:p>
      <w:pPr>
        <w:pStyle w:val="Style32"/>
        <w:keepNext/>
        <w:keepLines/>
        <w:widowControl w:val="0"/>
        <w:shd w:val="clear" w:color="auto" w:fill="auto"/>
        <w:tabs>
          <w:tab w:pos="392" w:val="left"/>
        </w:tabs>
        <w:bidi w:val="0"/>
        <w:spacing w:before="0" w:line="240" w:lineRule="auto"/>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九</w:t>
      </w:r>
      <w:bookmarkEnd w:id="233"/>
      <w:r>
        <w:rPr>
          <w:color w:val="000000"/>
          <w:spacing w:val="0"/>
          <w:w w:val="100"/>
          <w:position w:val="0"/>
        </w:rPr>
        <w:t>、</w:t>
        <w:tab/>
        <w:t>主要控股参股公司分析</w:t>
      </w:r>
      <w:bookmarkEnd w:id="231"/>
      <w:bookmarkEnd w:id="232"/>
      <w:bookmarkEnd w:id="23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974"/>
        <w:gridCol w:w="1291"/>
        <w:gridCol w:w="797"/>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中电科（北京） 网络信息安全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信息安全产品 开发、销售、集 成及服务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2,891,091,64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2,774,104,30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230,823,319.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8,925,246.60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12,873,627.7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tbl>
      <w:tblPr>
        <w:tblOverlap w:val="never"/>
        <w:jc w:val="center"/>
        <w:tblLayout w:type="fixed"/>
      </w:tblPr>
      <w:tblGrid>
        <w:gridCol w:w="1282"/>
        <w:gridCol w:w="974"/>
        <w:gridCol w:w="1291"/>
        <w:gridCol w:w="797"/>
        <w:gridCol w:w="1046"/>
        <w:gridCol w:w="1046"/>
        <w:gridCol w:w="1046"/>
        <w:gridCol w:w="1042"/>
        <w:gridCol w:w="1056"/>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成都三零嘉微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信息安全产品、 集成电路开发、 销售及服务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133,578,0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1,501,996,34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1,133,542,99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516,447,937.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126,632,284.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113,606,714.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成都卫士通信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息安全技术有</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信息安全产品 开发、销售、集 成及服务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2,655,781,76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325,361,512.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2,002,520,31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54,390,594.0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53,158,334.9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成都三零瑞通</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移动通信有限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通信设备、信息 安全设备产品 等研发、生产、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995,023,569.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376,780,552.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329,388,602.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72,953,881.2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60,509,061.5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股权，丧失控制权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60,998,280.23</w:t>
            </w:r>
            <w:r>
              <w:rPr>
                <w:color w:val="000000"/>
                <w:spacing w:val="0"/>
                <w:w w:val="100"/>
                <w:position w:val="0"/>
              </w:rPr>
              <w:t>元</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35" w:name="bookmark235"/>
      <w:bookmarkStart w:id="236" w:name="bookmark236"/>
      <w:bookmarkStart w:id="237" w:name="bookmark237"/>
      <w:r>
        <w:rPr>
          <w:color w:val="000000"/>
          <w:spacing w:val="0"/>
          <w:w w:val="100"/>
          <w:position w:val="0"/>
        </w:rPr>
        <w:t>十、公司控制的结构化主体情况</w:t>
      </w:r>
      <w:bookmarkEnd w:id="235"/>
      <w:bookmarkEnd w:id="236"/>
      <w:bookmarkEnd w:id="237"/>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238" w:name="bookmark238"/>
      <w:bookmarkStart w:id="239" w:name="bookmark239"/>
      <w:bookmarkStart w:id="240" w:name="bookmark240"/>
      <w:r>
        <w:rPr>
          <w:color w:val="000000"/>
          <w:spacing w:val="0"/>
          <w:w w:val="100"/>
          <w:position w:val="0"/>
        </w:rPr>
        <w:t>十一、公司未来发展的展望</w:t>
      </w:r>
      <w:bookmarkEnd w:id="238"/>
      <w:bookmarkEnd w:id="239"/>
      <w:bookmarkEnd w:id="240"/>
    </w:p>
    <w:p>
      <w:pPr>
        <w:pStyle w:val="Style28"/>
        <w:keepNext w:val="0"/>
        <w:keepLines w:val="0"/>
        <w:widowControl w:val="0"/>
        <w:shd w:val="clear" w:color="auto" w:fill="auto"/>
        <w:bidi w:val="0"/>
        <w:spacing w:before="0" w:after="0" w:line="314" w:lineRule="exact"/>
        <w:ind w:left="0" w:right="0" w:firstLine="360"/>
        <w:jc w:val="both"/>
      </w:pPr>
      <w:bookmarkStart w:id="241" w:name="bookmark241"/>
      <w:r>
        <w:rPr>
          <w:b/>
          <w:bCs/>
          <w:color w:val="000000"/>
          <w:spacing w:val="0"/>
          <w:w w:val="100"/>
          <w:position w:val="0"/>
        </w:rPr>
        <w:t>（</w:t>
      </w:r>
      <w:bookmarkEnd w:id="241"/>
      <w:r>
        <w:rPr>
          <w:b/>
          <w:bCs/>
          <w:color w:val="000000"/>
          <w:spacing w:val="0"/>
          <w:w w:val="100"/>
          <w:position w:val="0"/>
        </w:rPr>
        <w:t>一）未来发展的展望</w:t>
      </w:r>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公司围绕“密码为核心的数据智能安全服务商”的战略新定位，以“打造数据安全领域的第一品牌”为目标，充分发挥 密码为基础的核心能力优势，围绕“密码泛在化、基础国产化、攻防智能化、安全服务化”发展思路，重点发展“基础安全、 网络安全、数据安全、安全应用、安全服务”五大业务，提升“算法设计与实现、安全分析与攻防、解决方案与交付、生态 协作与服务”支撑战略落地的四大核心能力，积极构建数字经济时代的数字安全底座，基于数据安全提升的密码基础算力、 做好密码安全防护、保障业务应用安全、实现安全应用合规、促进安全流通共享，力争成为密码产业主力军、安全服务引领 者、数据安全国家战略科技力量。</w:t>
      </w:r>
    </w:p>
    <w:p>
      <w:pPr>
        <w:pStyle w:val="Style28"/>
        <w:keepNext w:val="0"/>
        <w:keepLines w:val="0"/>
        <w:widowControl w:val="0"/>
        <w:shd w:val="clear" w:color="auto" w:fill="auto"/>
        <w:tabs>
          <w:tab w:pos="677" w:val="left"/>
        </w:tabs>
        <w:bidi w:val="0"/>
        <w:spacing w:before="0" w:after="0" w:line="314" w:lineRule="exact"/>
        <w:ind w:left="0" w:right="0" w:firstLine="360"/>
        <w:jc w:val="left"/>
      </w:pPr>
      <w:bookmarkStart w:id="242" w:name="bookmark242"/>
      <w:r>
        <w:rPr>
          <w:rFonts w:ascii="Times New Roman" w:eastAsia="Times New Roman" w:hAnsi="Times New Roman" w:cs="Times New Roman"/>
          <w:b/>
          <w:bCs/>
          <w:color w:val="000000"/>
          <w:spacing w:val="0"/>
          <w:w w:val="100"/>
          <w:position w:val="0"/>
          <w:sz w:val="18"/>
          <w:szCs w:val="18"/>
        </w:rPr>
        <w:t>1</w:t>
      </w:r>
      <w:bookmarkEnd w:id="242"/>
      <w:r>
        <w:rPr>
          <w:b/>
          <w:bCs/>
          <w:color w:val="000000"/>
          <w:spacing w:val="0"/>
          <w:w w:val="100"/>
          <w:position w:val="0"/>
        </w:rPr>
        <w:t>、</w:t>
        <w:tab/>
        <w:t>实现密码在关键信息基础设施领域泛在化应用</w:t>
      </w:r>
    </w:p>
    <w:p>
      <w:pPr>
        <w:pStyle w:val="Style2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以密码为核心构建关键信息基础设施的防护基石。充分发挥芯片对网络安全的核心基础支撑作用，形成覆盖党、政、军、 民等用户群体的芯片谱系，在党政、军队领域，重点突破低功耗密码芯片设计技术，实现国内安全芯片领先地位；在商用领 域，重点突破高性能密码芯片设计技术，面向工控系统、通信、能源、交通等行业细分市场，开拓以密码为核心、具有安全 特色、深度融合行业应用的安全芯片市场，占据商用密码的产业链上游，进入国内安全芯片第一梯队。</w:t>
      </w:r>
    </w:p>
    <w:p>
      <w:pPr>
        <w:pStyle w:val="Style28"/>
        <w:keepNext w:val="0"/>
        <w:keepLines w:val="0"/>
        <w:widowControl w:val="0"/>
        <w:shd w:val="clear" w:color="auto" w:fill="auto"/>
        <w:tabs>
          <w:tab w:pos="691" w:val="left"/>
        </w:tabs>
        <w:bidi w:val="0"/>
        <w:spacing w:before="0" w:after="0" w:line="314" w:lineRule="exact"/>
        <w:ind w:left="0" w:right="0" w:firstLine="360"/>
        <w:jc w:val="left"/>
      </w:pPr>
      <w:bookmarkStart w:id="243" w:name="bookmark243"/>
      <w:r>
        <w:rPr>
          <w:rFonts w:ascii="Times New Roman" w:eastAsia="Times New Roman" w:hAnsi="Times New Roman" w:cs="Times New Roman"/>
          <w:b/>
          <w:bCs/>
          <w:color w:val="000000"/>
          <w:spacing w:val="0"/>
          <w:w w:val="100"/>
          <w:position w:val="0"/>
          <w:sz w:val="18"/>
          <w:szCs w:val="18"/>
        </w:rPr>
        <w:t>2</w:t>
      </w:r>
      <w:bookmarkEnd w:id="243"/>
      <w:r>
        <w:rPr>
          <w:b/>
          <w:bCs/>
          <w:color w:val="000000"/>
          <w:spacing w:val="0"/>
          <w:w w:val="100"/>
          <w:position w:val="0"/>
        </w:rPr>
        <w:t>、</w:t>
        <w:tab/>
        <w:t>打造以密码核心的数字经济的算力底座</w:t>
      </w:r>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围绕数据分级分类、数据活动监控、数据安全应用、数据安全管理等内容，以密码技术为制约隐私计算安全性、性能、 场景适应性的关键因素，深刻理解密码协议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算法在隐私计算中的应用，探索安全多方计算、联邦学习、同态加密等核心技 术，将密码技术、软硬件产品融入隐私计算及数据交易平台，实现对数据交易的有效监管，为数字经济提供更安全可靠的算 力底座。</w:t>
      </w:r>
    </w:p>
    <w:p>
      <w:pPr>
        <w:pStyle w:val="Style28"/>
        <w:keepNext w:val="0"/>
        <w:keepLines w:val="0"/>
        <w:widowControl w:val="0"/>
        <w:shd w:val="clear" w:color="auto" w:fill="auto"/>
        <w:tabs>
          <w:tab w:pos="691" w:val="left"/>
        </w:tabs>
        <w:bidi w:val="0"/>
        <w:spacing w:before="0" w:after="0" w:line="314" w:lineRule="exact"/>
        <w:ind w:left="0" w:right="0" w:firstLine="360"/>
        <w:jc w:val="left"/>
      </w:pPr>
      <w:bookmarkStart w:id="244" w:name="bookmark244"/>
      <w:r>
        <w:rPr>
          <w:rFonts w:ascii="Times New Roman" w:eastAsia="Times New Roman" w:hAnsi="Times New Roman" w:cs="Times New Roman"/>
          <w:b/>
          <w:bCs/>
          <w:color w:val="000000"/>
          <w:spacing w:val="0"/>
          <w:w w:val="100"/>
          <w:position w:val="0"/>
          <w:sz w:val="18"/>
          <w:szCs w:val="18"/>
        </w:rPr>
        <w:t>3</w:t>
      </w:r>
      <w:bookmarkEnd w:id="244"/>
      <w:r>
        <w:rPr>
          <w:b/>
          <w:bCs/>
          <w:color w:val="000000"/>
          <w:spacing w:val="0"/>
          <w:w w:val="100"/>
          <w:position w:val="0"/>
        </w:rPr>
        <w:t>、</w:t>
        <w:tab/>
        <w:t>成为数据安全合规服务与安全服务商</w:t>
      </w:r>
    </w:p>
    <w:p>
      <w:pPr>
        <w:pStyle w:val="Style28"/>
        <w:keepNext w:val="0"/>
        <w:keepLines w:val="0"/>
        <w:widowControl w:val="0"/>
        <w:shd w:val="clear" w:color="auto" w:fill="auto"/>
        <w:bidi w:val="0"/>
        <w:spacing w:before="0" w:after="140" w:line="310" w:lineRule="exact"/>
        <w:ind w:left="0" w:right="0" w:firstLine="360"/>
        <w:jc w:val="left"/>
      </w:pPr>
      <w:r>
        <w:rPr>
          <w:color w:val="000000"/>
          <w:spacing w:val="0"/>
          <w:w w:val="100"/>
          <w:position w:val="0"/>
        </w:rPr>
        <w:t xml:space="preserve">以成为数据安全合规服务商和数据安全治理服务商为目标，通过数据安全能力的服务化与平台化，有机结合数据资产管 理、分类分级、风险评估与数据全生命周期保护，为业务系统中的数据处理场景提供精准防护。在个人信息安全合规方面， 助力互联网企业构建隐私合规体系，满足合规监管要求；在政务、金融、能源、交通等重点行业领域，通过数据安全服务平 </w:t>
      </w:r>
      <w:r>
        <w:rPr>
          <w:color w:val="000000"/>
          <w:spacing w:val="0"/>
          <w:w w:val="100"/>
          <w:position w:val="0"/>
        </w:rPr>
        <w:t>台支撑企事业单位完成对重要数据、商业秘密、公共数据等的统一安全管理、统一风险监控和统一服务响应。</w:t>
      </w:r>
    </w:p>
    <w:p>
      <w:pPr>
        <w:pStyle w:val="Style28"/>
        <w:keepNext w:val="0"/>
        <w:keepLines w:val="0"/>
        <w:widowControl w:val="0"/>
        <w:shd w:val="clear" w:color="auto" w:fill="auto"/>
        <w:tabs>
          <w:tab w:pos="680" w:val="left"/>
        </w:tabs>
        <w:bidi w:val="0"/>
        <w:spacing w:before="0" w:after="0" w:line="360" w:lineRule="auto"/>
        <w:ind w:left="0" w:right="0"/>
        <w:jc w:val="both"/>
      </w:pPr>
      <w:bookmarkStart w:id="245" w:name="bookmark245"/>
      <w:r>
        <w:rPr>
          <w:rFonts w:ascii="Times New Roman" w:eastAsia="Times New Roman" w:hAnsi="Times New Roman" w:cs="Times New Roman"/>
          <w:b/>
          <w:bCs/>
          <w:color w:val="000000"/>
          <w:spacing w:val="0"/>
          <w:w w:val="100"/>
          <w:position w:val="0"/>
          <w:sz w:val="18"/>
          <w:szCs w:val="18"/>
        </w:rPr>
        <w:t>4</w:t>
      </w:r>
      <w:bookmarkEnd w:id="245"/>
      <w:r>
        <w:rPr>
          <w:b/>
          <w:bCs/>
          <w:color w:val="000000"/>
          <w:spacing w:val="0"/>
          <w:w w:val="100"/>
          <w:position w:val="0"/>
        </w:rPr>
        <w:t>、</w:t>
        <w:tab/>
        <w:t>成为面向高安全需求的高安全应用服务商</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面向政务、公检法、能源等重点行业，以密码合规性需求为牵引，通过安全能力与重点业务应用的深度结合，打造即时 通讯、移动办公、安全云盘、安全资产管理等典型安全业务应用。以安全即时通讯“橙讯”为入口，链接安全应用生态，构 建基于商用密码技术为核心的国家级移动安全应用平台，面向特定高安全领域提供行业纵贯的安全移动解决方案。</w:t>
      </w:r>
    </w:p>
    <w:p>
      <w:pPr>
        <w:pStyle w:val="Style28"/>
        <w:keepNext w:val="0"/>
        <w:keepLines w:val="0"/>
        <w:widowControl w:val="0"/>
        <w:shd w:val="clear" w:color="auto" w:fill="auto"/>
        <w:tabs>
          <w:tab w:pos="680" w:val="left"/>
        </w:tabs>
        <w:bidi w:val="0"/>
        <w:spacing w:before="0" w:after="0" w:line="360" w:lineRule="auto"/>
        <w:ind w:left="0" w:right="0"/>
        <w:jc w:val="both"/>
      </w:pPr>
      <w:bookmarkStart w:id="246" w:name="bookmark246"/>
      <w:r>
        <w:rPr>
          <w:rFonts w:ascii="Times New Roman" w:eastAsia="Times New Roman" w:hAnsi="Times New Roman" w:cs="Times New Roman"/>
          <w:b/>
          <w:bCs/>
          <w:color w:val="000000"/>
          <w:spacing w:val="0"/>
          <w:w w:val="100"/>
          <w:position w:val="0"/>
          <w:sz w:val="18"/>
          <w:szCs w:val="18"/>
        </w:rPr>
        <w:t>5</w:t>
      </w:r>
      <w:bookmarkEnd w:id="246"/>
      <w:r>
        <w:rPr>
          <w:b/>
          <w:bCs/>
          <w:color w:val="000000"/>
          <w:spacing w:val="0"/>
          <w:w w:val="100"/>
          <w:position w:val="0"/>
        </w:rPr>
        <w:t>、</w:t>
        <w:tab/>
        <w:t>拓展面向新业务、新场景应用新的增长极</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提升前沿技术与新领域新场景安全与密码融合的创新研究能力。强化车联网安全能力建设，推进车联网身份认证和安全 信任体系等关键技术和产品应用；面向工业互联网全业务流程，强化工业数据全生命周期保护等安全产品的推广应用，提升 工业互联网场景化安全防护能力；推进物联网场景网络安全应用，发展基于安全传输、异常行为分析、可信身份、威胁分析、 数据防泄漏等技术的平台安全类产品。同时，积极参与行业顶层标准制定、课题申报，以专项任务、试点项目为抓手，深入 研究新场景下的安全需求，打造整体解决方案能力，寻找业务增长新动能。</w:t>
      </w:r>
    </w:p>
    <w:p>
      <w:pPr>
        <w:pStyle w:val="Style28"/>
        <w:keepNext w:val="0"/>
        <w:keepLines w:val="0"/>
        <w:widowControl w:val="0"/>
        <w:shd w:val="clear" w:color="auto" w:fill="auto"/>
        <w:bidi w:val="0"/>
        <w:spacing w:before="0" w:after="0" w:line="319" w:lineRule="exact"/>
        <w:ind w:left="0" w:right="0"/>
        <w:jc w:val="both"/>
      </w:pPr>
      <w:bookmarkStart w:id="247" w:name="bookmark247"/>
      <w:r>
        <w:rPr>
          <w:b/>
          <w:bCs/>
          <w:color w:val="000000"/>
          <w:spacing w:val="0"/>
          <w:w w:val="100"/>
          <w:position w:val="0"/>
        </w:rPr>
        <w:t>（</w:t>
      </w:r>
      <w:bookmarkEnd w:id="247"/>
      <w:r>
        <w:rPr>
          <w:b/>
          <w:bCs/>
          <w:color w:val="000000"/>
          <w:spacing w:val="0"/>
          <w:w w:val="100"/>
          <w:position w:val="0"/>
        </w:rPr>
        <w:t>二）本年度经营计划</w:t>
      </w:r>
    </w:p>
    <w:p>
      <w:pPr>
        <w:pStyle w:val="Style28"/>
        <w:keepNext w:val="0"/>
        <w:keepLines w:val="0"/>
        <w:widowControl w:val="0"/>
        <w:shd w:val="clear" w:color="auto" w:fill="auto"/>
        <w:bidi w:val="0"/>
        <w:spacing w:before="0" w:after="140" w:line="319"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年是公司高质量发展转型的关键之年，公司将围绕以密码为核心的数据智能安全服务商的全新定位，分解战略目 标，落实关键任务，加强市场业务开拓，强化技术产品创新，优化管理运行体系，提升核心关键能力，促进公司持续高质量、 规模化发展。全年度经营计划如下：</w:t>
      </w:r>
    </w:p>
    <w:p>
      <w:pPr>
        <w:pStyle w:val="Style28"/>
        <w:keepNext w:val="0"/>
        <w:keepLines w:val="0"/>
        <w:widowControl w:val="0"/>
        <w:shd w:val="clear" w:color="auto" w:fill="auto"/>
        <w:tabs>
          <w:tab w:pos="671" w:val="left"/>
        </w:tabs>
        <w:bidi w:val="0"/>
        <w:spacing w:before="0" w:after="0" w:line="360" w:lineRule="auto"/>
        <w:ind w:left="0" w:right="0"/>
        <w:jc w:val="both"/>
      </w:pPr>
      <w:bookmarkStart w:id="248" w:name="bookmark248"/>
      <w:r>
        <w:rPr>
          <w:rFonts w:ascii="Times New Roman" w:eastAsia="Times New Roman" w:hAnsi="Times New Roman" w:cs="Times New Roman"/>
          <w:b/>
          <w:bCs/>
          <w:color w:val="000000"/>
          <w:spacing w:val="0"/>
          <w:w w:val="100"/>
          <w:position w:val="0"/>
          <w:sz w:val="18"/>
          <w:szCs w:val="18"/>
        </w:rPr>
        <w:t>1</w:t>
      </w:r>
      <w:bookmarkEnd w:id="248"/>
      <w:r>
        <w:rPr>
          <w:b/>
          <w:bCs/>
          <w:color w:val="000000"/>
          <w:spacing w:val="0"/>
          <w:w w:val="100"/>
          <w:position w:val="0"/>
        </w:rPr>
        <w:t>、</w:t>
        <w:tab/>
        <w:t>全力加强市场业务开拓</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聚焦基础安全、网络安全、数据安全、安全应用、安全服务五大业务，持续开展市场客户开拓和重大示范项目打造。进 一步巩固党政优势市场，全面开展公司产品的信创升级，快速拓展金融、能源、交通、电信、互联网等重点行业市场，推进 商用密码与行业应用需求的紧密结合，深入挖掘互联网企业对数据安全、安全服务的政策合规和内生转型需求，以市场需求 为导向创造公司高质量发展的新增长级。</w:t>
      </w:r>
    </w:p>
    <w:p>
      <w:pPr>
        <w:pStyle w:val="Style28"/>
        <w:keepNext w:val="0"/>
        <w:keepLines w:val="0"/>
        <w:widowControl w:val="0"/>
        <w:shd w:val="clear" w:color="auto" w:fill="auto"/>
        <w:bidi w:val="0"/>
        <w:spacing w:before="0" w:after="0" w:line="324" w:lineRule="exact"/>
        <w:ind w:left="0" w:right="0"/>
        <w:jc w:val="both"/>
      </w:pPr>
      <w:r>
        <w:rPr>
          <w:color w:val="000000"/>
          <w:spacing w:val="0"/>
          <w:w w:val="100"/>
          <w:position w:val="0"/>
        </w:rPr>
        <w:t>在基础安全业务方面，加强商密芯片能力建设，形成商密芯片与行业解决方案生态合作，重点做好现有系列芯片的销售 推广；强化车联网芯片产品能力，推进车联网安全试点示范项目落地。</w:t>
      </w:r>
    </w:p>
    <w:p>
      <w:pPr>
        <w:pStyle w:val="Style28"/>
        <w:keepNext w:val="0"/>
        <w:keepLines w:val="0"/>
        <w:widowControl w:val="0"/>
        <w:shd w:val="clear" w:color="auto" w:fill="auto"/>
        <w:bidi w:val="0"/>
        <w:spacing w:before="0" w:after="0" w:line="324" w:lineRule="exact"/>
        <w:ind w:left="0" w:right="0"/>
        <w:jc w:val="both"/>
      </w:pPr>
      <w:r>
        <w:rPr>
          <w:color w:val="000000"/>
          <w:spacing w:val="0"/>
          <w:w w:val="100"/>
          <w:position w:val="0"/>
        </w:rPr>
        <w:t>在网络安全业务方面，完善安全产品体系能力，打造信任服务、</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color w:val="000000"/>
          <w:spacing w:val="0"/>
          <w:w w:val="100"/>
          <w:position w:val="0"/>
        </w:rPr>
        <w:t>电力纵向等系列化拳头产品，形成面向重点行业 的安全解决方案，强化自主产品核心提升网络安全业务利润率。</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在数据安全业务方面，以世纪华通数据安全项目为抓手，打造数据安全服务平台，形成互联网行业个人信息保护解决方 案。加强关键信息基础设施行业数据安全防护和商用密码应用，推进商用密码与行业应用场景的深度结合，形成面向行业、 应用场景的商密应用解决方案。探索政府数据共享、数据交易所等数据流通、交易环节数据治理新模式。</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在安全应用业务方面，提升橙讯产品能力，完善纵深防护体系，建立常态化防护机制，通过橙讯平台广泛链接生态，接 入文件安全存储、管理等产品，打造体系化安全应用整体解决方案和应用生态能力。</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在安全服务业务方面，提升安全服务标准化能力，初步构建业界知名的网络攻防能力。拓展网络安全综合保障服务、政 务云安全一体化服务市场，争取在央企、国企落地服务案例。</w:t>
      </w:r>
    </w:p>
    <w:p>
      <w:pPr>
        <w:pStyle w:val="Style28"/>
        <w:keepNext w:val="0"/>
        <w:keepLines w:val="0"/>
        <w:widowControl w:val="0"/>
        <w:shd w:val="clear" w:color="auto" w:fill="auto"/>
        <w:tabs>
          <w:tab w:pos="685" w:val="left"/>
        </w:tabs>
        <w:bidi w:val="0"/>
        <w:spacing w:before="0" w:after="0" w:line="360" w:lineRule="auto"/>
        <w:ind w:left="0" w:right="0"/>
        <w:jc w:val="both"/>
      </w:pPr>
      <w:bookmarkStart w:id="249" w:name="bookmark249"/>
      <w:r>
        <w:rPr>
          <w:rFonts w:ascii="Times New Roman" w:eastAsia="Times New Roman" w:hAnsi="Times New Roman" w:cs="Times New Roman"/>
          <w:b/>
          <w:bCs/>
          <w:color w:val="000000"/>
          <w:spacing w:val="0"/>
          <w:w w:val="100"/>
          <w:position w:val="0"/>
          <w:sz w:val="18"/>
          <w:szCs w:val="18"/>
        </w:rPr>
        <w:t>2</w:t>
      </w:r>
      <w:bookmarkEnd w:id="249"/>
      <w:r>
        <w:rPr>
          <w:b/>
          <w:bCs/>
          <w:color w:val="000000"/>
          <w:spacing w:val="0"/>
          <w:w w:val="100"/>
          <w:position w:val="0"/>
        </w:rPr>
        <w:t>、</w:t>
        <w:tab/>
        <w:t>持续强化技术产品创新</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在产品研发方面，丰富芯片系列基础安全类产品，强化安全模块和整机能力；构建完整国产化网络安全产品体系，提升 全景化、智能化、生态化和服务化能力；以世纪华通合作项目为契机，构建数据安全核心能力；打造安全应用标准化平台架 构，构建特定领域安全应用体系；支撑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3+2+N</w:t>
      </w:r>
      <w:r>
        <w:rPr>
          <w:color w:val="000000"/>
          <w:spacing w:val="0"/>
          <w:w w:val="100"/>
          <w:position w:val="0"/>
        </w:rPr>
        <w:t>”</w:t>
      </w:r>
      <w:r>
        <w:rPr>
          <w:color w:val="000000"/>
          <w:spacing w:val="0"/>
          <w:w w:val="100"/>
          <w:position w:val="0"/>
        </w:rPr>
        <w:t>网络安全服务平台体系能力构建，推出指挥平台、监测分析平台和安全运 维平台等新产品。</w:t>
      </w:r>
    </w:p>
    <w:p>
      <w:pPr>
        <w:pStyle w:val="Style28"/>
        <w:keepNext w:val="0"/>
        <w:keepLines w:val="0"/>
        <w:widowControl w:val="0"/>
        <w:shd w:val="clear" w:color="auto" w:fill="auto"/>
        <w:bidi w:val="0"/>
        <w:spacing w:before="0" w:after="140" w:line="314" w:lineRule="exact"/>
        <w:ind w:left="0" w:right="0"/>
        <w:jc w:val="both"/>
      </w:pPr>
      <w:r>
        <w:rPr>
          <w:color w:val="000000"/>
          <w:spacing w:val="0"/>
          <w:w w:val="100"/>
          <w:position w:val="0"/>
        </w:rPr>
        <w:t>在技术创新方面，突破超高性能密码芯片技术、芯片系统微功耗技术、可信计算、安全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等技术关键核心技术，开展 云计算、</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工业互联网、物联网、数字经济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产业、可信身份和隐私计算等先进前沿技术的密码应用及保障体系研究，为 相应领域产品规划提供支撑。</w:t>
      </w:r>
    </w:p>
    <w:p>
      <w:pPr>
        <w:pStyle w:val="Style28"/>
        <w:keepNext w:val="0"/>
        <w:keepLines w:val="0"/>
        <w:widowControl w:val="0"/>
        <w:shd w:val="clear" w:color="auto" w:fill="auto"/>
        <w:tabs>
          <w:tab w:pos="685" w:val="left"/>
        </w:tabs>
        <w:bidi w:val="0"/>
        <w:spacing w:before="0" w:after="0" w:line="360" w:lineRule="auto"/>
        <w:ind w:left="0" w:right="0"/>
        <w:jc w:val="both"/>
      </w:pPr>
      <w:bookmarkStart w:id="250" w:name="bookmark250"/>
      <w:r>
        <w:rPr>
          <w:rFonts w:ascii="Times New Roman" w:eastAsia="Times New Roman" w:hAnsi="Times New Roman" w:cs="Times New Roman"/>
          <w:b/>
          <w:bCs/>
          <w:color w:val="000000"/>
          <w:spacing w:val="0"/>
          <w:w w:val="100"/>
          <w:position w:val="0"/>
          <w:sz w:val="18"/>
          <w:szCs w:val="18"/>
        </w:rPr>
        <w:t>3</w:t>
      </w:r>
      <w:bookmarkEnd w:id="250"/>
      <w:r>
        <w:rPr>
          <w:b/>
          <w:bCs/>
          <w:color w:val="000000"/>
          <w:spacing w:val="0"/>
          <w:w w:val="100"/>
          <w:position w:val="0"/>
        </w:rPr>
        <w:t>、</w:t>
        <w:tab/>
        <w:t>持续优化管理运行体系</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完善战略管理体系，构建战略制定、执行、评估、更新的完善战略管控体系，通过目标管理与考核、经济运行管理推进 战略规划落地执行与评估，指引公司未来发展方向。系统升级企业文化，推出企业文化理念</w:t>
      </w:r>
      <w:r>
        <w:rPr>
          <w:rFonts w:ascii="Times New Roman" w:eastAsia="Times New Roman" w:hAnsi="Times New Roman" w:cs="Times New Roman"/>
          <w:color w:val="000000"/>
          <w:spacing w:val="0"/>
          <w:w w:val="100"/>
          <w:position w:val="0"/>
          <w:sz w:val="18"/>
          <w:szCs w:val="18"/>
        </w:rPr>
        <w:t>MI</w:t>
      </w:r>
      <w:r>
        <w:rPr>
          <w:color w:val="000000"/>
          <w:spacing w:val="0"/>
          <w:w w:val="100"/>
          <w:position w:val="0"/>
        </w:rPr>
        <w:t xml:space="preserve">体系，构建与战略规划、业 </w:t>
      </w:r>
      <w:r>
        <w:rPr>
          <w:color w:val="000000"/>
          <w:spacing w:val="0"/>
          <w:w w:val="100"/>
          <w:position w:val="0"/>
        </w:rPr>
        <w:t>务发展匹配的企业文化体系，实现企业文化的“内化于心”。完善人才队伍建设，完善后备核心人才和干部培养模式，加强 干部能力提升，建立核心岗位人才梯队，优化完善公司绩效激励体系，充分激活人效。确保供应链安全，规范供应链管理流 程及工作部署，提升公司供应链管理水平，实现精细化管理。推进企业数字化转型，完成“数字卫士通”总体规划，设计数 字化建设总体架构，建设高效协同、优化创新的数字化、一体化、智能化、移动化信息平台，打造数字竞争新优势。完善全 面风险管理体系，坚守安全保密、安全生产红线与底线。</w:t>
      </w:r>
    </w:p>
    <w:p>
      <w:pPr>
        <w:pStyle w:val="Style28"/>
        <w:keepNext w:val="0"/>
        <w:keepLines w:val="0"/>
        <w:widowControl w:val="0"/>
        <w:shd w:val="clear" w:color="auto" w:fill="auto"/>
        <w:bidi w:val="0"/>
        <w:spacing w:before="0" w:after="0" w:line="360" w:lineRule="auto"/>
        <w:ind w:left="0" w:right="0"/>
        <w:jc w:val="left"/>
      </w:pPr>
      <w:bookmarkStart w:id="251" w:name="bookmark251"/>
      <w:r>
        <w:rPr>
          <w:rFonts w:ascii="Times New Roman" w:eastAsia="Times New Roman" w:hAnsi="Times New Roman" w:cs="Times New Roman"/>
          <w:b/>
          <w:bCs/>
          <w:color w:val="000000"/>
          <w:spacing w:val="0"/>
          <w:w w:val="100"/>
          <w:position w:val="0"/>
          <w:sz w:val="18"/>
          <w:szCs w:val="18"/>
        </w:rPr>
        <w:t>4</w:t>
      </w:r>
      <w:bookmarkEnd w:id="251"/>
      <w:r>
        <w:rPr>
          <w:b/>
          <w:bCs/>
          <w:color w:val="000000"/>
          <w:spacing w:val="0"/>
          <w:w w:val="100"/>
          <w:position w:val="0"/>
        </w:rPr>
        <w:t>、快速提升关键核心能力</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提升市场营销体系化能力。健全公司市场营销体系，完善渠道营销模式，持续提升市场宣传质效，强化重点业务宣传力 度。提升技术研发与创新能力。加强人工智能、隐私计算等共性前沿技术研究能力，加强新领域新场景安全与密码融合创新 研究。进一步提升网络安全、数据安全、安全应用等平台化产品研发能力，强化产品自动化测试能力。持续优化管理服务能 力。优化制度流程体系，促进业务与管理融合，提升公司管理效率和经营决策支撑能力。建立畅通高效的协同能力。强化公 司内部、子公司的内部协作的微循环、优化中国网安研发与市场协作的小循环、加强与电科集团成员单位协作的中循环、积 极融入产业生态合作的大循环。</w:t>
      </w:r>
    </w:p>
    <w:p>
      <w:pPr>
        <w:pStyle w:val="Style28"/>
        <w:keepNext w:val="0"/>
        <w:keepLines w:val="0"/>
        <w:widowControl w:val="0"/>
        <w:numPr>
          <w:ilvl w:val="0"/>
          <w:numId w:val="7"/>
        </w:numPr>
        <w:shd w:val="clear" w:color="auto" w:fill="auto"/>
        <w:bidi w:val="0"/>
        <w:spacing w:before="0" w:after="140" w:line="313" w:lineRule="exact"/>
        <w:ind w:left="0" w:right="0"/>
        <w:jc w:val="both"/>
      </w:pPr>
      <w:bookmarkStart w:id="252" w:name="bookmark252"/>
      <w:bookmarkEnd w:id="252"/>
      <w:r>
        <w:rPr>
          <w:b/>
          <w:bCs/>
          <w:color w:val="000000"/>
          <w:spacing w:val="0"/>
          <w:w w:val="100"/>
          <w:position w:val="0"/>
        </w:rPr>
        <w:t>可能面对的风险</w:t>
      </w:r>
    </w:p>
    <w:p>
      <w:pPr>
        <w:pStyle w:val="Style28"/>
        <w:keepNext w:val="0"/>
        <w:keepLines w:val="0"/>
        <w:widowControl w:val="0"/>
        <w:shd w:val="clear" w:color="auto" w:fill="auto"/>
        <w:tabs>
          <w:tab w:pos="659" w:val="left"/>
        </w:tabs>
        <w:bidi w:val="0"/>
        <w:spacing w:before="0" w:after="0" w:line="360" w:lineRule="auto"/>
        <w:ind w:left="0" w:right="0"/>
        <w:jc w:val="both"/>
      </w:pPr>
      <w:bookmarkStart w:id="253" w:name="bookmark253"/>
      <w:r>
        <w:rPr>
          <w:rFonts w:ascii="Times New Roman" w:eastAsia="Times New Roman" w:hAnsi="Times New Roman" w:cs="Times New Roman"/>
          <w:b/>
          <w:bCs/>
          <w:color w:val="000000"/>
          <w:spacing w:val="0"/>
          <w:w w:val="100"/>
          <w:position w:val="0"/>
          <w:sz w:val="18"/>
          <w:szCs w:val="18"/>
        </w:rPr>
        <w:t>1</w:t>
      </w:r>
      <w:bookmarkEnd w:id="253"/>
      <w:r>
        <w:rPr>
          <w:b/>
          <w:bCs/>
          <w:color w:val="000000"/>
          <w:spacing w:val="0"/>
          <w:w w:val="100"/>
          <w:position w:val="0"/>
        </w:rPr>
        <w:t>、</w:t>
        <w:tab/>
        <w:t>市场风险</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随着网络安全威胁的日益加剧，网络安全热度不断升温，传统的安全企业持续深耕、发展势头不减，互联网及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 陆续向安全领域渗透，初创型企业不断在细分领域寻找突破点，市场竞争将更加激烈。公司将在不断提升自身核心竞争力的 同时，加强技术交流与产品合作，以提升创新能力，增强市场竞争力。</w:t>
      </w:r>
    </w:p>
    <w:p>
      <w:pPr>
        <w:pStyle w:val="Style28"/>
        <w:keepNext w:val="0"/>
        <w:keepLines w:val="0"/>
        <w:widowControl w:val="0"/>
        <w:shd w:val="clear" w:color="auto" w:fill="auto"/>
        <w:tabs>
          <w:tab w:pos="674" w:val="left"/>
        </w:tabs>
        <w:bidi w:val="0"/>
        <w:spacing w:before="0" w:after="0" w:line="360" w:lineRule="auto"/>
        <w:ind w:left="0" w:right="0"/>
        <w:jc w:val="both"/>
      </w:pPr>
      <w:bookmarkStart w:id="254" w:name="bookmark254"/>
      <w:r>
        <w:rPr>
          <w:rFonts w:ascii="Times New Roman" w:eastAsia="Times New Roman" w:hAnsi="Times New Roman" w:cs="Times New Roman"/>
          <w:b/>
          <w:bCs/>
          <w:color w:val="000000"/>
          <w:spacing w:val="0"/>
          <w:w w:val="100"/>
          <w:position w:val="0"/>
          <w:sz w:val="18"/>
          <w:szCs w:val="18"/>
        </w:rPr>
        <w:t>2</w:t>
      </w:r>
      <w:bookmarkEnd w:id="254"/>
      <w:r>
        <w:rPr>
          <w:b/>
          <w:bCs/>
          <w:color w:val="000000"/>
          <w:spacing w:val="0"/>
          <w:w w:val="100"/>
          <w:position w:val="0"/>
        </w:rPr>
        <w:t>、</w:t>
        <w:tab/>
        <w:t>技术风险</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随着互联网在各领域各行业的渗透，网络安全也在不断扩大应用领域，物联网、云计算、大数据、人工智能等领域对网 络安全提出了更多、更高的要求，倒逼网络安全企业不断创新。如果未来公司无法满足新技术、新应用、新模式的安全保障 需求，将对公司业务发展造成不利影响。公司将把创新作为发展的核心理念和长期性要求，加强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安全、区块链、后量子 密码、物联网安全等的前瞻性研究，以保障公司的可持续发展。</w:t>
      </w:r>
    </w:p>
    <w:p>
      <w:pPr>
        <w:pStyle w:val="Style28"/>
        <w:keepNext w:val="0"/>
        <w:keepLines w:val="0"/>
        <w:widowControl w:val="0"/>
        <w:shd w:val="clear" w:color="auto" w:fill="auto"/>
        <w:tabs>
          <w:tab w:pos="674" w:val="left"/>
        </w:tabs>
        <w:bidi w:val="0"/>
        <w:spacing w:before="0" w:after="0" w:line="360" w:lineRule="auto"/>
        <w:ind w:left="0" w:right="0"/>
        <w:jc w:val="both"/>
      </w:pPr>
      <w:bookmarkStart w:id="255" w:name="bookmark255"/>
      <w:r>
        <w:rPr>
          <w:rFonts w:ascii="Times New Roman" w:eastAsia="Times New Roman" w:hAnsi="Times New Roman" w:cs="Times New Roman"/>
          <w:b/>
          <w:bCs/>
          <w:color w:val="000000"/>
          <w:spacing w:val="0"/>
          <w:w w:val="100"/>
          <w:position w:val="0"/>
          <w:sz w:val="18"/>
          <w:szCs w:val="18"/>
        </w:rPr>
        <w:t>3</w:t>
      </w:r>
      <w:bookmarkEnd w:id="255"/>
      <w:r>
        <w:rPr>
          <w:b/>
          <w:bCs/>
          <w:color w:val="000000"/>
          <w:spacing w:val="0"/>
          <w:w w:val="100"/>
          <w:position w:val="0"/>
        </w:rPr>
        <w:t>、</w:t>
        <w:tab/>
        <w:t>人才风险</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公司的快速成长依赖于技术、营销和管理等各类高素质人才。随着公司业务领域的不断拓展，公司对多样化人才的需求 也与日俱增，高级专业技术人才、市场营销领军人才以及高素质管理人才不能满足日益发展的业务需要。公司将持续完善长 效激励机制，保持现有管理团队及核心员工稳定的同时，吸引更多的高端人才加入，以保持和提升公司竞争力。</w:t>
      </w:r>
    </w:p>
    <w:p>
      <w:pPr>
        <w:pStyle w:val="Style28"/>
        <w:keepNext w:val="0"/>
        <w:keepLines w:val="0"/>
        <w:widowControl w:val="0"/>
        <w:shd w:val="clear" w:color="auto" w:fill="auto"/>
        <w:tabs>
          <w:tab w:pos="674" w:val="left"/>
        </w:tabs>
        <w:bidi w:val="0"/>
        <w:spacing w:before="0" w:after="0" w:line="360" w:lineRule="auto"/>
        <w:ind w:left="0" w:right="0"/>
        <w:jc w:val="both"/>
      </w:pPr>
      <w:bookmarkStart w:id="256" w:name="bookmark256"/>
      <w:r>
        <w:rPr>
          <w:rFonts w:ascii="Times New Roman" w:eastAsia="Times New Roman" w:hAnsi="Times New Roman" w:cs="Times New Roman"/>
          <w:b/>
          <w:bCs/>
          <w:color w:val="000000"/>
          <w:spacing w:val="0"/>
          <w:w w:val="100"/>
          <w:position w:val="0"/>
          <w:sz w:val="18"/>
          <w:szCs w:val="18"/>
        </w:rPr>
        <w:t>4</w:t>
      </w:r>
      <w:bookmarkEnd w:id="256"/>
      <w:r>
        <w:rPr>
          <w:b/>
          <w:bCs/>
          <w:color w:val="000000"/>
          <w:spacing w:val="0"/>
          <w:w w:val="100"/>
          <w:position w:val="0"/>
        </w:rPr>
        <w:t>、</w:t>
        <w:tab/>
        <w:t>财务风险</w:t>
      </w:r>
    </w:p>
    <w:p>
      <w:pPr>
        <w:pStyle w:val="Style28"/>
        <w:keepNext w:val="0"/>
        <w:keepLines w:val="0"/>
        <w:widowControl w:val="0"/>
        <w:shd w:val="clear" w:color="auto" w:fill="auto"/>
        <w:bidi w:val="0"/>
        <w:spacing w:before="0" w:after="360" w:line="314" w:lineRule="exact"/>
        <w:ind w:left="0" w:right="0"/>
        <w:jc w:val="both"/>
      </w:pPr>
      <w:r>
        <w:rPr>
          <w:color w:val="000000"/>
          <w:spacing w:val="0"/>
          <w:w w:val="100"/>
          <w:position w:val="0"/>
        </w:rPr>
        <w:t>在应收账款方面，公司的主要客户虽然集中在信誉较好的党政、金融、电力等行业客户，客户有很强的履约能力，应收 账款总体质量较好，整体违约概率较低，但是，报告期末应收账款规模仍然较大，影响了公司的现金流状况、降低了资金使 用效率。公司将严格执行应收账款相关管理办法，通过加强对销售人员销售回款的考核、积极推进项目实施及验收等措施， 降低应收账款规模，提高应收账款周转率。</w:t>
      </w:r>
    </w:p>
    <w:p>
      <w:pPr>
        <w:pStyle w:val="Style24"/>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r>
        <w:rPr>
          <w:color w:val="000000"/>
          <w:spacing w:val="0"/>
          <w:w w:val="100"/>
          <w:position w:val="0"/>
        </w:rPr>
        <w:t>十二、报告期内接待调研、沟通、采访等活动</w:t>
      </w:r>
      <w:bookmarkEnd w:id="257"/>
      <w:bookmarkEnd w:id="258"/>
      <w:bookmarkEnd w:id="25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850"/>
        <w:gridCol w:w="850"/>
        <w:gridCol w:w="850"/>
        <w:gridCol w:w="2410"/>
        <w:gridCol w:w="1814"/>
        <w:gridCol w:w="18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公司会议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通过电话会议参与公司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年半年报交流会的机构投资 者、分析师及个人投资者等共 </w:t>
            </w:r>
            <w:r>
              <w:rPr>
                <w:rFonts w:ascii="Times New Roman" w:eastAsia="Times New Roman" w:hAnsi="Times New Roman" w:cs="Times New Roman"/>
                <w:color w:val="000000"/>
                <w:spacing w:val="0"/>
                <w:w w:val="100"/>
                <w:position w:val="0"/>
                <w:sz w:val="18"/>
                <w:szCs w:val="18"/>
              </w:rPr>
              <w:t xml:space="preserve">127 </w:t>
            </w: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年上半年经 营情况、公司在隐私计 算方面储备及重点推 进方向、隐私计算算法 方面的优势等。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 上披露的投资者关系 活动记录表。</w:t>
            </w:r>
          </w:p>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p>
        </w:tc>
      </w:tr>
    </w:tbl>
    <w:p>
      <w:pPr>
        <w:spacing w:lineRule="exact" w:line="1"/>
        <w:rPr>
          <w:sz w:val="2"/>
          <w:szCs w:val="2"/>
        </w:rPr>
      </w:pPr>
      <w:r>
        <w:br w:type="page"/>
      </w:r>
    </w:p>
    <w:tbl>
      <w:tblPr>
        <w:tblOverlap w:val="never"/>
        <w:jc w:val="center"/>
        <w:tblLayout w:type="fixed"/>
      </w:tblPr>
      <w:tblGrid>
        <w:gridCol w:w="998"/>
        <w:gridCol w:w="850"/>
        <w:gridCol w:w="850"/>
        <w:gridCol w:w="850"/>
        <w:gridCol w:w="2410"/>
        <w:gridCol w:w="1814"/>
        <w:gridCol w:w="1814"/>
      </w:tblGrid>
      <w:tr>
        <w:trPr>
          <w:trHeight w:val="25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公司会议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恒越基金：冯浚壬易；中信自营： 刘雯蜀；博时基金：黄继晨； 睿郡资产：唐胜；易方达基金: 蔡荣成；兴业证券：吴鸣远、 冯欣怡；中信建投：曹添雨； 中睿合银：郑淼；健顺投资： 邵伟；嘉合资本：陶棣溦；张 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公司与世纪华通的合 作情况、收费模式及提 供的服务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产品情况， 公司企业微信加密业 务的开展情况，公司的 芯片业务情况等。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 上披露的投资者关系 活动记录表。</w:t>
            </w:r>
          </w:p>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公司证券</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投资部办</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年度接待投资者 电话数百次，了解公司 经营、业务、诉讼等情 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383" w:right="1052" w:bottom="1484" w:left="1062" w:header="0" w:footer="3" w:gutter="0"/>
          <w:cols w:space="720"/>
          <w:noEndnote/>
          <w:rtlGutter w:val="0"/>
          <w:docGrid w:linePitch="360"/>
        </w:sectPr>
      </w:pPr>
    </w:p>
    <w:p>
      <w:pPr>
        <w:pStyle w:val="Style10"/>
        <w:keepNext/>
        <w:keepLines/>
        <w:widowControl w:val="0"/>
        <w:shd w:val="clear" w:color="auto" w:fill="auto"/>
        <w:bidi w:val="0"/>
        <w:spacing w:before="520" w:after="560" w:line="240" w:lineRule="auto"/>
        <w:ind w:left="0" w:right="0" w:firstLine="0"/>
        <w:jc w:val="center"/>
      </w:pPr>
      <w:bookmarkStart w:id="260" w:name="bookmark260"/>
      <w:bookmarkStart w:id="261" w:name="bookmark261"/>
      <w:bookmarkStart w:id="262" w:name="bookmark262"/>
      <w:r>
        <w:rPr>
          <w:color w:val="000000"/>
          <w:spacing w:val="0"/>
          <w:w w:val="100"/>
          <w:position w:val="0"/>
        </w:rPr>
        <w:t>第四节公司治理</w:t>
      </w:r>
      <w:bookmarkEnd w:id="260"/>
      <w:bookmarkEnd w:id="261"/>
      <w:bookmarkEnd w:id="262"/>
    </w:p>
    <w:p>
      <w:pPr>
        <w:pStyle w:val="Style24"/>
        <w:keepNext/>
        <w:keepLines/>
        <w:widowControl w:val="0"/>
        <w:shd w:val="clear" w:color="auto" w:fill="auto"/>
        <w:bidi w:val="0"/>
        <w:spacing w:before="0" w:after="260" w:line="240" w:lineRule="auto"/>
        <w:ind w:left="0" w:right="0" w:firstLine="0"/>
        <w:jc w:val="left"/>
      </w:pPr>
      <w:bookmarkStart w:id="263" w:name="bookmark263"/>
      <w:bookmarkStart w:id="264" w:name="bookmark264"/>
      <w:bookmarkStart w:id="265" w:name="bookmark265"/>
      <w:bookmarkStart w:id="266" w:name="bookmark266"/>
      <w:bookmarkStart w:id="267" w:name="bookmark267"/>
      <w:r>
        <w:rPr>
          <w:color w:val="000000"/>
          <w:spacing w:val="0"/>
          <w:w w:val="100"/>
          <w:position w:val="0"/>
        </w:rPr>
        <w:t>一</w:t>
      </w:r>
      <w:bookmarkEnd w:id="266"/>
      <w:r>
        <w:rPr>
          <w:color w:val="000000"/>
          <w:spacing w:val="0"/>
          <w:w w:val="100"/>
          <w:position w:val="0"/>
        </w:rPr>
        <w:t>、公司治理的基本状况</w:t>
      </w:r>
      <w:bookmarkEnd w:id="264"/>
      <w:bookmarkEnd w:id="265"/>
      <w:bookmarkEnd w:id="267"/>
      <w:bookmarkEnd w:id="263"/>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公司严格按照《公司法》、《证券法》、《上市公司治理准则》、深圳证券交易所《股票上市规则》、《上市公司自律 监管指引》、《上市公司自律监管指南》等有关法律法规和规范性指引的要求，不断完善公司治理结构，建立健全内部管理 和控制制度，加强运作规范，公司治理的实际情况符合中国证监会有关上市公司治理的规范性文件的要求。</w:t>
      </w:r>
    </w:p>
    <w:p>
      <w:pPr>
        <w:pStyle w:val="Style28"/>
        <w:keepNext w:val="0"/>
        <w:keepLines w:val="0"/>
        <w:widowControl w:val="0"/>
        <w:shd w:val="clear" w:color="auto" w:fill="auto"/>
        <w:tabs>
          <w:tab w:pos="843" w:val="left"/>
        </w:tabs>
        <w:bidi w:val="0"/>
        <w:spacing w:before="0" w:after="0" w:line="313" w:lineRule="exact"/>
        <w:ind w:left="0" w:right="0" w:firstLine="320"/>
        <w:jc w:val="left"/>
      </w:pPr>
      <w:bookmarkStart w:id="268" w:name="bookmark268"/>
      <w:r>
        <w:rPr>
          <w:b/>
          <w:bCs/>
          <w:color w:val="000000"/>
          <w:spacing w:val="0"/>
          <w:w w:val="100"/>
          <w:position w:val="0"/>
        </w:rPr>
        <w:t>（</w:t>
      </w:r>
      <w:bookmarkEnd w:id="268"/>
      <w:r>
        <w:rPr>
          <w:b/>
          <w:bCs/>
          <w:color w:val="000000"/>
          <w:spacing w:val="0"/>
          <w:w w:val="100"/>
          <w:position w:val="0"/>
        </w:rPr>
        <w:t>一）</w:t>
        <w:tab/>
        <w:t>股东和股东大会</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公司严格按照《公司法》、《上市公司股东大会规则》、《公司章程》和《公司股东大会议事规则》的规定和要求，规 范股东大会的召集、召开、表决程序，能够平等对待所有股东，确保全体股东特别是中小股东享有平等地位，充分行使自己 的权利。</w:t>
      </w:r>
    </w:p>
    <w:p>
      <w:pPr>
        <w:pStyle w:val="Style28"/>
        <w:keepNext w:val="0"/>
        <w:keepLines w:val="0"/>
        <w:widowControl w:val="0"/>
        <w:shd w:val="clear" w:color="auto" w:fill="auto"/>
        <w:tabs>
          <w:tab w:pos="843" w:val="left"/>
        </w:tabs>
        <w:bidi w:val="0"/>
        <w:spacing w:before="0" w:after="0" w:line="313" w:lineRule="exact"/>
        <w:ind w:left="0" w:right="0" w:firstLine="320"/>
        <w:jc w:val="left"/>
      </w:pPr>
      <w:bookmarkStart w:id="269" w:name="bookmark269"/>
      <w:r>
        <w:rPr>
          <w:b/>
          <w:bCs/>
          <w:color w:val="000000"/>
          <w:spacing w:val="0"/>
          <w:w w:val="100"/>
          <w:position w:val="0"/>
        </w:rPr>
        <w:t>（</w:t>
      </w:r>
      <w:bookmarkEnd w:id="269"/>
      <w:r>
        <w:rPr>
          <w:b/>
          <w:bCs/>
          <w:color w:val="000000"/>
          <w:spacing w:val="0"/>
          <w:w w:val="100"/>
          <w:position w:val="0"/>
        </w:rPr>
        <w:t>二）</w:t>
        <w:tab/>
        <w:t>公司与控股股东、实际控制人</w:t>
      </w:r>
    </w:p>
    <w:p>
      <w:pPr>
        <w:pStyle w:val="Style2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报告期内公司控股股东及实际控制人行为规范，能依法行使其权利并承担相应的义务，没有超越公司股东大会直接或 间接干预公司的决策和生产经营活动。公司在业务、人员、资产、机构、财务等方面完全独立，公司董事会、监事会和内部 机构能够独立运作。</w:t>
      </w:r>
    </w:p>
    <w:p>
      <w:pPr>
        <w:pStyle w:val="Style28"/>
        <w:keepNext w:val="0"/>
        <w:keepLines w:val="0"/>
        <w:widowControl w:val="0"/>
        <w:shd w:val="clear" w:color="auto" w:fill="auto"/>
        <w:tabs>
          <w:tab w:pos="843" w:val="left"/>
        </w:tabs>
        <w:bidi w:val="0"/>
        <w:spacing w:before="0" w:after="0" w:line="313" w:lineRule="exact"/>
        <w:ind w:left="0" w:right="0" w:firstLine="320"/>
        <w:jc w:val="left"/>
      </w:pPr>
      <w:bookmarkStart w:id="270" w:name="bookmark270"/>
      <w:r>
        <w:rPr>
          <w:b/>
          <w:bCs/>
          <w:color w:val="000000"/>
          <w:spacing w:val="0"/>
          <w:w w:val="100"/>
          <w:position w:val="0"/>
        </w:rPr>
        <w:t>（</w:t>
      </w:r>
      <w:bookmarkEnd w:id="270"/>
      <w:r>
        <w:rPr>
          <w:b/>
          <w:bCs/>
          <w:color w:val="000000"/>
          <w:spacing w:val="0"/>
          <w:w w:val="100"/>
          <w:position w:val="0"/>
        </w:rPr>
        <w:t>三）</w:t>
        <w:tab/>
        <w:t>董事与董事会</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公司按照《公司法》、《公司章程》及《董事会议事规则》等的规定和要求选举董事，公司董事会现有董事九名，其中 独立董事三名，达到全体董事的三分之一。公司全体董事能够按照法律、法规以及《上市公司自律监管指引》、公司《董事 会议事规则》、《独立董事工作制度》等的规定开展工作，认真出席董事会和股东大会，积极参加培训，学习有关法律法规， 以诚信、勤勉、尽责的态度认真履行董事职责。</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公司董事会下设审计委员会、薪酬与考核委员会、提名委员会和战略委员会四个专门委员会，在促进公司规范运作、健 康持续发展等方面发挥了重要的作用。</w:t>
      </w:r>
    </w:p>
    <w:p>
      <w:pPr>
        <w:pStyle w:val="Style28"/>
        <w:keepNext w:val="0"/>
        <w:keepLines w:val="0"/>
        <w:widowControl w:val="0"/>
        <w:shd w:val="clear" w:color="auto" w:fill="auto"/>
        <w:tabs>
          <w:tab w:pos="843" w:val="left"/>
        </w:tabs>
        <w:bidi w:val="0"/>
        <w:spacing w:before="0" w:after="0" w:line="313" w:lineRule="exact"/>
        <w:ind w:left="0" w:right="0" w:firstLine="320"/>
        <w:jc w:val="left"/>
      </w:pPr>
      <w:bookmarkStart w:id="271" w:name="bookmark271"/>
      <w:r>
        <w:rPr>
          <w:b/>
          <w:bCs/>
          <w:color w:val="000000"/>
          <w:spacing w:val="0"/>
          <w:w w:val="100"/>
          <w:position w:val="0"/>
        </w:rPr>
        <w:t>（</w:t>
      </w:r>
      <w:bookmarkEnd w:id="271"/>
      <w:r>
        <w:rPr>
          <w:b/>
          <w:bCs/>
          <w:color w:val="000000"/>
          <w:spacing w:val="0"/>
          <w:w w:val="100"/>
          <w:position w:val="0"/>
        </w:rPr>
        <w:t>四）</w:t>
        <w:tab/>
        <w:t>监事与监事会</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公司严格按照法律、法规及《公司章程》、《监事会议事规则》等相关规定选举监事，公司监事会现有三名监事，其中 职工监事一名，由公司职工代表大会选举产生。公司全体监事能够按照法律、法规和《监事会议事规则》等的要求，从保护 股东利益出发，认真履行职责，对公司财务以及公司董事、其他高级管理人员履行职责的合法合规性进行监督，忠实、勤勉 地维护公司及股东的合法权益。</w:t>
      </w:r>
    </w:p>
    <w:p>
      <w:pPr>
        <w:pStyle w:val="Style28"/>
        <w:keepNext w:val="0"/>
        <w:keepLines w:val="0"/>
        <w:widowControl w:val="0"/>
        <w:shd w:val="clear" w:color="auto" w:fill="auto"/>
        <w:tabs>
          <w:tab w:pos="843" w:val="left"/>
        </w:tabs>
        <w:bidi w:val="0"/>
        <w:spacing w:before="0" w:after="0" w:line="313" w:lineRule="exact"/>
        <w:ind w:left="0" w:right="0" w:firstLine="320"/>
        <w:jc w:val="left"/>
      </w:pPr>
      <w:bookmarkStart w:id="272" w:name="bookmark272"/>
      <w:r>
        <w:rPr>
          <w:b/>
          <w:bCs/>
          <w:color w:val="000000"/>
          <w:spacing w:val="0"/>
          <w:w w:val="100"/>
          <w:position w:val="0"/>
        </w:rPr>
        <w:t>（</w:t>
      </w:r>
      <w:bookmarkEnd w:id="272"/>
      <w:r>
        <w:rPr>
          <w:b/>
          <w:bCs/>
          <w:color w:val="000000"/>
          <w:spacing w:val="0"/>
          <w:w w:val="100"/>
          <w:position w:val="0"/>
        </w:rPr>
        <w:t>五）</w:t>
        <w:tab/>
        <w:t>利益相关者</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公司充分尊重和维护相关利益者的合法权益，实现社会、股东、公司、员工等各方面利益的协调平衡，诚信对待供应商 和客户，切实维护职工的合法权益，重视社会责任，共同推动公司持续、健康、快速发展。</w:t>
      </w:r>
    </w:p>
    <w:p>
      <w:pPr>
        <w:pStyle w:val="Style28"/>
        <w:keepNext w:val="0"/>
        <w:keepLines w:val="0"/>
        <w:widowControl w:val="0"/>
        <w:shd w:val="clear" w:color="auto" w:fill="auto"/>
        <w:tabs>
          <w:tab w:pos="843" w:val="left"/>
        </w:tabs>
        <w:bidi w:val="0"/>
        <w:spacing w:before="0" w:after="0" w:line="313" w:lineRule="exact"/>
        <w:ind w:left="0" w:right="0" w:firstLine="320"/>
        <w:jc w:val="both"/>
      </w:pPr>
      <w:bookmarkStart w:id="273" w:name="bookmark273"/>
      <w:r>
        <w:rPr>
          <w:b/>
          <w:bCs/>
          <w:color w:val="000000"/>
          <w:spacing w:val="0"/>
          <w:w w:val="100"/>
          <w:position w:val="0"/>
        </w:rPr>
        <w:t>（</w:t>
      </w:r>
      <w:bookmarkEnd w:id="273"/>
      <w:r>
        <w:rPr>
          <w:b/>
          <w:bCs/>
          <w:color w:val="000000"/>
          <w:spacing w:val="0"/>
          <w:w w:val="100"/>
          <w:position w:val="0"/>
        </w:rPr>
        <w:t>六）</w:t>
        <w:tab/>
        <w:t>信息披露</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公司指定《证券时报》、《中国证券报》和巨潮资讯网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为公司信息披露的指定报纸和网站，</w:t>
      </w:r>
      <w:r>
        <w:rPr>
          <w:color w:val="000000"/>
          <w:spacing w:val="0"/>
          <w:w w:val="100"/>
          <w:position w:val="0"/>
        </w:rPr>
        <w:t xml:space="preserve"> 还通过深圳证券交易所互动平台、电话和接待来访等方式加强与投资者的沟通与交流；公司严格按照有关法律法规及公司制 定的《信息披露管理制度》、《投资者关系管理制度》、《内幕信息知情人登记管理制度》、《对外报送未公开重大信息管 理制度》等的要求，真实、准确、完整、及时的披露有关信息，确保所有股东有平等的机会获得信息。</w:t>
      </w:r>
    </w:p>
    <w:p>
      <w:pPr>
        <w:pStyle w:val="Style28"/>
        <w:keepNext w:val="0"/>
        <w:keepLines w:val="0"/>
        <w:widowControl w:val="0"/>
        <w:shd w:val="clear" w:color="auto" w:fill="auto"/>
        <w:tabs>
          <w:tab w:pos="843" w:val="left"/>
        </w:tabs>
        <w:bidi w:val="0"/>
        <w:spacing w:before="0" w:after="0" w:line="313" w:lineRule="exact"/>
        <w:ind w:left="0" w:right="0" w:firstLine="320"/>
        <w:jc w:val="both"/>
      </w:pPr>
      <w:bookmarkStart w:id="274" w:name="bookmark274"/>
      <w:r>
        <w:rPr>
          <w:b/>
          <w:bCs/>
          <w:color w:val="000000"/>
          <w:spacing w:val="0"/>
          <w:w w:val="100"/>
          <w:position w:val="0"/>
        </w:rPr>
        <w:t>（</w:t>
      </w:r>
      <w:bookmarkEnd w:id="274"/>
      <w:r>
        <w:rPr>
          <w:b/>
          <w:bCs/>
          <w:color w:val="000000"/>
          <w:spacing w:val="0"/>
          <w:w w:val="100"/>
          <w:position w:val="0"/>
        </w:rPr>
        <w:t>七）</w:t>
        <w:tab/>
        <w:t>考核与激励</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公司高级管理人员的聘任严格依据相关法律、法规及公司制度的规定，由董事会审议决定；依据公司《董事会薪酬与考 核委员会工作制度》，高级管理人员薪酬由薪酬与考核委员会考核，并报经董事会批准后授权实施。</w:t>
      </w:r>
    </w:p>
    <w:p>
      <w:pPr>
        <w:pStyle w:val="Style28"/>
        <w:keepNext w:val="0"/>
        <w:keepLines w:val="0"/>
        <w:widowControl w:val="0"/>
        <w:shd w:val="clear" w:color="auto" w:fill="auto"/>
        <w:tabs>
          <w:tab w:pos="843" w:val="left"/>
        </w:tabs>
        <w:bidi w:val="0"/>
        <w:spacing w:before="0" w:after="0" w:line="313" w:lineRule="exact"/>
        <w:ind w:left="0" w:right="0" w:firstLine="320"/>
        <w:jc w:val="both"/>
      </w:pPr>
      <w:bookmarkStart w:id="275" w:name="bookmark275"/>
      <w:r>
        <w:rPr>
          <w:b/>
          <w:bCs/>
          <w:color w:val="000000"/>
          <w:spacing w:val="0"/>
          <w:w w:val="100"/>
          <w:position w:val="0"/>
        </w:rPr>
        <w:t>（</w:t>
      </w:r>
      <w:bookmarkEnd w:id="275"/>
      <w:r>
        <w:rPr>
          <w:b/>
          <w:bCs/>
          <w:color w:val="000000"/>
          <w:spacing w:val="0"/>
          <w:w w:val="100"/>
          <w:position w:val="0"/>
        </w:rPr>
        <w:t>八）</w:t>
        <w:tab/>
        <w:t>内部审计</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公司设内部审计专职人员，负责公司内部审计工作，并直接向审计委员会汇报工作。在公司董事会的监督与指导下，内 部审计部门依法独立开展公司内部审计、督查工作，采取定期与不定期检查方式，对公司和分子公司财务、重大项目、生产 经营活动等进行审计、核查，对公司和分子公司内部管理体系、内部控制的情况进行监督检查。</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17" w:val="left"/>
        </w:tabs>
        <w:bidi w:val="0"/>
        <w:spacing w:before="0" w:after="260" w:line="322"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w:t>
        <w:tab/>
        <w:t>公司相对于控股股东、实际控制人在保证公司资产、人员、财务、机构、业务等方面的 独立情况</w:t>
      </w:r>
      <w:bookmarkEnd w:id="276"/>
      <w:bookmarkEnd w:id="277"/>
      <w:bookmarkEnd w:id="279"/>
    </w:p>
    <w:p>
      <w:pPr>
        <w:pStyle w:val="Style28"/>
        <w:keepNext w:val="0"/>
        <w:keepLines w:val="0"/>
        <w:widowControl w:val="0"/>
        <w:shd w:val="clear" w:color="auto" w:fill="auto"/>
        <w:bidi w:val="0"/>
        <w:spacing w:before="0" w:after="320" w:line="317" w:lineRule="exact"/>
        <w:ind w:left="0" w:right="0" w:firstLine="280"/>
        <w:jc w:val="both"/>
      </w:pPr>
      <w:r>
        <w:rPr>
          <w:color w:val="000000"/>
          <w:spacing w:val="0"/>
          <w:w w:val="100"/>
          <w:position w:val="0"/>
        </w:rPr>
        <w:t>公司严格按照《公司法》和《公司章程》规范运作，建立健全公司的法人治理结构，与控股股东在业务、人员、资产、 机构、财务等方面完全分开，具有独立完整的业务及自主经营能力。</w:t>
      </w:r>
    </w:p>
    <w:p>
      <w:pPr>
        <w:pStyle w:val="Style24"/>
        <w:keepNext/>
        <w:keepLines/>
        <w:widowControl w:val="0"/>
        <w:shd w:val="clear" w:color="auto" w:fill="auto"/>
        <w:tabs>
          <w:tab w:pos="517" w:val="left"/>
        </w:tabs>
        <w:bidi w:val="0"/>
        <w:spacing w:before="0" w:after="380" w:line="322"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w:t>
        <w:tab/>
        <w:t>同业竞争情况</w:t>
      </w:r>
      <w:bookmarkEnd w:id="280"/>
      <w:bookmarkEnd w:id="281"/>
      <w:bookmarkEnd w:id="283"/>
    </w:p>
    <w:p>
      <w:pPr>
        <w:pStyle w:val="Style28"/>
        <w:keepNext w:val="0"/>
        <w:keepLines w:val="0"/>
        <w:widowControl w:val="0"/>
        <w:shd w:val="clear" w:color="auto" w:fill="auto"/>
        <w:bidi w:val="0"/>
        <w:spacing w:before="0" w:after="1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322"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四</w:t>
      </w:r>
      <w:bookmarkEnd w:id="286"/>
      <w:r>
        <w:rPr>
          <w:color w:val="000000"/>
          <w:spacing w:val="0"/>
          <w:w w:val="100"/>
          <w:position w:val="0"/>
        </w:rPr>
        <w:t>、</w:t>
        <w:tab/>
        <w:t>报告期内召开的年度股东大会和临时股东大会的有关情况</w:t>
      </w:r>
      <w:bookmarkEnd w:id="284"/>
      <w:bookmarkEnd w:id="285"/>
      <w:bookmarkEnd w:id="287"/>
    </w:p>
    <w:p>
      <w:pPr>
        <w:pStyle w:val="Style32"/>
        <w:keepNext/>
        <w:keepLines/>
        <w:widowControl w:val="0"/>
        <w:shd w:val="clear" w:color="auto" w:fill="auto"/>
        <w:bidi w:val="0"/>
        <w:spacing w:before="0" w:after="3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、本报告期股东大会情况</w:t>
      </w:r>
      <w:bookmarkEnd w:id="288"/>
      <w:bookmarkEnd w:id="289"/>
      <w:bookmarkEnd w:id="291"/>
    </w:p>
    <w:tbl>
      <w:tblPr>
        <w:tblOverlap w:val="never"/>
        <w:jc w:val="center"/>
        <w:tblLayout w:type="fixed"/>
      </w:tblPr>
      <w:tblGrid>
        <w:gridCol w:w="1603"/>
        <w:gridCol w:w="1238"/>
        <w:gridCol w:w="1416"/>
        <w:gridCol w:w="1277"/>
        <w:gridCol w:w="1277"/>
        <w:gridCol w:w="277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 大会决议公告；巨潮资讯网。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2021-029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 公告；巨潮资讯网。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 大会决议公告；巨潮资讯网。</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 大会决议公告；巨潮资讯网。</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、表决权恢复的优先股股东请求召开临时股东大会</w:t>
      </w:r>
      <w:bookmarkEnd w:id="292"/>
      <w:bookmarkEnd w:id="293"/>
      <w:bookmarkEnd w:id="295"/>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五</w:t>
      </w:r>
      <w:bookmarkEnd w:id="298"/>
      <w:r>
        <w:rPr>
          <w:color w:val="000000"/>
          <w:spacing w:val="0"/>
          <w:w w:val="100"/>
          <w:position w:val="0"/>
        </w:rPr>
        <w:t>、董事、监事和高级管理人员情况</w:t>
      </w:r>
      <w:bookmarkEnd w:id="296"/>
      <w:bookmarkEnd w:id="297"/>
      <w:bookmarkEnd w:id="299"/>
    </w:p>
    <w:p>
      <w:pPr>
        <w:pStyle w:val="Style32"/>
        <w:keepNext/>
        <w:keepLines/>
        <w:widowControl w:val="0"/>
        <w:shd w:val="clear" w:color="auto" w:fill="auto"/>
        <w:bidi w:val="0"/>
        <w:spacing w:before="0" w:after="320" w:line="240" w:lineRule="auto"/>
        <w:ind w:left="0" w:right="0" w:firstLine="0"/>
        <w:jc w:val="both"/>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1</w:t>
      </w:r>
      <w:bookmarkEnd w:id="302"/>
      <w:r>
        <w:rPr>
          <w:color w:val="000000"/>
          <w:spacing w:val="0"/>
          <w:w w:val="100"/>
          <w:position w:val="0"/>
        </w:rPr>
        <w:t>、基本情况</w:t>
      </w:r>
      <w:bookmarkEnd w:id="300"/>
      <w:bookmarkEnd w:id="301"/>
      <w:bookmarkEnd w:id="303"/>
    </w:p>
    <w:tbl>
      <w:tblPr>
        <w:tblOverlap w:val="never"/>
        <w:jc w:val="center"/>
        <w:tblLayout w:type="fixed"/>
      </w:tblPr>
      <w:tblGrid>
        <w:gridCol w:w="739"/>
        <w:gridCol w:w="734"/>
        <w:gridCol w:w="734"/>
        <w:gridCol w:w="490"/>
        <w:gridCol w:w="566"/>
        <w:gridCol w:w="1152"/>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股份增</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的原因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490"/>
        <w:gridCol w:w="566"/>
        <w:gridCol w:w="1152"/>
        <w:gridCol w:w="739"/>
        <w:gridCol w:w="734"/>
        <w:gridCol w:w="734"/>
        <w:gridCol w:w="739"/>
        <w:gridCol w:w="734"/>
        <w:gridCol w:w="734"/>
        <w:gridCol w:w="749"/>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汪再军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孟玲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任立勇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魏洪宽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刘志惠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刘志惠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刘志惠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吴向阳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490"/>
        <w:gridCol w:w="566"/>
        <w:gridCol w:w="1152"/>
        <w:gridCol w:w="739"/>
        <w:gridCol w:w="734"/>
        <w:gridCol w:w="734"/>
        <w:gridCol w:w="739"/>
        <w:gridCol w:w="734"/>
        <w:gridCol w:w="734"/>
        <w:gridCol w:w="749"/>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 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个人减 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段启广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董贵山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总工程 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董贵山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464,240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报告期是否存在任期内董事、监事离任和高级管理人员解聘的情况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报告期内，第七届董事会董事长卿昱女士、副董事长王文胜先生、董事段启广先生因工作原因辞去职务；第七届董事会董事、 总经理王忠海先生因另有任用辞去职务；副总经理、总工程师董贵山先生因组织调动辞去职务。</w:t>
      </w:r>
    </w:p>
    <w:p>
      <w:pPr>
        <w:pStyle w:val="Style28"/>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公司董事、监事、高级管理人员变动情况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1810"/>
        <w:gridCol w:w="1330"/>
        <w:gridCol w:w="1680"/>
        <w:gridCol w:w="39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董贵山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另有任用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段启广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bl>
    <w:p>
      <w:pPr>
        <w:pStyle w:val="Style32"/>
        <w:keepNext/>
        <w:keepLines/>
        <w:widowControl w:val="0"/>
        <w:shd w:val="clear" w:color="auto" w:fill="auto"/>
        <w:bidi w:val="0"/>
        <w:spacing w:before="0" w:after="30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2</w:t>
      </w:r>
      <w:bookmarkEnd w:id="306"/>
      <w:r>
        <w:rPr>
          <w:color w:val="000000"/>
          <w:spacing w:val="0"/>
          <w:w w:val="100"/>
          <w:position w:val="0"/>
        </w:rPr>
        <w:t>、任职情况</w:t>
      </w:r>
      <w:bookmarkEnd w:id="304"/>
      <w:bookmarkEnd w:id="305"/>
      <w:bookmarkEnd w:id="307"/>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300" w:line="305" w:lineRule="exact"/>
        <w:ind w:left="0" w:right="0" w:firstLine="0"/>
        <w:jc w:val="left"/>
      </w:pPr>
      <w:r>
        <w:rPr>
          <w:color w:val="000000"/>
          <w:spacing w:val="0"/>
          <w:w w:val="100"/>
          <w:position w:val="0"/>
        </w:rPr>
        <w:t>董事长陈鑫先生：历任中国电子科技集团公司第二十九研究所第一研究部副主任、综合计划部主任、副总工程师、副所长、 西科公司总经理、中国电子科技网络信息安全有限公司董事、总经理、党委副书记，现任中国电子科技网络信息安全有限公 司董事长、党委书记；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月，任本公司董事；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月至今，任本公司董事长。</w:t>
      </w: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副董事长杨新先生：历任中国电子科技集团公司第三十研究所工程师、高级工程师、所长助理、副所长，本公司董事、总经 理，中国电子科技集团有限公司产业部副主任、通信事业部副总经理，中电网络通信有限公司副总经理，中国电子科技集团 公司第七研究所党委书记、所长，广州杰赛科技股份有限公司副董事长，中国电子科技网络信息安全有限公司副董事长，现 任中国电子科技集团有限公司第五十所所长；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月至今，任本公司董事、副董事长。</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董事汪再军先生：历任中国电子科技集团公司第十研究所财务处处长、副总经济师，四川天奥空天信息技术有限公司董事长， 中电天奥有限公司副总经济师，现任中国电子科技网络信息安全有限公司总会计师，中国电子科技集团公司第三十研究所总 会计师，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月至今，任本公司董事。</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董事、总经理仲恺先生：历任太极计算机股份有限公司（简称：太极股份）数据中心事业部总经理、智慧城市基础设施业务 集团常务副总经理、总经理，太极股份副总裁，太极数智空间科技（深圳）有限公司董事；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月至今，任本公司董事、 总经理。</w:t>
      </w: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董事孟玲女士：历任北京启明星辰信息安全技术有限公司销售总监，华为技术有限公司网络安全与存储产品线（华赛）业务 发展支持部部长，北京天融信网络安全技术有限公司高级副总裁，北京奇虎</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科技有限公司副总裁，现任中资网络信息安 全科技有限公司总经理；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月至今，任本公司董事。</w:t>
      </w:r>
    </w:p>
    <w:p>
      <w:pPr>
        <w:pStyle w:val="Style2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独立董事周玮先生：历任西南科技大学专业教师、北京大学博士后；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月至今，任西南财经大学金融学院专业教师、 会计学副研究员；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月至今，任本公司独立董事。</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独立董事冯渊女士：历任四川华信（集团）会计师事务所经理、副总经理、中国证券监督管理委员会发审委专职委员、华西 证券投行总部质量控制部总经理；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月至今，任四川华信（集团）会计师事务所合伙人；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月至今，任本公司独 立董事。</w:t>
      </w:r>
    </w:p>
    <w:p>
      <w:pPr>
        <w:pStyle w:val="Style28"/>
        <w:keepNext w:val="0"/>
        <w:keepLines w:val="0"/>
        <w:widowControl w:val="0"/>
        <w:shd w:val="clear" w:color="auto" w:fill="auto"/>
        <w:bidi w:val="0"/>
        <w:spacing w:before="0" w:after="300" w:line="302" w:lineRule="exact"/>
        <w:ind w:left="0" w:right="0" w:firstLine="0"/>
        <w:jc w:val="left"/>
      </w:pPr>
      <w:r>
        <w:rPr>
          <w:color w:val="000000"/>
          <w:spacing w:val="0"/>
          <w:w w:val="100"/>
          <w:position w:val="0"/>
        </w:rPr>
        <w:t>独立董事任立勇先生：历任煤炭部徐州煤矿机械厂助理工程师；现任电子科技大学信息与软件工程学院副院长，教育部软件 工程专业教指委成员，</w:t>
      </w:r>
      <w:r>
        <w:rPr>
          <w:rFonts w:ascii="Times New Roman" w:eastAsia="Times New Roman" w:hAnsi="Times New Roman" w:cs="Times New Roman"/>
          <w:color w:val="000000"/>
          <w:spacing w:val="0"/>
          <w:w w:val="100"/>
          <w:position w:val="0"/>
          <w:sz w:val="18"/>
          <w:szCs w:val="18"/>
        </w:rPr>
        <w:t>CCF</w:t>
      </w:r>
      <w:r>
        <w:rPr>
          <w:color w:val="000000"/>
          <w:spacing w:val="0"/>
          <w:w w:val="100"/>
          <w:position w:val="0"/>
        </w:rPr>
        <w:t>高级会员；</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月至今，任电子科技大学教师；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月至今，任本公司独立董事。</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监事会主席许晓平先生:历任中国电子科技集团公司第三十研究所副所长、中国电子科技集团公司科技部副主任（主持工作）、 中国电子科技集团公司第三十研究所党委书记兼副所长、中国电子科技网络信息安全有限公司总经理、中国电子科技网络信 息安全有限公司董事、中国电子科技集团公司第三十三研究所所长、党委副书记、咨询审议委员会主任、中国电子科技网络 信息安全有限公司监事会主席，现任中国电子科技网络信息安全有限公司科学技术委员会副主任委员；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 本公司监事会主席。</w:t>
      </w: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监事程虹女士：曾任中国电子科技集团公司第三十研究所计审法规处副处长、中国电子科技集团公司第三十研究所纪检监察 审计处处长、任中国电子科技网络信息安全有限公司纪检监察审计部主任、中国电子科技网络信息安全有限公司法务审计与 风险防控部副总经理、中国电子科技集团公司第三十研究所法务审计与风险防控部副处长，现任中国电子科技网络信息安全 有限公司法务审计与风险控制部（监事会办公室）主任；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月至今，任本公司监事。</w:t>
      </w: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职工监事张述先生：曾先后在本公司办公室、发展规划部、市场部、项目管理部、税控事业部、行政部、信息中心与保障部、 生产检验中心工作；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月，任公司生产检验中心部门总经理；现任公司系统总体与方案中心副总经理；</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月至今，任本公司职工监事。</w:t>
      </w:r>
    </w:p>
    <w:p>
      <w:pPr>
        <w:pStyle w:val="Style2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副总经理魏洪宽先生：历任本公司项目管理部经理、产品部主任、政府行业销售部经理、电子商务安全部经理、总经理助理、 副总经理、中国电子科技网络信息安全有限公司经营发展部副总经理、总经理；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月至今，任本公司副总经理。</w:t>
      </w: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副总经理周俊先生：曾任中国电子科技集团公司第三十研究所专业部副主任；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月至今，任本公司副总经理。</w:t>
      </w: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副总经理、财务总监、董事会秘书刘志惠女士：历任本公司证券部经理、证券事务代表、内部审计部主任、中国电子科技集 团公司第三十研究所财务处副处长、中国电子科技网络信息安全有限公司财务部副总经理；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月至今，任本公司副总 经理、财务总监；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月至今，任本公司董事会秘书。</w:t>
      </w:r>
    </w:p>
    <w:p>
      <w:pPr>
        <w:pStyle w:val="Style2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副总经理张剑先生：历任中国电子科技集团第三十研究所第二事业部副主任、网络空间系统事业部副主任、云计算与大数据 事业部总经理、党总支部书记。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月至今，任本公司副总经理。</w:t>
      </w:r>
    </w:p>
    <w:p>
      <w:pPr>
        <w:pStyle w:val="Style2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副总经理吴向阳先生：历任中国电子科技集团第三十研究所第十专业部副主任，本公司金融销售总监、政务营销部经理、西 部大区总经理、总经理助理。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月至今，任本公司副总经理。</w:t>
      </w:r>
    </w:p>
    <w:p>
      <w:pPr>
        <w:pStyle w:val="Style28"/>
        <w:keepNext w:val="0"/>
        <w:keepLines w:val="0"/>
        <w:widowControl w:val="0"/>
        <w:shd w:val="clear" w:color="auto" w:fill="auto"/>
        <w:bidi w:val="0"/>
        <w:spacing w:before="0" w:after="60" w:line="312" w:lineRule="exact"/>
        <w:ind w:left="0" w:right="0" w:firstLine="0"/>
        <w:jc w:val="left"/>
      </w:pPr>
      <w:r>
        <w:rPr>
          <w:color w:val="000000"/>
          <w:spacing w:val="0"/>
          <w:w w:val="100"/>
          <w:position w:val="0"/>
        </w:rPr>
        <w:t>副总经理王培春先生：历任中国电子科技集团第三十研究所一部主任助理、一部行政副主任、十部主任助理、党政服务中心 主任、党政业务处副处长，本公司特种行业营销部经理、北方营销中心总经理、总经理助理。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月至今，任本公司副 总经理。</w:t>
      </w:r>
    </w:p>
    <w:p>
      <w:pPr>
        <w:pStyle w:val="Style28"/>
        <w:keepNext w:val="0"/>
        <w:keepLines w:val="0"/>
        <w:widowControl w:val="0"/>
        <w:shd w:val="clear" w:color="auto" w:fill="auto"/>
        <w:bidi w:val="0"/>
        <w:spacing w:before="0" w:after="60" w:line="310" w:lineRule="exact"/>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60" w:line="31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2270"/>
        <w:gridCol w:w="2126"/>
        <w:gridCol w:w="1488"/>
        <w:gridCol w:w="1488"/>
        <w:gridCol w:w="135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总经理、党委副书记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中国电子科技网络信息安全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董事长、党委书记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汪再军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科学技术委员会副主任委 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中国电子科技网络信息安全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法务审计与风险控制部（监 事会办公室）副总经理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4"/>
        <w:gridCol w:w="2270"/>
        <w:gridCol w:w="2126"/>
        <w:gridCol w:w="1488"/>
        <w:gridCol w:w="1488"/>
        <w:gridCol w:w="1354"/>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中国电子科技网络信息安全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法务审计与风险控制部（监 事会办公室）主任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2981"/>
        <w:gridCol w:w="1272"/>
        <w:gridCol w:w="1560"/>
        <w:gridCol w:w="1526"/>
        <w:gridCol w:w="1387"/>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中国电子科技集团有限公司第三十研 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所长、党委书记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深圳市网联安瑞网络科技有限公司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中国电子科技集团有限公司第五十研 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汪再军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中国电子科技集团有限公司第三十研 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汪再军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成都国星通信有限公司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中国电子科技集团有限公司第三十研 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中资网络信息安全科技有限公司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太极数智空间科技（深圳）有限公司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成都市数字城市运营管理有限公司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孟玲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中资网络信息安全科技有限公司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成都彩虹电气（集团）股份有限公司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中科院成都信息技术股份有限公司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四川大西洋焊接材料股份有限公司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四川和谐双马股份有限公司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四川天味食品集团股份有限公司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成都唐源电气股份有限公司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中国电子科技集团有限公司第三十研 究所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法务审计与风 险控制处处长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2981"/>
        <w:gridCol w:w="1272"/>
        <w:gridCol w:w="1560"/>
        <w:gridCol w:w="1526"/>
        <w:gridCol w:w="138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中电科（北京）网络信息安全有限公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中电科（天津）网络信息安全有限公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工业信息安全（四川）创新中心有限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卫士通（上海）网络安全技术有限公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成都市数字城市运营管理有限公司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四川兴政信息技术有限公司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中电科（北京）网络信息安全有限公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中电科（北京）网络信息安全有限公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3</w:t>
      </w:r>
      <w:bookmarkEnd w:id="310"/>
      <w:r>
        <w:rPr>
          <w:color w:val="000000"/>
          <w:spacing w:val="0"/>
          <w:w w:val="100"/>
          <w:position w:val="0"/>
        </w:rPr>
        <w:t>、董事、监事、高级管理人员报酬情况</w:t>
      </w:r>
      <w:bookmarkEnd w:id="308"/>
      <w:bookmarkEnd w:id="309"/>
      <w:bookmarkEnd w:id="311"/>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tabs>
          <w:tab w:pos="334" w:val="left"/>
        </w:tabs>
        <w:bidi w:val="0"/>
        <w:spacing w:before="0" w:after="0" w:line="326" w:lineRule="exact"/>
        <w:ind w:left="0" w:right="0" w:firstLine="0"/>
        <w:jc w:val="left"/>
      </w:pPr>
      <w:bookmarkStart w:id="312" w:name="bookmark312"/>
      <w:r>
        <w:rPr>
          <w:rFonts w:ascii="Times New Roman" w:eastAsia="Times New Roman" w:hAnsi="Times New Roman" w:cs="Times New Roman"/>
          <w:color w:val="000000"/>
          <w:spacing w:val="0"/>
          <w:w w:val="100"/>
          <w:position w:val="0"/>
          <w:sz w:val="18"/>
          <w:szCs w:val="18"/>
        </w:rPr>
        <w:t>1</w:t>
      </w:r>
      <w:bookmarkEnd w:id="312"/>
      <w:r>
        <w:rPr>
          <w:color w:val="000000"/>
          <w:spacing w:val="0"/>
          <w:w w:val="100"/>
          <w:position w:val="0"/>
        </w:rPr>
        <w:t>、</w:t>
        <w:tab/>
        <w:t>公司独立董事津贴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年，其他董事、全体监事不领取津贴。在公司任职的董事、监事按其工作岗位确定薪酬。</w:t>
      </w:r>
    </w:p>
    <w:p>
      <w:pPr>
        <w:pStyle w:val="Style28"/>
        <w:keepNext w:val="0"/>
        <w:keepLines w:val="0"/>
        <w:widowControl w:val="0"/>
        <w:shd w:val="clear" w:color="auto" w:fill="auto"/>
        <w:tabs>
          <w:tab w:pos="354" w:val="left"/>
        </w:tabs>
        <w:bidi w:val="0"/>
        <w:spacing w:before="0" w:after="340" w:line="326" w:lineRule="exact"/>
        <w:ind w:left="0" w:right="0" w:firstLine="0"/>
        <w:jc w:val="left"/>
      </w:pPr>
      <w:bookmarkStart w:id="313" w:name="bookmark313"/>
      <w:r>
        <w:rPr>
          <w:rFonts w:ascii="Times New Roman" w:eastAsia="Times New Roman" w:hAnsi="Times New Roman" w:cs="Times New Roman"/>
          <w:color w:val="000000"/>
          <w:spacing w:val="0"/>
          <w:w w:val="100"/>
          <w:position w:val="0"/>
          <w:sz w:val="18"/>
          <w:szCs w:val="18"/>
        </w:rPr>
        <w:t>2</w:t>
      </w:r>
      <w:bookmarkEnd w:id="313"/>
      <w:r>
        <w:rPr>
          <w:color w:val="000000"/>
          <w:spacing w:val="0"/>
          <w:w w:val="100"/>
          <w:position w:val="0"/>
        </w:rPr>
        <w:t>、</w:t>
        <w:tab/>
        <w:t>依据公司《董事会薪酬与考核委员会工作制度》，公司高级管理人员薪酬经由薪酬与考核委员会考核，报经董事会批准 后授权实施。</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80" w:line="326" w:lineRule="exact"/>
        <w:ind w:left="0" w:right="0" w:firstLine="0"/>
        <w:jc w:val="right"/>
      </w:pPr>
      <w:r>
        <w:rPr>
          <w:color w:val="000000"/>
          <w:spacing w:val="0"/>
          <w:w w:val="100"/>
          <w:position w:val="0"/>
        </w:rPr>
        <w:t>单位：万元</w:t>
      </w:r>
    </w:p>
    <w:tbl>
      <w:tblPr>
        <w:tblOverlap w:val="never"/>
        <w:jc w:val="center"/>
        <w:tblLayout w:type="fixed"/>
      </w:tblPr>
      <w:tblGrid>
        <w:gridCol w:w="998"/>
        <w:gridCol w:w="1742"/>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bl>
    <w:p>
      <w:pPr>
        <w:spacing w:lineRule="exact" w:line="1"/>
        <w:rPr>
          <w:sz w:val="2"/>
          <w:szCs w:val="2"/>
        </w:rPr>
      </w:pPr>
      <w:r>
        <w:br w:type="page"/>
      </w:r>
    </w:p>
    <w:tbl>
      <w:tblPr>
        <w:tblOverlap w:val="never"/>
        <w:jc w:val="center"/>
        <w:tblLayout w:type="fixed"/>
      </w:tblPr>
      <w:tblGrid>
        <w:gridCol w:w="998"/>
        <w:gridCol w:w="1742"/>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汪再军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孟玲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魏洪宽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刘志惠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副总经理、董事会秘 书、财务总监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吴向阳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王培春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董贵山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段启广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董贵山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六</w:t>
      </w:r>
      <w:bookmarkEnd w:id="316"/>
      <w:r>
        <w:rPr>
          <w:color w:val="000000"/>
          <w:spacing w:val="0"/>
          <w:w w:val="100"/>
          <w:position w:val="0"/>
        </w:rPr>
        <w:t>、报告期内董事履行职责的情况</w:t>
      </w:r>
      <w:bookmarkEnd w:id="314"/>
      <w:bookmarkEnd w:id="315"/>
      <w:bookmarkEnd w:id="317"/>
    </w:p>
    <w:p>
      <w:pPr>
        <w:pStyle w:val="Style32"/>
        <w:keepNext/>
        <w:keepLines/>
        <w:widowControl w:val="0"/>
        <w:shd w:val="clear" w:color="auto" w:fill="auto"/>
        <w:bidi w:val="0"/>
        <w:spacing w:before="0" w:after="32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、本报告期董事会情况</w:t>
      </w:r>
      <w:bookmarkEnd w:id="318"/>
      <w:bookmarkEnd w:id="319"/>
      <w:bookmarkEnd w:id="321"/>
    </w:p>
    <w:tbl>
      <w:tblPr>
        <w:tblOverlap w:val="never"/>
        <w:jc w:val="center"/>
        <w:tblLayout w:type="fixed"/>
      </w:tblPr>
      <w:tblGrid>
        <w:gridCol w:w="1421"/>
        <w:gridCol w:w="1560"/>
        <w:gridCol w:w="1704"/>
        <w:gridCol w:w="489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第七届董事会第 十四次会议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r>
              <w:rPr>
                <w:color w:val="000000"/>
                <w:spacing w:val="0"/>
                <w:w w:val="100"/>
                <w:position w:val="0"/>
              </w:rPr>
              <w:t>第七届董事会第十四次会议决议公告；巨潮资讯网。 审议通过《关于聘任公司副总经理的议案》。</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第七届董事会第 十五次会议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r>
              <w:rPr>
                <w:color w:val="000000"/>
                <w:spacing w:val="0"/>
                <w:w w:val="100"/>
                <w:position w:val="0"/>
              </w:rPr>
              <w:t>第七届董事会第十五次会议决议公告；巨潮资讯网。 审议通过《关于提名公司董事候选人的议案》《关于聘任公司 总经理的议案》《关于召开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年第一次临时股东大会的议 案》。</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 十六次会议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w:t>
            </w:r>
            <w:r>
              <w:rPr>
                <w:color w:val="000000"/>
                <w:spacing w:val="0"/>
                <w:w w:val="100"/>
                <w:position w:val="0"/>
              </w:rPr>
              <w:t>第七届董事会第十六次会议决议公告；巨潮资讯网。 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年度经营工作总结和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年度经营工作</w:t>
            </w:r>
          </w:p>
        </w:tc>
      </w:tr>
    </w:tbl>
    <w:p>
      <w:pPr>
        <w:spacing w:lineRule="exact" w:line="1"/>
        <w:rPr>
          <w:sz w:val="2"/>
          <w:szCs w:val="2"/>
        </w:rPr>
      </w:pPr>
      <w:r>
        <w:br w:type="page"/>
      </w:r>
    </w:p>
    <w:tbl>
      <w:tblPr>
        <w:tblOverlap w:val="never"/>
        <w:jc w:val="center"/>
        <w:tblLayout w:type="fixed"/>
      </w:tblPr>
      <w:tblGrid>
        <w:gridCol w:w="1421"/>
        <w:gridCol w:w="1560"/>
        <w:gridCol w:w="1704"/>
        <w:gridCol w:w="489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计划报告》《公司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年年度报告及摘要》《公司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季度报告全文及正文》等</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个议案。</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 十七次会议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r>
              <w:rPr>
                <w:color w:val="000000"/>
                <w:spacing w:val="0"/>
                <w:w w:val="100"/>
                <w:position w:val="0"/>
              </w:rPr>
              <w:t>第七届董事会第十七次会议决议公告；巨潮资讯网。 审议通过《关于选举公司第七届董事会董事长的议案》《关于 选举公司第七届董事会各专门委员会委员的议案》。</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 十八次会议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r>
              <w:rPr>
                <w:color w:val="000000"/>
                <w:spacing w:val="0"/>
                <w:w w:val="100"/>
                <w:position w:val="0"/>
              </w:rPr>
              <w:t>第七届董事会第十八次会议决议公告；巨潮资讯网。 审议通过《关于提名公司第七届董事会董事候选人的议案》《关 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年第二次临时股东大会的议案》。</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 十九次会议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2021-041</w:t>
            </w:r>
            <w:r>
              <w:rPr>
                <w:color w:val="000000"/>
                <w:spacing w:val="0"/>
                <w:w w:val="100"/>
                <w:position w:val="0"/>
              </w:rPr>
              <w:t>：</w:t>
            </w:r>
            <w:r>
              <w:rPr>
                <w:color w:val="000000"/>
                <w:spacing w:val="0"/>
                <w:w w:val="100"/>
                <w:position w:val="0"/>
              </w:rPr>
              <w:t>第七届董事会第十九次会议决议公告；巨潮资讯网。 审议通过《关于选举公司第七届董事会副董事长的议案》《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年半年度报告及摘要》《关于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年半年度募集资金存放与使 用情况的专项报告》等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个议案。</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r>
              <w:rPr>
                <w:color w:val="000000"/>
                <w:spacing w:val="0"/>
                <w:w w:val="100"/>
                <w:position w:val="0"/>
              </w:rPr>
              <w:t>第七届董事会第二十次会议决议公告；巨潮资讯网。 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年第三季度报告》《关于提名公司第七届 董事会董事候选人的议案》。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豁免披露。</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:第七届董事会第二十二次会议决议公告；巨潮资讯 网。审议通过《关于公开挂牌转让控股子公司中电科（天津） 网络信息安全有限公司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股权的议案》《关于续聘会计师事 务所的议案》《关于召开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年第三次临时股东大会的议案》。</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二十三次会议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:第七届董事会第二十三次会议决议公告；巨潮资讯 网。审议通过《关于修订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决策制度实施办法</w:t>
            </w:r>
            <w:r>
              <w:rPr>
                <w:color w:val="000000"/>
                <w:spacing w:val="0"/>
                <w:w w:val="100"/>
                <w:position w:val="0"/>
                <w:sz w:val="18"/>
                <w:szCs w:val="18"/>
              </w:rPr>
              <w:t>〉</w:t>
            </w:r>
            <w:r>
              <w:rPr>
                <w:color w:val="000000"/>
                <w:spacing w:val="0"/>
                <w:w w:val="100"/>
                <w:position w:val="0"/>
              </w:rPr>
              <w:t>的议 案》《关于使用暂时闲置募集资金购买结构性存款的议案》。</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、董事出席董事会及股东大会的情况</w:t>
      </w:r>
      <w:bookmarkEnd w:id="322"/>
      <w:bookmarkEnd w:id="323"/>
      <w:bookmarkEnd w:id="325"/>
    </w:p>
    <w:tbl>
      <w:tblPr>
        <w:tblOverlap w:val="never"/>
        <w:jc w:val="center"/>
        <w:tblLayout w:type="fixed"/>
      </w:tblPr>
      <w:tblGrid>
        <w:gridCol w:w="1430"/>
        <w:gridCol w:w="1166"/>
        <w:gridCol w:w="1162"/>
        <w:gridCol w:w="1166"/>
        <w:gridCol w:w="1162"/>
        <w:gridCol w:w="1008"/>
        <w:gridCol w:w="1555"/>
        <w:gridCol w:w="93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缺席董事会</w:t>
            </w:r>
          </w:p>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是否连续两次未亲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自参加董事会会议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出席股东</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大会次数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任立勇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段启广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1430"/>
        <w:gridCol w:w="1166"/>
        <w:gridCol w:w="1162"/>
        <w:gridCol w:w="1166"/>
        <w:gridCol w:w="1162"/>
        <w:gridCol w:w="1008"/>
        <w:gridCol w:w="1555"/>
        <w:gridCol w:w="936"/>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汪再军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仲恺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孟玲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3</w:t>
      </w:r>
      <w:bookmarkEnd w:id="328"/>
      <w:r>
        <w:rPr>
          <w:color w:val="000000"/>
          <w:spacing w:val="0"/>
          <w:w w:val="100"/>
          <w:position w:val="0"/>
        </w:rPr>
        <w:t>、董事对公司有关事项提出异议的情况</w:t>
      </w:r>
      <w:bookmarkEnd w:id="326"/>
      <w:bookmarkEnd w:id="327"/>
      <w:bookmarkEnd w:id="329"/>
    </w:p>
    <w:p>
      <w:pPr>
        <w:pStyle w:val="Style2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董事对公司有关事项是否提出异议</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bidi w:val="0"/>
        <w:spacing w:before="0" w:after="2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4</w:t>
      </w:r>
      <w:bookmarkEnd w:id="332"/>
      <w:r>
        <w:rPr>
          <w:color w:val="000000"/>
          <w:spacing w:val="0"/>
          <w:w w:val="100"/>
          <w:position w:val="0"/>
        </w:rPr>
        <w:t>、董事履行职责的其他说明</w:t>
      </w:r>
      <w:bookmarkEnd w:id="330"/>
      <w:bookmarkEnd w:id="331"/>
      <w:bookmarkEnd w:id="333"/>
    </w:p>
    <w:p>
      <w:pPr>
        <w:pStyle w:val="Style2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董事对公司有关建议是否被采纳</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董事对公司有关建议被采纳或未被采纳的说明</w:t>
      </w:r>
    </w:p>
    <w:p>
      <w:pPr>
        <w:pStyle w:val="Style28"/>
        <w:keepNext w:val="0"/>
        <w:keepLines w:val="0"/>
        <w:widowControl w:val="0"/>
        <w:shd w:val="clear" w:color="auto" w:fill="auto"/>
        <w:bidi w:val="0"/>
        <w:spacing w:before="0" w:after="380" w:line="315" w:lineRule="exact"/>
        <w:ind w:left="0" w:right="0" w:firstLine="300"/>
        <w:jc w:val="both"/>
      </w:pPr>
      <w:r>
        <w:rPr>
          <w:color w:val="000000"/>
          <w:spacing w:val="0"/>
          <w:w w:val="100"/>
          <w:position w:val="0"/>
        </w:rPr>
        <w:t>报告期内，公司董事、独立董事根据《公司法》、《公司章程》、《董事会议事规则》、《公司独立董事工作制度》等 的规定，切实履行董事职责，对公司日常经营及日常管理等情况进行了解和监督，积极参加相关会议，与公司监事、高管及 外部审计机构进行良好的沟通交流，对公司经营、关联交易、募集资金使用等情况发表意见，得到了公司的重视和采纳，对 促进公司相关业务规范化、提升公司治理水平及保护中小股东权益起到了积极作用。</w:t>
      </w:r>
    </w:p>
    <w:p>
      <w:pPr>
        <w:pStyle w:val="Style24"/>
        <w:keepNext/>
        <w:keepLines/>
        <w:widowControl w:val="0"/>
        <w:shd w:val="clear" w:color="auto" w:fill="auto"/>
        <w:bidi w:val="0"/>
        <w:spacing w:before="0" w:after="32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七</w:t>
      </w:r>
      <w:bookmarkEnd w:id="336"/>
      <w:r>
        <w:rPr>
          <w:color w:val="000000"/>
          <w:spacing w:val="0"/>
          <w:w w:val="100"/>
          <w:position w:val="0"/>
        </w:rPr>
        <w:t>、董事会下设专门委员会在报告期内的情况</w:t>
      </w:r>
      <w:bookmarkEnd w:id="334"/>
      <w:bookmarkEnd w:id="335"/>
      <w:bookmarkEnd w:id="337"/>
    </w:p>
    <w:tbl>
      <w:tblPr>
        <w:tblOverlap w:val="never"/>
        <w:jc w:val="center"/>
        <w:tblLayout w:type="fixed"/>
      </w:tblPr>
      <w:tblGrid>
        <w:gridCol w:w="715"/>
        <w:gridCol w:w="706"/>
        <w:gridCol w:w="710"/>
        <w:gridCol w:w="850"/>
        <w:gridCol w:w="4114"/>
        <w:gridCol w:w="850"/>
        <w:gridCol w:w="850"/>
        <w:gridCol w:w="787"/>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成员情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召开会</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议次数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提出的重</w:t>
            </w:r>
          </w:p>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要意见和 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其他履行</w:t>
            </w:r>
          </w:p>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414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周玮、冯 渊、段启 广、汪再 军</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、审议《公司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年度募集资金存放与使用情况的审计报告》；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审议《公司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年度关联交易及关联资金往来的审 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年度其他需向审计委员会 报告的检查情况》；</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、审议《公司内部审计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度工作总结及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年度工作计划》；</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、审议《公司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年一季度财务报告》；</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一季度募集资金存放与使用情况的审计报告》；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 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年第一季度关联交易及关联资金往来 的审计报告》；</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年一季度其他需向审 计委员会报告的检查情况》；</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、审议《公司内部审 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年一季度工作总结及第二季度工作计划》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年半年度财务报告》；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年半年度募集资金存放与使用情况的审计报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年半年度关联交易及关联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15"/>
        <w:gridCol w:w="706"/>
        <w:gridCol w:w="710"/>
        <w:gridCol w:w="850"/>
        <w:gridCol w:w="4114"/>
        <w:gridCol w:w="850"/>
        <w:gridCol w:w="850"/>
        <w:gridCol w:w="787"/>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资金往来的审计报告》；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年半年度其 他需向审计委员会报告的检查情况》；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、审议《关于 应收账款、其他应收款合并报表范围内关联方计提预 期信用损失的会计估计变更的议案》；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年三季度财务报告》；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年三季度募集资金存放与使用情况的审计报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年三季度关联交易及关联 资金往来的审计报告》；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年三季度其 他需向审计委员会报告的检查情况》；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、审议《公司 内部审计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年三季度工作总结及第四季度工作计 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审议《续聘会计师事务所的议案》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薪酬与 考核委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冯渊、周</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玮、王文</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审议通过《关于公司高级管理人员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提名委</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任立勇、 冯渊、王 忠海、仲 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审议通过《关于聘任公司副总经理的议案》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审议通过《关于提名公司董事候选人的议案》《关于 聘任公司总经理的议案》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审议通过《关于提名公司第七届董事会董事候选人的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审议通过《关于提名公司第七届董事会董事候选人的 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338" w:name="bookmark338"/>
      <w:bookmarkStart w:id="339" w:name="bookmark339"/>
      <w:bookmarkStart w:id="340" w:name="bookmark340"/>
      <w:bookmarkStart w:id="341" w:name="bookmark341"/>
      <w:r>
        <w:rPr>
          <w:color w:val="000000"/>
          <w:spacing w:val="0"/>
          <w:w w:val="100"/>
          <w:position w:val="0"/>
        </w:rPr>
        <w:t>八</w:t>
      </w:r>
      <w:bookmarkEnd w:id="340"/>
      <w:r>
        <w:rPr>
          <w:color w:val="000000"/>
          <w:spacing w:val="0"/>
          <w:w w:val="100"/>
          <w:position w:val="0"/>
        </w:rPr>
        <w:t>、监事会工作情况</w:t>
      </w:r>
      <w:bookmarkEnd w:id="338"/>
      <w:bookmarkEnd w:id="339"/>
      <w:bookmarkEnd w:id="341"/>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both"/>
      </w:pPr>
      <w:bookmarkStart w:id="342" w:name="bookmark342"/>
      <w:bookmarkStart w:id="343" w:name="bookmark343"/>
      <w:bookmarkStart w:id="344" w:name="bookmark344"/>
      <w:bookmarkStart w:id="345" w:name="bookmark345"/>
      <w:r>
        <w:rPr>
          <w:color w:val="000000"/>
          <w:spacing w:val="0"/>
          <w:w w:val="100"/>
          <w:position w:val="0"/>
        </w:rPr>
        <w:t>九</w:t>
      </w:r>
      <w:bookmarkEnd w:id="344"/>
      <w:r>
        <w:rPr>
          <w:color w:val="000000"/>
          <w:spacing w:val="0"/>
          <w:w w:val="100"/>
          <w:position w:val="0"/>
        </w:rPr>
        <w:t>、公司员工情况</w:t>
      </w:r>
      <w:bookmarkEnd w:id="342"/>
      <w:bookmarkEnd w:id="343"/>
      <w:bookmarkEnd w:id="345"/>
    </w:p>
    <w:p>
      <w:pPr>
        <w:pStyle w:val="Style32"/>
        <w:keepNext/>
        <w:keepLines/>
        <w:widowControl w:val="0"/>
        <w:shd w:val="clear" w:color="auto" w:fill="auto"/>
        <w:bidi w:val="0"/>
        <w:spacing w:before="0" w:after="32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、员工数量、专业构成及教育程度</w:t>
      </w:r>
      <w:bookmarkEnd w:id="346"/>
      <w:bookmarkEnd w:id="347"/>
      <w:bookmarkEnd w:id="34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2,567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2,567</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2,567</w:t>
            </w:r>
          </w:p>
        </w:tc>
      </w:tr>
    </w:tbl>
    <w:p>
      <w:pPr>
        <w:widowControl w:val="0"/>
        <w:spacing w:after="319" w:line="1" w:lineRule="exact"/>
      </w:pPr>
    </w:p>
    <w:p>
      <w:pPr>
        <w:pStyle w:val="Style32"/>
        <w:keepNext/>
        <w:keepLines/>
        <w:widowControl w:val="0"/>
        <w:shd w:val="clear" w:color="auto" w:fill="auto"/>
        <w:tabs>
          <w:tab w:pos="332" w:val="left"/>
        </w:tabs>
        <w:bidi w:val="0"/>
        <w:spacing w:before="0" w:after="280" w:line="240" w:lineRule="auto"/>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薪酬政策</w:t>
      </w:r>
      <w:bookmarkEnd w:id="350"/>
      <w:bookmarkEnd w:id="351"/>
      <w:bookmarkEnd w:id="353"/>
    </w:p>
    <w:p>
      <w:pPr>
        <w:pStyle w:val="Style28"/>
        <w:keepNext w:val="0"/>
        <w:keepLines w:val="0"/>
        <w:widowControl w:val="0"/>
        <w:shd w:val="clear" w:color="auto" w:fill="auto"/>
        <w:bidi w:val="0"/>
        <w:spacing w:before="0" w:after="320" w:line="312" w:lineRule="exact"/>
        <w:ind w:left="0" w:right="0"/>
        <w:jc w:val="left"/>
      </w:pPr>
      <w:r>
        <w:rPr>
          <w:color w:val="000000"/>
          <w:spacing w:val="0"/>
          <w:w w:val="100"/>
          <w:position w:val="0"/>
        </w:rPr>
        <w:t>公司按照国家政策规定，结合公司经营状况和经营目标，坚持以具有竞争力的全面薪酬管理理念吸引、激励和保留人才， 制定了合法、合规、合理的薪酬政策，以达到优化人力成本，提升人效的目标，助力实现公司的高质量发展和可持续成长。 公司坚持以高绩效为导向，根据公司业绩和员工个人绩效支付报酬，并向核心员工、核心岗位倾斜，充分调动员工的工作积 极性和工作热情。同时，公司推出股权激励等中长期激励计划，建立、健全激励机制，充分调动各级管理者和核心员工的 工作积极性，进一步提高公司的凝聚力和竞争力，有效地将股东利益、公司利益和员工利益结合在一起，使各方共同关注公 司的长远发展。</w:t>
      </w:r>
    </w:p>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8"/>
        <w:keepNext w:val="0"/>
        <w:keepLines w:val="0"/>
        <w:widowControl w:val="0"/>
        <w:shd w:val="clear" w:color="auto" w:fill="auto"/>
        <w:bidi w:val="0"/>
        <w:spacing w:before="0" w:after="360" w:line="331"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年职工薪酬总额（计入成本部分）为</w:t>
      </w:r>
      <w:r>
        <w:rPr>
          <w:rFonts w:ascii="Times New Roman" w:eastAsia="Times New Roman" w:hAnsi="Times New Roman" w:cs="Times New Roman"/>
          <w:color w:val="000000"/>
          <w:spacing w:val="0"/>
          <w:w w:val="100"/>
          <w:position w:val="0"/>
          <w:sz w:val="18"/>
          <w:szCs w:val="18"/>
        </w:rPr>
        <w:t>37,374,707.6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元，占公司成本总额的</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。职工薪酬总额根据公司利润进行 核算发放，薪酬总额与公司利润紧密联动。核心技术人员薪酬在工资总额中的占比高于人数占比。</w:t>
      </w:r>
    </w:p>
    <w:p>
      <w:pPr>
        <w:pStyle w:val="Style32"/>
        <w:keepNext/>
        <w:keepLines/>
        <w:widowControl w:val="0"/>
        <w:shd w:val="clear" w:color="auto" w:fill="auto"/>
        <w:tabs>
          <w:tab w:pos="332" w:val="left"/>
        </w:tabs>
        <w:bidi w:val="0"/>
        <w:spacing w:before="0" w:after="28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t>培训计划</w:t>
      </w:r>
      <w:bookmarkEnd w:id="354"/>
      <w:bookmarkEnd w:id="355"/>
      <w:bookmarkEnd w:id="357"/>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年公司培训工作定位于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服务业务，赋能业务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，结合公司战略及业务发展需要，通过公司人员能力现状与需要的 差距分析，在加强管理素养和专业能力培训培养的基础上，完善公司人才培养体系。</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根据不同岗位类别人员能力提升需求，开展分层分类的培训。开展中层管理者战略思维能力提升培训；安全服务业务人 员安全技术和服务能力提升培训；产品经理专业能力提升培训；技术服务人员的自主产品系列培训；营销人员的知识体系、 能力体系构建培训；针对售前咨询人员总体和售前能力提升培训等。</w:t>
      </w:r>
    </w:p>
    <w:p>
      <w:pPr>
        <w:pStyle w:val="Style28"/>
        <w:keepNext w:val="0"/>
        <w:keepLines w:val="0"/>
        <w:widowControl w:val="0"/>
        <w:shd w:val="clear" w:color="auto" w:fill="auto"/>
        <w:bidi w:val="0"/>
        <w:spacing w:before="0" w:after="300" w:line="314" w:lineRule="exact"/>
        <w:ind w:left="0" w:right="0"/>
        <w:jc w:val="both"/>
      </w:pPr>
      <w:r>
        <w:rPr>
          <w:color w:val="000000"/>
          <w:spacing w:val="0"/>
          <w:w w:val="100"/>
          <w:position w:val="0"/>
        </w:rPr>
        <w:t>通过专业化、系统化的培训提升全员的专业能力、绩效水平，打造专业化的人才队伍，最终推进公司各项业务和管理工 作的实效，从而提高公司劳动生产率，提升经营质量。</w:t>
      </w:r>
    </w:p>
    <w:p>
      <w:pPr>
        <w:pStyle w:val="Style32"/>
        <w:keepNext/>
        <w:keepLines/>
        <w:widowControl w:val="0"/>
        <w:shd w:val="clear" w:color="auto" w:fill="auto"/>
        <w:bidi w:val="0"/>
        <w:spacing w:before="0" w:after="2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、劳务外包情况</w:t>
      </w:r>
      <w:bookmarkEnd w:id="358"/>
      <w:bookmarkEnd w:id="359"/>
      <w:bookmarkEnd w:id="361"/>
    </w:p>
    <w:p>
      <w:pPr>
        <w:pStyle w:val="Style28"/>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362" w:name="bookmark362"/>
      <w:bookmarkStart w:id="363" w:name="bookmark363"/>
      <w:bookmarkStart w:id="364" w:name="bookmark364"/>
      <w:r>
        <w:rPr>
          <w:color w:val="000000"/>
          <w:spacing w:val="0"/>
          <w:w w:val="100"/>
          <w:position w:val="0"/>
        </w:rPr>
        <w:t>十、公司利润分配及资本公积金转增股本情况</w:t>
      </w:r>
      <w:bookmarkEnd w:id="362"/>
      <w:bookmarkEnd w:id="363"/>
      <w:bookmarkEnd w:id="364"/>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报告期内，公司严格执行利润分配相关政策，通过并实施了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年未对利润分配政策进行调整或变 更。</w:t>
      </w:r>
    </w:p>
    <w:tbl>
      <w:tblPr>
        <w:tblOverlap w:val="never"/>
        <w:jc w:val="center"/>
        <w:tblLayout w:type="fixed"/>
      </w:tblPr>
      <w:tblGrid>
        <w:gridCol w:w="6240"/>
        <w:gridCol w:w="3341"/>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258"/>
        <w:gridCol w:w="53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845,876,603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42,293,830.15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42,293,830.15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146,257,465.74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年度利润分配和资本公积金转增股本方案：以董事会召开日总股本</w:t>
            </w:r>
            <w:r>
              <w:rPr>
                <w:rFonts w:ascii="Times New Roman" w:eastAsia="Times New Roman" w:hAnsi="Times New Roman" w:cs="Times New Roman"/>
                <w:color w:val="000000"/>
                <w:spacing w:val="0"/>
                <w:w w:val="100"/>
                <w:position w:val="0"/>
                <w:sz w:val="18"/>
                <w:szCs w:val="18"/>
              </w:rPr>
              <w:t>846,294,603</w:t>
            </w:r>
            <w:r>
              <w:rPr>
                <w:color w:val="000000"/>
                <w:spacing w:val="0"/>
                <w:w w:val="100"/>
                <w:position w:val="0"/>
              </w:rPr>
              <w:t xml:space="preserve">股扣除拟回购注销的限制性股票 </w:t>
            </w:r>
            <w:r>
              <w:rPr>
                <w:rFonts w:ascii="Times New Roman" w:eastAsia="Times New Roman" w:hAnsi="Times New Roman" w:cs="Times New Roman"/>
                <w:color w:val="000000"/>
                <w:spacing w:val="0"/>
                <w:w w:val="100"/>
                <w:position w:val="0"/>
                <w:sz w:val="18"/>
                <w:szCs w:val="18"/>
              </w:rPr>
              <w:t>418,000</w:t>
            </w:r>
            <w:r>
              <w:rPr>
                <w:color w:val="000000"/>
                <w:spacing w:val="0"/>
                <w:w w:val="100"/>
                <w:position w:val="0"/>
              </w:rPr>
              <w:t>股后股本</w:t>
            </w:r>
            <w:r>
              <w:rPr>
                <w:rFonts w:ascii="Times New Roman" w:eastAsia="Times New Roman" w:hAnsi="Times New Roman" w:cs="Times New Roman"/>
                <w:color w:val="000000"/>
                <w:spacing w:val="0"/>
                <w:w w:val="100"/>
                <w:position w:val="0"/>
                <w:sz w:val="18"/>
                <w:szCs w:val="18"/>
              </w:rPr>
              <w:t>845,876,603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 xml:space="preserve">42,293,830.15 </w:t>
            </w:r>
            <w:r>
              <w:rPr>
                <w:color w:val="000000"/>
                <w:spacing w:val="0"/>
                <w:w w:val="100"/>
                <w:position w:val="0"/>
              </w:rPr>
              <w:t>元。本年度不送股，不进行资本公积转增股本。在分配方案实施前公司总股本因回购注销限制性股票、股份回购、再融资 新增股份上市等原因而发生变化的，将保持每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股利润分配的额度不变，相应变动利润分配总额。</w:t>
            </w:r>
          </w:p>
        </w:tc>
      </w:tr>
    </w:tbl>
    <w:p>
      <w:pPr>
        <w:pStyle w:val="Style24"/>
        <w:keepNext/>
        <w:keepLines/>
        <w:widowControl w:val="0"/>
        <w:shd w:val="clear" w:color="auto" w:fill="auto"/>
        <w:bidi w:val="0"/>
        <w:spacing w:before="0" w:after="380" w:line="240" w:lineRule="auto"/>
        <w:ind w:left="0" w:right="0" w:firstLine="0"/>
        <w:jc w:val="both"/>
      </w:pPr>
      <w:bookmarkStart w:id="365" w:name="bookmark365"/>
      <w:bookmarkStart w:id="366" w:name="bookmark366"/>
      <w:bookmarkStart w:id="367" w:name="bookmark367"/>
      <w:r>
        <w:rPr>
          <w:color w:val="000000"/>
          <w:spacing w:val="0"/>
          <w:w w:val="100"/>
          <w:position w:val="0"/>
        </w:rPr>
        <w:t>十一、公司股权激励计划、员工持股计划或其他员工激励措施的实施情况</w:t>
      </w:r>
      <w:bookmarkEnd w:id="365"/>
      <w:bookmarkEnd w:id="366"/>
      <w:bookmarkEnd w:id="367"/>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、股权激励</w:t>
      </w:r>
      <w:bookmarkEnd w:id="368"/>
      <w:bookmarkEnd w:id="369"/>
      <w:bookmarkEnd w:id="371"/>
    </w:p>
    <w:p>
      <w:pPr>
        <w:pStyle w:val="Style28"/>
        <w:keepNext w:val="0"/>
        <w:keepLines w:val="0"/>
        <w:widowControl w:val="0"/>
        <w:shd w:val="clear" w:color="auto" w:fill="auto"/>
        <w:tabs>
          <w:tab w:pos="687" w:val="left"/>
        </w:tabs>
        <w:bidi w:val="0"/>
        <w:spacing w:before="0" w:after="40" w:line="313" w:lineRule="exact"/>
        <w:ind w:left="0" w:right="0"/>
        <w:jc w:val="both"/>
      </w:pPr>
      <w:bookmarkStart w:id="372" w:name="bookmark372"/>
      <w:r>
        <w:rPr>
          <w:rFonts w:ascii="Times New Roman" w:eastAsia="Times New Roman" w:hAnsi="Times New Roman" w:cs="Times New Roman"/>
          <w:color w:val="000000"/>
          <w:spacing w:val="0"/>
          <w:w w:val="100"/>
          <w:position w:val="0"/>
          <w:sz w:val="18"/>
          <w:szCs w:val="18"/>
        </w:rPr>
        <w:t>1</w:t>
      </w:r>
      <w:bookmarkEnd w:id="3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日，公司召开第七届董事会第十三次会议和第七届监事会第十一次会议，审议通过了《关于公司限制 性股票长期激励计划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年首次授予相关事项的议案》《关于公司限制性股票长期激励计划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年预留授予相关事项的议 案》。根据公司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年第一次临时股东大会授权，董事会认为公司本次激励计划授予条件已经成就，同意以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日为授予日，向</w:t>
      </w:r>
      <w:r>
        <w:rPr>
          <w:rFonts w:ascii="Times New Roman" w:eastAsia="Times New Roman" w:hAnsi="Times New Roman" w:cs="Times New Roman"/>
          <w:color w:val="000000"/>
          <w:spacing w:val="0"/>
          <w:w w:val="100"/>
          <w:position w:val="0"/>
          <w:sz w:val="18"/>
          <w:szCs w:val="18"/>
        </w:rPr>
        <w:t>312</w:t>
      </w:r>
      <w:r>
        <w:rPr>
          <w:color w:val="000000"/>
          <w:spacing w:val="0"/>
          <w:w w:val="100"/>
          <w:position w:val="0"/>
        </w:rPr>
        <w:t>名首次激励对象授予</w:t>
      </w:r>
      <w:r>
        <w:rPr>
          <w:rFonts w:ascii="Times New Roman" w:eastAsia="Times New Roman" w:hAnsi="Times New Roman" w:cs="Times New Roman"/>
          <w:color w:val="000000"/>
          <w:spacing w:val="0"/>
          <w:w w:val="100"/>
          <w:position w:val="0"/>
          <w:sz w:val="18"/>
          <w:szCs w:val="18"/>
        </w:rPr>
        <w:t>821.2</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11.4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名预留激励对象授予</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万股限 制性股票，授予价格为</w:t>
      </w:r>
      <w:r>
        <w:rPr>
          <w:rFonts w:ascii="Times New Roman" w:eastAsia="Times New Roman" w:hAnsi="Times New Roman" w:cs="Times New Roman"/>
          <w:color w:val="000000"/>
          <w:spacing w:val="0"/>
          <w:w w:val="100"/>
          <w:position w:val="0"/>
          <w:sz w:val="18"/>
          <w:szCs w:val="18"/>
        </w:rPr>
        <w:t>11.4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股。本次激励对象卿辉、张卓等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人因个人原因放弃参与本次激励计划，实际授予</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名首次 激励对象合计</w:t>
      </w:r>
      <w:r>
        <w:rPr>
          <w:rFonts w:ascii="Times New Roman" w:eastAsia="Times New Roman" w:hAnsi="Times New Roman" w:cs="Times New Roman"/>
          <w:color w:val="000000"/>
          <w:spacing w:val="0"/>
          <w:w w:val="100"/>
          <w:position w:val="0"/>
          <w:sz w:val="18"/>
          <w:szCs w:val="18"/>
        </w:rPr>
        <w:t>7,806,575</w:t>
      </w:r>
      <w:r>
        <w:rPr>
          <w:color w:val="000000"/>
          <w:spacing w:val="0"/>
          <w:w w:val="100"/>
          <w:position w:val="0"/>
        </w:rPr>
        <w:t>股限制性股票、授予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名预留激励对象合计</w:t>
      </w:r>
      <w:r>
        <w:rPr>
          <w:rFonts w:ascii="Times New Roman" w:eastAsia="Times New Roman" w:hAnsi="Times New Roman" w:cs="Times New Roman"/>
          <w:color w:val="000000"/>
          <w:spacing w:val="0"/>
          <w:w w:val="100"/>
          <w:position w:val="0"/>
          <w:sz w:val="18"/>
          <w:szCs w:val="18"/>
        </w:rPr>
        <w:t>152,000</w:t>
      </w:r>
      <w:r>
        <w:rPr>
          <w:color w:val="000000"/>
          <w:spacing w:val="0"/>
          <w:w w:val="100"/>
          <w:position w:val="0"/>
        </w:rPr>
        <w:t>股限制性股票，授予价格为</w:t>
      </w:r>
      <w:r>
        <w:rPr>
          <w:rFonts w:ascii="Times New Roman" w:eastAsia="Times New Roman" w:hAnsi="Times New Roman" w:cs="Times New Roman"/>
          <w:color w:val="000000"/>
          <w:spacing w:val="0"/>
          <w:w w:val="100"/>
          <w:position w:val="0"/>
          <w:sz w:val="18"/>
          <w:szCs w:val="18"/>
        </w:rPr>
        <w:t>11.42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tabs>
          <w:tab w:pos="687" w:val="left"/>
        </w:tabs>
        <w:bidi w:val="0"/>
        <w:spacing w:before="0" w:after="140" w:line="312" w:lineRule="exact"/>
        <w:ind w:left="0" w:right="0"/>
        <w:jc w:val="both"/>
      </w:pPr>
      <w:bookmarkStart w:id="373" w:name="bookmark373"/>
      <w:r>
        <w:rPr>
          <w:rFonts w:ascii="Times New Roman" w:eastAsia="Times New Roman" w:hAnsi="Times New Roman" w:cs="Times New Roman"/>
          <w:color w:val="000000"/>
          <w:spacing w:val="0"/>
          <w:w w:val="100"/>
          <w:position w:val="0"/>
          <w:sz w:val="18"/>
          <w:szCs w:val="18"/>
        </w:rPr>
        <w:t>2</w:t>
      </w:r>
      <w:bookmarkEnd w:id="373"/>
      <w:r>
        <w:rPr>
          <w:color w:val="000000"/>
          <w:spacing w:val="0"/>
          <w:w w:val="100"/>
          <w:position w:val="0"/>
        </w:rPr>
        <w:t>、</w:t>
        <w:tab/>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日出具了大华验字</w:t>
      </w:r>
      <w:r>
        <w:rPr>
          <w:rFonts w:ascii="Times New Roman" w:eastAsia="Times New Roman" w:hAnsi="Times New Roman" w:cs="Times New Roman"/>
          <w:color w:val="000000"/>
          <w:spacing w:val="0"/>
          <w:w w:val="100"/>
          <w:position w:val="0"/>
          <w:sz w:val="18"/>
          <w:szCs w:val="18"/>
        </w:rPr>
        <w:t>[2021]000027</w:t>
      </w:r>
      <w:r>
        <w:rPr>
          <w:color w:val="000000"/>
          <w:spacing w:val="0"/>
          <w:w w:val="100"/>
          <w:position w:val="0"/>
        </w:rPr>
        <w:t>号《验资报告》， 审验了公司截至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日止新增注册资本及实收资本情况。经大华审验，截至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日止，卫士通公司已收到被 授予限制性股票员工以货币资金缴纳的股权认购款项合计人民币</w:t>
      </w:r>
      <w:r>
        <w:rPr>
          <w:rFonts w:ascii="Times New Roman" w:eastAsia="Times New Roman" w:hAnsi="Times New Roman" w:cs="Times New Roman"/>
          <w:color w:val="000000"/>
          <w:spacing w:val="0"/>
          <w:w w:val="100"/>
          <w:position w:val="0"/>
          <w:sz w:val="18"/>
          <w:szCs w:val="18"/>
        </w:rPr>
        <w:t>90,886,926.5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,958,575.00</w:t>
      </w:r>
      <w:r>
        <w:rPr>
          <w:color w:val="000000"/>
          <w:spacing w:val="0"/>
          <w:w w:val="100"/>
          <w:position w:val="0"/>
        </w:rPr>
        <w:t>元， 新增资本公积（股本溢价）人民币</w:t>
      </w:r>
      <w:r>
        <w:rPr>
          <w:rFonts w:ascii="Times New Roman" w:eastAsia="Times New Roman" w:hAnsi="Times New Roman" w:cs="Times New Roman"/>
          <w:color w:val="000000"/>
          <w:spacing w:val="0"/>
          <w:w w:val="100"/>
          <w:position w:val="0"/>
          <w:sz w:val="18"/>
          <w:szCs w:val="18"/>
        </w:rPr>
        <w:t>82,928,351.50</w:t>
      </w:r>
      <w:r>
        <w:rPr>
          <w:color w:val="000000"/>
          <w:spacing w:val="0"/>
          <w:w w:val="100"/>
          <w:position w:val="0"/>
        </w:rPr>
        <w:t>元）。变更后公司的累计注册资本为人民币</w:t>
      </w:r>
      <w:r>
        <w:rPr>
          <w:rFonts w:ascii="Times New Roman" w:eastAsia="Times New Roman" w:hAnsi="Times New Roman" w:cs="Times New Roman"/>
          <w:color w:val="000000"/>
          <w:spacing w:val="0"/>
          <w:w w:val="100"/>
          <w:position w:val="0"/>
          <w:sz w:val="18"/>
          <w:szCs w:val="18"/>
        </w:rPr>
        <w:t>846,294,603.00</w:t>
      </w:r>
      <w:r>
        <w:rPr>
          <w:color w:val="000000"/>
          <w:spacing w:val="0"/>
          <w:w w:val="100"/>
          <w:position w:val="0"/>
        </w:rPr>
        <w:t xml:space="preserve">元，累计股本为人 民币 </w:t>
      </w:r>
      <w:r>
        <w:rPr>
          <w:rFonts w:ascii="Times New Roman" w:eastAsia="Times New Roman" w:hAnsi="Times New Roman" w:cs="Times New Roman"/>
          <w:color w:val="000000"/>
          <w:spacing w:val="0"/>
          <w:w w:val="100"/>
          <w:position w:val="0"/>
          <w:sz w:val="18"/>
          <w:szCs w:val="18"/>
        </w:rPr>
        <w:t>846,294,603.00</w:t>
      </w:r>
      <w:r>
        <w:rPr>
          <w:color w:val="000000"/>
          <w:spacing w:val="0"/>
          <w:w w:val="100"/>
          <w:position w:val="0"/>
        </w:rPr>
        <w:t>元。</w:t>
      </w:r>
    </w:p>
    <w:p>
      <w:pPr>
        <w:pStyle w:val="Style28"/>
        <w:keepNext w:val="0"/>
        <w:keepLines w:val="0"/>
        <w:widowControl w:val="0"/>
        <w:shd w:val="clear" w:color="auto" w:fill="auto"/>
        <w:tabs>
          <w:tab w:pos="717" w:val="left"/>
        </w:tabs>
        <w:bidi w:val="0"/>
        <w:spacing w:before="0" w:after="0" w:line="360" w:lineRule="auto"/>
        <w:ind w:left="0" w:right="0"/>
        <w:jc w:val="both"/>
      </w:pPr>
      <w:bookmarkStart w:id="374" w:name="bookmark374"/>
      <w:r>
        <w:rPr>
          <w:rFonts w:ascii="Times New Roman" w:eastAsia="Times New Roman" w:hAnsi="Times New Roman" w:cs="Times New Roman"/>
          <w:color w:val="000000"/>
          <w:spacing w:val="0"/>
          <w:w w:val="100"/>
          <w:position w:val="0"/>
          <w:sz w:val="18"/>
          <w:szCs w:val="18"/>
        </w:rPr>
        <w:t>3</w:t>
      </w:r>
      <w:bookmarkEnd w:id="374"/>
      <w:r>
        <w:rPr>
          <w:color w:val="000000"/>
          <w:spacing w:val="0"/>
          <w:w w:val="100"/>
          <w:position w:val="0"/>
        </w:rPr>
        <w:t>、</w:t>
        <w:tab/>
        <w:t>本激励计划授予的限制性股票于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日上市。</w:t>
      </w:r>
    </w:p>
    <w:p>
      <w:pPr>
        <w:pStyle w:val="Style28"/>
        <w:keepNext w:val="0"/>
        <w:keepLines w:val="0"/>
        <w:widowControl w:val="0"/>
        <w:shd w:val="clear" w:color="auto" w:fill="auto"/>
        <w:tabs>
          <w:tab w:pos="712" w:val="left"/>
        </w:tabs>
        <w:bidi w:val="0"/>
        <w:spacing w:before="0" w:after="40" w:line="313" w:lineRule="exact"/>
        <w:ind w:left="0" w:right="0"/>
        <w:jc w:val="both"/>
      </w:pPr>
      <w:bookmarkStart w:id="375" w:name="bookmark375"/>
      <w:r>
        <w:rPr>
          <w:rFonts w:ascii="Times New Roman" w:eastAsia="Times New Roman" w:hAnsi="Times New Roman" w:cs="Times New Roman"/>
          <w:color w:val="000000"/>
          <w:spacing w:val="0"/>
          <w:w w:val="100"/>
          <w:position w:val="0"/>
          <w:sz w:val="18"/>
          <w:szCs w:val="18"/>
        </w:rPr>
        <w:t>4</w:t>
      </w:r>
      <w:bookmarkEnd w:id="375"/>
      <w:r>
        <w:rPr>
          <w:color w:val="000000"/>
          <w:spacing w:val="0"/>
          <w:w w:val="100"/>
          <w:position w:val="0"/>
        </w:rPr>
        <w:t>、</w:t>
        <w:tab/>
        <w:t>本年计提摊销股权激励成本，形成其他资本公积</w:t>
      </w:r>
      <w:r>
        <w:rPr>
          <w:rFonts w:ascii="Times New Roman" w:eastAsia="Times New Roman" w:hAnsi="Times New Roman" w:cs="Times New Roman"/>
          <w:color w:val="000000"/>
          <w:spacing w:val="0"/>
          <w:w w:val="100"/>
          <w:position w:val="0"/>
          <w:sz w:val="18"/>
          <w:szCs w:val="18"/>
        </w:rPr>
        <w:t>13,594,412.80</w:t>
      </w:r>
      <w:r>
        <w:rPr>
          <w:color w:val="000000"/>
          <w:spacing w:val="0"/>
          <w:w w:val="100"/>
          <w:position w:val="0"/>
        </w:rPr>
        <w:t>元。</w:t>
      </w:r>
    </w:p>
    <w:p>
      <w:pPr>
        <w:pStyle w:val="Style28"/>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公司董事、高级管理人员获得的股权激励情况</w:t>
      </w:r>
    </w:p>
    <w:p>
      <w:pPr>
        <w:pStyle w:val="Style28"/>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2"/>
        <w:gridCol w:w="686"/>
        <w:gridCol w:w="682"/>
        <w:gridCol w:w="682"/>
        <w:gridCol w:w="682"/>
        <w:gridCol w:w="682"/>
        <w:gridCol w:w="691"/>
        <w:gridCol w:w="677"/>
        <w:gridCol w:w="677"/>
        <w:gridCol w:w="701"/>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新授予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有股票</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期权数</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 有限制 性股票 数量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 事会秘 书、财 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bl>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王培春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报告期末，魏洪宽、周俊、刘志惠、张剑、吴向阳、王培春所持限制性股票均未到解锁期，尚未解锁。</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公司建立了公正、有效的高级管理人员的绩效评价标准和激励约束机制。报告期内，公司董事会和薪酬与考核委员会按 照公司《董事会薪酬与考核委员会实施细则》的规定及要求，按年度对公司高级管理人员的业绩和履职情况进行考评。报告 期内，公司董事会依据公司年度经营业绩状况，高级管理人员的岗位职责和年度工作目标完成情况，经过综合考评，根据考 评结果拟定高级管理人员的薪酬绩效初步方案并提请审议批准，促进了高级管理人员良好地履行职责。</w:t>
      </w:r>
    </w:p>
    <w:p>
      <w:pPr>
        <w:pStyle w:val="Style32"/>
        <w:keepNext/>
        <w:keepLines/>
        <w:widowControl w:val="0"/>
        <w:shd w:val="clear" w:color="auto" w:fill="auto"/>
        <w:tabs>
          <w:tab w:pos="378" w:val="left"/>
        </w:tabs>
        <w:bidi w:val="0"/>
        <w:spacing w:before="0" w:after="300" w:line="326"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员工持股计划的实施情况</w:t>
      </w:r>
      <w:bookmarkEnd w:id="376"/>
      <w:bookmarkEnd w:id="377"/>
      <w:bookmarkEnd w:id="379"/>
    </w:p>
    <w:p>
      <w:pPr>
        <w:pStyle w:val="Style28"/>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00" w:line="326" w:lineRule="auto"/>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其他员工激励措施</w:t>
      </w:r>
      <w:bookmarkEnd w:id="380"/>
      <w:bookmarkEnd w:id="381"/>
      <w:bookmarkEnd w:id="383"/>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4"/>
        <w:keepNext/>
        <w:keepLines/>
        <w:widowControl w:val="0"/>
        <w:shd w:val="clear" w:color="auto" w:fill="auto"/>
        <w:bidi w:val="0"/>
        <w:spacing w:before="0" w:after="380" w:line="240" w:lineRule="auto"/>
        <w:ind w:left="0" w:right="0" w:firstLine="0"/>
        <w:jc w:val="both"/>
      </w:pPr>
      <w:bookmarkStart w:id="384" w:name="bookmark384"/>
      <w:bookmarkStart w:id="385" w:name="bookmark385"/>
      <w:bookmarkStart w:id="386" w:name="bookmark386"/>
      <w:r>
        <w:rPr>
          <w:color w:val="000000"/>
          <w:spacing w:val="0"/>
          <w:w w:val="100"/>
          <w:position w:val="0"/>
        </w:rPr>
        <w:t>十二、报告期内的内部控制制度建设及实施情况</w:t>
      </w:r>
      <w:bookmarkEnd w:id="384"/>
      <w:bookmarkEnd w:id="385"/>
      <w:bookmarkEnd w:id="386"/>
    </w:p>
    <w:p>
      <w:pPr>
        <w:pStyle w:val="Style32"/>
        <w:keepNext/>
        <w:keepLines/>
        <w:widowControl w:val="0"/>
        <w:shd w:val="clear" w:color="auto" w:fill="auto"/>
        <w:tabs>
          <w:tab w:pos="368" w:val="left"/>
        </w:tabs>
        <w:bidi w:val="0"/>
        <w:spacing w:before="0" w:after="200" w:line="326"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w:t>
        <w:tab/>
        <w:t>内部控制建设及实施情况</w:t>
      </w:r>
      <w:bookmarkEnd w:id="387"/>
      <w:bookmarkEnd w:id="388"/>
      <w:bookmarkEnd w:id="390"/>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报告期内，公司根据《公司法》《证券法》《企业内部控制基本规范》及配套指引等有关法律法规 的规定，全面梳理内部外风险和各项业务流程，修订了《内部控制手册》，明确各岗位的工作程序，规范 各项业务处理的标准流程。并结合行业特征及企业经营实际，对内控制度进行持续完善与细化，实现内部 控制制度体系的动态维护，提高了企业决策效率，为企业经营管理的合法合规及资产安全提供了保障，有 效促进公司战略的稳步实施。公司根据制度设计情况，设计并运维工作流程，保证各环节均有相应控制措 施。在对内控体系执行的监督方面，通过日常监督、定期评价、外部评价鉴证的体系监督内控体系运行， 及时揭示风险。</w:t>
      </w:r>
    </w:p>
    <w:p>
      <w:pPr>
        <w:pStyle w:val="Style1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公司内部控制体系结构合理，内部控制制度框架符合内部控制体系完整性、合理性、有效性的要求， 能够实现公司管理和发展的需要。</w:t>
      </w:r>
    </w:p>
    <w:p>
      <w:pPr>
        <w:pStyle w:val="Style32"/>
        <w:keepNext/>
        <w:keepLines/>
        <w:widowControl w:val="0"/>
        <w:shd w:val="clear" w:color="auto" w:fill="auto"/>
        <w:tabs>
          <w:tab w:pos="378" w:val="left"/>
        </w:tabs>
        <w:bidi w:val="0"/>
        <w:spacing w:before="0" w:after="300" w:line="326"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报告期内发现的内部控制重大缺陷的具体情况</w:t>
      </w:r>
      <w:bookmarkEnd w:id="391"/>
      <w:bookmarkEnd w:id="392"/>
      <w:bookmarkEnd w:id="394"/>
    </w:p>
    <w:p>
      <w:pPr>
        <w:pStyle w:val="Style28"/>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00" w:line="240" w:lineRule="auto"/>
        <w:ind w:left="0" w:right="0" w:firstLine="0"/>
        <w:jc w:val="left"/>
      </w:pPr>
      <w:bookmarkStart w:id="395" w:name="bookmark395"/>
      <w:bookmarkStart w:id="396" w:name="bookmark396"/>
      <w:bookmarkStart w:id="397" w:name="bookmark397"/>
      <w:r>
        <w:rPr>
          <w:color w:val="000000"/>
          <w:spacing w:val="0"/>
          <w:w w:val="100"/>
          <w:position w:val="0"/>
        </w:rPr>
        <w:t>十三、公司报告期内对子公司的管理控制情况</w:t>
      </w:r>
      <w:bookmarkEnd w:id="395"/>
      <w:bookmarkEnd w:id="396"/>
      <w:bookmarkEnd w:id="397"/>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r>
        <w:rPr>
          <w:color w:val="000000"/>
          <w:spacing w:val="0"/>
          <w:w w:val="100"/>
          <w:position w:val="0"/>
        </w:rPr>
        <w:t>十四、内部控制自我评价报告或内部控制审计报告</w:t>
      </w:r>
      <w:bookmarkEnd w:id="398"/>
      <w:bookmarkEnd w:id="399"/>
      <w:bookmarkEnd w:id="400"/>
    </w:p>
    <w:p>
      <w:pPr>
        <w:pStyle w:val="Style32"/>
        <w:keepNext/>
        <w:keepLines/>
        <w:widowControl w:val="0"/>
        <w:shd w:val="clear" w:color="auto" w:fill="auto"/>
        <w:bidi w:val="0"/>
        <w:spacing w:before="0" w:after="32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、内控自我评价报告</w:t>
      </w:r>
      <w:bookmarkEnd w:id="401"/>
      <w:bookmarkEnd w:id="402"/>
      <w:bookmarkEnd w:id="404"/>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年度内部控制自我评价报告》，巨潮资讯网（</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57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出现以下情形的（包括但不限于），一般应 认定为财务报告内部控制重大缺陷：（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发现董事、监事和高级管理人员重大舞弊；</w:t>
            </w:r>
          </w:p>
          <w:p>
            <w:pPr>
              <w:pStyle w:val="Style21"/>
              <w:keepNext w:val="0"/>
              <w:keepLines w:val="0"/>
              <w:widowControl w:val="0"/>
              <w:shd w:val="clear" w:color="auto" w:fill="auto"/>
              <w:tabs>
                <w:tab w:pos="403"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发现当期财务报表存在重大错报，而 内部控制在运行过程中未能发现该错报；</w:t>
            </w:r>
          </w:p>
          <w:p>
            <w:pPr>
              <w:pStyle w:val="Style21"/>
              <w:keepNext w:val="0"/>
              <w:keepLines w:val="0"/>
              <w:widowControl w:val="0"/>
              <w:shd w:val="clear" w:color="auto" w:fill="auto"/>
              <w:tabs>
                <w:tab w:pos="389"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公司审计委员会和内部审计机构对内 部控制的监督无效；（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）控制环境无效；</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）风险评估职能无效；（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）一经发现 并报告给管理层的重大缺陷在合理的时间 后未加以改正；（</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）因会计差错导致的监 管机构处罚。出现以下情形的（包括但不 限于），被认定为''重要缺陷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，以及存在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的强烈迹象：（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）未按照会计准 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）关键岗位人 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）合规性监管职能失效，违反 法规的行为可能对财务报告的可靠性产生 重大影响；（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）已向管理层汇报但经过合 理期限后，管理层仍然没有对重要缺陷进 行纠正。一般缺陷是指除上述重大缺陷、 重要缺陷之外的其他控制缺陷。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之严重偏离预期目标为重大缺陷。在评 价中参考法规、运营、声誉、安全、环 境方面的标准，同时，以下迹象通常表 明非财务报告内部控制可能存在重大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事项，缺乏 集体决策程序；（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）决策程序不科学， 如决策失误，导致并购不成功；（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 反国家法律、法规，如环境污染；（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管理人员或技术人员纷纷流失；（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）媒 体负面新闻频现；（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）内部控制评价的 结果特别是重大或重要缺陷未得到整 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）重要业务缺乏制度控制或制度 系统性失效。</w:t>
            </w:r>
          </w:p>
        </w:tc>
      </w:tr>
      <w:tr>
        <w:trPr>
          <w:trHeight w:val="19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定量标准以营业收入、资产总额作为衡量 指标。内部控制缺陷可能导致或导致的损 失与利润表相关的，以营业收入指标衡量。 如果该缺陷单独或连同其他缺陷可能导致 的财务报告错报金额小于营业收入的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则认定为一般缺陷；如果超过营业收入的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，则认定为一般缺陷；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，则为重要缺陷；如果超过 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，则认定为重大缺陷。内部 控制缺陷可能导致或导致的损失与资产管 理相关的，以资产总额指标衡量。如果该 缺陷单独或连同其他缺陷可能导致的财务 报告错报金额小于资产总额的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 为一般缺陷；如果超过资产总额的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 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认定为重要缺陷；如果超过资产总 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认 定为重要缺陷；如果超过营业收入的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，则认定为重大缺陷。内部控制缺 陷可能导致或导致的损失与资产管理 相关的，以资产总额指标衡量。如果该 缺陷单独或连同其他缺陷可能导致的 财务报告错报金额小于资产总额的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，则认定为一般缺陷；如果超过资 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，则认定为重要 缺陷；如果超过资产总额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 定为重大缺陷。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、内部控制审计报告</w:t>
      </w:r>
      <w:bookmarkEnd w:id="405"/>
      <w:bookmarkEnd w:id="406"/>
      <w:bookmarkEnd w:id="408"/>
    </w:p>
    <w:p>
      <w:pPr>
        <w:pStyle w:val="Style28"/>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409" w:name="bookmark409"/>
      <w:bookmarkStart w:id="410" w:name="bookmark410"/>
      <w:bookmarkStart w:id="411" w:name="bookmark411"/>
      <w:r>
        <w:rPr>
          <w:color w:val="000000"/>
          <w:spacing w:val="0"/>
          <w:w w:val="100"/>
          <w:position w:val="0"/>
        </w:rPr>
        <w:t>十五、上市公司治理专项行动自查问题整改情况</w:t>
      </w:r>
      <w:bookmarkEnd w:id="409"/>
      <w:bookmarkEnd w:id="410"/>
      <w:bookmarkEnd w:id="411"/>
    </w:p>
    <w:p>
      <w:pPr>
        <w:pStyle w:val="Style28"/>
        <w:keepNext w:val="0"/>
        <w:keepLines w:val="0"/>
        <w:widowControl w:val="0"/>
        <w:shd w:val="clear" w:color="auto" w:fill="auto"/>
        <w:bidi w:val="0"/>
        <w:spacing w:before="0" w:after="300" w:line="317" w:lineRule="exact"/>
        <w:ind w:left="0" w:right="0" w:firstLine="360"/>
        <w:jc w:val="left"/>
        <w:sectPr>
          <w:footnotePr>
            <w:pos w:val="pageBottom"/>
            <w:numFmt w:val="decimal"/>
            <w:numRestart w:val="continuous"/>
          </w:footnotePr>
          <w:pgSz w:w="11900" w:h="16840"/>
          <w:pgMar w:top="1383" w:right="1054" w:bottom="1522" w:left="1064" w:header="0" w:footer="3" w:gutter="0"/>
          <w:cols w:space="720"/>
          <w:noEndnote/>
          <w:rtlGutter w:val="0"/>
          <w:docGrid w:linePitch="360"/>
        </w:sectPr>
      </w:pPr>
      <w:r>
        <w:rPr>
          <w:color w:val="000000"/>
          <w:spacing w:val="0"/>
          <w:w w:val="100"/>
          <w:position w:val="0"/>
        </w:rPr>
        <w:t>公司严格按照中国证监会四川证监局《关于做好公司治理专项行动工作的通知》要求完成了自查，不存在需要整改的重 大问题。</w:t>
      </w:r>
    </w:p>
    <w:p>
      <w:pPr>
        <w:pStyle w:val="Style10"/>
        <w:keepNext/>
        <w:keepLines/>
        <w:widowControl w:val="0"/>
        <w:shd w:val="clear" w:color="auto" w:fill="auto"/>
        <w:bidi w:val="0"/>
        <w:spacing w:before="600" w:after="540" w:line="240" w:lineRule="auto"/>
        <w:ind w:left="0" w:right="0" w:firstLine="0"/>
        <w:jc w:val="center"/>
      </w:pPr>
      <w:bookmarkStart w:id="412" w:name="bookmark412"/>
      <w:bookmarkStart w:id="413" w:name="bookmark413"/>
      <w:bookmarkStart w:id="414" w:name="bookmark414"/>
      <w:r>
        <w:rPr>
          <w:color w:val="000000"/>
          <w:spacing w:val="0"/>
          <w:w w:val="100"/>
          <w:position w:val="0"/>
        </w:rPr>
        <w:t>第五节环境和社会责任</w:t>
      </w:r>
      <w:bookmarkEnd w:id="412"/>
      <w:bookmarkEnd w:id="413"/>
      <w:bookmarkEnd w:id="414"/>
    </w:p>
    <w:p>
      <w:pPr>
        <w:pStyle w:val="Style24"/>
        <w:keepNext/>
        <w:keepLines/>
        <w:widowControl w:val="0"/>
        <w:shd w:val="clear" w:color="auto" w:fill="auto"/>
        <w:bidi w:val="0"/>
        <w:spacing w:before="0" w:after="380" w:line="240" w:lineRule="auto"/>
        <w:ind w:left="0" w:right="0" w:firstLine="260"/>
        <w:jc w:val="left"/>
      </w:pPr>
      <w:bookmarkStart w:id="415" w:name="bookmark415"/>
      <w:bookmarkStart w:id="416" w:name="bookmark416"/>
      <w:bookmarkStart w:id="417" w:name="bookmark417"/>
      <w:bookmarkStart w:id="418" w:name="bookmark418"/>
      <w:r>
        <w:rPr>
          <w:color w:val="000000"/>
          <w:spacing w:val="0"/>
          <w:w w:val="100"/>
          <w:position w:val="0"/>
        </w:rPr>
        <w:t>、重大环保问题</w:t>
      </w:r>
      <w:bookmarkEnd w:id="416"/>
      <w:bookmarkEnd w:id="417"/>
      <w:bookmarkEnd w:id="418"/>
      <w:bookmarkEnd w:id="41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参照重点排污单位披露的其他环境信息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公司及子公司均不属于环境保护部门公布的重点排污单位，在日常经营过程中，注重环境保护，倡导节约型和低碳型办公化， 无废水、废气、废物排放。</w:t>
      </w:r>
    </w:p>
    <w:p>
      <w:pPr>
        <w:pStyle w:val="Style2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在报告期内为减少其碳排放所采取的措施及效果</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未披露其他环境信息的原因</w:t>
      </w:r>
    </w:p>
    <w:p>
      <w:pPr>
        <w:pStyle w:val="Style2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公司及子公司均不属于环境保护部门公布的重点排污单位。</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二</w:t>
      </w:r>
      <w:bookmarkEnd w:id="421"/>
      <w:r>
        <w:rPr>
          <w:color w:val="000000"/>
          <w:spacing w:val="0"/>
          <w:w w:val="100"/>
          <w:position w:val="0"/>
        </w:rPr>
        <w:t>、</w:t>
        <w:tab/>
        <w:t>社会责任情况</w:t>
      </w:r>
      <w:bookmarkEnd w:id="419"/>
      <w:bookmarkEnd w:id="420"/>
      <w:bookmarkEnd w:id="422"/>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公司积极履行企业公民应尽的义务，承担社会责任，在致力于生产经营、不断为股东创造价值的同时，充分尊重员工、 客户、供应商及其他利益相关者的合法权益，积极与各方合作，加强沟通与交流，实现股东、员工、上下游合作者、社会等 各方力量的均衡，推动公司持续、稳定、健康发展。</w:t>
      </w:r>
    </w:p>
    <w:p>
      <w:pPr>
        <w:pStyle w:val="Style28"/>
        <w:keepNext w:val="0"/>
        <w:keepLines w:val="0"/>
        <w:widowControl w:val="0"/>
        <w:shd w:val="clear" w:color="auto" w:fill="auto"/>
        <w:bidi w:val="0"/>
        <w:spacing w:before="0" w:after="0" w:line="315" w:lineRule="exact"/>
        <w:ind w:left="0" w:right="0"/>
        <w:jc w:val="left"/>
      </w:pPr>
      <w:bookmarkStart w:id="423" w:name="bookmark423"/>
      <w:r>
        <w:rPr>
          <w:color w:val="000000"/>
          <w:spacing w:val="0"/>
          <w:w w:val="100"/>
          <w:position w:val="0"/>
        </w:rPr>
        <w:t>（</w:t>
      </w:r>
      <w:bookmarkEnd w:id="4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公司采取积极方式回报投资者。报告期内，公司按照相关法律法规要求，及时、真实、准确、完整地在指定平台 进行信息披露；通过接待现场调研、接听电话咨询、网上答疑、网站设置专区等多种途径与投资者进行沟通，增强了投资者 对公司的了解。</w:t>
      </w:r>
    </w:p>
    <w:p>
      <w:pPr>
        <w:pStyle w:val="Style28"/>
        <w:keepNext w:val="0"/>
        <w:keepLines w:val="0"/>
        <w:widowControl w:val="0"/>
        <w:shd w:val="clear" w:color="auto" w:fill="auto"/>
        <w:tabs>
          <w:tab w:pos="906" w:val="left"/>
        </w:tabs>
        <w:bidi w:val="0"/>
        <w:spacing w:before="0" w:after="0" w:line="315" w:lineRule="exact"/>
        <w:ind w:left="0" w:right="0"/>
        <w:jc w:val="left"/>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公司切实维护员工权益。报告期内，公司严格遵守《劳动法》、《劳动合同法》、《妇女权益保护法》等相关法 律法规，尊重和维护员工权益，为员工提供安全、整洁的工作环境，注重员工知识和技能提高，关心员工身心健康，加强对 员工的人文关怀，努力提高员工满意度，实现企业和员工的同步成长与发展。</w:t>
      </w:r>
    </w:p>
    <w:p>
      <w:pPr>
        <w:pStyle w:val="Style28"/>
        <w:keepNext w:val="0"/>
        <w:keepLines w:val="0"/>
        <w:widowControl w:val="0"/>
        <w:shd w:val="clear" w:color="auto" w:fill="auto"/>
        <w:bidi w:val="0"/>
        <w:spacing w:before="0" w:after="0" w:line="315" w:lineRule="exact"/>
        <w:ind w:left="0" w:right="0"/>
        <w:jc w:val="left"/>
      </w:pPr>
      <w:bookmarkStart w:id="425" w:name="bookmark425"/>
      <w:r>
        <w:rPr>
          <w:color w:val="000000"/>
          <w:spacing w:val="0"/>
          <w:w w:val="100"/>
          <w:position w:val="0"/>
        </w:rPr>
        <w:t>（</w:t>
      </w:r>
      <w:bookmarkEnd w:id="4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公司诚信经营，努力为客户提供合格的产品和优质的服务，建立良好的客户关系，完善售后服务，实现与用户的 双赢。</w:t>
      </w:r>
    </w:p>
    <w:p>
      <w:pPr>
        <w:pStyle w:val="Style28"/>
        <w:keepNext w:val="0"/>
        <w:keepLines w:val="0"/>
        <w:widowControl w:val="0"/>
        <w:shd w:val="clear" w:color="auto" w:fill="auto"/>
        <w:bidi w:val="0"/>
        <w:spacing w:before="0" w:after="380" w:line="315" w:lineRule="exact"/>
        <w:ind w:left="0" w:right="0"/>
        <w:jc w:val="left"/>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公司作为国家高新技术企业，在追求经济效益的同时积极主动承担社会责任，认真履行纳税人职责，注重环境保 护，倡导节约型和低碳型办公化，无废水、废气、废物排放。</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三</w:t>
      </w:r>
      <w:bookmarkEnd w:id="429"/>
      <w:r>
        <w:rPr>
          <w:color w:val="000000"/>
          <w:spacing w:val="0"/>
          <w:w w:val="100"/>
          <w:position w:val="0"/>
        </w:rPr>
        <w:t>、</w:t>
        <w:tab/>
        <w:t>巩固拓展脱贫攻坚成果、乡村振兴的情况</w:t>
      </w:r>
      <w:bookmarkEnd w:id="427"/>
      <w:bookmarkEnd w:id="428"/>
      <w:bookmarkEnd w:id="430"/>
    </w:p>
    <w:p>
      <w:pPr>
        <w:pStyle w:val="Style28"/>
        <w:keepNext w:val="0"/>
        <w:keepLines w:val="0"/>
        <w:widowControl w:val="0"/>
        <w:numPr>
          <w:ilvl w:val="0"/>
          <w:numId w:val="9"/>
        </w:numPr>
        <w:shd w:val="clear" w:color="auto" w:fill="auto"/>
        <w:bidi w:val="0"/>
        <w:spacing w:before="0" w:after="0" w:line="360" w:lineRule="auto"/>
        <w:ind w:left="0" w:right="0"/>
        <w:jc w:val="both"/>
      </w:pPr>
      <w:bookmarkStart w:id="431" w:name="bookmark431"/>
      <w:bookmarkEnd w:id="431"/>
      <w:r>
        <w:rPr>
          <w:color w:val="000000"/>
          <w:spacing w:val="0"/>
          <w:w w:val="100"/>
          <w:position w:val="0"/>
        </w:rPr>
        <w:t>脱贫攻坚规划</w:t>
      </w:r>
    </w:p>
    <w:p>
      <w:pPr>
        <w:pStyle w:val="Style28"/>
        <w:keepNext w:val="0"/>
        <w:keepLines w:val="0"/>
        <w:widowControl w:val="0"/>
        <w:shd w:val="clear" w:color="auto" w:fill="auto"/>
        <w:bidi w:val="0"/>
        <w:spacing w:before="0" w:after="200" w:line="312" w:lineRule="exact"/>
        <w:ind w:left="0" w:right="0"/>
        <w:jc w:val="both"/>
      </w:pPr>
      <w:r>
        <w:rPr>
          <w:color w:val="000000"/>
          <w:spacing w:val="0"/>
          <w:w w:val="100"/>
          <w:position w:val="0"/>
        </w:rPr>
        <w:t>为认真贯彻党的十九届五中全会精神以及习近平总书记关于脱贫攻坚的重要讲话精神，认真落实中国电子科技集团公司 对口四川叙永县的扶贫计划，响应其他主管机关关于精准扶贫的建议，卫士通连续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年以捐款、采购扶贫产品、捐资助学等 方式积极开展精准扶贫工作。此外，还结合党史学习教育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我为群众办实事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开展系列志愿者服务。</w:t>
      </w:r>
    </w:p>
    <w:p>
      <w:pPr>
        <w:pStyle w:val="Style28"/>
        <w:keepNext w:val="0"/>
        <w:keepLines w:val="0"/>
        <w:widowControl w:val="0"/>
        <w:numPr>
          <w:ilvl w:val="0"/>
          <w:numId w:val="9"/>
        </w:numPr>
        <w:shd w:val="clear" w:color="auto" w:fill="auto"/>
        <w:tabs>
          <w:tab w:pos="681" w:val="left"/>
        </w:tabs>
        <w:bidi w:val="0"/>
        <w:spacing w:before="0" w:after="0" w:line="317" w:lineRule="exact"/>
        <w:ind w:left="0" w:right="0"/>
        <w:jc w:val="both"/>
      </w:pPr>
      <w:bookmarkStart w:id="432" w:name="bookmark432"/>
      <w:bookmarkEnd w:id="432"/>
      <w:r>
        <w:rPr>
          <w:color w:val="000000"/>
          <w:spacing w:val="0"/>
          <w:w w:val="100"/>
          <w:position w:val="0"/>
        </w:rPr>
        <w:t>脱贫攻坚成果</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年，公司已累计采购扶贫企业农副产品</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万元，后期将视情况继续开展对口扶贫工作。此外，自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年起公司 连续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年针对叙永县白腊村贫困学生开展助学帮扶，目前已有部分学生成功进入县城内高中学习，剩余学生由公司员工继续 对口帮扶直至该学生家庭实现脱贫或大学毕业。</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年，公司结合党史学习教育，开展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我为群众办实事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志愿者服务。先后走进学校开展网络安全课，走进乡村开展全民健 身活动及农活志愿服务，用先进团队奖励购买水果送给为社区环卫工人，向精神病院患者捐衣送生活物资，向山区孩子捐赠 文具、书籍及衣物，党员同志为郑州特大暴雨开展灾后重建捐款。</w:t>
      </w:r>
    </w:p>
    <w:p>
      <w:pPr>
        <w:pStyle w:val="Style28"/>
        <w:keepNext w:val="0"/>
        <w:keepLines w:val="0"/>
        <w:widowControl w:val="0"/>
        <w:numPr>
          <w:ilvl w:val="0"/>
          <w:numId w:val="9"/>
        </w:numPr>
        <w:shd w:val="clear" w:color="auto" w:fill="auto"/>
        <w:tabs>
          <w:tab w:pos="681" w:val="left"/>
        </w:tabs>
        <w:bidi w:val="0"/>
        <w:spacing w:before="0" w:after="0" w:line="317" w:lineRule="exact"/>
        <w:ind w:left="0" w:right="0"/>
        <w:jc w:val="both"/>
      </w:pPr>
      <w:bookmarkStart w:id="433" w:name="bookmark433"/>
      <w:bookmarkEnd w:id="433"/>
      <w:r>
        <w:rPr>
          <w:color w:val="000000"/>
          <w:spacing w:val="0"/>
          <w:w w:val="100"/>
          <w:position w:val="0"/>
        </w:rPr>
        <w:t>后续计划</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下年度，公司将继续开展助学帮扶、志愿者服务，按照惯例在送去扶贫款的同时，在力所能及的范围内为社会发展助力。</w:t>
      </w:r>
      <w:r>
        <w:br w:type="page"/>
      </w:r>
    </w:p>
    <w:p>
      <w:pPr>
        <w:pStyle w:val="Style10"/>
        <w:keepNext/>
        <w:keepLines/>
        <w:widowControl w:val="0"/>
        <w:shd w:val="clear" w:color="auto" w:fill="auto"/>
        <w:bidi w:val="0"/>
        <w:spacing w:before="0" w:after="520" w:line="240" w:lineRule="auto"/>
        <w:ind w:left="0" w:right="0" w:firstLine="0"/>
        <w:jc w:val="center"/>
      </w:pPr>
      <w:bookmarkStart w:id="434" w:name="bookmark434"/>
      <w:bookmarkStart w:id="435" w:name="bookmark435"/>
      <w:bookmarkStart w:id="436" w:name="bookmark436"/>
      <w:r>
        <w:rPr>
          <w:color w:val="000000"/>
          <w:spacing w:val="0"/>
          <w:w w:val="100"/>
          <w:position w:val="0"/>
        </w:rPr>
        <w:t>第六节重要事项</w:t>
      </w:r>
      <w:bookmarkEnd w:id="434"/>
      <w:bookmarkEnd w:id="435"/>
      <w:bookmarkEnd w:id="436"/>
    </w:p>
    <w:p>
      <w:pPr>
        <w:pStyle w:val="Style24"/>
        <w:keepNext/>
        <w:keepLines/>
        <w:widowControl w:val="0"/>
        <w:shd w:val="clear" w:color="auto" w:fill="auto"/>
        <w:bidi w:val="0"/>
        <w:spacing w:before="0" w:after="340" w:line="240" w:lineRule="auto"/>
        <w:ind w:left="0" w:right="0" w:firstLine="0"/>
        <w:jc w:val="left"/>
      </w:pPr>
      <w:bookmarkStart w:id="437" w:name="bookmark437"/>
      <w:bookmarkStart w:id="438" w:name="bookmark438"/>
      <w:bookmarkStart w:id="439" w:name="bookmark439"/>
      <w:bookmarkStart w:id="440" w:name="bookmark440"/>
      <w:bookmarkStart w:id="441" w:name="bookmark441"/>
      <w:r>
        <w:rPr>
          <w:color w:val="000000"/>
          <w:spacing w:val="0"/>
          <w:w w:val="100"/>
          <w:position w:val="0"/>
        </w:rPr>
        <w:t>一</w:t>
      </w:r>
      <w:bookmarkEnd w:id="440"/>
      <w:r>
        <w:rPr>
          <w:color w:val="000000"/>
          <w:spacing w:val="0"/>
          <w:w w:val="100"/>
          <w:position w:val="0"/>
        </w:rPr>
        <w:t>、承诺事项履行情况</w:t>
      </w:r>
      <w:bookmarkEnd w:id="438"/>
      <w:bookmarkEnd w:id="439"/>
      <w:bookmarkEnd w:id="441"/>
      <w:bookmarkEnd w:id="437"/>
    </w:p>
    <w:p>
      <w:pPr>
        <w:pStyle w:val="Style32"/>
        <w:keepNext/>
        <w:keepLines/>
        <w:widowControl w:val="0"/>
        <w:shd w:val="clear" w:color="auto" w:fill="auto"/>
        <w:bidi w:val="0"/>
        <w:spacing w:before="0" w:after="340" w:line="307" w:lineRule="exact"/>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、公司实际控制人、股东、关联方、收购人以及公司等承诺相关方在报告期内履行完毕及截至报告期末 尚未履行完毕的承诺事项</w:t>
      </w:r>
      <w:bookmarkEnd w:id="442"/>
      <w:bookmarkEnd w:id="443"/>
      <w:bookmarkEnd w:id="44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0"/>
        <w:gridCol w:w="994"/>
        <w:gridCol w:w="3970"/>
        <w:gridCol w:w="706"/>
        <w:gridCol w:w="710"/>
        <w:gridCol w:w="78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收购报告书或权益 变动报告书中所作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 有限公 司、中国 电子科技 网络信息 安全有限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业竞争和规 范关联交易 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中国电子科技网络信息安全有限公司承诺：本公司 保证本次卫士通重大资产重组后，除持有卫士通的 股份外，本公司不直接或间接地从事任何与卫士通 及其下属子公司营业执照上所列明经营范围内的 业务存在竞争的业务活动。本公司作为卫士通股东 的事实改变之前，除持有卫士通的股份外，本公司 将不会直接或间接地以任何方式（包括但不限于独 自经营，合资经营或拥有其他公司或企业的股票或 权益）从事与卫士通及其下属子公司的业务有竞争 或可能构成竞争的业务或活动。中国网安：本公 司保证尽量避免和减少目前和将来与卫士通之间 发生不必要的关联交易。对于无法避免或者有合理 原因而发生的关联交易，将与卫士通签订书面协 议，遵循公正、公开、公平的原则，关联交易的定 价原则上应遵循市场化原则，不偏离独立第三方的 标准，对于难以比较市场价格或定价受到限制的关 联交易，应通过合同明确有关成本和利润的标准， 并按照有关法律法规、规范性文件以及卫士通《公 司章程》的规定，履行卫士通股东大会或董事会批 准决策程序和信息披露义务，保证不通过关联交易 损害卫士通及其他股东的合法权益。中国电子科技 网络信息安全有限公司有关规范关联交易的承诺， 将同样适用于中国电子科技网络信息安全有限公 司控制的下属单位。中国电子科技网络信息安全有 限公司将在合法权限范围内促成中国电子科技网 络信息安全有限公司控制的下属单位履行规范与 卫士通之间已经存在或可能发生的关联交易的义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截止本报 告出具 日，承诺 人严格履 行了上述 承诺。</w:t>
            </w:r>
          </w:p>
        </w:tc>
      </w:tr>
    </w:tbl>
    <w:p>
      <w:pPr>
        <w:spacing w:lineRule="exact" w:line="1"/>
        <w:rPr>
          <w:sz w:val="2"/>
          <w:szCs w:val="2"/>
        </w:rPr>
      </w:pPr>
      <w:r>
        <w:br w:type="page"/>
      </w:r>
    </w:p>
    <w:tbl>
      <w:tblPr>
        <w:tblOverlap w:val="never"/>
        <w:jc w:val="center"/>
        <w:tblLayout w:type="fixed"/>
      </w:tblPr>
      <w:tblGrid>
        <w:gridCol w:w="1565"/>
        <w:gridCol w:w="850"/>
        <w:gridCol w:w="994"/>
        <w:gridCol w:w="3970"/>
        <w:gridCol w:w="706"/>
        <w:gridCol w:w="710"/>
        <w:gridCol w:w="787"/>
      </w:tblGrid>
      <w:tr>
        <w:trPr>
          <w:trHeight w:val="112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务。中国电子科技网络信息安全有限公司在本次交 易完成后，将维护卫士通的独立性，保证卫士通人 员独立、资产独立、财务独立、机构独立、业务独 立。中国电科承诺：本集团是中国电子科技网络信 息安全有限公司、成都卫士通信息产业股份有限公 司、成都三零盛安信息系统有限公司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以下简称''三 零盛安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、成都三零瑞通移动通信有限公司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三零瑞通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及成都三零嘉微电子有限公司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 简称''三零嘉微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的实际控制人，本集团直接或间接 持有的上述五家法人单位的产权权属合法清晰。为 维护卫士通及其他股东的合法权益，本集团出具此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、本着保护卫士通全体股东利益的原则， 将公允地对待各被投资企业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单位，不会利用国有 资产管理者地位，做出不利于卫士通而有利于其它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单位的业务安排或决定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如因直接干预有关下 属单位的具体生产经营活动而导致同业竞争，并致 使卫士通受到损失的，将承担相关责任。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、尽量 避免和减少目前和将来与卫士通之间发生不必要 的关联交易。对于无法避免或者有合理原因而发生 的关联交易，将与卫士通签订书面协议，遵循公正、 公开、公平的原则，关联交易的定价原则上应遵循 市场化原则，不偏离独立第三方的标准，对于难以 比较市场价格或定价受到限制的关联交易，应通过 合同明确有关成本和利润的标准，并按照有关法律 法规、规范性文件以及卫士通《公司章程》的规定， 履行卫士通股东大会或董事会批准决策程序和信 息披露义务，保证不通过关联交易损害卫士通及其 他股东的合法权益。本集团有关规范关联交易的承 诺，将同样适用于本集团控制的下属单位。本集团 将在合法权限范围内促成本集团控制的下属单位 履行规范与卫士通之间已经存在或可能发生的关 联交易的义务。本集团在本次交易完成后，将维护 卫士通的独立性，保证卫士通人员独立、资产独立、 财务独立、机构独立、业务独立。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、自本说明出 具之日起，赔偿卫士通因本集团违反本说明任何条 款而遭受或产生的任何损失或开支。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中国电科承诺将公允地对待各被投资企业，不会利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截止本报</w:t>
            </w:r>
          </w:p>
        </w:tc>
      </w:tr>
      <w:tr>
        <w:trPr>
          <w:trHeight w:val="941"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中国电子</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科技集团</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避免同行业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用管理地位获得的信息，作出任何不利于卫士通而 有利于其他企业的决定或判断；若因中国电子科技 集团有限公司直接干预有关企业的具体生产经营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作为卫</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士通实</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际控制</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告出具</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日，承诺</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人严格履</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融资时所作承诺</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活动而导致同业竞争，并使卫士通受到损失的，将</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人期间</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行了上述</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承担相关责任。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r>
      <w:tr>
        <w:trPr>
          <w:trHeight w:val="36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公司全体董事、监事及高级管理人员承诺，在任职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截止本报</w:t>
            </w:r>
          </w:p>
        </w:tc>
      </w:tr>
      <w:tr>
        <w:trPr>
          <w:trHeight w:val="32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及高级管理</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期间每年转让的股份不超过其所持有本公司股份</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告出具</w:t>
            </w:r>
          </w:p>
        </w:tc>
      </w:tr>
    </w:tbl>
    <w:p>
      <w:pPr>
        <w:spacing w:lineRule="exact" w:line="1"/>
        <w:rPr>
          <w:sz w:val="2"/>
          <w:szCs w:val="2"/>
        </w:rPr>
      </w:pPr>
      <w:r>
        <w:br w:type="page"/>
      </w:r>
    </w:p>
    <w:tbl>
      <w:tblPr>
        <w:tblOverlap w:val="never"/>
        <w:jc w:val="center"/>
        <w:tblLayout w:type="fixed"/>
      </w:tblPr>
      <w:tblGrid>
        <w:gridCol w:w="1565"/>
        <w:gridCol w:w="850"/>
        <w:gridCol w:w="994"/>
        <w:gridCol w:w="3970"/>
        <w:gridCol w:w="706"/>
        <w:gridCol w:w="710"/>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事及高级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管理人员</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人员股份限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售的承诺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总数的百分之二十五；离任后六个月内，不转让其 所持有的本公司股份；离任六个月后的十二个月 内通过证券交易所挂牌交易出售本公司股票数量 占其所持有本公司股票总数（包括限售条件和无限 售条件的股份）的比例不超过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日，承诺 人严格履 行了上述 承诺。</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成都卫士 通信息产 业股份有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关于信息披</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露等的承诺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公司董事会将严格遵守《公司法》、《证券法》、《上 市公司证券发行管理办法》等法律、法规和中国证 监会的有关规定，承诺自本公司非公开发行股票新 增股份上市之日起：（一）承诺真实、准确、完整、 公平和及时地公布定期报告、披露所有对投资者有 重大影响的信息，并接受中国证监会和深圳证券交 易所的监督管理。（二）承诺本公司在知悉可能对 股票价格产生误导性影响的任何公共传播媒体出 现的消息后，将及时予以公开澄清。（三）承诺本 公司董事、监事、高级管理人员和核心技术人员将 认真听取社会公众的意见和批评，不利用已获得的 内幕消息和其他不正当手段直接或间接从事本公 司股票的买卖活动。公司保证向深圳证券交易所提 交的文件没有虚假陈述或者重大遗漏，并在提出上 市申请期间，未经深圳证券交易所同意，不擅自披 露有关信息。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截止本报 告出具 日，承诺 人严格履 行了上述 承诺。</w:t>
            </w:r>
          </w:p>
        </w:tc>
      </w:tr>
      <w:tr>
        <w:trPr>
          <w:trHeight w:val="383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激励对象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激励对象关 于利益返还 的承诺等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激励对象承诺，若公司因信息披露文件中有虚假记 载、误导性陈述或者重大遗漏，导致不符合授予权 益或行使权益安排的，激励对象应当自相关信息披 露文件被确认存在虚假记载、误导性陈述或者重大 遗漏后，将由股权激励计划所获得的全部利益返还 公司。本计划的激励对象承诺只接受本公司股权激 励，接受本公司授予限制性股票时未成为其他公司 的股权激励对象，并且在公司每次授予的限制性股 票完全解锁前不再接受其他公司的股权激励。同 时，如在本计划实施过程中出现相关法律法规及本 计划规定不能成为激励对象的，其将放弃参与本计 划的权力，并不获得任何补偿。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作为激</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励对象</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截止本报 告出具 日，承诺 人严格履 行了上述 承诺。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 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keepLines/>
        <w:widowControl w:val="0"/>
        <w:shd w:val="clear" w:color="auto" w:fill="auto"/>
        <w:bidi w:val="0"/>
        <w:spacing w:before="0" w:after="280" w:line="317" w:lineRule="exact"/>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、公司资产或项目存在盈利预测，且报告期仍处在盈利预测期间，公司就资产或项目达到原盈利预测及 其原因做出说明</w:t>
      </w:r>
      <w:bookmarkEnd w:id="446"/>
      <w:bookmarkEnd w:id="447"/>
      <w:bookmarkEnd w:id="449"/>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二</w:t>
      </w:r>
      <w:bookmarkEnd w:id="452"/>
      <w:r>
        <w:rPr>
          <w:color w:val="000000"/>
          <w:spacing w:val="0"/>
          <w:w w:val="100"/>
          <w:position w:val="0"/>
        </w:rPr>
        <w:t>、</w:t>
        <w:tab/>
        <w:t>控股股东及其他关联方对上市公司的非经营性占用资金情况</w:t>
      </w:r>
      <w:bookmarkEnd w:id="450"/>
      <w:bookmarkEnd w:id="451"/>
      <w:bookmarkEnd w:id="453"/>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三</w:t>
      </w:r>
      <w:bookmarkEnd w:id="456"/>
      <w:r>
        <w:rPr>
          <w:color w:val="000000"/>
          <w:spacing w:val="0"/>
          <w:w w:val="100"/>
          <w:position w:val="0"/>
        </w:rPr>
        <w:t>、</w:t>
        <w:tab/>
        <w:t>违规对外担保情况</w:t>
      </w:r>
      <w:bookmarkEnd w:id="454"/>
      <w:bookmarkEnd w:id="455"/>
      <w:bookmarkEnd w:id="457"/>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四</w:t>
      </w:r>
      <w:bookmarkEnd w:id="460"/>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8"/>
      <w:bookmarkEnd w:id="459"/>
      <w:bookmarkEnd w:id="461"/>
    </w:p>
    <w:p>
      <w:pPr>
        <w:pStyle w:val="Style28"/>
        <w:keepNext w:val="0"/>
        <w:keepLines w:val="0"/>
        <w:widowControl w:val="0"/>
        <w:numPr>
          <w:ilvl w:val="0"/>
          <w:numId w:val="11"/>
        </w:numPr>
        <w:shd w:val="clear" w:color="auto" w:fill="auto"/>
        <w:tabs>
          <w:tab w:pos="286" w:val="left"/>
        </w:tabs>
        <w:bidi w:val="0"/>
        <w:spacing w:before="0" w:after="0" w:line="360" w:lineRule="auto"/>
        <w:ind w:left="0" w:right="0" w:firstLine="0"/>
        <w:jc w:val="left"/>
      </w:pPr>
      <w:bookmarkStart w:id="462" w:name="bookmark462"/>
      <w:bookmarkEnd w:id="46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对成都卫士通信息产业股份有限公司（以下简称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年度财务报表进行审计， 出具了带强调事项段的无保留意见《审计报告》（大华审字</w:t>
      </w:r>
      <w:r>
        <w:rPr>
          <w:rFonts w:ascii="Times New Roman" w:eastAsia="Times New Roman" w:hAnsi="Times New Roman" w:cs="Times New Roman"/>
          <w:color w:val="000000"/>
          <w:spacing w:val="0"/>
          <w:w w:val="100"/>
          <w:position w:val="0"/>
          <w:sz w:val="18"/>
          <w:szCs w:val="18"/>
        </w:rPr>
        <w:t>[2021]004409</w:t>
      </w:r>
      <w:r>
        <w:rPr>
          <w:color w:val="000000"/>
          <w:spacing w:val="0"/>
          <w:w w:val="100"/>
          <w:position w:val="0"/>
        </w:rPr>
        <w:t>号）。</w:t>
      </w:r>
    </w:p>
    <w:p>
      <w:pPr>
        <w:pStyle w:val="Style28"/>
        <w:keepNext w:val="0"/>
        <w:keepLines w:val="0"/>
        <w:widowControl w:val="0"/>
        <w:shd w:val="clear" w:color="auto" w:fill="auto"/>
        <w:tabs>
          <w:tab w:pos="915" w:val="left"/>
        </w:tabs>
        <w:bidi w:val="0"/>
        <w:spacing w:before="0" w:after="0" w:line="314" w:lineRule="exact"/>
        <w:ind w:left="0" w:right="0" w:firstLine="480"/>
        <w:jc w:val="both"/>
      </w:pPr>
      <w:bookmarkStart w:id="463" w:name="bookmark463"/>
      <w:r>
        <w:rPr>
          <w:color w:val="000000"/>
          <w:spacing w:val="0"/>
          <w:w w:val="100"/>
          <w:position w:val="0"/>
        </w:rPr>
        <w:t>一</w:t>
      </w:r>
      <w:bookmarkEnd w:id="463"/>
      <w:r>
        <w:rPr>
          <w:color w:val="000000"/>
          <w:spacing w:val="0"/>
          <w:w w:val="100"/>
          <w:position w:val="0"/>
        </w:rPr>
        <w:t>、</w:t>
        <w:tab/>
        <w:t>审计报告中强调事项段的内容</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出具的《审计报告》（大华审字</w:t>
      </w:r>
      <w:r>
        <w:rPr>
          <w:rFonts w:ascii="Times New Roman" w:eastAsia="Times New Roman" w:hAnsi="Times New Roman" w:cs="Times New Roman"/>
          <w:color w:val="000000"/>
          <w:spacing w:val="0"/>
          <w:w w:val="100"/>
          <w:position w:val="0"/>
          <w:sz w:val="18"/>
          <w:szCs w:val="18"/>
        </w:rPr>
        <w:t>[2021]004409</w:t>
      </w:r>
      <w:r>
        <w:rPr>
          <w:color w:val="000000"/>
          <w:spacing w:val="0"/>
          <w:w w:val="100"/>
          <w:position w:val="0"/>
        </w:rPr>
        <w:t>号）中强调事项段内容如下：</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rPr>
        <w:t>贵公司全资子公司中电科（北京）网络信息安全有限公司（以下简称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北京网安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）向北京金丰科华房地产开发有限公司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金丰科华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）购买位于北京市丰台区花乡四合庄</w:t>
      </w:r>
      <w:r>
        <w:rPr>
          <w:rFonts w:ascii="Times New Roman" w:eastAsia="Times New Roman" w:hAnsi="Times New Roman" w:cs="Times New Roman"/>
          <w:color w:val="000000"/>
          <w:spacing w:val="0"/>
          <w:w w:val="100"/>
          <w:position w:val="0"/>
          <w:sz w:val="18"/>
          <w:szCs w:val="18"/>
        </w:rPr>
        <w:t>1516-15</w:t>
      </w:r>
      <w:r>
        <w:rPr>
          <w:color w:val="000000"/>
          <w:spacing w:val="0"/>
          <w:w w:val="100"/>
          <w:position w:val="0"/>
        </w:rPr>
        <w:t>地块上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办公商业楼（以下简称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北京房产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）由于涉诉 被北京市第二中级人民法院查封，北京金丰科华房地产开发有限公司破产清算已被北京市丰台区人民法院受理。截至审计报 告日，相关案件尚未审结。上述资产列报于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r>
        <w:rPr>
          <w:rFonts w:ascii="Times New Roman" w:eastAsia="Times New Roman" w:hAnsi="Times New Roman" w:cs="Times New Roman"/>
          <w:color w:val="000000"/>
          <w:spacing w:val="0"/>
          <w:w w:val="100"/>
          <w:position w:val="0"/>
          <w:sz w:val="18"/>
          <w:szCs w:val="18"/>
        </w:rPr>
        <w:t>116,309.74</w:t>
      </w:r>
      <w:r>
        <w:rPr>
          <w:color w:val="000000"/>
          <w:spacing w:val="0"/>
          <w:w w:val="100"/>
          <w:position w:val="0"/>
        </w:rPr>
        <w:t>万元。</w:t>
      </w:r>
    </w:p>
    <w:p>
      <w:pPr>
        <w:pStyle w:val="Style28"/>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我们提醒财务报表使用者关注，财务报表附注十三（二）描述了北京网安涉诉房产详细情况及最新进展情况。本段内容 不影响已发表的审计意见。</w:t>
      </w:r>
    </w:p>
    <w:p>
      <w:pPr>
        <w:pStyle w:val="Style28"/>
        <w:keepNext w:val="0"/>
        <w:keepLines w:val="0"/>
        <w:widowControl w:val="0"/>
        <w:shd w:val="clear" w:color="auto" w:fill="auto"/>
        <w:tabs>
          <w:tab w:pos="915" w:val="left"/>
        </w:tabs>
        <w:bidi w:val="0"/>
        <w:spacing w:before="0" w:after="0" w:line="314" w:lineRule="exact"/>
        <w:ind w:left="0" w:right="0" w:firstLine="480"/>
        <w:jc w:val="both"/>
      </w:pPr>
      <w:bookmarkStart w:id="464" w:name="bookmark464"/>
      <w:r>
        <w:rPr>
          <w:color w:val="000000"/>
          <w:spacing w:val="0"/>
          <w:w w:val="100"/>
          <w:position w:val="0"/>
        </w:rPr>
        <w:t>二</w:t>
      </w:r>
      <w:bookmarkEnd w:id="464"/>
      <w:r>
        <w:rPr>
          <w:color w:val="000000"/>
          <w:spacing w:val="0"/>
          <w:w w:val="100"/>
          <w:position w:val="0"/>
        </w:rPr>
        <w:t>、</w:t>
        <w:tab/>
        <w:t>董事会关于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年度审计报告中带强调事项段无保留审计意见所涉及事项的相关情况说明</w:t>
      </w:r>
    </w:p>
    <w:p>
      <w:pPr>
        <w:pStyle w:val="Style28"/>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丰台区人民法院于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日确定北京市东卫律师事务所担任金丰科华破产管理人。北京网安已在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日前 向管理人北京市东卫律师事务所申报债权，并提交有关证明材料。第一次债权人会议于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日召开，管理人对前期开 展的工作做了报告。第二次债权人会议于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日召开，破产管理人提出了探索和推进整体化解案件的方案，并计划 于第三次债权人会议进行表决。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日，北京网安向北京丰台区法院及破产管理人报送了《关于北京金丰科华房地 产开发有限公司申请和解意见函》，同意和解协议草案。经与破产管理人确认，和解方案（草案）已在包括北京网安在内的 主要债权人间达成初步一致，但需要在第三次债权人会议通过表决且经破产法院裁定认可方能生效实施，和解方案能否在第 三次债权人会议通过表决存在不确定性，暂无法预估对公司未来利润的影响以及消除强调事项影响的时间。截至报告日，第 三次债权人会议尚未召开。公司及公司董事会将密切关注上述事项的进展情况，审慎研究评估案件，依法在破产程序中主张 权利，力争最大限度维护公司合法权益，并及时履行公司信息披露义务。</w:t>
      </w:r>
    </w:p>
    <w:p>
      <w:pPr>
        <w:pStyle w:val="Style24"/>
        <w:keepNext/>
        <w:keepLines/>
        <w:widowControl w:val="0"/>
        <w:shd w:val="clear" w:color="auto" w:fill="auto"/>
        <w:tabs>
          <w:tab w:pos="517" w:val="left"/>
        </w:tabs>
        <w:bidi w:val="0"/>
        <w:spacing w:before="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五</w:t>
      </w:r>
      <w:bookmarkEnd w:id="46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65"/>
      <w:bookmarkEnd w:id="466"/>
      <w:bookmarkEnd w:id="468"/>
    </w:p>
    <w:p>
      <w:pPr>
        <w:pStyle w:val="Style28"/>
        <w:keepNext w:val="0"/>
        <w:keepLines w:val="0"/>
        <w:widowControl w:val="0"/>
        <w:numPr>
          <w:ilvl w:val="0"/>
          <w:numId w:val="11"/>
        </w:numPr>
        <w:shd w:val="clear" w:color="auto" w:fill="auto"/>
        <w:tabs>
          <w:tab w:pos="286" w:val="left"/>
        </w:tabs>
        <w:bidi w:val="0"/>
        <w:spacing w:before="0" w:after="0" w:line="360" w:lineRule="auto"/>
        <w:ind w:left="0" w:right="0" w:firstLine="0"/>
        <w:jc w:val="left"/>
      </w:pPr>
      <w:bookmarkStart w:id="469" w:name="bookmark469"/>
      <w:bookmarkEnd w:id="46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280" w:line="314" w:lineRule="exact"/>
        <w:ind w:left="0" w:right="0" w:firstLine="0"/>
        <w:jc w:val="left"/>
      </w:pPr>
      <w:r>
        <w:rPr>
          <w:b/>
          <w:bCs/>
          <w:color w:val="000000"/>
          <w:spacing w:val="0"/>
          <w:w w:val="100"/>
          <w:position w:val="0"/>
        </w:rPr>
        <w:t>董事会关于公司</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年度带强调事项段的无保留意见审计报告涉及事项的专项说明</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对成都卫士通信息产业股份有限公司（以下简称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年度财务报表进行审计， 出具了带强调事项段的无保留意见《审计报告》（大华审字</w:t>
      </w:r>
      <w:r>
        <w:rPr>
          <w:rFonts w:ascii="Times New Roman" w:eastAsia="Times New Roman" w:hAnsi="Times New Roman" w:cs="Times New Roman"/>
          <w:color w:val="000000"/>
          <w:spacing w:val="0"/>
          <w:w w:val="100"/>
          <w:position w:val="0"/>
          <w:sz w:val="18"/>
          <w:szCs w:val="18"/>
        </w:rPr>
        <w:t>[2022]004822</w:t>
      </w:r>
      <w:r>
        <w:rPr>
          <w:color w:val="000000"/>
          <w:spacing w:val="0"/>
          <w:w w:val="100"/>
          <w:position w:val="0"/>
        </w:rPr>
        <w:t>号）。根据中国证监会和深圳证券交易所的相关要 求，公司董事会对审计报告所涉及的事项作出专项说明如下：</w:t>
      </w:r>
    </w:p>
    <w:p>
      <w:pPr>
        <w:pStyle w:val="Style28"/>
        <w:keepNext w:val="0"/>
        <w:keepLines w:val="0"/>
        <w:widowControl w:val="0"/>
        <w:shd w:val="clear" w:color="auto" w:fill="auto"/>
        <w:tabs>
          <w:tab w:pos="794" w:val="left"/>
        </w:tabs>
        <w:bidi w:val="0"/>
        <w:spacing w:before="0" w:after="0" w:line="314" w:lineRule="exact"/>
        <w:ind w:left="0" w:right="0"/>
        <w:jc w:val="both"/>
      </w:pPr>
      <w:bookmarkStart w:id="470" w:name="bookmark470"/>
      <w:r>
        <w:rPr>
          <w:color w:val="000000"/>
          <w:spacing w:val="0"/>
          <w:w w:val="100"/>
          <w:position w:val="0"/>
        </w:rPr>
        <w:t>一</w:t>
      </w:r>
      <w:bookmarkEnd w:id="470"/>
      <w:r>
        <w:rPr>
          <w:color w:val="000000"/>
          <w:spacing w:val="0"/>
          <w:w w:val="100"/>
          <w:position w:val="0"/>
        </w:rPr>
        <w:t>、</w:t>
        <w:tab/>
        <w:t>审计报告中强调事项段的内容</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出具的《审计报告》中强调事项段内容如下：</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贵公司全资子公司中电科（北京）网络信息安全有限公司（以下简称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北京网安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）向北京金丰科华房地产开发有限公司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金丰科华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）购买位于北京市丰台区花乡四合庄</w:t>
      </w:r>
      <w:r>
        <w:rPr>
          <w:rFonts w:ascii="Times New Roman" w:eastAsia="Times New Roman" w:hAnsi="Times New Roman" w:cs="Times New Roman"/>
          <w:color w:val="000000"/>
          <w:spacing w:val="0"/>
          <w:w w:val="100"/>
          <w:position w:val="0"/>
          <w:sz w:val="18"/>
          <w:szCs w:val="18"/>
        </w:rPr>
        <w:t>1516-15</w:t>
      </w:r>
      <w:r>
        <w:rPr>
          <w:color w:val="000000"/>
          <w:spacing w:val="0"/>
          <w:w w:val="100"/>
          <w:position w:val="0"/>
        </w:rPr>
        <w:t>地块上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办公商业楼，由于开发商金丰科华涉诉，该 房产于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月被北京市第二中级人民法院查封。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月，金丰科华已进入破产程序。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日，破产管理人在 第二次债权人会议上提出了通过抵押权人让利、购房人增加出资取回房产的初步化解方案，和解方案（草案）已在包括北京 网安在内的主要债权人间达成初步一致，但尚需在第三次债权人会议通过表决且经破产法院裁定认可后方能生效实施。和解 方案能否在第三次债权人会议通过表决存在不确定性。截至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日，上述房产账面原值</w:t>
      </w:r>
      <w:r>
        <w:rPr>
          <w:rFonts w:ascii="Times New Roman" w:eastAsia="Times New Roman" w:hAnsi="Times New Roman" w:cs="Times New Roman"/>
          <w:color w:val="000000"/>
          <w:spacing w:val="0"/>
          <w:w w:val="100"/>
          <w:position w:val="0"/>
          <w:sz w:val="18"/>
          <w:szCs w:val="18"/>
        </w:rPr>
        <w:t>116,309.74</w:t>
      </w:r>
      <w:r>
        <w:rPr>
          <w:color w:val="000000"/>
          <w:spacing w:val="0"/>
          <w:w w:val="100"/>
          <w:position w:val="0"/>
        </w:rPr>
        <w:t>万元，列报于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 建工程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。北京网安基于和解方案（草案）能够实施为预期，并考虑增加出资的基础上对上述房产进行了减值测试，计提减 值准备</w:t>
      </w:r>
      <w:r>
        <w:rPr>
          <w:rFonts w:ascii="Times New Roman" w:eastAsia="Times New Roman" w:hAnsi="Times New Roman" w:cs="Times New Roman"/>
          <w:color w:val="000000"/>
          <w:spacing w:val="0"/>
          <w:w w:val="100"/>
          <w:position w:val="0"/>
          <w:sz w:val="18"/>
          <w:szCs w:val="18"/>
        </w:rPr>
        <w:t>4,716.43</w:t>
      </w:r>
      <w:r>
        <w:rPr>
          <w:color w:val="000000"/>
          <w:spacing w:val="0"/>
          <w:w w:val="100"/>
          <w:position w:val="0"/>
        </w:rPr>
        <w:t>万元。</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我们提醒财务报表使用者关注，财务报表附注十三（二）描述了北京网安涉诉房产详细情况及最新进展情况。本段内容 不影响已发表的审计意见</w:t>
      </w:r>
    </w:p>
    <w:p>
      <w:pPr>
        <w:pStyle w:val="Style28"/>
        <w:keepNext w:val="0"/>
        <w:keepLines w:val="0"/>
        <w:widowControl w:val="0"/>
        <w:shd w:val="clear" w:color="auto" w:fill="auto"/>
        <w:tabs>
          <w:tab w:pos="794" w:val="left"/>
        </w:tabs>
        <w:bidi w:val="0"/>
        <w:spacing w:before="0" w:after="0" w:line="314" w:lineRule="exact"/>
        <w:ind w:left="0" w:right="0"/>
        <w:jc w:val="both"/>
      </w:pPr>
      <w:bookmarkStart w:id="471" w:name="bookmark471"/>
      <w:r>
        <w:rPr>
          <w:color w:val="000000"/>
          <w:spacing w:val="0"/>
          <w:w w:val="100"/>
          <w:position w:val="0"/>
        </w:rPr>
        <w:t>二</w:t>
      </w:r>
      <w:bookmarkEnd w:id="471"/>
      <w:r>
        <w:rPr>
          <w:color w:val="000000"/>
          <w:spacing w:val="0"/>
          <w:w w:val="100"/>
          <w:position w:val="0"/>
        </w:rPr>
        <w:t>、</w:t>
        <w:tab/>
        <w:t>董事会关于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年度审计报告中带强调事项段无保留审计意见所涉及事项的专项说明</w:t>
      </w:r>
    </w:p>
    <w:p>
      <w:pPr>
        <w:pStyle w:val="Style28"/>
        <w:keepNext w:val="0"/>
        <w:keepLines w:val="0"/>
        <w:widowControl w:val="0"/>
        <w:shd w:val="clear" w:color="auto" w:fill="auto"/>
        <w:tabs>
          <w:tab w:pos="851" w:val="left"/>
        </w:tabs>
        <w:bidi w:val="0"/>
        <w:spacing w:before="0" w:after="0" w:line="314" w:lineRule="exact"/>
        <w:ind w:left="0" w:right="0"/>
        <w:jc w:val="both"/>
      </w:pPr>
      <w:bookmarkStart w:id="472" w:name="bookmark472"/>
      <w:r>
        <w:rPr>
          <w:color w:val="000000"/>
          <w:spacing w:val="0"/>
          <w:w w:val="100"/>
          <w:position w:val="0"/>
        </w:rPr>
        <w:t>（</w:t>
      </w:r>
      <w:bookmarkEnd w:id="472"/>
      <w:r>
        <w:rPr>
          <w:color w:val="000000"/>
          <w:spacing w:val="0"/>
          <w:w w:val="100"/>
          <w:position w:val="0"/>
        </w:rPr>
        <w:t>一）</w:t>
        <w:tab/>
        <w:t>强调事项段中涉及事项最新进展</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北京网安向北京金丰科华房地产开发有限公司购买位于北京市丰台区花乡四合庄</w:t>
      </w:r>
      <w:r>
        <w:rPr>
          <w:rFonts w:ascii="Times New Roman" w:eastAsia="Times New Roman" w:hAnsi="Times New Roman" w:cs="Times New Roman"/>
          <w:color w:val="000000"/>
          <w:spacing w:val="0"/>
          <w:w w:val="100"/>
          <w:position w:val="0"/>
          <w:sz w:val="18"/>
          <w:szCs w:val="18"/>
        </w:rPr>
        <w:t>1516-15</w:t>
      </w:r>
      <w:r>
        <w:rPr>
          <w:color w:val="000000"/>
          <w:spacing w:val="0"/>
          <w:w w:val="100"/>
          <w:position w:val="0"/>
        </w:rPr>
        <w:t>地块上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办公商业楼由于涉诉 被北京市第二中级人民法院查封，北京金丰科华房地产开发有限公司破产申请已被北京市丰台区人民法院受理，丰台区人民 法院已于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日确定北京市东卫律师事务所担任金丰科华破产管理人。北京网安已在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日前向管理人北京 市东卫律师事务所申报债权，并提交有关证明材料。第一次债权人会议于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日召开，管理人对前期开展的工作做了 报告。第二次债权人会议于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日召开，破产管理人提出了探索和推进整体化解案件的方案，并计划于第三次债权 人会议进行表决。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日，北京网安向北京丰台区法院及破产管理人报送了《关于北京金丰科华房地产开发有限公 司申请和解意见函》，同意和解协议草案。经与破产管理人确认，和解方案（草案）已在包括北京网安在内的主要债权人间 达成初步一致，但需要在第三次债权人会议通过表决且经破产法院裁定认可方能生效实施，和解方案能否在第三次债权人会 议通过表决存在不确定性。截至报告日，第三次债权人会议尚未召开。</w:t>
      </w:r>
    </w:p>
    <w:p>
      <w:pPr>
        <w:pStyle w:val="Style28"/>
        <w:keepNext w:val="0"/>
        <w:keepLines w:val="0"/>
        <w:widowControl w:val="0"/>
        <w:shd w:val="clear" w:color="auto" w:fill="auto"/>
        <w:tabs>
          <w:tab w:pos="851" w:val="left"/>
        </w:tabs>
        <w:bidi w:val="0"/>
        <w:spacing w:before="0" w:after="0" w:line="326" w:lineRule="exact"/>
        <w:ind w:left="0" w:right="0"/>
        <w:jc w:val="both"/>
      </w:pPr>
      <w:bookmarkStart w:id="473" w:name="bookmark473"/>
      <w:r>
        <w:rPr>
          <w:color w:val="000000"/>
          <w:spacing w:val="0"/>
          <w:w w:val="100"/>
          <w:position w:val="0"/>
        </w:rPr>
        <w:t>（</w:t>
      </w:r>
      <w:bookmarkEnd w:id="473"/>
      <w:r>
        <w:rPr>
          <w:color w:val="000000"/>
          <w:spacing w:val="0"/>
          <w:w w:val="100"/>
          <w:position w:val="0"/>
        </w:rPr>
        <w:t>二）</w:t>
        <w:tab/>
        <w:t>公司董事会对该强调事项的相关说明</w:t>
      </w:r>
    </w:p>
    <w:p>
      <w:pPr>
        <w:pStyle w:val="Style28"/>
        <w:keepNext w:val="0"/>
        <w:keepLines w:val="0"/>
        <w:widowControl w:val="0"/>
        <w:shd w:val="clear" w:color="auto" w:fill="auto"/>
        <w:tabs>
          <w:tab w:pos="644" w:val="left"/>
        </w:tabs>
        <w:bidi w:val="0"/>
        <w:spacing w:before="0" w:after="0" w:line="326" w:lineRule="exact"/>
        <w:ind w:left="0" w:right="0"/>
        <w:jc w:val="both"/>
      </w:pPr>
      <w:bookmarkStart w:id="474" w:name="bookmark474"/>
      <w:r>
        <w:rPr>
          <w:rFonts w:ascii="Times New Roman" w:eastAsia="Times New Roman" w:hAnsi="Times New Roman" w:cs="Times New Roman"/>
          <w:color w:val="000000"/>
          <w:spacing w:val="0"/>
          <w:w w:val="100"/>
          <w:position w:val="0"/>
          <w:sz w:val="18"/>
          <w:szCs w:val="18"/>
        </w:rPr>
        <w:t>1</w:t>
      </w:r>
      <w:bookmarkEnd w:id="474"/>
      <w:r>
        <w:rPr>
          <w:color w:val="000000"/>
          <w:spacing w:val="0"/>
          <w:w w:val="100"/>
          <w:position w:val="0"/>
        </w:rPr>
        <w:t>、</w:t>
        <w:tab/>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年度财务报表出具了带强调事项段的无保留意见审计报告，该意见是 根据中国注册会计师审计准则要求，出于职业判断出具的，依据和理由符合有关规定，公司董事会对审计意见无异议。</w:t>
      </w:r>
    </w:p>
    <w:p>
      <w:pPr>
        <w:pStyle w:val="Style28"/>
        <w:keepNext w:val="0"/>
        <w:keepLines w:val="0"/>
        <w:widowControl w:val="0"/>
        <w:shd w:val="clear" w:color="auto" w:fill="auto"/>
        <w:tabs>
          <w:tab w:pos="630" w:val="left"/>
        </w:tabs>
        <w:bidi w:val="0"/>
        <w:spacing w:before="0" w:after="0" w:line="326" w:lineRule="exact"/>
        <w:ind w:left="0" w:right="0"/>
        <w:jc w:val="both"/>
      </w:pPr>
      <w:bookmarkStart w:id="475" w:name="bookmark475"/>
      <w:r>
        <w:rPr>
          <w:rFonts w:ascii="Times New Roman" w:eastAsia="Times New Roman" w:hAnsi="Times New Roman" w:cs="Times New Roman"/>
          <w:color w:val="000000"/>
          <w:spacing w:val="0"/>
          <w:w w:val="100"/>
          <w:position w:val="0"/>
          <w:sz w:val="18"/>
          <w:szCs w:val="18"/>
        </w:rPr>
        <w:t>2</w:t>
      </w:r>
      <w:bookmarkEnd w:id="475"/>
      <w:r>
        <w:rPr>
          <w:color w:val="000000"/>
          <w:spacing w:val="0"/>
          <w:w w:val="100"/>
          <w:position w:val="0"/>
        </w:rPr>
        <w:t>、</w:t>
        <w:tab/>
        <w:t>强调事项段涉及事项不属于《公开发行证券的公司信息披露编报规则第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非标准审计意见及其涉及事项的处理》 中规定的未严格执行会计准则及相关信息披露规范的情形。</w:t>
      </w:r>
    </w:p>
    <w:p>
      <w:pPr>
        <w:pStyle w:val="Style28"/>
        <w:keepNext w:val="0"/>
        <w:keepLines w:val="0"/>
        <w:widowControl w:val="0"/>
        <w:shd w:val="clear" w:color="auto" w:fill="auto"/>
        <w:tabs>
          <w:tab w:pos="851" w:val="left"/>
        </w:tabs>
        <w:bidi w:val="0"/>
        <w:spacing w:before="0" w:after="0" w:line="314" w:lineRule="exact"/>
        <w:ind w:left="0" w:right="0"/>
        <w:jc w:val="both"/>
      </w:pPr>
      <w:bookmarkStart w:id="476" w:name="bookmark476"/>
      <w:r>
        <w:rPr>
          <w:color w:val="000000"/>
          <w:spacing w:val="0"/>
          <w:w w:val="100"/>
          <w:position w:val="0"/>
        </w:rPr>
        <w:t>（</w:t>
      </w:r>
      <w:bookmarkEnd w:id="476"/>
      <w:r>
        <w:rPr>
          <w:color w:val="000000"/>
          <w:spacing w:val="0"/>
          <w:w w:val="100"/>
          <w:position w:val="0"/>
        </w:rPr>
        <w:t>三）</w:t>
        <w:tab/>
        <w:t>对公司的影响及公司应对措施</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目前执行异议之诉案件尚未终审判决，同时金丰科华已进入破产程序，和解方案能否在第三次债权人会议上会以及能否 通过表决存在不确定性，暂无法预估对公司未来利润的影响以及消除强调事项影响的时间。公司及公司董事会将密切关注上 述事项的进展情况，审慎研究评估案件，依法在破产程序中主张权利，力争最大限度维护公司合法权益，并及时履行公司信 息披露义务。</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监事会关于《董事会关于公司</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年度带强调事项段的无保留意见审计报告涉及事项的专项说明》的意见</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大华会计师事务所（特殊普通合伙）对成都卫士通信息产业股份有限公司（以下简称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年度财务报表进行了 审计，出具了带强调事项段的无保留意见审计报告（大华审字</w:t>
      </w:r>
      <w:r>
        <w:rPr>
          <w:rFonts w:ascii="Times New Roman" w:eastAsia="Times New Roman" w:hAnsi="Times New Roman" w:cs="Times New Roman"/>
          <w:color w:val="000000"/>
          <w:spacing w:val="0"/>
          <w:w w:val="100"/>
          <w:position w:val="0"/>
          <w:sz w:val="18"/>
          <w:szCs w:val="18"/>
        </w:rPr>
        <w:t>[2022]004822</w:t>
      </w:r>
      <w:r>
        <w:rPr>
          <w:color w:val="000000"/>
          <w:spacing w:val="0"/>
          <w:w w:val="100"/>
          <w:position w:val="0"/>
        </w:rPr>
        <w:t>号）。根据中国证监会和深圳证券交易所的相关 要求，现公司监事会就董事会出具的专项说明发表如下意见：</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大华会计师事务所（特殊普通合伙）对公司出具了带强调事项段的无保留意见审计报告（大华审字</w:t>
      </w:r>
      <w:r>
        <w:rPr>
          <w:rFonts w:ascii="Times New Roman" w:eastAsia="Times New Roman" w:hAnsi="Times New Roman" w:cs="Times New Roman"/>
          <w:color w:val="000000"/>
          <w:spacing w:val="0"/>
          <w:w w:val="100"/>
          <w:position w:val="0"/>
          <w:sz w:val="18"/>
          <w:szCs w:val="18"/>
        </w:rPr>
        <w:t>[2022]004822</w:t>
      </w:r>
      <w:r>
        <w:rPr>
          <w:color w:val="000000"/>
          <w:spacing w:val="0"/>
          <w:w w:val="100"/>
          <w:position w:val="0"/>
        </w:rPr>
        <w:t>号）。 审计报告客观真实的反映了公司的实际情况，监事会对会计师事务所出具的公司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年度审计报告无异议。公司监事会同意 </w:t>
      </w:r>
      <w:r>
        <w:rPr>
          <w:color w:val="000000"/>
          <w:spacing w:val="0"/>
          <w:w w:val="100"/>
          <w:position w:val="0"/>
        </w:rPr>
        <w:t>董事会出具的专项说明。</w:t>
      </w:r>
    </w:p>
    <w:p>
      <w:pPr>
        <w:pStyle w:val="Style28"/>
        <w:keepNext w:val="0"/>
        <w:keepLines w:val="0"/>
        <w:widowControl w:val="0"/>
        <w:shd w:val="clear" w:color="auto" w:fill="auto"/>
        <w:bidi w:val="0"/>
        <w:spacing w:before="0" w:after="60" w:line="346" w:lineRule="exact"/>
        <w:ind w:left="0" w:right="0" w:firstLine="420"/>
        <w:jc w:val="both"/>
      </w:pPr>
      <w:r>
        <w:rPr>
          <w:color w:val="000000"/>
          <w:spacing w:val="0"/>
          <w:w w:val="100"/>
          <w:position w:val="0"/>
        </w:rPr>
        <w:t xml:space="preserve">监事会将积极配合董事会的各项工作，持续关注董事会和管理层相关工作的开展，切实维护公司及全体股东的合法权益。 </w:t>
      </w:r>
      <w:r>
        <w:rPr>
          <w:b/>
          <w:bCs/>
          <w:color w:val="000000"/>
          <w:spacing w:val="0"/>
          <w:w w:val="100"/>
          <w:position w:val="0"/>
        </w:rPr>
        <w:t>独立董事关于公司</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年度带强调事项段的无保留意见审计报告涉及事项的专项说明的独立意见</w:t>
      </w:r>
    </w:p>
    <w:p>
      <w:pPr>
        <w:pStyle w:val="Style28"/>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大华会计师事务所（特殊普通合伙）对公司出具的带强调事项段的无保留意见审计报告客观真实的反映了公司的实际情 况，我们同意公司《董事会关于公司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年度带强调事项段的无保留意见审计报告涉及事项的专项说明》，我们将督促公司 董事会及管理层持续关注该事项，落实具体措施，积极维护公司及全体股东利益。</w:t>
      </w:r>
    </w:p>
    <w:p>
      <w:pPr>
        <w:pStyle w:val="Style24"/>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六</w:t>
      </w:r>
      <w:bookmarkEnd w:id="479"/>
      <w:r>
        <w:rPr>
          <w:color w:val="000000"/>
          <w:spacing w:val="0"/>
          <w:w w:val="100"/>
          <w:position w:val="0"/>
        </w:rPr>
        <w:t>、与上年度财务报告相比，会计政策、会计估计变更或重大会计差错更正的情况说明</w:t>
      </w:r>
      <w:bookmarkEnd w:id="477"/>
      <w:bookmarkEnd w:id="478"/>
      <w:bookmarkEnd w:id="480"/>
    </w:p>
    <w:p>
      <w:pPr>
        <w:pStyle w:val="Style26"/>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365"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会计政策</w:t>
      </w:r>
    </w:p>
    <w:tbl>
      <w:tblPr>
        <w:tblOverlap w:val="never"/>
        <w:jc w:val="center"/>
        <w:tblLayout w:type="fixed"/>
      </w:tblPr>
      <w:tblGrid>
        <w:gridCol w:w="4258"/>
        <w:gridCol w:w="4253"/>
        <w:gridCol w:w="1162"/>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 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年度第七届董事会第十六次会议批准。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年发布的《企 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bl>
    <w:p>
      <w:pPr>
        <w:pStyle w:val="Style26"/>
        <w:keepNext w:val="0"/>
        <w:keepLines w:val="0"/>
        <w:widowControl w:val="0"/>
        <w:shd w:val="clear" w:color="auto" w:fill="auto"/>
        <w:bidi w:val="0"/>
        <w:spacing w:before="0" w:after="80" w:line="240" w:lineRule="auto"/>
        <w:ind w:left="374" w:right="0" w:firstLine="0"/>
        <w:jc w:val="left"/>
        <w:rPr>
          <w:sz w:val="20"/>
          <w:szCs w:val="20"/>
        </w:rPr>
      </w:pPr>
      <w:r>
        <w:rPr>
          <w:color w:val="000000"/>
          <w:spacing w:val="0"/>
          <w:w w:val="100"/>
          <w:position w:val="0"/>
          <w:sz w:val="20"/>
          <w:szCs w:val="20"/>
        </w:rPr>
        <w:t>会计政策变更说明：</w:t>
      </w:r>
    </w:p>
    <w:p>
      <w:pPr>
        <w:pStyle w:val="Style26"/>
        <w:keepNext w:val="0"/>
        <w:keepLines w:val="0"/>
        <w:widowControl w:val="0"/>
        <w:shd w:val="clear" w:color="auto" w:fill="auto"/>
        <w:bidi w:val="0"/>
        <w:spacing w:before="0" w:after="0" w:line="240" w:lineRule="auto"/>
        <w:ind w:left="374"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）执行新租赁准则对本公司的影响</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号一租赁》，变更后的会计 政策详见附注四、重要会计政策、会计估计。</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在首次执行日，本公司选择不重新评估此前已存在的合同是否为租赁或是否包含租赁，并将此方法一 致应用于所有合同，因此仅对上述在原租赁准则下识别为租赁的合同采用本准则衔接规定。</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对于首次执行日前的经营租赁，承租人在首次执行日应当根据剩余租赁付款额按首次执行日承租人增 量借款利率折现的现值计量租赁负债，并根据每项租赁选择按照与租赁负债相等的金额计量使用权资产， 并根据预付租金进行必要调整。</w:t>
      </w:r>
    </w:p>
    <w:p>
      <w:pPr>
        <w:pStyle w:val="Style18"/>
        <w:keepNext w:val="0"/>
        <w:keepLines w:val="0"/>
        <w:widowControl w:val="0"/>
        <w:shd w:val="clear" w:color="auto" w:fill="auto"/>
        <w:bidi w:val="0"/>
        <w:spacing w:before="0" w:after="60" w:line="316" w:lineRule="exact"/>
        <w:ind w:left="0" w:right="0" w:firstLine="420"/>
        <w:jc w:val="both"/>
      </w:pPr>
      <w:r>
        <w:rPr>
          <w:color w:val="000000"/>
          <w:spacing w:val="0"/>
          <w:w w:val="100"/>
          <w:position w:val="0"/>
        </w:rPr>
        <w:t>本公司对低价值资产租赁的会计政策为不确认使用权资产和租赁负债。根据新租赁准则的衔接规定， 本公司在首次执行日前的低价值资产租赁，自首次执行日起按照新租赁准则进行会计处理，不对低价值资 产租赁进行追溯调整。</w:t>
      </w:r>
    </w:p>
    <w:p>
      <w:pPr>
        <w:pStyle w:val="Style26"/>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执行新租赁准则对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日财务报表相关项目的影响列示如下:</w:t>
      </w:r>
    </w:p>
    <w:tbl>
      <w:tblPr>
        <w:tblOverlap w:val="never"/>
        <w:jc w:val="center"/>
        <w:tblLayout w:type="fixed"/>
      </w:tblPr>
      <w:tblGrid>
        <w:gridCol w:w="1915"/>
        <w:gridCol w:w="2645"/>
        <w:gridCol w:w="2645"/>
        <w:gridCol w:w="2467"/>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r>
    </w:tbl>
    <w:p>
      <w:pPr>
        <w:pStyle w:val="Style2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日确认租赁负债</w:t>
      </w:r>
      <w:r>
        <w:rPr>
          <w:rFonts w:ascii="Times New Roman" w:eastAsia="Times New Roman" w:hAnsi="Times New Roman" w:cs="Times New Roman"/>
          <w:color w:val="000000"/>
          <w:spacing w:val="0"/>
          <w:w w:val="100"/>
          <w:position w:val="0"/>
          <w:sz w:val="20"/>
          <w:szCs w:val="20"/>
        </w:rPr>
        <w:t>8,982,087.33</w:t>
      </w:r>
      <w:r>
        <w:rPr>
          <w:color w:val="000000"/>
          <w:spacing w:val="0"/>
          <w:w w:val="100"/>
          <w:position w:val="0"/>
          <w:sz w:val="20"/>
          <w:szCs w:val="20"/>
        </w:rPr>
        <w:t>元、一年内到期非流动负债</w:t>
      </w:r>
      <w:r>
        <w:rPr>
          <w:rFonts w:ascii="Times New Roman" w:eastAsia="Times New Roman" w:hAnsi="Times New Roman" w:cs="Times New Roman"/>
          <w:color w:val="000000"/>
          <w:spacing w:val="0"/>
          <w:w w:val="100"/>
          <w:position w:val="0"/>
          <w:sz w:val="20"/>
          <w:szCs w:val="20"/>
        </w:rPr>
        <w:t>6,966,256.38</w:t>
      </w:r>
      <w:r>
        <w:rPr>
          <w:color w:val="000000"/>
          <w:spacing w:val="0"/>
          <w:w w:val="100"/>
          <w:position w:val="0"/>
          <w:sz w:val="20"/>
          <w:szCs w:val="20"/>
        </w:rPr>
        <w:t>元、使用权 资产</w:t>
      </w:r>
      <w:r>
        <w:rPr>
          <w:rFonts w:ascii="Times New Roman" w:eastAsia="Times New Roman" w:hAnsi="Times New Roman" w:cs="Times New Roman"/>
          <w:color w:val="000000"/>
          <w:spacing w:val="0"/>
          <w:w w:val="100"/>
          <w:position w:val="0"/>
          <w:sz w:val="20"/>
          <w:szCs w:val="20"/>
        </w:rPr>
        <w:t>15,948,343.71</w:t>
      </w:r>
      <w:r>
        <w:rPr>
          <w:color w:val="000000"/>
          <w:spacing w:val="0"/>
          <w:w w:val="100"/>
          <w:position w:val="0"/>
          <w:sz w:val="20"/>
          <w:szCs w:val="20"/>
        </w:rPr>
        <w:t>元。对于首次执行日前的经营租赁，本公司采用首次执行日增量借款利率折现后的现值 计量租赁负债，该等增量借款利率的加权平均值为</w:t>
      </w:r>
      <w:r>
        <w:rPr>
          <w:rFonts w:ascii="Times New Roman" w:eastAsia="Times New Roman" w:hAnsi="Times New Roman" w:cs="Times New Roman"/>
          <w:color w:val="000000"/>
          <w:spacing w:val="0"/>
          <w:w w:val="100"/>
          <w:position w:val="0"/>
          <w:sz w:val="20"/>
          <w:szCs w:val="20"/>
        </w:rPr>
        <w:t>4.50%</w:t>
      </w:r>
      <w:r>
        <w:rPr>
          <w:color w:val="000000"/>
          <w:spacing w:val="0"/>
          <w:w w:val="100"/>
          <w:position w:val="0"/>
          <w:sz w:val="20"/>
          <w:szCs w:val="20"/>
        </w:rPr>
        <w:t>。</w:t>
      </w:r>
    </w:p>
    <w:p>
      <w:pPr>
        <w:pStyle w:val="Style18"/>
        <w:keepNext w:val="0"/>
        <w:keepLines w:val="0"/>
        <w:widowControl w:val="0"/>
        <w:shd w:val="clear" w:color="auto" w:fill="auto"/>
        <w:bidi w:val="0"/>
        <w:spacing w:before="0" w:after="40" w:line="240" w:lineRule="auto"/>
        <w:ind w:left="0" w:right="0" w:firstLine="380"/>
        <w:jc w:val="left"/>
      </w:pPr>
      <w:bookmarkStart w:id="481" w:name="bookmark481"/>
      <w:r>
        <w:rPr>
          <w:b/>
          <w:bCs/>
          <w:color w:val="000000"/>
          <w:spacing w:val="0"/>
          <w:w w:val="100"/>
          <w:position w:val="0"/>
        </w:rPr>
        <w:t>（</w:t>
      </w:r>
      <w:bookmarkEnd w:id="481"/>
      <w:r>
        <w:rPr>
          <w:rFonts w:ascii="Times New Roman" w:eastAsia="Times New Roman" w:hAnsi="Times New Roman" w:cs="Times New Roman"/>
          <w:b/>
          <w:bCs/>
          <w:color w:val="000000"/>
          <w:spacing w:val="0"/>
          <w:w w:val="100"/>
          <w:position w:val="0"/>
        </w:rPr>
        <w:t>2</w:t>
      </w:r>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号对本公司的影响</w:t>
      </w:r>
    </w:p>
    <w:p>
      <w:pPr>
        <w:pStyle w:val="Style18"/>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日起施行（以下简称</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号对本报告期内财务报表无重大影响。</w:t>
      </w:r>
    </w:p>
    <w:p>
      <w:pPr>
        <w:pStyle w:val="Style18"/>
        <w:keepNext w:val="0"/>
        <w:keepLines w:val="0"/>
        <w:widowControl w:val="0"/>
        <w:shd w:val="clear" w:color="auto" w:fill="auto"/>
        <w:bidi w:val="0"/>
        <w:spacing w:before="0" w:after="0" w:line="314" w:lineRule="exact"/>
        <w:ind w:left="0" w:right="0" w:firstLine="380"/>
        <w:jc w:val="left"/>
      </w:pPr>
      <w:bookmarkStart w:id="482" w:name="bookmark482"/>
      <w:r>
        <w:rPr>
          <w:b/>
          <w:bCs/>
          <w:color w:val="000000"/>
          <w:spacing w:val="0"/>
          <w:w w:val="100"/>
          <w:position w:val="0"/>
        </w:rPr>
        <w:t>（</w:t>
      </w:r>
      <w:bookmarkEnd w:id="482"/>
      <w:r>
        <w:rPr>
          <w:rFonts w:ascii="Times New Roman" w:eastAsia="Times New Roman" w:hAnsi="Times New Roman" w:cs="Times New Roman"/>
          <w:b/>
          <w:bCs/>
          <w:color w:val="000000"/>
          <w:spacing w:val="0"/>
          <w:w w:val="100"/>
          <w:position w:val="0"/>
        </w:rPr>
        <w:t>3</w:t>
      </w:r>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15</w:t>
      </w:r>
      <w:r>
        <w:rPr>
          <w:b/>
          <w:bCs/>
          <w:color w:val="000000"/>
          <w:spacing w:val="0"/>
          <w:w w:val="100"/>
          <w:position w:val="0"/>
        </w:rPr>
        <w:t>号对本公司的影响</w:t>
      </w:r>
    </w:p>
    <w:p>
      <w:pPr>
        <w:pStyle w:val="Style18"/>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解释 </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），于发布之日起实施。解释</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号对通过内部结算中心、财务公司等对母公司及成员单位资金实行 集中统一管理的列报进行了规范。</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rPr>
        <w:t>15</w:t>
      </w:r>
      <w:r>
        <w:rPr>
          <w:color w:val="000000"/>
          <w:spacing w:val="0"/>
          <w:w w:val="100"/>
          <w:position w:val="0"/>
        </w:rPr>
        <w:t>号，执行解释</w:t>
      </w:r>
      <w:r>
        <w:rPr>
          <w:rFonts w:ascii="Times New Roman" w:eastAsia="Times New Roman" w:hAnsi="Times New Roman" w:cs="Times New Roman"/>
          <w:color w:val="000000"/>
          <w:spacing w:val="0"/>
          <w:w w:val="100"/>
          <w:position w:val="0"/>
        </w:rPr>
        <w:t>15</w:t>
      </w:r>
      <w:r>
        <w:rPr>
          <w:color w:val="000000"/>
          <w:spacing w:val="0"/>
          <w:w w:val="100"/>
          <w:position w:val="0"/>
        </w:rPr>
        <w:t>号对可比期间财务报表无重大影响。</w:t>
      </w:r>
    </w:p>
    <w:p>
      <w:pPr>
        <w:pStyle w:val="Style18"/>
        <w:keepNext w:val="0"/>
        <w:keepLines w:val="0"/>
        <w:widowControl w:val="0"/>
        <w:numPr>
          <w:ilvl w:val="0"/>
          <w:numId w:val="13"/>
        </w:numPr>
        <w:shd w:val="clear" w:color="auto" w:fill="auto"/>
        <w:bidi w:val="0"/>
        <w:spacing w:before="0" w:after="0" w:line="314" w:lineRule="exact"/>
        <w:ind w:left="0" w:right="0" w:firstLine="440"/>
        <w:jc w:val="left"/>
      </w:pPr>
      <w:bookmarkStart w:id="483" w:name="bookmark483"/>
      <w:bookmarkEnd w:id="483"/>
      <w:r>
        <w:rPr>
          <w:b/>
          <w:bCs/>
          <w:color w:val="000000"/>
          <w:spacing w:val="0"/>
          <w:w w:val="100"/>
          <w:position w:val="0"/>
        </w:rPr>
        <w:t>会计估计变更</w:t>
      </w:r>
    </w:p>
    <w:p>
      <w:pPr>
        <w:pStyle w:val="Style18"/>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本报告期主要会计估计未发生变更。</w:t>
      </w:r>
    </w:p>
    <w:p>
      <w:pPr>
        <w:pStyle w:val="Style24"/>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七</w:t>
      </w:r>
      <w:bookmarkEnd w:id="486"/>
      <w:r>
        <w:rPr>
          <w:color w:val="000000"/>
          <w:spacing w:val="0"/>
          <w:w w:val="100"/>
          <w:position w:val="0"/>
        </w:rPr>
        <w:t>、与上年度财务报告相比，合并报表范围发生变化的情况说明</w:t>
      </w:r>
      <w:bookmarkEnd w:id="484"/>
      <w:bookmarkEnd w:id="485"/>
      <w:bookmarkEnd w:id="48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合并报表范围减少</w:t>
      </w:r>
      <w:r>
        <w:rPr>
          <w:rFonts w:ascii="Times New Roman" w:eastAsia="Times New Roman" w:hAnsi="Times New Roman" w:cs="Times New Roman"/>
          <w:b/>
          <w:bCs/>
          <w:color w:val="000000"/>
          <w:spacing w:val="0"/>
          <w:w w:val="100"/>
          <w:position w:val="0"/>
        </w:rPr>
        <w:t>1</w:t>
      </w:r>
      <w:r>
        <w:rPr>
          <w:b/>
          <w:bCs/>
          <w:color w:val="000000"/>
          <w:spacing w:val="0"/>
          <w:w w:val="100"/>
          <w:position w:val="0"/>
        </w:rPr>
        <w:t>户，为单次转让对子公司天津网安的</w:t>
      </w:r>
      <w:r>
        <w:rPr>
          <w:rFonts w:ascii="Times New Roman" w:eastAsia="Times New Roman" w:hAnsi="Times New Roman" w:cs="Times New Roman"/>
          <w:b/>
          <w:bCs/>
          <w:color w:val="000000"/>
          <w:spacing w:val="0"/>
          <w:w w:val="100"/>
          <w:position w:val="0"/>
        </w:rPr>
        <w:t>35%</w:t>
      </w:r>
      <w:r>
        <w:rPr>
          <w:b/>
          <w:bCs/>
          <w:color w:val="000000"/>
          <w:spacing w:val="0"/>
          <w:w w:val="100"/>
          <w:position w:val="0"/>
        </w:rPr>
        <w:t>股权投资并丧失控制权，具体如下:</w:t>
      </w:r>
    </w:p>
    <w:tbl>
      <w:tblPr>
        <w:tblOverlap w:val="never"/>
        <w:jc w:val="center"/>
        <w:tblLayout w:type="fixed"/>
      </w:tblPr>
      <w:tblGrid>
        <w:gridCol w:w="2050"/>
        <w:gridCol w:w="1286"/>
        <w:gridCol w:w="806"/>
        <w:gridCol w:w="850"/>
        <w:gridCol w:w="1258"/>
        <w:gridCol w:w="1421"/>
        <w:gridCol w:w="2002"/>
      </w:tblGrid>
      <w:tr>
        <w:trPr>
          <w:trHeight w:val="12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丧失控制权的 时点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丧失控制权时点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处置价款与处置投资对 应的合并财务报表层面 享有该子公司净资产份 额的差额</w:t>
            </w:r>
          </w:p>
        </w:tc>
      </w:tr>
      <w:tr>
        <w:trPr>
          <w:trHeight w:val="6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中电科（天津）网络信息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《企业国有资产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交易凭证》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32,845,227.82</w:t>
            </w:r>
          </w:p>
        </w:tc>
      </w:tr>
    </w:tbl>
    <w:p>
      <w:pPr>
        <w:widowControl w:val="0"/>
        <w:spacing w:after="139" w:line="1" w:lineRule="exact"/>
      </w:pPr>
    </w:p>
    <w:p>
      <w:pPr>
        <w:pStyle w:val="Style18"/>
        <w:keepNext w:val="0"/>
        <w:keepLines w:val="0"/>
        <w:widowControl w:val="0"/>
        <w:shd w:val="clear" w:color="auto" w:fill="auto"/>
        <w:bidi w:val="0"/>
        <w:spacing w:before="0" w:after="60" w:line="240" w:lineRule="auto"/>
        <w:ind w:left="0" w:right="0" w:firstLine="440"/>
        <w:jc w:val="left"/>
      </w:pPr>
      <w:r>
        <w:rPr>
          <w:color w:val="000000"/>
          <w:spacing w:val="0"/>
          <w:w w:val="100"/>
          <w:position w:val="0"/>
        </w:rPr>
        <w:t>续:</w:t>
      </w:r>
    </w:p>
    <w:tbl>
      <w:tblPr>
        <w:tblOverlap w:val="never"/>
        <w:jc w:val="center"/>
        <w:tblLayout w:type="fixed"/>
      </w:tblPr>
      <w:tblGrid>
        <w:gridCol w:w="2054"/>
        <w:gridCol w:w="965"/>
        <w:gridCol w:w="1330"/>
        <w:gridCol w:w="1330"/>
        <w:gridCol w:w="1330"/>
        <w:gridCol w:w="1330"/>
        <w:gridCol w:w="1334"/>
      </w:tblGrid>
      <w:tr>
        <w:trPr>
          <w:trHeight w:val="12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丧失控制权</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之日剩余股</w:t>
            </w:r>
          </w:p>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权的比例</w:t>
            </w:r>
          </w:p>
          <w:p>
            <w:pPr>
              <w:pStyle w:val="Style21"/>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丧失控制权之日</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剩余股权的账面</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丧失控制权之日 剩余股权的公允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按照公允价值重 新计量剩余股权 产生的利得或损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丧失控制权之日 剩余股权公允价 值的确定方法及 主要假设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与原子公司股权 投资相关的其他 综合收益转入投 资损益的金额</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中电科（天津）网络信息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-4,153,052.41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28,153,052.41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交易价格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八</w:t>
      </w:r>
      <w:bookmarkEnd w:id="490"/>
      <w:r>
        <w:rPr>
          <w:color w:val="000000"/>
          <w:spacing w:val="0"/>
          <w:w w:val="100"/>
          <w:position w:val="0"/>
        </w:rPr>
        <w:t>、聘任、解聘会计师事务所情况</w:t>
      </w:r>
      <w:bookmarkEnd w:id="488"/>
      <w:bookmarkEnd w:id="489"/>
      <w:bookmarkEnd w:id="49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钟平修、曹云华</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九</w:t>
      </w:r>
      <w:bookmarkEnd w:id="494"/>
      <w:r>
        <w:rPr>
          <w:color w:val="000000"/>
          <w:spacing w:val="0"/>
          <w:w w:val="100"/>
          <w:position w:val="0"/>
        </w:rPr>
        <w:t>、年度报告披露后面临退市情况</w:t>
      </w:r>
      <w:bookmarkEnd w:id="492"/>
      <w:bookmarkEnd w:id="493"/>
      <w:bookmarkEnd w:id="49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r>
        <w:rPr>
          <w:color w:val="000000"/>
          <w:spacing w:val="0"/>
          <w:w w:val="100"/>
          <w:position w:val="0"/>
        </w:rPr>
        <w:t>十、破产重整相关事项</w:t>
      </w:r>
      <w:bookmarkEnd w:id="496"/>
      <w:bookmarkEnd w:id="497"/>
      <w:bookmarkEnd w:id="49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r>
        <w:rPr>
          <w:color w:val="000000"/>
          <w:spacing w:val="0"/>
          <w:w w:val="100"/>
          <w:position w:val="0"/>
        </w:rPr>
        <w:t>十一、重大诉讼、仲裁事项</w:t>
      </w:r>
      <w:bookmarkEnd w:id="499"/>
      <w:bookmarkEnd w:id="500"/>
      <w:bookmarkEnd w:id="50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0"/>
        <w:gridCol w:w="710"/>
        <w:gridCol w:w="1843"/>
        <w:gridCol w:w="1560"/>
        <w:gridCol w:w="850"/>
        <w:gridCol w:w="706"/>
        <w:gridCol w:w="149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成预计</w:t>
            </w:r>
          </w:p>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披露索引</w:t>
            </w:r>
          </w:p>
        </w:tc>
      </w:tr>
      <w:tr>
        <w:trPr>
          <w:trHeight w:val="3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北京市丰台区人民 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日发布破产公 告，确定北京市东 卫律师事务所担任 金丰科华管理人， 第一次债权人会议 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日召开。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丰台区人民法院于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日确定 北京市东卫律师事务 所担任金丰科华管理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金丰科华系北京网 安使用募集资金购 买的标的房产的开 发商。金丰科华破 产案件可能对北京 网安所购标的房产 涉及的查封及相关 诉讼案件产生重要 影响。目前还无法 确定金丰科华破产 案件对公司的影 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详细情况请见公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日在《证券时报》、</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《中国证券报》及 巨潮资讯网披露 的《关于获悉影响 公司诉讼案件重 要因素的公告》</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（公告编</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p>
        </w:tc>
      </w:tr>
      <w:tr>
        <w:trPr>
          <w:trHeight w:val="50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日下午 </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管理人召集相关 方在全国企业破产重 整信息网上召开了金 丰科华公司第一次债 权人会议。截止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日，管理人 共收到</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 xml:space="preserve">份债权申报 材料，申报总额为 </w:t>
            </w:r>
            <w:r>
              <w:rPr>
                <w:rFonts w:ascii="Times New Roman" w:eastAsia="Times New Roman" w:hAnsi="Times New Roman" w:cs="Times New Roman"/>
                <w:color w:val="000000"/>
                <w:spacing w:val="0"/>
                <w:w w:val="100"/>
                <w:position w:val="0"/>
                <w:sz w:val="18"/>
                <w:szCs w:val="18"/>
              </w:rPr>
              <w:t>100.64</w:t>
            </w:r>
            <w:r>
              <w:rPr>
                <w:color w:val="000000"/>
                <w:spacing w:val="0"/>
                <w:w w:val="100"/>
                <w:position w:val="0"/>
              </w:rPr>
              <w:t>亿（不含购房 款），金丰能源中心整 体评估价值为</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亿 （未扣减需补缴的地 价款）。破产法院、管 理人及其他主要债权 人正在努力推动整体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第二次债权人会议 未对任何事项作出 表决。管理人提议 推动整体化解方 案。目前还无法确 定金丰科华破产案 件对公司的影响。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详细情况请见公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日在《证券时 报》、《中国证券 报》及巨潮资讯网 披露的《关于获悉 影响公司诉讼案 件重要因素暨金 丰科华公司第二 次债权人会议情 况的公告》（公告 编号</w:t>
            </w:r>
            <w:r>
              <w:rPr>
                <w:rFonts w:ascii="Times New Roman" w:eastAsia="Times New Roman" w:hAnsi="Times New Roman" w:cs="Times New Roman"/>
                <w:color w:val="000000"/>
                <w:spacing w:val="0"/>
                <w:w w:val="100"/>
                <w:position w:val="0"/>
                <w:sz w:val="18"/>
                <w:szCs w:val="18"/>
              </w:rPr>
              <w:t>:2021-003）</w:t>
            </w:r>
          </w:p>
        </w:tc>
      </w:tr>
    </w:tbl>
    <w:p>
      <w:pPr>
        <w:spacing w:lineRule="exact" w:line="1"/>
        <w:rPr>
          <w:sz w:val="2"/>
          <w:szCs w:val="2"/>
        </w:rPr>
      </w:pPr>
      <w:r>
        <w:br w:type="page"/>
      </w:r>
    </w:p>
    <w:tbl>
      <w:tblPr>
        <w:tblOverlap w:val="never"/>
        <w:jc w:val="center"/>
        <w:tblLayout w:type="fixed"/>
      </w:tblPr>
      <w:tblGrid>
        <w:gridCol w:w="1565"/>
        <w:gridCol w:w="850"/>
        <w:gridCol w:w="710"/>
        <w:gridCol w:w="1843"/>
        <w:gridCol w:w="1560"/>
        <w:gridCol w:w="850"/>
        <w:gridCol w:w="706"/>
        <w:gridCol w:w="149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化解方案。待方案成熟 后，将提交债权人会议 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北京网安就向金丰 科华所购标的房产 及其对应土地使用 权的查封事项，于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日向 北京市第二中级人 民法院提起执行异 议之诉共</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案， 并提交相关证据。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北京市第二中级人民 法院一审判决，驳回北 京网安的诉讼请求。公 司依法向北京市高级 人民法院提起上诉，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日，北京 市高级人民法院二审 公开开庭审理了本案。</w:t>
            </w:r>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日，北 京市高级人民法院裁 定将</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案合并为至</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）京民终</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案审理，案件仍处于 中止审理状态。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截至目前，暂未下 达终审判决。目前 还无法确定本诉讼 案件对公司的影 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详细情况请见公 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日在《证券时 报》、《中国证券 报》及巨潮资讯网 披露的《成都卫士 通信息产业股份 有限公司关于重 大诉讼的进展公 告》（公告编 号</w:t>
            </w:r>
            <w:r>
              <w:rPr>
                <w:rFonts w:ascii="Times New Roman" w:eastAsia="Times New Roman" w:hAnsi="Times New Roman" w:cs="Times New Roman"/>
                <w:color w:val="000000"/>
                <w:spacing w:val="0"/>
                <w:w w:val="100"/>
                <w:position w:val="0"/>
                <w:sz w:val="18"/>
                <w:szCs w:val="18"/>
              </w:rPr>
              <w:t>:2019-26）</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北京中宏瑞德投资 管理中心（有限合 伙）以排除妨害为 由起诉金丰科华、 北京网安及诺亚商 业保理有限公司。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北京市丰台区人民法 院裁定北京网安、诺亚 商业保理有限公司提 出的异议成立，本案移 送北京市高级人民法 院处理。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本案移送北京市高 级人民法院处理， 尚未开庭。目前还 无法确定本诉讼案 件对公司的影响。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详细情况请见公 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日在《证券时报》、</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《中国证券报》及 巨潮资讯网披露 的《成都卫士通信 息产业股份有限 公司关于重大诉 讼的公告》（公告 编号</w:t>
            </w:r>
            <w:r>
              <w:rPr>
                <w:rFonts w:ascii="Times New Roman" w:eastAsia="Times New Roman" w:hAnsi="Times New Roman" w:cs="Times New Roman"/>
                <w:color w:val="000000"/>
                <w:spacing w:val="0"/>
                <w:w w:val="100"/>
                <w:position w:val="0"/>
                <w:sz w:val="18"/>
                <w:szCs w:val="18"/>
              </w:rPr>
              <w:t>:2019-11）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其他诉讼（公司及 子公司为原告方）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其他诉讼（公司及 子公司为被告方）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r>
        <w:rPr>
          <w:color w:val="000000"/>
          <w:spacing w:val="0"/>
          <w:w w:val="100"/>
          <w:position w:val="0"/>
        </w:rPr>
        <w:t>十二、处罚及整改情况</w:t>
      </w:r>
      <w:bookmarkEnd w:id="502"/>
      <w:bookmarkEnd w:id="503"/>
      <w:bookmarkEnd w:id="50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r>
        <w:rPr>
          <w:color w:val="000000"/>
          <w:spacing w:val="0"/>
          <w:w w:val="100"/>
          <w:position w:val="0"/>
        </w:rPr>
        <w:t>十三、公司及其控股股东、实际控制人的诚信状况</w:t>
      </w:r>
      <w:bookmarkEnd w:id="505"/>
      <w:bookmarkEnd w:id="506"/>
      <w:bookmarkEnd w:id="50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r>
        <w:rPr>
          <w:color w:val="000000"/>
          <w:spacing w:val="0"/>
          <w:w w:val="100"/>
          <w:position w:val="0"/>
        </w:rPr>
        <w:t>十四、重大关联交易</w:t>
      </w:r>
      <w:bookmarkEnd w:id="508"/>
      <w:bookmarkEnd w:id="509"/>
      <w:bookmarkEnd w:id="510"/>
    </w:p>
    <w:p>
      <w:pPr>
        <w:pStyle w:val="Style32"/>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、与日常经营相关的关联交易</w:t>
      </w:r>
      <w:bookmarkEnd w:id="511"/>
      <w:bookmarkEnd w:id="512"/>
      <w:bookmarkEnd w:id="51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888"/>
        <w:gridCol w:w="850"/>
        <w:gridCol w:w="427"/>
        <w:gridCol w:w="509"/>
      </w:tblGrid>
      <w:tr>
        <w:trPr>
          <w:trHeight w:val="67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获批的</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是否超</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过获批</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w:t>
            </w:r>
          </w:p>
        </w:tc>
      </w:tr>
      <w:tr>
        <w:trPr>
          <w:trHeight w:val="66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系</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易类型</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额的比 例</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度（万</w:t>
            </w:r>
          </w:p>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元）</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结算方式</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 公司第三 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安全产 品及集 成等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52781.5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52,781.</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52,781.</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72"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按类别对本期将发生的日常关联交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易进行总金额预计的，在报告期内的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gridSpan w:val="3"/>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实际履行情况（如有）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10"/>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gridSpan w:val="2"/>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10"/>
            <w:vMerge/>
            <w:tcBorders>
              <w:left w:val="single" w:sz="4"/>
              <w:bottom w:val="single" w:sz="4"/>
              <w:right w:val="single" w:sz="4"/>
            </w:tcBorders>
            <w:shd w:val="clear" w:color="auto" w:fill="FFFFFF"/>
            <w:vAlign w:val="center"/>
          </w:tcPr>
          <w:p>
            <w:pP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资产或股权收购、出售发生的关联交易</w:t>
      </w:r>
      <w:bookmarkEnd w:id="515"/>
      <w:bookmarkEnd w:id="516"/>
      <w:bookmarkEnd w:id="51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共同对外投资的关联交易</w:t>
      </w:r>
      <w:bookmarkEnd w:id="519"/>
      <w:bookmarkEnd w:id="520"/>
      <w:bookmarkEnd w:id="52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w:t>
        <w:tab/>
        <w:t>关联债权债务往来</w:t>
      </w:r>
      <w:bookmarkEnd w:id="523"/>
      <w:bookmarkEnd w:id="524"/>
      <w:bookmarkEnd w:id="52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6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5</w:t>
      </w:r>
      <w:bookmarkEnd w:id="529"/>
      <w:r>
        <w:rPr>
          <w:color w:val="000000"/>
          <w:spacing w:val="0"/>
          <w:w w:val="100"/>
          <w:position w:val="0"/>
        </w:rPr>
        <w:t>、</w:t>
        <w:tab/>
        <w:t>与存在关联关系的财务公司的往来情况</w:t>
      </w:r>
      <w:bookmarkEnd w:id="527"/>
      <w:bookmarkEnd w:id="528"/>
      <w:bookmarkEnd w:id="53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存款业务</w:t>
      </w:r>
    </w:p>
    <w:tbl>
      <w:tblPr>
        <w:tblOverlap w:val="never"/>
        <w:jc w:val="center"/>
        <w:tblLayout w:type="fixed"/>
      </w:tblPr>
      <w:tblGrid>
        <w:gridCol w:w="1200"/>
        <w:gridCol w:w="1195"/>
        <w:gridCol w:w="1200"/>
        <w:gridCol w:w="1373"/>
        <w:gridCol w:w="1018"/>
        <w:gridCol w:w="2390"/>
        <w:gridCol w:w="12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每日最高存款</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存款利率范围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期末余额（万</w:t>
            </w:r>
          </w:p>
        </w:tc>
      </w:tr>
    </w:tbl>
    <w:tbl>
      <w:tblPr>
        <w:tblOverlap w:val="never"/>
        <w:jc w:val="center"/>
        <w:tblLayout w:type="fixed"/>
      </w:tblPr>
      <w:tblGrid>
        <w:gridCol w:w="1200"/>
        <w:gridCol w:w="1195"/>
        <w:gridCol w:w="1200"/>
        <w:gridCol w:w="1373"/>
        <w:gridCol w:w="1018"/>
        <w:gridCol w:w="1195"/>
        <w:gridCol w:w="1195"/>
        <w:gridCol w:w="120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限额（万元）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本期合计存入 金额（万元）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本期合计取出 金额（万元）</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元）</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 财务有限公司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受同一最终控 制方控制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存款利率不低于 市场公允价格或 中国人民银行规 定的标准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735,934.04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661,722.85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195,300.03</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授信或其他金融业务</w:t>
      </w:r>
    </w:p>
    <w:tbl>
      <w:tblPr>
        <w:tblOverlap w:val="never"/>
        <w:jc w:val="center"/>
        <w:tblLayout w:type="fixed"/>
      </w:tblPr>
      <w:tblGrid>
        <w:gridCol w:w="2698"/>
        <w:gridCol w:w="1987"/>
        <w:gridCol w:w="1042"/>
        <w:gridCol w:w="1925"/>
        <w:gridCol w:w="19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业务类型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总额（万元）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实际发生额（万元）</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中国电子科技财务有限公司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7,985.92</w:t>
            </w:r>
          </w:p>
        </w:tc>
      </w:tr>
    </w:tbl>
    <w:p>
      <w:pPr>
        <w:widowControl w:val="0"/>
        <w:spacing w:after="31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6</w:t>
      </w:r>
      <w:bookmarkEnd w:id="533"/>
      <w:r>
        <w:rPr>
          <w:color w:val="000000"/>
          <w:spacing w:val="0"/>
          <w:w w:val="100"/>
          <w:position w:val="0"/>
        </w:rPr>
        <w:t>、</w:t>
        <w:tab/>
        <w:t>公司控股的财务公司与关联方的往来情况</w:t>
      </w:r>
      <w:bookmarkEnd w:id="531"/>
      <w:bookmarkEnd w:id="532"/>
      <w:bookmarkEnd w:id="53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7</w:t>
      </w:r>
      <w:bookmarkEnd w:id="537"/>
      <w:r>
        <w:rPr>
          <w:color w:val="000000"/>
          <w:spacing w:val="0"/>
          <w:w w:val="100"/>
          <w:position w:val="0"/>
        </w:rPr>
        <w:t>、</w:t>
        <w:tab/>
        <w:t>其他重大关联交易</w:t>
      </w:r>
      <w:bookmarkEnd w:id="535"/>
      <w:bookmarkEnd w:id="536"/>
      <w:bookmarkEnd w:id="53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r>
        <w:rPr>
          <w:color w:val="000000"/>
          <w:spacing w:val="0"/>
          <w:w w:val="100"/>
          <w:position w:val="0"/>
        </w:rPr>
        <w:t>十五、重大合同及其履行情况</w:t>
      </w:r>
      <w:bookmarkEnd w:id="539"/>
      <w:bookmarkEnd w:id="540"/>
      <w:bookmarkEnd w:id="541"/>
    </w:p>
    <w:p>
      <w:pPr>
        <w:pStyle w:val="Style32"/>
        <w:keepNext/>
        <w:keepLines/>
        <w:widowControl w:val="0"/>
        <w:shd w:val="clear" w:color="auto" w:fill="auto"/>
        <w:tabs>
          <w:tab w:pos="368" w:val="left"/>
        </w:tabs>
        <w:bidi w:val="0"/>
        <w:spacing w:before="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w:t>
        <w:tab/>
        <w:t>托管、承包、租赁事项情况</w:t>
      </w:r>
      <w:bookmarkEnd w:id="542"/>
      <w:bookmarkEnd w:id="543"/>
      <w:bookmarkEnd w:id="545"/>
    </w:p>
    <w:p>
      <w:pPr>
        <w:pStyle w:val="Style37"/>
        <w:keepNext/>
        <w:keepLines/>
        <w:widowControl w:val="0"/>
        <w:shd w:val="clear" w:color="auto" w:fill="auto"/>
        <w:tabs>
          <w:tab w:pos="493" w:val="left"/>
        </w:tabs>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6"/>
      <w:bookmarkEnd w:id="547"/>
      <w:bookmarkEnd w:id="54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0"/>
      <w:bookmarkEnd w:id="551"/>
      <w:bookmarkEnd w:id="553"/>
    </w:p>
    <w:p>
      <w:pPr>
        <w:pStyle w:val="Style28"/>
        <w:keepNext w:val="0"/>
        <w:keepLines w:val="0"/>
        <w:widowControl w:val="0"/>
        <w:numPr>
          <w:ilvl w:val="0"/>
          <w:numId w:val="15"/>
        </w:numPr>
        <w:shd w:val="clear" w:color="auto" w:fill="auto"/>
        <w:tabs>
          <w:tab w:pos="301" w:val="left"/>
        </w:tabs>
        <w:bidi w:val="0"/>
        <w:spacing w:before="0" w:after="140" w:line="240" w:lineRule="auto"/>
        <w:ind w:left="0" w:right="0" w:firstLine="0"/>
        <w:jc w:val="left"/>
      </w:pPr>
      <w:bookmarkStart w:id="554" w:name="bookmark554"/>
      <w:bookmarkEnd w:id="55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5"/>
      <w:bookmarkEnd w:id="556"/>
      <w:bookmarkEnd w:id="558"/>
    </w:p>
    <w:p>
      <w:pPr>
        <w:pStyle w:val="Style28"/>
        <w:keepNext w:val="0"/>
        <w:keepLines w:val="0"/>
        <w:widowControl w:val="0"/>
        <w:numPr>
          <w:ilvl w:val="0"/>
          <w:numId w:val="15"/>
        </w:numPr>
        <w:shd w:val="clear" w:color="auto" w:fill="auto"/>
        <w:tabs>
          <w:tab w:pos="301" w:val="left"/>
        </w:tabs>
        <w:bidi w:val="0"/>
        <w:spacing w:before="0" w:after="140" w:line="240" w:lineRule="auto"/>
        <w:ind w:left="0" w:right="0" w:firstLine="0"/>
        <w:jc w:val="left"/>
      </w:pPr>
      <w:bookmarkStart w:id="559" w:name="bookmark559"/>
      <w:bookmarkEnd w:id="5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重大担保</w:t>
      </w:r>
      <w:bookmarkEnd w:id="560"/>
      <w:bookmarkEnd w:id="561"/>
      <w:bookmarkEnd w:id="563"/>
    </w:p>
    <w:p>
      <w:pPr>
        <w:pStyle w:val="Style28"/>
        <w:keepNext w:val="0"/>
        <w:keepLines w:val="0"/>
        <w:widowControl w:val="0"/>
        <w:numPr>
          <w:ilvl w:val="0"/>
          <w:numId w:val="15"/>
        </w:numPr>
        <w:shd w:val="clear" w:color="auto" w:fill="auto"/>
        <w:tabs>
          <w:tab w:pos="301" w:val="left"/>
        </w:tabs>
        <w:bidi w:val="0"/>
        <w:spacing w:before="0" w:after="380" w:line="240" w:lineRule="auto"/>
        <w:ind w:left="0" w:right="0" w:firstLine="0"/>
        <w:jc w:val="left"/>
      </w:pPr>
      <w:bookmarkStart w:id="564" w:name="bookmark564"/>
      <w:bookmarkEnd w:id="5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公司报告期不存在重大担保情况。</w:t>
      </w:r>
    </w:p>
    <w:p>
      <w:pPr>
        <w:pStyle w:val="Style32"/>
        <w:keepNext/>
        <w:keepLines/>
        <w:widowControl w:val="0"/>
        <w:shd w:val="clear" w:color="auto" w:fill="auto"/>
        <w:tabs>
          <w:tab w:pos="378" w:val="left"/>
        </w:tabs>
        <w:bidi w:val="0"/>
        <w:spacing w:before="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委托他人进行现金资产管理情况</w:t>
      </w:r>
      <w:bookmarkEnd w:id="565"/>
      <w:bookmarkEnd w:id="566"/>
      <w:bookmarkEnd w:id="568"/>
    </w:p>
    <w:p>
      <w:pPr>
        <w:pStyle w:val="Style37"/>
        <w:keepNext/>
        <w:keepLines/>
        <w:widowControl w:val="0"/>
        <w:shd w:val="clear" w:color="auto" w:fill="auto"/>
        <w:tabs>
          <w:tab w:pos="493" w:val="left"/>
        </w:tabs>
        <w:bidi w:val="0"/>
        <w:spacing w:before="0" w:after="28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9"/>
      <w:bookmarkEnd w:id="570"/>
      <w:bookmarkEnd w:id="572"/>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公司报告期不存在委托理财。</w:t>
      </w:r>
    </w:p>
    <w:p>
      <w:pPr>
        <w:pStyle w:val="Style37"/>
        <w:keepNext/>
        <w:keepLines/>
        <w:widowControl w:val="0"/>
        <w:shd w:val="clear" w:color="auto" w:fill="auto"/>
        <w:tabs>
          <w:tab w:pos="493" w:val="left"/>
        </w:tabs>
        <w:bidi w:val="0"/>
        <w:spacing w:before="0" w:after="28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73"/>
      <w:bookmarkEnd w:id="574"/>
      <w:bookmarkEnd w:id="576"/>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28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w:t>
        <w:tab/>
        <w:t>其他重大合同</w:t>
      </w:r>
      <w:bookmarkEnd w:id="577"/>
      <w:bookmarkEnd w:id="578"/>
      <w:bookmarkEnd w:id="580"/>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280" w:line="240" w:lineRule="auto"/>
        <w:ind w:left="0" w:right="0" w:firstLine="0"/>
        <w:jc w:val="both"/>
      </w:pPr>
      <w:bookmarkStart w:id="581" w:name="bookmark581"/>
      <w:bookmarkStart w:id="582" w:name="bookmark582"/>
      <w:bookmarkStart w:id="583" w:name="bookmark583"/>
      <w:r>
        <w:rPr>
          <w:color w:val="000000"/>
          <w:spacing w:val="0"/>
          <w:w w:val="100"/>
          <w:position w:val="0"/>
        </w:rPr>
        <w:t>十六、其他重大事项的说明</w:t>
      </w:r>
      <w:bookmarkEnd w:id="581"/>
      <w:bookmarkEnd w:id="582"/>
      <w:bookmarkEnd w:id="583"/>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80" w:line="240" w:lineRule="auto"/>
        <w:ind w:left="0" w:right="0" w:firstLine="0"/>
        <w:jc w:val="both"/>
      </w:pPr>
      <w:bookmarkStart w:id="584" w:name="bookmark584"/>
      <w:bookmarkStart w:id="585" w:name="bookmark585"/>
      <w:bookmarkStart w:id="586" w:name="bookmark586"/>
      <w:r>
        <w:rPr>
          <w:color w:val="000000"/>
          <w:spacing w:val="0"/>
          <w:w w:val="100"/>
          <w:position w:val="0"/>
        </w:rPr>
        <w:t>十七、公司子公司重大事项</w:t>
      </w:r>
      <w:bookmarkEnd w:id="584"/>
      <w:bookmarkEnd w:id="585"/>
      <w:bookmarkEnd w:id="586"/>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日，公司查询到北京市丰台区人民法院于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日通过人民法院公告网发布的破产公告，获悉丰台区 人民法院已于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日确定北京市东卫律师事务所担任北京金丰科华房地产开发有限公司（以下简称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金丰科华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 理人，债权人应在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日前向管理人北京市东卫律师事务所申报债权，并提交有关证明材料。金丰科华系本公司全 资子公司中电科（北京）网络信息安全有限公司（以下简称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北京网安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）使用募集资金购买的金丰能源中心项目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号楼房产 的开发商。金丰科华破产案件可能对北京网安所购金丰能源中心项目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号楼房产涉及的查封及相关诉讼案件产生重要影响。 详细情况请见公司于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日在《证券时报》、《中国证券报》及巨潮资讯网披露的《关于获悉影响公司诉讼案件重要 因素的公告》（公告编号</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p>
    <w:p>
      <w:pPr>
        <w:pStyle w:val="Style28"/>
        <w:keepNext w:val="0"/>
        <w:keepLines w:val="0"/>
        <w:widowControl w:val="0"/>
        <w:shd w:val="clear" w:color="auto" w:fill="auto"/>
        <w:bidi w:val="0"/>
        <w:spacing w:before="0" w:after="28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管理人召集相关方在全国企业破产重整信息网上召开了金丰科华公司第一次债权人会议，汇报了管 理人的工作情况、登记在金丰科华公司名下的土地及建筑物情况及金丰科华的其他财产情况等。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管理人 召集相关方线上（全国企业破产重整案件信息网）线下（北京市丰台区人民法院）同步召开了金丰科华公司第二次债权人会 议，汇报了债权申报及审查情况、审计评估情况并提出了探索和推进整体化解案件的方案。截至目前，破产案件没有实质性 进展。公司董事会已分别于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日在《中国证券报》、《证券时报》和巨潮资讯网 上</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披露相关公告（公告编号：</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r>
        <w:br w:type="page"/>
      </w:r>
    </w:p>
    <w:p>
      <w:pPr>
        <w:pStyle w:val="Style10"/>
        <w:keepNext/>
        <w:keepLines/>
        <w:widowControl w:val="0"/>
        <w:shd w:val="clear" w:color="auto" w:fill="auto"/>
        <w:bidi w:val="0"/>
        <w:spacing w:before="0" w:after="540" w:line="240" w:lineRule="auto"/>
        <w:ind w:left="0" w:right="0" w:firstLine="0"/>
        <w:jc w:val="center"/>
      </w:pPr>
      <w:bookmarkStart w:id="587" w:name="bookmark587"/>
      <w:bookmarkStart w:id="588" w:name="bookmark588"/>
      <w:bookmarkStart w:id="589" w:name="bookmark589"/>
      <w:r>
        <w:rPr>
          <w:color w:val="000000"/>
          <w:spacing w:val="0"/>
          <w:w w:val="100"/>
          <w:position w:val="0"/>
        </w:rPr>
        <w:t>第七节股份变动及股东情况</w:t>
      </w:r>
      <w:bookmarkEnd w:id="587"/>
      <w:bookmarkEnd w:id="588"/>
      <w:bookmarkEnd w:id="589"/>
    </w:p>
    <w:p>
      <w:pPr>
        <w:pStyle w:val="Style24"/>
        <w:keepNext/>
        <w:keepLines/>
        <w:widowControl w:val="0"/>
        <w:shd w:val="clear" w:color="auto" w:fill="auto"/>
        <w:bidi w:val="0"/>
        <w:spacing w:before="0" w:after="380" w:line="240" w:lineRule="auto"/>
        <w:ind w:left="0" w:right="0" w:firstLine="0"/>
        <w:jc w:val="left"/>
      </w:pPr>
      <w:bookmarkStart w:id="590" w:name="bookmark590"/>
      <w:bookmarkStart w:id="591" w:name="bookmark591"/>
      <w:bookmarkStart w:id="592" w:name="bookmark592"/>
      <w:bookmarkStart w:id="593" w:name="bookmark593"/>
      <w:bookmarkStart w:id="594" w:name="bookmark594"/>
      <w:r>
        <w:rPr>
          <w:color w:val="000000"/>
          <w:spacing w:val="0"/>
          <w:w w:val="100"/>
          <w:position w:val="0"/>
        </w:rPr>
        <w:t>一</w:t>
      </w:r>
      <w:bookmarkEnd w:id="593"/>
      <w:r>
        <w:rPr>
          <w:color w:val="000000"/>
          <w:spacing w:val="0"/>
          <w:w w:val="100"/>
          <w:position w:val="0"/>
        </w:rPr>
        <w:t>、股份变动情况</w:t>
      </w:r>
      <w:bookmarkEnd w:id="591"/>
      <w:bookmarkEnd w:id="592"/>
      <w:bookmarkEnd w:id="594"/>
      <w:bookmarkEnd w:id="590"/>
    </w:p>
    <w:p>
      <w:pPr>
        <w:pStyle w:val="Style32"/>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、股份变动情况</w:t>
      </w:r>
      <w:bookmarkEnd w:id="595"/>
      <w:bookmarkEnd w:id="596"/>
      <w:bookmarkEnd w:id="59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9,186,754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836,724,9</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837,107,8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836,724,9</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837,107,8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838,336,0</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7,958,575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7,958,575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846,294,6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年卫士通完成了限制性股票长期激励计划</w:t>
      </w:r>
      <w:r>
        <w:rPr>
          <w:rFonts w:ascii="Times New Roman" w:eastAsia="Times New Roman" w:hAnsi="Times New Roman" w:cs="Times New Roman"/>
          <w:color w:val="000000"/>
          <w:spacing w:val="0"/>
          <w:w w:val="100"/>
          <w:position w:val="0"/>
        </w:rPr>
        <w:t>2020</w:t>
      </w:r>
      <w:r>
        <w:rPr>
          <w:color w:val="000000"/>
          <w:spacing w:val="0"/>
          <w:w w:val="100"/>
          <w:position w:val="0"/>
        </w:rPr>
        <w:t>年首期限制性股票的授予登记工作，实际授予</w:t>
      </w:r>
      <w:r>
        <w:rPr>
          <w:rFonts w:ascii="Times New Roman" w:eastAsia="Times New Roman" w:hAnsi="Times New Roman" w:cs="Times New Roman"/>
          <w:color w:val="000000"/>
          <w:spacing w:val="0"/>
          <w:w w:val="100"/>
          <w:position w:val="0"/>
        </w:rPr>
        <w:t>300</w:t>
      </w:r>
      <w:r>
        <w:rPr>
          <w:color w:val="000000"/>
          <w:spacing w:val="0"/>
          <w:w w:val="100"/>
          <w:position w:val="0"/>
        </w:rPr>
        <w:t>名首 次激励对象合计</w:t>
      </w:r>
      <w:r>
        <w:rPr>
          <w:rFonts w:ascii="Times New Roman" w:eastAsia="Times New Roman" w:hAnsi="Times New Roman" w:cs="Times New Roman"/>
          <w:color w:val="000000"/>
          <w:spacing w:val="0"/>
          <w:w w:val="100"/>
          <w:position w:val="0"/>
        </w:rPr>
        <w:t>7,806,575</w:t>
      </w:r>
      <w:r>
        <w:rPr>
          <w:color w:val="000000"/>
          <w:spacing w:val="0"/>
          <w:w w:val="100"/>
          <w:position w:val="0"/>
        </w:rPr>
        <w:t>股限制性股票、授予</w:t>
      </w:r>
      <w:r>
        <w:rPr>
          <w:rFonts w:ascii="Times New Roman" w:eastAsia="Times New Roman" w:hAnsi="Times New Roman" w:cs="Times New Roman"/>
          <w:color w:val="000000"/>
          <w:spacing w:val="0"/>
          <w:w w:val="100"/>
          <w:position w:val="0"/>
        </w:rPr>
        <w:t>7</w:t>
      </w:r>
      <w:r>
        <w:rPr>
          <w:color w:val="000000"/>
          <w:spacing w:val="0"/>
          <w:w w:val="100"/>
          <w:position w:val="0"/>
        </w:rPr>
        <w:t>名预留激励对象合计</w:t>
      </w:r>
      <w:r>
        <w:rPr>
          <w:rFonts w:ascii="Times New Roman" w:eastAsia="Times New Roman" w:hAnsi="Times New Roman" w:cs="Times New Roman"/>
          <w:color w:val="000000"/>
          <w:spacing w:val="0"/>
          <w:w w:val="100"/>
          <w:position w:val="0"/>
        </w:rPr>
        <w:t>152,000</w:t>
      </w:r>
      <w:r>
        <w:rPr>
          <w:color w:val="000000"/>
          <w:spacing w:val="0"/>
          <w:w w:val="100"/>
          <w:position w:val="0"/>
        </w:rPr>
        <w:t>股限制性股票，限制性股票上 市日期为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240" w:line="310" w:lineRule="exact"/>
        <w:ind w:left="0" w:right="0" w:firstLine="0"/>
        <w:jc w:val="both"/>
      </w:pPr>
      <w:r>
        <w:rPr>
          <w:rFonts w:ascii="Times New Roman" w:eastAsia="Times New Roman" w:hAnsi="Times New Roman" w:cs="Times New Roman"/>
          <w:color w:val="000000"/>
          <w:spacing w:val="0"/>
          <w:w w:val="100"/>
          <w:position w:val="0"/>
        </w:rPr>
        <w:t>1.2020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日，卫士通第七届第七次董事会、第七届第六次监事会审议通过了《成都卫士通信息产业股 份有限公司限制性股票长期激励计划暨首期实施方案(草案)及摘要》等相关议案。具体详见公司于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上披露的相关公告。</w:t>
      </w:r>
    </w:p>
    <w:p>
      <w:pPr>
        <w:pStyle w:val="Style18"/>
        <w:keepNext w:val="0"/>
        <w:keepLines w:val="0"/>
        <w:widowControl w:val="0"/>
        <w:shd w:val="clear" w:color="auto" w:fill="auto"/>
        <w:bidi w:val="0"/>
        <w:spacing w:before="0" w:after="240" w:line="312" w:lineRule="exact"/>
        <w:ind w:left="0" w:right="0" w:firstLine="0"/>
        <w:jc w:val="both"/>
      </w:pPr>
      <w:r>
        <w:rPr>
          <w:rFonts w:ascii="Times New Roman" w:eastAsia="Times New Roman" w:hAnsi="Times New Roman" w:cs="Times New Roman"/>
          <w:color w:val="000000"/>
          <w:spacing w:val="0"/>
          <w:w w:val="100"/>
          <w:position w:val="0"/>
        </w:rPr>
        <w:t>2.2020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日，国务院国有资产监督管理委员会核发</w:t>
      </w:r>
      <w:r>
        <w:rPr>
          <w:rFonts w:ascii="Times New Roman" w:eastAsia="Times New Roman" w:hAnsi="Times New Roman" w:cs="Times New Roman"/>
          <w:color w:val="000000"/>
          <w:spacing w:val="0"/>
          <w:w w:val="100"/>
          <w:position w:val="0"/>
        </w:rPr>
        <w:t>“</w:t>
      </w:r>
      <w:r>
        <w:rPr>
          <w:color w:val="000000"/>
          <w:spacing w:val="0"/>
          <w:w w:val="100"/>
          <w:position w:val="0"/>
        </w:rPr>
        <w:t>国资考分(</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622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《关于成都卫士通信息 产业股份有限公司实施限制性股票激励计划的批复》，原则同意卫士通实施限制性股票激励计划。具体详 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上披露的相关公告。</w:t>
      </w:r>
    </w:p>
    <w:p>
      <w:pPr>
        <w:pStyle w:val="Style18"/>
        <w:keepNext w:val="0"/>
        <w:keepLines w:val="0"/>
        <w:widowControl w:val="0"/>
        <w:shd w:val="clear" w:color="auto" w:fill="auto"/>
        <w:bidi w:val="0"/>
        <w:spacing w:before="0" w:after="240" w:line="312" w:lineRule="exact"/>
        <w:ind w:left="0" w:right="0" w:firstLine="0"/>
        <w:jc w:val="both"/>
      </w:pPr>
      <w:r>
        <w:rPr>
          <w:rFonts w:ascii="Times New Roman" w:eastAsia="Times New Roman" w:hAnsi="Times New Roman" w:cs="Times New Roman"/>
          <w:color w:val="000000"/>
          <w:spacing w:val="0"/>
          <w:w w:val="100"/>
          <w:position w:val="0"/>
        </w:rPr>
        <w:t>3.2020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日，卫士通第七届董事会第十二次会议、第七届监事会第十次会议审议通过了《成都卫士 通信息产业股份有限公司限制性股票长期激励计划暨首期实施方案(草案修订稿)及其摘要》等相关议案。 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上披露的相关公告。</w:t>
      </w:r>
    </w:p>
    <w:p>
      <w:pPr>
        <w:pStyle w:val="Style18"/>
        <w:keepNext w:val="0"/>
        <w:keepLines w:val="0"/>
        <w:widowControl w:val="0"/>
        <w:shd w:val="clear" w:color="auto" w:fill="auto"/>
        <w:bidi w:val="0"/>
        <w:spacing w:before="0" w:after="240" w:line="312" w:lineRule="exact"/>
        <w:ind w:left="0" w:right="0" w:firstLine="0"/>
        <w:jc w:val="both"/>
      </w:pPr>
      <w:r>
        <w:rPr>
          <w:rFonts w:ascii="Times New Roman" w:eastAsia="Times New Roman" w:hAnsi="Times New Roman" w:cs="Times New Roman"/>
          <w:color w:val="000000"/>
          <w:spacing w:val="0"/>
          <w:w w:val="100"/>
          <w:position w:val="0"/>
        </w:rPr>
        <w:t>4.2020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日，卫士通</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年第一次临时股东大会审议通过了《成都卫士通信息产业股份有限公司限 制性股票长期激励计划暨首期实施方案(草案修订稿)及摘要》等相关议案。具体详见公司于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上披露的相关公告。</w:t>
      </w:r>
    </w:p>
    <w:p>
      <w:pPr>
        <w:pStyle w:val="Style18"/>
        <w:keepNext w:val="0"/>
        <w:keepLines w:val="0"/>
        <w:widowControl w:val="0"/>
        <w:shd w:val="clear" w:color="auto" w:fill="auto"/>
        <w:bidi w:val="0"/>
        <w:spacing w:before="0" w:after="240" w:line="314" w:lineRule="exact"/>
        <w:ind w:left="0" w:right="0" w:firstLine="0"/>
        <w:jc w:val="both"/>
      </w:pPr>
      <w:r>
        <w:rPr>
          <w:rFonts w:ascii="Times New Roman" w:eastAsia="Times New Roman" w:hAnsi="Times New Roman" w:cs="Times New Roman"/>
          <w:color w:val="000000"/>
          <w:spacing w:val="0"/>
          <w:w w:val="100"/>
          <w:position w:val="0"/>
        </w:rPr>
        <w:t>5.2020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日，卫士通第七届第十三次董事会会议、第七届监事会第十一次会议审议通过《关于公司 限制性股票长期激励计划</w:t>
      </w:r>
      <w:r>
        <w:rPr>
          <w:rFonts w:ascii="Times New Roman" w:eastAsia="Times New Roman" w:hAnsi="Times New Roman" w:cs="Times New Roman"/>
          <w:color w:val="000000"/>
          <w:spacing w:val="0"/>
          <w:w w:val="100"/>
          <w:position w:val="0"/>
        </w:rPr>
        <w:t>2020</w:t>
      </w:r>
      <w:r>
        <w:rPr>
          <w:color w:val="000000"/>
          <w:spacing w:val="0"/>
          <w:w w:val="100"/>
          <w:position w:val="0"/>
        </w:rPr>
        <w:t>年首次授予相关事项的议案》《关于公司限制性股票长期激励计划</w:t>
      </w:r>
      <w:r>
        <w:rPr>
          <w:rFonts w:ascii="Times New Roman" w:eastAsia="Times New Roman" w:hAnsi="Times New Roman" w:cs="Times New Roman"/>
          <w:color w:val="000000"/>
          <w:spacing w:val="0"/>
          <w:w w:val="100"/>
          <w:position w:val="0"/>
        </w:rPr>
        <w:t>2020</w:t>
      </w:r>
      <w:r>
        <w:rPr>
          <w:color w:val="000000"/>
          <w:spacing w:val="0"/>
          <w:w w:val="100"/>
          <w:position w:val="0"/>
        </w:rPr>
        <w:t>年预 留授予相关事项的议案》，同意公司本次股权激励计划的首次授予日为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日，向符合条件的</w:t>
      </w:r>
      <w:r>
        <w:rPr>
          <w:rFonts w:ascii="Times New Roman" w:eastAsia="Times New Roman" w:hAnsi="Times New Roman" w:cs="Times New Roman"/>
          <w:color w:val="000000"/>
          <w:spacing w:val="0"/>
          <w:w w:val="100"/>
          <w:position w:val="0"/>
        </w:rPr>
        <w:t xml:space="preserve">312 </w:t>
      </w:r>
      <w:r>
        <w:rPr>
          <w:color w:val="000000"/>
          <w:spacing w:val="0"/>
          <w:w w:val="100"/>
          <w:position w:val="0"/>
        </w:rPr>
        <w:t>名激励对象授予</w:t>
      </w:r>
      <w:r>
        <w:rPr>
          <w:rFonts w:ascii="Times New Roman" w:eastAsia="Times New Roman" w:hAnsi="Times New Roman" w:cs="Times New Roman"/>
          <w:color w:val="000000"/>
          <w:spacing w:val="0"/>
          <w:w w:val="100"/>
          <w:position w:val="0"/>
        </w:rPr>
        <w:t>821.2</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rPr>
        <w:t>11.4</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股；同意本次授予的预留授予日为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日，向</w:t>
      </w:r>
      <w:r>
        <w:rPr>
          <w:rFonts w:ascii="Times New Roman" w:eastAsia="Times New Roman" w:hAnsi="Times New Roman" w:cs="Times New Roman"/>
          <w:color w:val="000000"/>
          <w:spacing w:val="0"/>
          <w:w w:val="100"/>
          <w:position w:val="0"/>
        </w:rPr>
        <w:t>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16.8</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rPr>
        <w:t>11.42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上披露的相关公告。</w:t>
      </w:r>
    </w:p>
    <w:p>
      <w:pPr>
        <w:pStyle w:val="Style18"/>
        <w:keepNext w:val="0"/>
        <w:keepLines w:val="0"/>
        <w:widowControl w:val="0"/>
        <w:shd w:val="clear" w:color="auto" w:fill="auto"/>
        <w:bidi w:val="0"/>
        <w:spacing w:before="0" w:after="380" w:line="310" w:lineRule="exact"/>
        <w:ind w:left="0" w:right="0" w:firstLine="0"/>
        <w:jc w:val="both"/>
      </w:pPr>
      <w:r>
        <w:rPr>
          <w:rFonts w:ascii="Times New Roman" w:eastAsia="Times New Roman" w:hAnsi="Times New Roman" w:cs="Times New Roman"/>
          <w:color w:val="000000"/>
          <w:spacing w:val="0"/>
          <w:w w:val="100"/>
          <w:position w:val="0"/>
        </w:rPr>
        <w:t>6.2021</w:t>
      </w:r>
      <w:r>
        <w:rPr>
          <w:color w:val="000000"/>
          <w:spacing w:val="0"/>
          <w:w w:val="100"/>
          <w:position w:val="0"/>
        </w:rPr>
        <w:t>年卫士通完成了限制性股票长期激励计划</w:t>
      </w:r>
      <w:r>
        <w:rPr>
          <w:rFonts w:ascii="Times New Roman" w:eastAsia="Times New Roman" w:hAnsi="Times New Roman" w:cs="Times New Roman"/>
          <w:color w:val="000000"/>
          <w:spacing w:val="0"/>
          <w:w w:val="100"/>
          <w:position w:val="0"/>
        </w:rPr>
        <w:t>2020</w:t>
      </w:r>
      <w:r>
        <w:rPr>
          <w:color w:val="000000"/>
          <w:spacing w:val="0"/>
          <w:w w:val="100"/>
          <w:position w:val="0"/>
        </w:rPr>
        <w:t>年首期限制性股票的授予登记工作，激励对象卿辉、 张卓等</w:t>
      </w:r>
      <w:r>
        <w:rPr>
          <w:rFonts w:ascii="Times New Roman" w:eastAsia="Times New Roman" w:hAnsi="Times New Roman" w:cs="Times New Roman"/>
          <w:color w:val="000000"/>
          <w:spacing w:val="0"/>
          <w:w w:val="100"/>
          <w:position w:val="0"/>
        </w:rPr>
        <w:t>13</w:t>
      </w:r>
      <w:r>
        <w:rPr>
          <w:color w:val="000000"/>
          <w:spacing w:val="0"/>
          <w:w w:val="100"/>
          <w:position w:val="0"/>
        </w:rPr>
        <w:t>人因个人原因放弃参与本次激励计划，实际授予</w:t>
      </w:r>
      <w:r>
        <w:rPr>
          <w:rFonts w:ascii="Times New Roman" w:eastAsia="Times New Roman" w:hAnsi="Times New Roman" w:cs="Times New Roman"/>
          <w:color w:val="000000"/>
          <w:spacing w:val="0"/>
          <w:w w:val="100"/>
          <w:position w:val="0"/>
        </w:rPr>
        <w:t>300</w:t>
      </w:r>
      <w:r>
        <w:rPr>
          <w:color w:val="000000"/>
          <w:spacing w:val="0"/>
          <w:w w:val="100"/>
          <w:position w:val="0"/>
        </w:rPr>
        <w:t>名首次激励对象合计</w:t>
      </w:r>
      <w:r>
        <w:rPr>
          <w:rFonts w:ascii="Times New Roman" w:eastAsia="Times New Roman" w:hAnsi="Times New Roman" w:cs="Times New Roman"/>
          <w:color w:val="000000"/>
          <w:spacing w:val="0"/>
          <w:w w:val="100"/>
          <w:position w:val="0"/>
        </w:rPr>
        <w:t>7,806,575</w:t>
      </w:r>
      <w:r>
        <w:rPr>
          <w:color w:val="000000"/>
          <w:spacing w:val="0"/>
          <w:w w:val="100"/>
          <w:position w:val="0"/>
        </w:rPr>
        <w:t>股限制性股票、 授予</w:t>
      </w:r>
      <w:r>
        <w:rPr>
          <w:rFonts w:ascii="Times New Roman" w:eastAsia="Times New Roman" w:hAnsi="Times New Roman" w:cs="Times New Roman"/>
          <w:color w:val="000000"/>
          <w:spacing w:val="0"/>
          <w:w w:val="100"/>
          <w:position w:val="0"/>
        </w:rPr>
        <w:t>7</w:t>
      </w:r>
      <w:r>
        <w:rPr>
          <w:color w:val="000000"/>
          <w:spacing w:val="0"/>
          <w:w w:val="100"/>
          <w:position w:val="0"/>
        </w:rPr>
        <w:t>名预留激励对象合计</w:t>
      </w:r>
      <w:r>
        <w:rPr>
          <w:rFonts w:ascii="Times New Roman" w:eastAsia="Times New Roman" w:hAnsi="Times New Roman" w:cs="Times New Roman"/>
          <w:color w:val="000000"/>
          <w:spacing w:val="0"/>
          <w:w w:val="100"/>
          <w:position w:val="0"/>
        </w:rPr>
        <w:t>152,000</w:t>
      </w:r>
      <w:r>
        <w:rPr>
          <w:color w:val="000000"/>
          <w:spacing w:val="0"/>
          <w:w w:val="100"/>
          <w:position w:val="0"/>
        </w:rPr>
        <w:t>股限制性股票，限制性股票上市日期为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股份变动对最近一年主要财务指标影响如下：</w:t>
      </w:r>
    </w:p>
    <w:tbl>
      <w:tblPr>
        <w:tblOverlap w:val="never"/>
        <w:jc w:val="center"/>
        <w:tblLayout w:type="fixed"/>
      </w:tblPr>
      <w:tblGrid>
        <w:gridCol w:w="3922"/>
        <w:gridCol w:w="1646"/>
        <w:gridCol w:w="1690"/>
        <w:gridCol w:w="1349"/>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股份变动前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股份变动后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增减</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838,336,028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846,294,603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7,958,575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0.2840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22"/>
                <w:szCs w:val="22"/>
              </w:rPr>
            </w:pPr>
            <w:r>
              <w:rPr>
                <w:rFonts w:ascii="Times New Roman" w:eastAsia="Times New Roman" w:hAnsi="Times New Roman" w:cs="Times New Roman"/>
                <w:color w:val="000000"/>
                <w:spacing w:val="0"/>
                <w:w w:val="100"/>
                <w:position w:val="0"/>
                <w:sz w:val="22"/>
                <w:szCs w:val="22"/>
              </w:rPr>
              <w:t>0.2813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-0.0027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0.2840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22"/>
                <w:szCs w:val="22"/>
              </w:rPr>
            </w:pPr>
            <w:r>
              <w:rPr>
                <w:rFonts w:ascii="Times New Roman" w:eastAsia="Times New Roman" w:hAnsi="Times New Roman" w:cs="Times New Roman"/>
                <w:color w:val="000000"/>
                <w:spacing w:val="0"/>
                <w:w w:val="100"/>
                <w:position w:val="0"/>
                <w:sz w:val="22"/>
                <w:szCs w:val="22"/>
              </w:rPr>
              <w:t>0.2813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-0.0027</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归属于公司普通股股东的每股净资产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-0.06</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、限售股份变动情况</w:t>
      </w:r>
      <w:bookmarkEnd w:id="599"/>
      <w:bookmarkEnd w:id="600"/>
      <w:bookmarkEnd w:id="602"/>
    </w:p>
    <w:p>
      <w:pPr>
        <w:pStyle w:val="Style28"/>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994"/>
        <w:gridCol w:w="1272"/>
        <w:gridCol w:w="1138"/>
        <w:gridCol w:w="850"/>
        <w:gridCol w:w="1416"/>
        <w:gridCol w:w="291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401,988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侯建宁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7,297,700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股权激励限售股 和高管锁定股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按法律法规和相关承诺解除锁定</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7,977,700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401,988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9,186,754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二</w:t>
      </w:r>
      <w:bookmarkEnd w:id="605"/>
      <w:r>
        <w:rPr>
          <w:color w:val="000000"/>
          <w:spacing w:val="0"/>
          <w:w w:val="100"/>
          <w:position w:val="0"/>
        </w:rPr>
        <w:t>、证券发行与上市情况</w:t>
      </w:r>
      <w:bookmarkEnd w:id="603"/>
      <w:bookmarkEnd w:id="604"/>
      <w:bookmarkEnd w:id="606"/>
    </w:p>
    <w:p>
      <w:pPr>
        <w:pStyle w:val="Style32"/>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、报告期内证券发行（不含优先股）情况</w:t>
      </w:r>
      <w:bookmarkEnd w:id="607"/>
      <w:bookmarkEnd w:id="608"/>
      <w:bookmarkEnd w:id="610"/>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994"/>
        <w:gridCol w:w="850"/>
        <w:gridCol w:w="850"/>
        <w:gridCol w:w="850"/>
        <w:gridCol w:w="710"/>
        <w:gridCol w:w="2266"/>
        <w:gridCol w:w="144"/>
        <w:gridCol w:w="79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发行价格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获准上市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7,958,575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巨潮资讯网，公告编号 </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r>
              <w:rPr>
                <w:color w:val="000000"/>
                <w:spacing w:val="0"/>
                <w:w w:val="100"/>
                <w:position w:val="0"/>
              </w:rPr>
              <w:t>关于限制性股票长 期激励计划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年首期限制 性股票授予登记完成的公告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10"/>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8"/>
        <w:keepNext w:val="0"/>
        <w:keepLines w:val="0"/>
        <w:widowControl w:val="0"/>
        <w:shd w:val="clear" w:color="auto" w:fill="auto"/>
        <w:bidi w:val="0"/>
        <w:spacing w:before="0" w:after="60" w:line="312" w:lineRule="exact"/>
        <w:ind w:left="0" w:right="0" w:firstLine="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年卫士通完成了限制性股票长期激励计划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年首期限制性股票的授予登记工作，实际授予</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名首次激励对象合 计</w:t>
      </w:r>
      <w:r>
        <w:rPr>
          <w:rFonts w:ascii="Times New Roman" w:eastAsia="Times New Roman" w:hAnsi="Times New Roman" w:cs="Times New Roman"/>
          <w:color w:val="000000"/>
          <w:spacing w:val="0"/>
          <w:w w:val="100"/>
          <w:position w:val="0"/>
          <w:sz w:val="18"/>
          <w:szCs w:val="18"/>
        </w:rPr>
        <w:t>7,806,575</w:t>
      </w:r>
      <w:r>
        <w:rPr>
          <w:color w:val="000000"/>
          <w:spacing w:val="0"/>
          <w:w w:val="100"/>
          <w:position w:val="0"/>
        </w:rPr>
        <w:t>股限制性股票、授予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名预留激励对象合计</w:t>
      </w:r>
      <w:r>
        <w:rPr>
          <w:rFonts w:ascii="Times New Roman" w:eastAsia="Times New Roman" w:hAnsi="Times New Roman" w:cs="Times New Roman"/>
          <w:color w:val="000000"/>
          <w:spacing w:val="0"/>
          <w:w w:val="100"/>
          <w:position w:val="0"/>
          <w:sz w:val="18"/>
          <w:szCs w:val="18"/>
        </w:rPr>
        <w:t>152,000</w:t>
      </w:r>
      <w:r>
        <w:rPr>
          <w:color w:val="000000"/>
          <w:spacing w:val="0"/>
          <w:w w:val="100"/>
          <w:position w:val="0"/>
        </w:rPr>
        <w:t>股限制性股票，限制性股票上市日期为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32"/>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、公司股份总数及股东结构的变动、公司资产和负债结构的变动情况说明</w:t>
      </w:r>
      <w:bookmarkEnd w:id="611"/>
      <w:bookmarkEnd w:id="612"/>
      <w:bookmarkEnd w:id="61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年卫士通完成了限制性股票长期激励计划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年首期限制性股票的授予登记工作，实际授予</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名首次激励对象合 </w:t>
      </w: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7,806,575</w:t>
      </w:r>
      <w:r>
        <w:rPr>
          <w:color w:val="000000"/>
          <w:spacing w:val="0"/>
          <w:w w:val="100"/>
          <w:position w:val="0"/>
        </w:rPr>
        <w:t>股限制性股票、授予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名预留激励对象合计</w:t>
      </w:r>
      <w:r>
        <w:rPr>
          <w:rFonts w:ascii="Times New Roman" w:eastAsia="Times New Roman" w:hAnsi="Times New Roman" w:cs="Times New Roman"/>
          <w:color w:val="000000"/>
          <w:spacing w:val="0"/>
          <w:w w:val="100"/>
          <w:position w:val="0"/>
          <w:sz w:val="18"/>
          <w:szCs w:val="18"/>
        </w:rPr>
        <w:t>152,000</w:t>
      </w:r>
      <w:r>
        <w:rPr>
          <w:color w:val="000000"/>
          <w:spacing w:val="0"/>
          <w:w w:val="100"/>
          <w:position w:val="0"/>
        </w:rPr>
        <w:t>股限制性股票，限制性股票上市日期为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日。经大 华审验，截至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日止，卫士通公司已收到被授予限制性股票员工以货币资金缴纳的股权认购款项合计人民币 </w:t>
      </w:r>
      <w:r>
        <w:rPr>
          <w:rFonts w:ascii="Times New Roman" w:eastAsia="Times New Roman" w:hAnsi="Times New Roman" w:cs="Times New Roman"/>
          <w:color w:val="000000"/>
          <w:spacing w:val="0"/>
          <w:w w:val="100"/>
          <w:position w:val="0"/>
          <w:sz w:val="18"/>
          <w:szCs w:val="18"/>
        </w:rPr>
        <w:t>90,886,926.50</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sz w:val="18"/>
          <w:szCs w:val="18"/>
        </w:rPr>
        <w:t>7,958,575.00</w:t>
      </w:r>
      <w:r>
        <w:rPr>
          <w:color w:val="000000"/>
          <w:spacing w:val="0"/>
          <w:w w:val="100"/>
          <w:position w:val="0"/>
        </w:rPr>
        <w:t>元，新增资本公积（股本溢价）人民币</w:t>
      </w:r>
      <w:r>
        <w:rPr>
          <w:rFonts w:ascii="Times New Roman" w:eastAsia="Times New Roman" w:hAnsi="Times New Roman" w:cs="Times New Roman"/>
          <w:color w:val="000000"/>
          <w:spacing w:val="0"/>
          <w:w w:val="100"/>
          <w:position w:val="0"/>
          <w:sz w:val="18"/>
          <w:szCs w:val="18"/>
        </w:rPr>
        <w:t>82,928,351.50</w:t>
      </w:r>
      <w:r>
        <w:rPr>
          <w:color w:val="000000"/>
          <w:spacing w:val="0"/>
          <w:w w:val="100"/>
          <w:position w:val="0"/>
        </w:rPr>
        <w:t>元）。公司本 次激励计划授予完成后，公司总股本由</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846,294,603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日，公司控股股东中国电子科技网 络信息安全有限公司持有公司股份</w:t>
      </w:r>
      <w:r>
        <w:rPr>
          <w:rFonts w:ascii="Times New Roman" w:eastAsia="Times New Roman" w:hAnsi="Times New Roman" w:cs="Times New Roman"/>
          <w:color w:val="000000"/>
          <w:spacing w:val="0"/>
          <w:w w:val="100"/>
          <w:position w:val="0"/>
          <w:sz w:val="18"/>
          <w:szCs w:val="18"/>
        </w:rPr>
        <w:t>278,750,040</w:t>
      </w:r>
      <w:r>
        <w:rPr>
          <w:color w:val="000000"/>
          <w:spacing w:val="0"/>
          <w:w w:val="100"/>
          <w:position w:val="0"/>
        </w:rPr>
        <w:t>股，占授予完成前公司总股本的</w:t>
      </w:r>
      <w:r>
        <w:rPr>
          <w:rFonts w:ascii="Times New Roman" w:eastAsia="Times New Roman" w:hAnsi="Times New Roman" w:cs="Times New Roman"/>
          <w:color w:val="000000"/>
          <w:spacing w:val="0"/>
          <w:w w:val="100"/>
          <w:position w:val="0"/>
          <w:sz w:val="18"/>
          <w:szCs w:val="18"/>
        </w:rPr>
        <w:t>33.25%</w:t>
      </w:r>
      <w:r>
        <w:rPr>
          <w:color w:val="000000"/>
          <w:spacing w:val="0"/>
          <w:w w:val="100"/>
          <w:position w:val="0"/>
        </w:rPr>
        <w:t>，占本次激励计划授予完成后公司总 股本</w:t>
      </w:r>
      <w:r>
        <w:rPr>
          <w:rFonts w:ascii="Times New Roman" w:eastAsia="Times New Roman" w:hAnsi="Times New Roman" w:cs="Times New Roman"/>
          <w:color w:val="000000"/>
          <w:spacing w:val="0"/>
          <w:w w:val="100"/>
          <w:position w:val="0"/>
          <w:sz w:val="18"/>
          <w:szCs w:val="18"/>
        </w:rPr>
        <w:t xml:space="preserve">846,294,603 </w:t>
      </w:r>
      <w:r>
        <w:rPr>
          <w:color w:val="000000"/>
          <w:spacing w:val="0"/>
          <w:w w:val="100"/>
          <w:position w:val="0"/>
        </w:rPr>
        <w:t xml:space="preserve">股的 </w:t>
      </w:r>
      <w:r>
        <w:rPr>
          <w:rFonts w:ascii="Times New Roman" w:eastAsia="Times New Roman" w:hAnsi="Times New Roman" w:cs="Times New Roman"/>
          <w:color w:val="000000"/>
          <w:spacing w:val="0"/>
          <w:w w:val="100"/>
          <w:position w:val="0"/>
          <w:sz w:val="18"/>
          <w:szCs w:val="18"/>
        </w:rPr>
        <w:t>32.94%</w:t>
      </w:r>
      <w:r>
        <w:rPr>
          <w:color w:val="000000"/>
          <w:spacing w:val="0"/>
          <w:w w:val="100"/>
          <w:position w:val="0"/>
        </w:rPr>
        <w:t>。</w:t>
      </w:r>
    </w:p>
    <w:p>
      <w:pPr>
        <w:pStyle w:val="Style32"/>
        <w:keepNext/>
        <w:keepLines/>
        <w:widowControl w:val="0"/>
        <w:shd w:val="clear" w:color="auto" w:fill="auto"/>
        <w:bidi w:val="0"/>
        <w:spacing w:before="0" w:after="280" w:line="240" w:lineRule="auto"/>
        <w:ind w:left="0" w:right="0" w:firstLine="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、现存的内部职工股情况</w:t>
      </w:r>
      <w:bookmarkEnd w:id="615"/>
      <w:bookmarkEnd w:id="616"/>
      <w:bookmarkEnd w:id="618"/>
    </w:p>
    <w:p>
      <w:pPr>
        <w:pStyle w:val="Style28"/>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619" w:name="bookmark619"/>
      <w:bookmarkStart w:id="620" w:name="bookmark620"/>
      <w:bookmarkStart w:id="621" w:name="bookmark621"/>
      <w:bookmarkStart w:id="622" w:name="bookmark622"/>
      <w:r>
        <w:rPr>
          <w:color w:val="000000"/>
          <w:spacing w:val="0"/>
          <w:w w:val="100"/>
          <w:position w:val="0"/>
        </w:rPr>
        <w:t>三</w:t>
      </w:r>
      <w:bookmarkEnd w:id="621"/>
      <w:r>
        <w:rPr>
          <w:color w:val="000000"/>
          <w:spacing w:val="0"/>
          <w:w w:val="100"/>
          <w:position w:val="0"/>
        </w:rPr>
        <w:t>、股东和实际控制人情况</w:t>
      </w:r>
      <w:bookmarkEnd w:id="619"/>
      <w:bookmarkEnd w:id="620"/>
      <w:bookmarkEnd w:id="622"/>
    </w:p>
    <w:p>
      <w:pPr>
        <w:pStyle w:val="Style32"/>
        <w:keepNext/>
        <w:keepLines/>
        <w:widowControl w:val="0"/>
        <w:shd w:val="clear" w:color="auto" w:fill="auto"/>
        <w:bidi w:val="0"/>
        <w:spacing w:before="0" w:line="240" w:lineRule="auto"/>
        <w:ind w:left="0" w:right="0" w:firstLine="0"/>
        <w:jc w:val="both"/>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、公司股东数量及持股情况</w:t>
      </w:r>
      <w:bookmarkEnd w:id="623"/>
      <w:bookmarkEnd w:id="624"/>
      <w:bookmarkEnd w:id="62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926"/>
        <w:gridCol w:w="269"/>
        <w:gridCol w:w="725"/>
        <w:gridCol w:w="691"/>
        <w:gridCol w:w="1003"/>
        <w:gridCol w:w="1282"/>
        <w:gridCol w:w="154"/>
        <w:gridCol w:w="696"/>
        <w:gridCol w:w="370"/>
        <w:gridCol w:w="907"/>
        <w:gridCol w:w="418"/>
        <w:gridCol w:w="432"/>
        <w:gridCol w:w="509"/>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35,937</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41,086</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715"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报告期内增减 变动情况</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质押、标记或冻 结情况</w:t>
            </w:r>
          </w:p>
        </w:tc>
      </w:tr>
      <w:tr>
        <w:trPr>
          <w:trHeight w:val="403"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中国电子科技网络信息安 全有限公司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278,750,040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-18,284,116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278,750,040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42,215,708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10,953,398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42,215,708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中电科投资控股有限公司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25,985,229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9,686,416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25,985,229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皮敏蓉</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12,354,431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12,354,431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华融瑞通股权投资管理有 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11,392,040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11,392,040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 司一诺安成长混合型证券 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11,375,867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11,375,867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中国银行股份有限公司一 华夏行业景气混合型证券 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10,282,501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10,282,501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太平人寿保险有限公司一 传统一普通保险产品 </w:t>
            </w:r>
            <w:r>
              <w:rPr>
                <w:rFonts w:ascii="Times New Roman" w:eastAsia="Times New Roman" w:hAnsi="Times New Roman" w:cs="Times New Roman"/>
                <w:color w:val="000000"/>
                <w:spacing w:val="0"/>
                <w:w w:val="100"/>
                <w:position w:val="0"/>
                <w:sz w:val="18"/>
                <w:szCs w:val="18"/>
              </w:rPr>
              <w:t xml:space="preserve">-022L-CT001 </w:t>
            </w:r>
            <w:r>
              <w:rPr>
                <w:color w:val="000000"/>
                <w:spacing w:val="0"/>
                <w:w w:val="100"/>
                <w:position w:val="0"/>
              </w:rPr>
              <w:t>深</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8,159,755</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8,159,755</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850"/>
        <w:gridCol w:w="144"/>
        <w:gridCol w:w="710"/>
        <w:gridCol w:w="989"/>
        <w:gridCol w:w="1277"/>
        <w:gridCol w:w="787"/>
        <w:gridCol w:w="1339"/>
        <w:gridCol w:w="850"/>
        <w:gridCol w:w="509"/>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梁艾</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8,089,315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8,089,315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交通银行股份有限公司一 诺安和鑫保本混合型证券 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7,003,782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7,003,782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、中国电子科技网络信息安全有限公司为公司第一大股东，中国电子科技集团有 限公司为公司实际控制人；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、中国电子科技网络信息安全有限公司和中电科投资 控股有限公司均为中国电子科技集团有限公司的全资公司；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、未知其他股东之间 是否存在关联关系，也未知其他股东是否属于《上市公司收购管理办法》规定的一 致行动人。</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 决权情况的说明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名股东中存在回购专户的特别说 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278,750,040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278,750,040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42,215,708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42,215,708</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中电科投资控股有限公司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25,985,229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25,985,229</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皮敏蓉</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12,354,431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12,354,431</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华融瑞通股权投资管理有限公司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11,392,040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中国工商银行股份有限公司一诺安成 长混合型证券投资基金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11,375,867</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中国银行股份有限公司一华夏行业景 气混合型证券投资基金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10,282,501</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太平人寿保险有限公司一传统一普通 保险产品</w:t>
            </w:r>
            <w:r>
              <w:rPr>
                <w:rFonts w:ascii="Times New Roman" w:eastAsia="Times New Roman" w:hAnsi="Times New Roman" w:cs="Times New Roman"/>
                <w:color w:val="000000"/>
                <w:spacing w:val="0"/>
                <w:w w:val="100"/>
                <w:position w:val="0"/>
                <w:sz w:val="18"/>
                <w:szCs w:val="18"/>
              </w:rPr>
              <w:t>-022L-CT001</w:t>
            </w:r>
            <w:r>
              <w:rPr>
                <w:color w:val="000000"/>
                <w:spacing w:val="0"/>
                <w:w w:val="100"/>
                <w:position w:val="0"/>
              </w:rPr>
              <w:t>深</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8,159,755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8,159,755</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梁艾</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8,089,315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8,089,315</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交通银行股份有限公司一诺安和鑫保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本混合型证券投资基金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7,003,782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7,003,782</w:t>
            </w:r>
          </w:p>
        </w:tc>
      </w:tr>
      <w:tr>
        <w:trPr>
          <w:trHeight w:val="1651"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、中国电子科技网络信息安全有限公司为公司第一大股东，中国电子科技集团有限 公司为公司实际控制人；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、中国电子科技网络信息安全有限公司和中电科投资控股 有限公司均为中国电子科技集团有限公司的全资公司；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、未知其他股东之间是否存 在关联关系，也未知其他股东是否属于《上市公司收购管理办法》规定的一致行动 人。</w:t>
            </w:r>
          </w:p>
        </w:tc>
      </w:tr>
      <w:tr>
        <w:trPr>
          <w:trHeight w:val="370"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皮敏蓉参与融资融券业务，信用账户持股数量为</w:t>
            </w:r>
            <w:r>
              <w:rPr>
                <w:rFonts w:ascii="Times New Roman" w:eastAsia="Times New Roman" w:hAnsi="Times New Roman" w:cs="Times New Roman"/>
                <w:color w:val="000000"/>
                <w:spacing w:val="0"/>
                <w:w w:val="100"/>
                <w:position w:val="0"/>
                <w:sz w:val="18"/>
                <w:szCs w:val="18"/>
              </w:rPr>
              <w:t>12,354,431</w:t>
            </w:r>
            <w:r>
              <w:rPr>
                <w:color w:val="000000"/>
                <w:spacing w:val="0"/>
                <w:w w:val="100"/>
                <w:position w:val="0"/>
              </w:rPr>
              <w:t>股；梁艾参与融资融券</w:t>
            </w:r>
          </w:p>
        </w:tc>
      </w:tr>
    </w:tbl>
    <w:p>
      <w:pPr>
        <w:spacing w:lineRule="exact" w:line="1"/>
        <w:rPr>
          <w:sz w:val="2"/>
          <w:szCs w:val="2"/>
        </w:rPr>
      </w:pPr>
      <w:r>
        <w:br w:type="page"/>
      </w:r>
    </w:p>
    <w:tbl>
      <w:tblPr>
        <w:tblOverlap w:val="never"/>
        <w:jc w:val="center"/>
        <w:tblLayout w:type="fixed"/>
      </w:tblPr>
      <w:tblGrid>
        <w:gridCol w:w="2981"/>
        <w:gridCol w:w="6605"/>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业务，信用账户持股数量为</w:t>
            </w:r>
            <w:r>
              <w:rPr>
                <w:rFonts w:ascii="Times New Roman" w:eastAsia="Times New Roman" w:hAnsi="Times New Roman" w:cs="Times New Roman"/>
                <w:color w:val="000000"/>
                <w:spacing w:val="0"/>
                <w:w w:val="100"/>
                <w:position w:val="0"/>
                <w:sz w:val="18"/>
                <w:szCs w:val="18"/>
              </w:rPr>
              <w:t>7,989,315</w:t>
            </w:r>
            <w:r>
              <w:rPr>
                <w:color w:val="000000"/>
                <w:spacing w:val="0"/>
                <w:w w:val="100"/>
                <w:position w:val="0"/>
              </w:rPr>
              <w:t>股。</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、公司控股股东情况</w:t>
      </w:r>
      <w:bookmarkEnd w:id="627"/>
      <w:bookmarkEnd w:id="628"/>
      <w:bookmarkEnd w:id="63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控股股东性质：中央国有控股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992"/>
        <w:gridCol w:w="1272"/>
        <w:gridCol w:w="1138"/>
        <w:gridCol w:w="1416"/>
        <w:gridCol w:w="376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中国电子科技网络信息 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915101223320702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67C</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计算机网络信息系统、信息安全、电磁及频谱安 全研究、开发及技术服务；计算机软硬件、电磁 防护、基础材料和元器件技术开发、生产、销售、 测评技术服务、技术转让及信息技术咨询服务； 系统集成及工程建设；从事货物进出口或技术进 出口的对外经营业务。</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、公司实际控制人及其一致行动人</w:t>
      </w:r>
      <w:bookmarkEnd w:id="631"/>
      <w:bookmarkEnd w:id="632"/>
      <w:bookmarkEnd w:id="63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实际控制人性质：中央国资管理机构</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0"/>
        <w:gridCol w:w="1147"/>
        <w:gridCol w:w="1138"/>
        <w:gridCol w:w="1416"/>
        <w:gridCol w:w="348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陈肇雄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911100007109294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98G</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主要从事国家重要大型电子信息系统的工 程建设，重大装备、通信与电子设备、软件 和关键元器件的研制生产。</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中电科投资控股有限公司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911100007178388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8XG</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投资管理、股权投资、投资咨询；产权经纪。</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间接控制安徽四创电子股份有限公司、中电科数字技术股份有限公司、广州杰赛科技股份有 限公司、太极计算机股份有限公司、国睿科技股份有限公司、杭州海康威视数字技术股份有 限公司、凤凰光学股份有限公司、成都天奥电子股份有限公司、中电科声光电科技股份有 限公司等境内上市公司。</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3653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2365375"/>
                    </a:xfrm>
                    <a:prstGeom prst="rect"/>
                  </pic:spPr>
                </pic:pic>
              </a:graphicData>
            </a:graphic>
          </wp:inline>
        </w:drawing>
      </w:r>
    </w:p>
    <w:p>
      <w:pPr>
        <w:widowControl w:val="0"/>
        <w:spacing w:after="2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5"/>
      <w:bookmarkEnd w:id="636"/>
      <w:bookmarkEnd w:id="638"/>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5</w:t>
      </w:r>
      <w:bookmarkEnd w:id="64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9"/>
      <w:bookmarkEnd w:id="640"/>
      <w:bookmarkEnd w:id="642"/>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6</w:t>
      </w:r>
      <w:bookmarkEnd w:id="645"/>
      <w:r>
        <w:rPr>
          <w:color w:val="000000"/>
          <w:spacing w:val="0"/>
          <w:w w:val="100"/>
          <w:position w:val="0"/>
        </w:rPr>
        <w:t>、</w:t>
        <w:tab/>
        <w:t>控股股东、实际控制人、重组方及其他承诺主体股份限制减持情况</w:t>
      </w:r>
      <w:bookmarkEnd w:id="643"/>
      <w:bookmarkEnd w:id="644"/>
      <w:bookmarkEnd w:id="646"/>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647" w:name="bookmark647"/>
      <w:bookmarkStart w:id="648" w:name="bookmark648"/>
      <w:bookmarkStart w:id="649" w:name="bookmark649"/>
      <w:bookmarkStart w:id="650" w:name="bookmark650"/>
      <w:r>
        <w:rPr>
          <w:color w:val="000000"/>
          <w:spacing w:val="0"/>
          <w:w w:val="100"/>
          <w:position w:val="0"/>
        </w:rPr>
        <w:t>四</w:t>
      </w:r>
      <w:bookmarkEnd w:id="649"/>
      <w:r>
        <w:rPr>
          <w:color w:val="000000"/>
          <w:spacing w:val="0"/>
          <w:w w:val="100"/>
          <w:position w:val="0"/>
        </w:rPr>
        <w:t>、股份回购在报告期的具体实施情况</w:t>
      </w:r>
      <w:bookmarkEnd w:id="647"/>
      <w:bookmarkEnd w:id="648"/>
      <w:bookmarkEnd w:id="650"/>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8"/>
        <w:keepNext w:val="0"/>
        <w:keepLines w:val="0"/>
        <w:widowControl w:val="0"/>
        <w:numPr>
          <w:ilvl w:val="0"/>
          <w:numId w:val="15"/>
        </w:numPr>
        <w:shd w:val="clear" w:color="auto" w:fill="auto"/>
        <w:tabs>
          <w:tab w:pos="282" w:val="left"/>
        </w:tabs>
        <w:bidi w:val="0"/>
        <w:spacing w:before="0" w:after="140" w:line="240" w:lineRule="auto"/>
        <w:ind w:left="0" w:right="0" w:firstLine="0"/>
        <w:jc w:val="both"/>
      </w:pPr>
      <w:bookmarkStart w:id="651" w:name="bookmark651"/>
      <w:bookmarkEnd w:id="65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8"/>
        <w:keepNext w:val="0"/>
        <w:keepLines w:val="0"/>
        <w:widowControl w:val="0"/>
        <w:numPr>
          <w:ilvl w:val="0"/>
          <w:numId w:val="15"/>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359" w:right="1055" w:bottom="1455" w:left="1048" w:header="0" w:footer="3" w:gutter="0"/>
          <w:cols w:space="720"/>
          <w:noEndnote/>
          <w:rtlGutter w:val="0"/>
          <w:docGrid w:linePitch="360"/>
        </w:sectPr>
      </w:pPr>
      <w:bookmarkStart w:id="652" w:name="bookmark652"/>
      <w:bookmarkEnd w:id="65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53" w:name="bookmark653"/>
      <w:bookmarkStart w:id="654" w:name="bookmark654"/>
      <w:bookmarkStart w:id="655" w:name="bookmark655"/>
      <w:r>
        <w:rPr>
          <w:color w:val="000000"/>
          <w:spacing w:val="0"/>
          <w:w w:val="100"/>
          <w:position w:val="0"/>
        </w:rPr>
        <w:t>第八节优先股相关情况</w:t>
      </w:r>
      <w:bookmarkEnd w:id="653"/>
      <w:bookmarkEnd w:id="654"/>
      <w:bookmarkEnd w:id="655"/>
    </w:p>
    <w:p>
      <w:pPr>
        <w:pStyle w:val="Style28"/>
        <w:keepNext w:val="0"/>
        <w:keepLines w:val="0"/>
        <w:widowControl w:val="0"/>
        <w:shd w:val="clear" w:color="auto" w:fill="auto"/>
        <w:bidi w:val="0"/>
        <w:spacing w:before="0" w:after="140" w:line="240" w:lineRule="auto"/>
        <w:ind w:left="0" w:right="0" w:firstLine="0"/>
        <w:jc w:val="left"/>
      </w:pPr>
      <w:bookmarkStart w:id="656" w:name="bookmark65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6"/>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57" w:name="bookmark657"/>
      <w:bookmarkStart w:id="658" w:name="bookmark658"/>
      <w:bookmarkStart w:id="659" w:name="bookmark659"/>
      <w:r>
        <w:rPr>
          <w:color w:val="000000"/>
          <w:spacing w:val="0"/>
          <w:w w:val="100"/>
          <w:position w:val="0"/>
        </w:rPr>
        <w:t>第九节债券相关情况</w:t>
      </w:r>
      <w:bookmarkEnd w:id="657"/>
      <w:bookmarkEnd w:id="658"/>
      <w:bookmarkEnd w:id="659"/>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bookmarkStart w:id="660" w:name="bookmark66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60"/>
    </w:p>
    <w:p>
      <w:pPr>
        <w:pStyle w:val="Style10"/>
        <w:keepNext/>
        <w:keepLines/>
        <w:widowControl w:val="0"/>
        <w:shd w:val="clear" w:color="auto" w:fill="auto"/>
        <w:bidi w:val="0"/>
        <w:spacing w:before="540" w:after="540" w:line="240" w:lineRule="auto"/>
        <w:ind w:left="0" w:right="0" w:firstLine="0"/>
        <w:jc w:val="center"/>
      </w:pPr>
      <w:bookmarkStart w:id="661" w:name="bookmark661"/>
      <w:bookmarkStart w:id="662" w:name="bookmark662"/>
      <w:bookmarkStart w:id="663" w:name="bookmark663"/>
      <w:r>
        <w:rPr>
          <w:color w:val="000000"/>
          <w:spacing w:val="0"/>
          <w:w w:val="100"/>
          <w:position w:val="0"/>
        </w:rPr>
        <w:t>第十节财务报告</w:t>
      </w:r>
      <w:bookmarkEnd w:id="661"/>
      <w:bookmarkEnd w:id="662"/>
      <w:bookmarkEnd w:id="663"/>
    </w:p>
    <w:p>
      <w:pPr>
        <w:pStyle w:val="Style24"/>
        <w:keepNext/>
        <w:keepLines/>
        <w:widowControl w:val="0"/>
        <w:shd w:val="clear" w:color="auto" w:fill="auto"/>
        <w:bidi w:val="0"/>
        <w:spacing w:before="0" w:after="320" w:line="240" w:lineRule="auto"/>
        <w:ind w:left="0" w:right="0" w:firstLine="260"/>
        <w:jc w:val="left"/>
      </w:pPr>
      <w:bookmarkStart w:id="664" w:name="bookmark664"/>
      <w:bookmarkStart w:id="665" w:name="bookmark665"/>
      <w:bookmarkStart w:id="666" w:name="bookmark666"/>
      <w:bookmarkStart w:id="667" w:name="bookmark667"/>
      <w:r>
        <w:rPr>
          <w:color w:val="000000"/>
          <w:spacing w:val="0"/>
          <w:w w:val="100"/>
          <w:position w:val="0"/>
        </w:rPr>
        <w:t>、审计报告</w:t>
      </w:r>
      <w:bookmarkEnd w:id="665"/>
      <w:bookmarkEnd w:id="666"/>
      <w:bookmarkEnd w:id="667"/>
      <w:bookmarkEnd w:id="66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[2022]004822</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钟平修、曹云华</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成都卫士通信息产业股份有限公司全体股东：</w:t>
      </w:r>
    </w:p>
    <w:p>
      <w:pPr>
        <w:pStyle w:val="Style18"/>
        <w:keepNext w:val="0"/>
        <w:keepLines w:val="0"/>
        <w:widowControl w:val="0"/>
        <w:shd w:val="clear" w:color="auto" w:fill="auto"/>
        <w:tabs>
          <w:tab w:pos="858" w:val="left"/>
        </w:tabs>
        <w:bidi w:val="0"/>
        <w:spacing w:before="0" w:after="0" w:line="312" w:lineRule="exact"/>
        <w:ind w:left="0" w:right="0" w:firstLine="380"/>
        <w:jc w:val="both"/>
      </w:pPr>
      <w:bookmarkStart w:id="668" w:name="bookmark668"/>
      <w:r>
        <w:rPr>
          <w:b/>
          <w:bCs/>
          <w:color w:val="000000"/>
          <w:spacing w:val="0"/>
          <w:w w:val="100"/>
          <w:position w:val="0"/>
        </w:rPr>
        <w:t>一</w:t>
      </w:r>
      <w:bookmarkEnd w:id="668"/>
      <w:r>
        <w:rPr>
          <w:b/>
          <w:bCs/>
          <w:color w:val="000000"/>
          <w:spacing w:val="0"/>
          <w:w w:val="100"/>
          <w:position w:val="0"/>
        </w:rPr>
        <w:t>、</w:t>
        <w:tab/>
        <w:t>审计意见</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我们审计了成都卫士通信息产业股份有限公司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卫士通公司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 司股东权益变动表以及相关财务报表附注。</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 xml:space="preserve">我们认为，后附的财务报表在所有重大方面按照企业会计准则的规定编制，公允反映了卫士通公司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858" w:val="left"/>
        </w:tabs>
        <w:bidi w:val="0"/>
        <w:spacing w:before="0" w:after="0" w:line="312" w:lineRule="exact"/>
        <w:ind w:left="0" w:right="0" w:firstLine="380"/>
        <w:jc w:val="both"/>
      </w:pPr>
      <w:bookmarkStart w:id="669" w:name="bookmark669"/>
      <w:r>
        <w:rPr>
          <w:b/>
          <w:bCs/>
          <w:color w:val="000000"/>
          <w:spacing w:val="0"/>
          <w:w w:val="100"/>
          <w:position w:val="0"/>
        </w:rPr>
        <w:t>二</w:t>
      </w:r>
      <w:bookmarkEnd w:id="669"/>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部分进一步阐述了我们在这些准则下的责任。按照中国注册会计师职业道德守则，我们独立于卫 士通公司，并履行了职业道德方面的其他责任。我们相信，我们获取的审计证据是充分、适当的，为发表 审计意见提供了基础。</w:t>
      </w:r>
    </w:p>
    <w:p>
      <w:pPr>
        <w:pStyle w:val="Style18"/>
        <w:keepNext w:val="0"/>
        <w:keepLines w:val="0"/>
        <w:widowControl w:val="0"/>
        <w:shd w:val="clear" w:color="auto" w:fill="auto"/>
        <w:tabs>
          <w:tab w:pos="863" w:val="left"/>
        </w:tabs>
        <w:bidi w:val="0"/>
        <w:spacing w:before="0" w:after="0" w:line="312" w:lineRule="exact"/>
        <w:ind w:left="0" w:right="0" w:firstLine="380"/>
        <w:jc w:val="both"/>
      </w:pPr>
      <w:bookmarkStart w:id="670" w:name="bookmark670"/>
      <w:r>
        <w:rPr>
          <w:b/>
          <w:bCs/>
          <w:color w:val="000000"/>
          <w:spacing w:val="0"/>
          <w:w w:val="100"/>
          <w:position w:val="0"/>
        </w:rPr>
        <w:t>三</w:t>
      </w:r>
      <w:bookmarkEnd w:id="670"/>
      <w:r>
        <w:rPr>
          <w:b/>
          <w:bCs/>
          <w:color w:val="000000"/>
          <w:spacing w:val="0"/>
          <w:w w:val="100"/>
          <w:position w:val="0"/>
        </w:rPr>
        <w:t>、</w:t>
        <w:tab/>
        <w:t>强调事项</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卫士通公司全资子公司中电科（北京）网络信息安全有限公司（以下简称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北京网安</w:t>
      </w:r>
      <w:r>
        <w:rPr>
          <w:rFonts w:ascii="Times New Roman" w:eastAsia="Times New Roman" w:hAnsi="Times New Roman" w:cs="Times New Roman"/>
          <w:color w:val="000000"/>
          <w:spacing w:val="0"/>
          <w:w w:val="100"/>
          <w:position w:val="0"/>
        </w:rPr>
        <w:t>”</w:t>
      </w:r>
      <w:r>
        <w:rPr>
          <w:color w:val="000000"/>
          <w:spacing w:val="0"/>
          <w:w w:val="100"/>
          <w:position w:val="0"/>
        </w:rPr>
        <w:t>）向北京金丰科 华房地产开发有限公司（以下简称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金丰科华</w:t>
      </w:r>
      <w:r>
        <w:rPr>
          <w:rFonts w:ascii="Times New Roman" w:eastAsia="Times New Roman" w:hAnsi="Times New Roman" w:cs="Times New Roman"/>
          <w:color w:val="000000"/>
          <w:spacing w:val="0"/>
          <w:w w:val="100"/>
          <w:position w:val="0"/>
        </w:rPr>
        <w:t>”</w:t>
      </w:r>
      <w:r>
        <w:rPr>
          <w:color w:val="000000"/>
          <w:spacing w:val="0"/>
          <w:w w:val="100"/>
          <w:position w:val="0"/>
        </w:rPr>
        <w:t>）购买位于北京市丰台区花乡四合庄</w:t>
      </w:r>
      <w:r>
        <w:rPr>
          <w:rFonts w:ascii="Times New Roman" w:eastAsia="Times New Roman" w:hAnsi="Times New Roman" w:cs="Times New Roman"/>
          <w:color w:val="000000"/>
          <w:spacing w:val="0"/>
          <w:w w:val="100"/>
          <w:position w:val="0"/>
        </w:rPr>
        <w:t>1516-15</w:t>
      </w:r>
      <w:r>
        <w:rPr>
          <w:color w:val="000000"/>
          <w:spacing w:val="0"/>
          <w:w w:val="100"/>
          <w:position w:val="0"/>
        </w:rPr>
        <w:t>地块上</w:t>
      </w:r>
      <w:r>
        <w:rPr>
          <w:rFonts w:ascii="Times New Roman" w:eastAsia="Times New Roman" w:hAnsi="Times New Roman" w:cs="Times New Roman"/>
          <w:color w:val="000000"/>
          <w:spacing w:val="0"/>
          <w:w w:val="100"/>
          <w:position w:val="0"/>
        </w:rPr>
        <w:t>5#</w:t>
      </w:r>
      <w:r>
        <w:rPr>
          <w:color w:val="000000"/>
          <w:spacing w:val="0"/>
          <w:w w:val="100"/>
          <w:position w:val="0"/>
        </w:rPr>
        <w:t>办 公商业楼，由于开发商金丰科华涉诉，该房产于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月被北京市第二中级人民法院查封。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金丰科华已进入破产程序。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日，破产管理人在第二次债权人会议上提出了通过抵押权人让利、 购房人增加出资取回房产的初步化解方案，和解方案（草案）已在包括北京网安在内的主要债权人间达成 初步一致，但尚需在第三次债权人会议通过表决且经破产法院裁定认可后方能生效实施。和解方案能否在 第三次债权人会议通过表决存在不确定性。截至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日，上述房产账面原值</w:t>
      </w:r>
      <w:r>
        <w:rPr>
          <w:rFonts w:ascii="Times New Roman" w:eastAsia="Times New Roman" w:hAnsi="Times New Roman" w:cs="Times New Roman"/>
          <w:color w:val="000000"/>
          <w:spacing w:val="0"/>
          <w:w w:val="100"/>
          <w:position w:val="0"/>
        </w:rPr>
        <w:t>116,309.74</w:t>
      </w:r>
      <w:r>
        <w:rPr>
          <w:color w:val="000000"/>
          <w:spacing w:val="0"/>
          <w:w w:val="100"/>
          <w:position w:val="0"/>
        </w:rPr>
        <w:t>万元，列 报于</w:t>
      </w:r>
      <w:r>
        <w:rPr>
          <w:rFonts w:ascii="Times New Roman" w:eastAsia="Times New Roman" w:hAnsi="Times New Roman" w:cs="Times New Roman"/>
          <w:color w:val="000000"/>
          <w:spacing w:val="0"/>
          <w:w w:val="100"/>
          <w:position w:val="0"/>
        </w:rPr>
        <w:t>“</w:t>
      </w:r>
      <w:r>
        <w:rPr>
          <w:color w:val="000000"/>
          <w:spacing w:val="0"/>
          <w:w w:val="100"/>
          <w:position w:val="0"/>
        </w:rPr>
        <w:t>在建工程</w:t>
      </w:r>
      <w:r>
        <w:rPr>
          <w:rFonts w:ascii="Times New Roman" w:eastAsia="Times New Roman" w:hAnsi="Times New Roman" w:cs="Times New Roman"/>
          <w:color w:val="000000"/>
          <w:spacing w:val="0"/>
          <w:w w:val="100"/>
          <w:position w:val="0"/>
        </w:rPr>
        <w:t>”</w:t>
      </w:r>
      <w:r>
        <w:rPr>
          <w:color w:val="000000"/>
          <w:spacing w:val="0"/>
          <w:w w:val="100"/>
          <w:position w:val="0"/>
        </w:rPr>
        <w:t>。北京网安基于和解方案能够实施为预期，并考虑增加出资的基础上对上述房产进行了减 值测试，计提减值准备</w:t>
      </w:r>
      <w:r>
        <w:rPr>
          <w:rFonts w:ascii="Times New Roman" w:eastAsia="Times New Roman" w:hAnsi="Times New Roman" w:cs="Times New Roman"/>
          <w:color w:val="000000"/>
          <w:spacing w:val="0"/>
          <w:w w:val="100"/>
          <w:position w:val="0"/>
        </w:rPr>
        <w:t>4,716.43</w:t>
      </w:r>
      <w:r>
        <w:rPr>
          <w:color w:val="000000"/>
          <w:spacing w:val="0"/>
          <w:w w:val="100"/>
          <w:position w:val="0"/>
        </w:rPr>
        <w:t>万元。</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我们提醒财务报表使用者关注，财务报表附注十三（二）描述了北京网安涉诉房产详细情况及最新进 展情况。本段内容不影响已发表的审计意见。</w:t>
      </w:r>
    </w:p>
    <w:p>
      <w:pPr>
        <w:pStyle w:val="Style18"/>
        <w:keepNext w:val="0"/>
        <w:keepLines w:val="0"/>
        <w:widowControl w:val="0"/>
        <w:shd w:val="clear" w:color="auto" w:fill="auto"/>
        <w:tabs>
          <w:tab w:pos="863" w:val="left"/>
        </w:tabs>
        <w:bidi w:val="0"/>
        <w:spacing w:before="0" w:after="0" w:line="312" w:lineRule="exact"/>
        <w:ind w:left="0" w:right="0" w:firstLine="380"/>
        <w:jc w:val="both"/>
      </w:pPr>
      <w:bookmarkStart w:id="671" w:name="bookmark671"/>
      <w:r>
        <w:rPr>
          <w:b/>
          <w:bCs/>
          <w:color w:val="000000"/>
          <w:spacing w:val="0"/>
          <w:w w:val="100"/>
          <w:position w:val="0"/>
        </w:rPr>
        <w:t>四</w:t>
      </w:r>
      <w:bookmarkEnd w:id="671"/>
      <w:r>
        <w:rPr>
          <w:b/>
          <w:bCs/>
          <w:color w:val="000000"/>
          <w:spacing w:val="0"/>
          <w:w w:val="100"/>
          <w:position w:val="0"/>
        </w:rPr>
        <w:t>、</w:t>
        <w:tab/>
        <w:t>关键审计事项</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8"/>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我们确定下列事项是需要在审计报告中沟通的关键审计事项。</w:t>
      </w:r>
    </w:p>
    <w:p>
      <w:pPr>
        <w:pStyle w:val="Style18"/>
        <w:keepNext w:val="0"/>
        <w:keepLines w:val="0"/>
        <w:widowControl w:val="0"/>
        <w:shd w:val="clear" w:color="auto" w:fill="auto"/>
        <w:tabs>
          <w:tab w:pos="766" w:val="left"/>
        </w:tabs>
        <w:bidi w:val="0"/>
        <w:spacing w:before="0" w:after="0" w:line="326" w:lineRule="auto"/>
        <w:ind w:left="0" w:right="0" w:firstLine="380"/>
        <w:jc w:val="both"/>
      </w:pPr>
      <w:bookmarkStart w:id="672" w:name="bookmark672"/>
      <w:r>
        <w:rPr>
          <w:rFonts w:ascii="Times New Roman" w:eastAsia="Times New Roman" w:hAnsi="Times New Roman" w:cs="Times New Roman"/>
          <w:color w:val="000000"/>
          <w:spacing w:val="0"/>
          <w:w w:val="100"/>
          <w:position w:val="0"/>
        </w:rPr>
        <w:t>1</w:t>
      </w:r>
      <w:bookmarkEnd w:id="672"/>
      <w:r>
        <w:rPr>
          <w:color w:val="000000"/>
          <w:spacing w:val="0"/>
          <w:w w:val="100"/>
          <w:position w:val="0"/>
        </w:rPr>
        <w:t>、</w:t>
        <w:tab/>
        <w:t>收入的确认；</w:t>
      </w:r>
    </w:p>
    <w:p>
      <w:pPr>
        <w:pStyle w:val="Style18"/>
        <w:keepNext w:val="0"/>
        <w:keepLines w:val="0"/>
        <w:widowControl w:val="0"/>
        <w:shd w:val="clear" w:color="auto" w:fill="auto"/>
        <w:tabs>
          <w:tab w:pos="766" w:val="left"/>
        </w:tabs>
        <w:bidi w:val="0"/>
        <w:spacing w:before="0" w:after="0" w:line="326" w:lineRule="auto"/>
        <w:ind w:left="0" w:right="0" w:firstLine="380"/>
        <w:jc w:val="both"/>
      </w:pPr>
      <w:bookmarkStart w:id="673" w:name="bookmark673"/>
      <w:r>
        <w:rPr>
          <w:rFonts w:ascii="Times New Roman" w:eastAsia="Times New Roman" w:hAnsi="Times New Roman" w:cs="Times New Roman"/>
          <w:color w:val="000000"/>
          <w:spacing w:val="0"/>
          <w:w w:val="100"/>
          <w:position w:val="0"/>
        </w:rPr>
        <w:t>2</w:t>
      </w:r>
      <w:bookmarkEnd w:id="673"/>
      <w:r>
        <w:rPr>
          <w:color w:val="000000"/>
          <w:spacing w:val="0"/>
          <w:w w:val="100"/>
          <w:position w:val="0"/>
        </w:rPr>
        <w:t>、</w:t>
        <w:tab/>
        <w:t>存货跌价准备计提。</w:t>
      </w:r>
    </w:p>
    <w:p>
      <w:pPr>
        <w:pStyle w:val="Style18"/>
        <w:keepNext w:val="0"/>
        <w:keepLines w:val="0"/>
        <w:widowControl w:val="0"/>
        <w:shd w:val="clear" w:color="auto" w:fill="auto"/>
        <w:tabs>
          <w:tab w:pos="949" w:val="left"/>
        </w:tabs>
        <w:bidi w:val="0"/>
        <w:spacing w:before="0" w:after="80" w:line="313" w:lineRule="exact"/>
        <w:ind w:left="0" w:right="0" w:firstLine="360"/>
        <w:jc w:val="both"/>
      </w:pPr>
      <w:bookmarkStart w:id="674" w:name="bookmark674"/>
      <w:r>
        <w:rPr>
          <w:color w:val="000000"/>
          <w:spacing w:val="0"/>
          <w:w w:val="100"/>
          <w:position w:val="0"/>
        </w:rPr>
        <w:t>（</w:t>
      </w:r>
      <w:bookmarkEnd w:id="674"/>
      <w:r>
        <w:rPr>
          <w:color w:val="000000"/>
          <w:spacing w:val="0"/>
          <w:w w:val="100"/>
          <w:position w:val="0"/>
        </w:rPr>
        <w:t>一）</w:t>
        <w:tab/>
        <w:t>收入的确认</w:t>
      </w:r>
    </w:p>
    <w:p>
      <w:pPr>
        <w:pStyle w:val="Style18"/>
        <w:keepNext w:val="0"/>
        <w:keepLines w:val="0"/>
        <w:widowControl w:val="0"/>
        <w:numPr>
          <w:ilvl w:val="0"/>
          <w:numId w:val="17"/>
        </w:numPr>
        <w:shd w:val="clear" w:color="auto" w:fill="auto"/>
        <w:tabs>
          <w:tab w:pos="675" w:val="left"/>
        </w:tabs>
        <w:bidi w:val="0"/>
        <w:spacing w:before="0" w:after="0" w:line="326" w:lineRule="auto"/>
        <w:ind w:left="0" w:right="0" w:firstLine="360"/>
        <w:jc w:val="both"/>
      </w:pPr>
      <w:bookmarkStart w:id="675" w:name="bookmark675"/>
      <w:bookmarkEnd w:id="675"/>
      <w:r>
        <w:rPr>
          <w:color w:val="000000"/>
          <w:spacing w:val="0"/>
          <w:w w:val="100"/>
          <w:position w:val="0"/>
        </w:rPr>
        <w:t>事项描述</w:t>
      </w:r>
    </w:p>
    <w:p>
      <w:pPr>
        <w:pStyle w:val="Style18"/>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年度，卫士通公司营业收入为</w:t>
      </w:r>
      <w:r>
        <w:rPr>
          <w:rFonts w:ascii="Times New Roman" w:eastAsia="Times New Roman" w:hAnsi="Times New Roman" w:cs="Times New Roman"/>
          <w:color w:val="000000"/>
          <w:spacing w:val="0"/>
          <w:w w:val="100"/>
          <w:position w:val="0"/>
        </w:rPr>
        <w:t>278,896.80</w:t>
      </w:r>
      <w:r>
        <w:rPr>
          <w:color w:val="000000"/>
          <w:spacing w:val="0"/>
          <w:w w:val="100"/>
          <w:position w:val="0"/>
        </w:rPr>
        <w:t>万元，较</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年度营业收入同比增长</w:t>
      </w:r>
      <w:r>
        <w:rPr>
          <w:rFonts w:ascii="Times New Roman" w:eastAsia="Times New Roman" w:hAnsi="Times New Roman" w:cs="Times New Roman"/>
          <w:color w:val="000000"/>
          <w:spacing w:val="0"/>
          <w:w w:val="100"/>
          <w:position w:val="0"/>
        </w:rPr>
        <w:t>17.00%</w:t>
      </w:r>
      <w:r>
        <w:rPr>
          <w:color w:val="000000"/>
          <w:spacing w:val="0"/>
          <w:w w:val="100"/>
          <w:position w:val="0"/>
        </w:rPr>
        <w:t>。卫士通公司 通信设备制造与软件开发产品销售，在相关产品到达客户指定地点并得到客户签收后确认产品销售收入， 同时结转产品对应的成本。信息系统集成及信息技术服务收入在资产负债表日提供服务交易的结果能够可 靠估计的，根据合同履约进度确认合同收入。合同履约进度依据已完工作的测量确定。（</w:t>
      </w:r>
      <w:r>
        <w:rPr>
          <w:rFonts w:ascii="Times New Roman" w:eastAsia="Times New Roman" w:hAnsi="Times New Roman" w:cs="Times New Roman"/>
          <w:color w:val="000000"/>
          <w:spacing w:val="0"/>
          <w:w w:val="100"/>
          <w:position w:val="0"/>
        </w:rPr>
        <w:t>1</w:t>
      </w:r>
      <w:r>
        <w:rPr>
          <w:color w:val="000000"/>
          <w:spacing w:val="0"/>
          <w:w w:val="100"/>
          <w:position w:val="0"/>
        </w:rPr>
        <w:t>）销售商品收 入的发生和完整性，会对卫士通公司经营成果产生很大影响。（</w:t>
      </w:r>
      <w:r>
        <w:rPr>
          <w:rFonts w:ascii="Times New Roman" w:eastAsia="Times New Roman" w:hAnsi="Times New Roman" w:cs="Times New Roman"/>
          <w:color w:val="000000"/>
          <w:spacing w:val="0"/>
          <w:w w:val="100"/>
          <w:position w:val="0"/>
        </w:rPr>
        <w:t>2</w:t>
      </w:r>
      <w:r>
        <w:rPr>
          <w:color w:val="000000"/>
          <w:spacing w:val="0"/>
          <w:w w:val="100"/>
          <w:position w:val="0"/>
        </w:rPr>
        <w:t>）根据合同履约进度确认的收入涉及管 理层的重大判断和估计，进而可能影响卫士通公司是否按照合同履约进度在恰当的会计期间确认收入。因 此，我们将收入的确认作为关键审计事项。</w:t>
      </w:r>
    </w:p>
    <w:p>
      <w:pPr>
        <w:pStyle w:val="Style18"/>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关于收入确认的会计政策见附注四、（二十八），关于收入的披露见附注六、注释</w:t>
      </w:r>
      <w:r>
        <w:rPr>
          <w:rFonts w:ascii="Times New Roman" w:eastAsia="Times New Roman" w:hAnsi="Times New Roman" w:cs="Times New Roman"/>
          <w:color w:val="000000"/>
          <w:spacing w:val="0"/>
          <w:w w:val="100"/>
          <w:position w:val="0"/>
        </w:rPr>
        <w:t>36</w:t>
      </w:r>
      <w:r>
        <w:rPr>
          <w:color w:val="000000"/>
          <w:spacing w:val="0"/>
          <w:w w:val="100"/>
          <w:position w:val="0"/>
        </w:rPr>
        <w:t>。</w:t>
      </w:r>
    </w:p>
    <w:p>
      <w:pPr>
        <w:pStyle w:val="Style18"/>
        <w:keepNext w:val="0"/>
        <w:keepLines w:val="0"/>
        <w:widowControl w:val="0"/>
        <w:numPr>
          <w:ilvl w:val="0"/>
          <w:numId w:val="17"/>
        </w:numPr>
        <w:shd w:val="clear" w:color="auto" w:fill="auto"/>
        <w:tabs>
          <w:tab w:pos="694" w:val="left"/>
        </w:tabs>
        <w:bidi w:val="0"/>
        <w:spacing w:before="0" w:after="0" w:line="326" w:lineRule="auto"/>
        <w:ind w:left="0" w:right="0" w:firstLine="360"/>
        <w:jc w:val="both"/>
      </w:pPr>
      <w:bookmarkStart w:id="676" w:name="bookmark676"/>
      <w:bookmarkEnd w:id="676"/>
      <w:r>
        <w:rPr>
          <w:color w:val="000000"/>
          <w:spacing w:val="0"/>
          <w:w w:val="100"/>
          <w:position w:val="0"/>
        </w:rPr>
        <w:t>审计应对</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我们对于收入确认所实施的重要审计程序包括：</w:t>
      </w:r>
    </w:p>
    <w:p>
      <w:pPr>
        <w:pStyle w:val="Style18"/>
        <w:keepNext w:val="0"/>
        <w:keepLines w:val="0"/>
        <w:widowControl w:val="0"/>
        <w:shd w:val="clear" w:color="auto" w:fill="auto"/>
        <w:tabs>
          <w:tab w:pos="925" w:val="left"/>
        </w:tabs>
        <w:bidi w:val="0"/>
        <w:spacing w:before="0" w:after="0" w:line="313" w:lineRule="exact"/>
        <w:ind w:left="0" w:right="0" w:firstLine="36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1</w:t>
      </w:r>
      <w:r>
        <w:rPr>
          <w:color w:val="000000"/>
          <w:spacing w:val="0"/>
          <w:w w:val="100"/>
          <w:position w:val="0"/>
        </w:rPr>
        <w:t>）</w:t>
        <w:tab/>
        <w:t>了解、评估了管理层对集成服务收入、集成产品收入、软件收入、技术服务收入确认的内部控制 的设计，并测试了关键控制执行的有效性；</w:t>
      </w:r>
    </w:p>
    <w:p>
      <w:pPr>
        <w:pStyle w:val="Style18"/>
        <w:keepNext w:val="0"/>
        <w:keepLines w:val="0"/>
        <w:widowControl w:val="0"/>
        <w:shd w:val="clear" w:color="auto" w:fill="auto"/>
        <w:tabs>
          <w:tab w:pos="939" w:val="left"/>
        </w:tabs>
        <w:bidi w:val="0"/>
        <w:spacing w:before="0" w:after="0" w:line="313" w:lineRule="exact"/>
        <w:ind w:left="0" w:right="0" w:firstLine="36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2</w:t>
      </w:r>
      <w:r>
        <w:rPr>
          <w:color w:val="000000"/>
          <w:spacing w:val="0"/>
          <w:w w:val="100"/>
          <w:position w:val="0"/>
        </w:rPr>
        <w:t>）</w:t>
        <w:tab/>
        <w:t>通过检查业务合同及与管理层的访谈，对与收入确认有关的控制权转移时点进行了分析评估，进 而评估卫士通公司收入的确认政策；</w:t>
      </w:r>
    </w:p>
    <w:p>
      <w:pPr>
        <w:pStyle w:val="Style18"/>
        <w:keepNext w:val="0"/>
        <w:keepLines w:val="0"/>
        <w:widowControl w:val="0"/>
        <w:shd w:val="clear" w:color="auto" w:fill="auto"/>
        <w:tabs>
          <w:tab w:pos="867" w:val="left"/>
        </w:tabs>
        <w:bidi w:val="0"/>
        <w:spacing w:before="0" w:after="0" w:line="313" w:lineRule="exact"/>
        <w:ind w:left="0" w:right="0" w:firstLine="36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3</w:t>
      </w:r>
      <w:r>
        <w:rPr>
          <w:color w:val="000000"/>
          <w:spacing w:val="0"/>
          <w:w w:val="100"/>
          <w:position w:val="0"/>
        </w:rPr>
        <w:t>）</w:t>
        <w:tab/>
        <w:t>检查与收入确认相关的支持性文件，包括销售合同、订单、销售发票、客户签收单、回款情况等;</w:t>
      </w:r>
    </w:p>
    <w:p>
      <w:pPr>
        <w:pStyle w:val="Style18"/>
        <w:keepNext w:val="0"/>
        <w:keepLines w:val="0"/>
        <w:widowControl w:val="0"/>
        <w:shd w:val="clear" w:color="auto" w:fill="auto"/>
        <w:tabs>
          <w:tab w:pos="939" w:val="left"/>
        </w:tabs>
        <w:bidi w:val="0"/>
        <w:spacing w:before="0" w:after="0" w:line="313" w:lineRule="exact"/>
        <w:ind w:left="0" w:right="0" w:firstLine="36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4</w:t>
      </w:r>
      <w:r>
        <w:rPr>
          <w:color w:val="000000"/>
          <w:spacing w:val="0"/>
          <w:w w:val="100"/>
          <w:position w:val="0"/>
        </w:rPr>
        <w:t>）</w:t>
        <w:tab/>
        <w:t>针对资产负债表日前后确认的销售收入核对至客户签收单等支持性文件，以评估销售收入是否在 恰当的期间确认；</w:t>
      </w:r>
    </w:p>
    <w:p>
      <w:pPr>
        <w:pStyle w:val="Style18"/>
        <w:keepNext w:val="0"/>
        <w:keepLines w:val="0"/>
        <w:widowControl w:val="0"/>
        <w:shd w:val="clear" w:color="auto" w:fill="auto"/>
        <w:tabs>
          <w:tab w:pos="867" w:val="left"/>
        </w:tabs>
        <w:bidi w:val="0"/>
        <w:spacing w:before="0" w:after="0" w:line="313" w:lineRule="exact"/>
        <w:ind w:left="0" w:right="0" w:firstLine="36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5</w:t>
      </w:r>
      <w:r>
        <w:rPr>
          <w:color w:val="000000"/>
          <w:spacing w:val="0"/>
          <w:w w:val="100"/>
          <w:position w:val="0"/>
        </w:rPr>
        <w:t>）</w:t>
        <w:tab/>
        <w:t>按照产品类别、施工项目对毛利率进行分析，与同行业进行比对，以评估毛利率水平的合理性；</w:t>
      </w:r>
    </w:p>
    <w:p>
      <w:pPr>
        <w:pStyle w:val="Style18"/>
        <w:keepNext w:val="0"/>
        <w:keepLines w:val="0"/>
        <w:widowControl w:val="0"/>
        <w:shd w:val="clear" w:color="auto" w:fill="auto"/>
        <w:tabs>
          <w:tab w:pos="4075" w:val="left"/>
        </w:tabs>
        <w:bidi w:val="0"/>
        <w:spacing w:before="0" w:after="0" w:line="313" w:lineRule="exact"/>
        <w:ind w:left="0" w:right="0" w:firstLine="36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6</w:t>
      </w:r>
      <w:r>
        <w:rPr>
          <w:color w:val="000000"/>
          <w:spacing w:val="0"/>
          <w:w w:val="100"/>
          <w:position w:val="0"/>
        </w:rPr>
        <w:t>） 结合往来款检查对客户进行函证</w:t>
        <w:tab/>
        <w:t>。</w:t>
      </w:r>
    </w:p>
    <w:p>
      <w:pPr>
        <w:pStyle w:val="Style18"/>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基于已执行的审计工作和获取的审计证据，我们认为，管理层对收入确认在财务报告中的列报与披 露是适当的。</w:t>
      </w:r>
    </w:p>
    <w:p>
      <w:pPr>
        <w:pStyle w:val="Style18"/>
        <w:keepNext w:val="0"/>
        <w:keepLines w:val="0"/>
        <w:widowControl w:val="0"/>
        <w:shd w:val="clear" w:color="auto" w:fill="auto"/>
        <w:tabs>
          <w:tab w:pos="949" w:val="left"/>
        </w:tabs>
        <w:bidi w:val="0"/>
        <w:spacing w:before="0" w:after="80" w:line="313" w:lineRule="exact"/>
        <w:ind w:left="0" w:right="0" w:firstLine="360"/>
        <w:jc w:val="both"/>
      </w:pPr>
      <w:bookmarkStart w:id="683" w:name="bookmark683"/>
      <w:r>
        <w:rPr>
          <w:color w:val="000000"/>
          <w:spacing w:val="0"/>
          <w:w w:val="100"/>
          <w:position w:val="0"/>
        </w:rPr>
        <w:t>（</w:t>
      </w:r>
      <w:bookmarkEnd w:id="683"/>
      <w:r>
        <w:rPr>
          <w:color w:val="000000"/>
          <w:spacing w:val="0"/>
          <w:w w:val="100"/>
          <w:position w:val="0"/>
        </w:rPr>
        <w:t>二）</w:t>
        <w:tab/>
        <w:t>存货跌价准备计提</w:t>
      </w:r>
    </w:p>
    <w:p>
      <w:pPr>
        <w:pStyle w:val="Style18"/>
        <w:keepNext w:val="0"/>
        <w:keepLines w:val="0"/>
        <w:widowControl w:val="0"/>
        <w:numPr>
          <w:ilvl w:val="0"/>
          <w:numId w:val="19"/>
        </w:numPr>
        <w:shd w:val="clear" w:color="auto" w:fill="auto"/>
        <w:tabs>
          <w:tab w:pos="755" w:val="left"/>
        </w:tabs>
        <w:bidi w:val="0"/>
        <w:spacing w:before="0" w:after="0" w:line="329" w:lineRule="auto"/>
        <w:ind w:left="0" w:right="0" w:firstLine="440"/>
        <w:jc w:val="both"/>
      </w:pPr>
      <w:bookmarkStart w:id="684" w:name="bookmark684"/>
      <w:bookmarkEnd w:id="684"/>
      <w:r>
        <w:rPr>
          <w:color w:val="000000"/>
          <w:spacing w:val="0"/>
          <w:w w:val="100"/>
          <w:position w:val="0"/>
        </w:rPr>
        <w:t>事项描述</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日，卫士通公司存货在合并财务报表账面余额</w:t>
      </w:r>
      <w:r>
        <w:rPr>
          <w:rFonts w:ascii="Times New Roman" w:eastAsia="Times New Roman" w:hAnsi="Times New Roman" w:cs="Times New Roman"/>
          <w:color w:val="000000"/>
          <w:spacing w:val="0"/>
          <w:w w:val="100"/>
          <w:position w:val="0"/>
        </w:rPr>
        <w:t>105,364.37</w:t>
      </w:r>
      <w:r>
        <w:rPr>
          <w:color w:val="000000"/>
          <w:spacing w:val="0"/>
          <w:w w:val="100"/>
          <w:position w:val="0"/>
        </w:rPr>
        <w:t xml:space="preserve">万元，计提存货跌价准备 </w:t>
      </w:r>
      <w:r>
        <w:rPr>
          <w:rFonts w:ascii="Times New Roman" w:eastAsia="Times New Roman" w:hAnsi="Times New Roman" w:cs="Times New Roman"/>
          <w:color w:val="000000"/>
          <w:spacing w:val="0"/>
          <w:w w:val="100"/>
          <w:position w:val="0"/>
        </w:rPr>
        <w:t>8,516.8</w:t>
      </w:r>
      <w:r>
        <w:rPr>
          <w:rFonts w:ascii="Times New Roman" w:eastAsia="Times New Roman" w:hAnsi="Times New Roman" w:cs="Times New Roman"/>
          <w:color w:val="000000"/>
          <w:spacing w:val="0"/>
          <w:w w:val="100"/>
          <w:position w:val="0"/>
        </w:rPr>
        <w:t>1</w:t>
      </w:r>
      <w:r>
        <w:rPr>
          <w:color w:val="000000"/>
          <w:spacing w:val="0"/>
          <w:w w:val="100"/>
          <w:position w:val="0"/>
        </w:rPr>
        <w:t>万元，存货账面价值</w:t>
      </w:r>
      <w:r>
        <w:rPr>
          <w:rFonts w:ascii="Times New Roman" w:eastAsia="Times New Roman" w:hAnsi="Times New Roman" w:cs="Times New Roman"/>
          <w:color w:val="000000"/>
          <w:spacing w:val="0"/>
          <w:w w:val="100"/>
          <w:position w:val="0"/>
        </w:rPr>
        <w:t>96,847.56</w:t>
      </w:r>
      <w:r>
        <w:rPr>
          <w:color w:val="000000"/>
          <w:spacing w:val="0"/>
          <w:w w:val="100"/>
          <w:position w:val="0"/>
        </w:rPr>
        <w:t>万元，占资产总额的</w:t>
      </w:r>
      <w:r>
        <w:rPr>
          <w:rFonts w:ascii="Times New Roman" w:eastAsia="Times New Roman" w:hAnsi="Times New Roman" w:cs="Times New Roman"/>
          <w:color w:val="000000"/>
          <w:spacing w:val="0"/>
          <w:w w:val="100"/>
          <w:position w:val="0"/>
        </w:rPr>
        <w:t>13.71%</w:t>
      </w:r>
      <w:r>
        <w:rPr>
          <w:color w:val="000000"/>
          <w:spacing w:val="0"/>
          <w:w w:val="100"/>
          <w:position w:val="0"/>
        </w:rPr>
        <w:t>。如附注四、</w:t>
      </w:r>
      <w:r>
        <w:rPr>
          <w:color w:val="000000"/>
          <w:spacing w:val="0"/>
          <w:w w:val="100"/>
          <w:position w:val="0"/>
        </w:rPr>
        <w:t>（</w:t>
      </w:r>
      <w:r>
        <w:rPr>
          <w:color w:val="000000"/>
          <w:spacing w:val="0"/>
          <w:w w:val="100"/>
          <w:position w:val="0"/>
        </w:rPr>
        <w:t>十三</w:t>
      </w:r>
      <w:r>
        <w:rPr>
          <w:rFonts w:ascii="Times New Roman" w:eastAsia="Times New Roman" w:hAnsi="Times New Roman" w:cs="Times New Roman"/>
          <w:color w:val="000000"/>
          <w:spacing w:val="0"/>
          <w:w w:val="100"/>
          <w:position w:val="0"/>
        </w:rPr>
        <w:t>）</w:t>
      </w:r>
      <w:r>
        <w:rPr>
          <w:color w:val="000000"/>
          <w:spacing w:val="0"/>
          <w:w w:val="100"/>
          <w:position w:val="0"/>
        </w:rPr>
        <w:t>所述，卫士通公司按 照单个存货成本高于可变现净值的差额计提存货跌价准备。存货的可变现净值的确定，要求管理层对存货 的售价，至完工时将发生的成本、销售费用及相关税费进行估计。因此，我们将存货跌价准备计提确定为 关键审计事项。</w:t>
      </w:r>
    </w:p>
    <w:p>
      <w:pPr>
        <w:pStyle w:val="Style18"/>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关于存货跌价准备计提的披露见附注六、注释</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18"/>
        <w:keepNext w:val="0"/>
        <w:keepLines w:val="0"/>
        <w:widowControl w:val="0"/>
        <w:numPr>
          <w:ilvl w:val="0"/>
          <w:numId w:val="19"/>
        </w:numPr>
        <w:shd w:val="clear" w:color="auto" w:fill="auto"/>
        <w:tabs>
          <w:tab w:pos="774" w:val="left"/>
        </w:tabs>
        <w:bidi w:val="0"/>
        <w:spacing w:before="0" w:after="0" w:line="329" w:lineRule="auto"/>
        <w:ind w:left="0" w:right="0" w:firstLine="440"/>
        <w:jc w:val="both"/>
      </w:pPr>
      <w:bookmarkStart w:id="685" w:name="bookmark685"/>
      <w:bookmarkEnd w:id="685"/>
      <w:r>
        <w:rPr>
          <w:color w:val="000000"/>
          <w:spacing w:val="0"/>
          <w:w w:val="100"/>
          <w:position w:val="0"/>
        </w:rPr>
        <w:t>审计应对</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在审计存货跌价准备的过程中，我们的审计程序主要包括：</w:t>
      </w:r>
    </w:p>
    <w:p>
      <w:pPr>
        <w:pStyle w:val="Style18"/>
        <w:keepNext w:val="0"/>
        <w:keepLines w:val="0"/>
        <w:widowControl w:val="0"/>
        <w:shd w:val="clear" w:color="auto" w:fill="auto"/>
        <w:tabs>
          <w:tab w:pos="928" w:val="left"/>
        </w:tabs>
        <w:bidi w:val="0"/>
        <w:spacing w:before="0" w:after="0" w:line="314" w:lineRule="exact"/>
        <w:ind w:left="0" w:right="0" w:firstLine="44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1</w:t>
      </w:r>
      <w:r>
        <w:rPr>
          <w:color w:val="000000"/>
          <w:spacing w:val="0"/>
          <w:w w:val="100"/>
          <w:position w:val="0"/>
        </w:rPr>
        <w:t>）</w:t>
        <w:tab/>
        <w:t>对卫士通公司存货跌价准备相关内部控制的设计与执行进行了评估；</w:t>
      </w:r>
    </w:p>
    <w:p>
      <w:pPr>
        <w:pStyle w:val="Style18"/>
        <w:keepNext w:val="0"/>
        <w:keepLines w:val="0"/>
        <w:widowControl w:val="0"/>
        <w:shd w:val="clear" w:color="auto" w:fill="auto"/>
        <w:tabs>
          <w:tab w:pos="1021" w:val="left"/>
        </w:tabs>
        <w:bidi w:val="0"/>
        <w:spacing w:before="0" w:after="0" w:line="314" w:lineRule="exact"/>
        <w:ind w:left="0" w:right="0" w:firstLine="44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2</w:t>
      </w:r>
      <w:r>
        <w:rPr>
          <w:color w:val="000000"/>
          <w:spacing w:val="0"/>
          <w:w w:val="100"/>
          <w:position w:val="0"/>
        </w:rPr>
        <w:t>）</w:t>
        <w:tab/>
        <w:t>获取并评价了管理层对于存货跌价准备的计提方法和相关假设，并考虑了卫士通公司的预期销 售计划等因素对存货跌价准备的可能影响；</w:t>
      </w:r>
    </w:p>
    <w:p>
      <w:pPr>
        <w:pStyle w:val="Style18"/>
        <w:keepNext w:val="0"/>
        <w:keepLines w:val="0"/>
        <w:widowControl w:val="0"/>
        <w:shd w:val="clear" w:color="auto" w:fill="auto"/>
        <w:tabs>
          <w:tab w:pos="928" w:val="left"/>
        </w:tabs>
        <w:bidi w:val="0"/>
        <w:spacing w:before="0" w:after="0" w:line="314" w:lineRule="exact"/>
        <w:ind w:left="0" w:right="0" w:firstLine="44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3</w:t>
      </w:r>
      <w:r>
        <w:rPr>
          <w:color w:val="000000"/>
          <w:spacing w:val="0"/>
          <w:w w:val="100"/>
          <w:position w:val="0"/>
        </w:rPr>
        <w:t>）</w:t>
        <w:tab/>
        <w:t>对存货盘点实施监盘，检查存货的数量、状况及产品有效期等；</w:t>
      </w:r>
    </w:p>
    <w:p>
      <w:pPr>
        <w:pStyle w:val="Style18"/>
        <w:keepNext w:val="0"/>
        <w:keepLines w:val="0"/>
        <w:widowControl w:val="0"/>
        <w:shd w:val="clear" w:color="auto" w:fill="auto"/>
        <w:tabs>
          <w:tab w:pos="1016" w:val="left"/>
        </w:tabs>
        <w:bidi w:val="0"/>
        <w:spacing w:before="0" w:after="0" w:line="314" w:lineRule="exact"/>
        <w:ind w:left="0" w:right="0" w:firstLine="44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4</w:t>
      </w:r>
      <w:r>
        <w:rPr>
          <w:color w:val="000000"/>
          <w:spacing w:val="0"/>
          <w:w w:val="100"/>
          <w:position w:val="0"/>
        </w:rPr>
        <w:t>）</w:t>
        <w:tab/>
        <w:t>对存货周转天数以及存货库龄进行了审核并执行了分析性程序，判断是否存在较长库龄的存货 导致存货减值的风险；</w:t>
      </w:r>
    </w:p>
    <w:p>
      <w:pPr>
        <w:pStyle w:val="Style18"/>
        <w:keepNext w:val="0"/>
        <w:keepLines w:val="0"/>
        <w:widowControl w:val="0"/>
        <w:shd w:val="clear" w:color="auto" w:fill="auto"/>
        <w:tabs>
          <w:tab w:pos="1021" w:val="left"/>
        </w:tabs>
        <w:bidi w:val="0"/>
        <w:spacing w:before="0" w:after="0" w:line="314" w:lineRule="exact"/>
        <w:ind w:left="0" w:right="0" w:firstLine="44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5</w:t>
      </w:r>
      <w:r>
        <w:rPr>
          <w:color w:val="000000"/>
          <w:spacing w:val="0"/>
          <w:w w:val="100"/>
          <w:position w:val="0"/>
        </w:rPr>
        <w:t>）</w:t>
        <w:tab/>
        <w:t>获取期末存货库龄清单，结合产品的有效期，对库龄较长的存货进行分析性复核，分析存货跌 价准备是否合理；</w:t>
      </w:r>
    </w:p>
    <w:p>
      <w:pPr>
        <w:pStyle w:val="Style18"/>
        <w:keepNext w:val="0"/>
        <w:keepLines w:val="0"/>
        <w:widowControl w:val="0"/>
        <w:shd w:val="clear" w:color="auto" w:fill="auto"/>
        <w:tabs>
          <w:tab w:pos="928" w:val="left"/>
        </w:tabs>
        <w:bidi w:val="0"/>
        <w:spacing w:before="0" w:after="0" w:line="314" w:lineRule="exact"/>
        <w:ind w:left="0" w:right="0" w:firstLine="44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6</w:t>
      </w:r>
      <w:r>
        <w:rPr>
          <w:color w:val="000000"/>
          <w:spacing w:val="0"/>
          <w:w w:val="100"/>
          <w:position w:val="0"/>
        </w:rPr>
        <w:t>）</w:t>
        <w:tab/>
        <w:t>检查存货跌价准备相关信息在财务报表中的列报和披露。</w:t>
      </w:r>
    </w:p>
    <w:p>
      <w:pPr>
        <w:pStyle w:val="Style18"/>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基于已执行的审计工作和获取的审计证据，我们认为，管理层对存货跌价准备计提在财务报告中的列 报与披露是适当的。</w:t>
      </w:r>
    </w:p>
    <w:p>
      <w:pPr>
        <w:pStyle w:val="Style18"/>
        <w:keepNext w:val="0"/>
        <w:keepLines w:val="0"/>
        <w:widowControl w:val="0"/>
        <w:shd w:val="clear" w:color="auto" w:fill="auto"/>
        <w:tabs>
          <w:tab w:pos="824" w:val="left"/>
        </w:tabs>
        <w:bidi w:val="0"/>
        <w:spacing w:before="0" w:after="0" w:line="315" w:lineRule="exact"/>
        <w:ind w:left="0" w:right="0" w:firstLine="360"/>
        <w:jc w:val="both"/>
      </w:pPr>
      <w:bookmarkStart w:id="692" w:name="bookmark692"/>
      <w:r>
        <w:rPr>
          <w:b/>
          <w:bCs/>
          <w:color w:val="000000"/>
          <w:spacing w:val="0"/>
          <w:w w:val="100"/>
          <w:position w:val="0"/>
        </w:rPr>
        <w:t>五</w:t>
      </w:r>
      <w:bookmarkEnd w:id="692"/>
      <w:r>
        <w:rPr>
          <w:b/>
          <w:bCs/>
          <w:color w:val="000000"/>
          <w:spacing w:val="0"/>
          <w:w w:val="100"/>
          <w:position w:val="0"/>
        </w:rPr>
        <w:t>、</w:t>
        <w:tab/>
        <w:t>其他信息</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卫士通公司管理层对其他信息负责。其他信息包括卫士通公司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 括财务报表和我们的审计报告。</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8"/>
        <w:keepNext w:val="0"/>
        <w:keepLines w:val="0"/>
        <w:widowControl w:val="0"/>
        <w:shd w:val="clear" w:color="auto" w:fill="auto"/>
        <w:tabs>
          <w:tab w:pos="824" w:val="left"/>
        </w:tabs>
        <w:bidi w:val="0"/>
        <w:spacing w:before="0" w:after="0" w:line="315" w:lineRule="exact"/>
        <w:ind w:left="0" w:right="0" w:firstLine="360"/>
        <w:jc w:val="both"/>
      </w:pPr>
      <w:bookmarkStart w:id="693" w:name="bookmark693"/>
      <w:r>
        <w:rPr>
          <w:b/>
          <w:bCs/>
          <w:color w:val="000000"/>
          <w:spacing w:val="0"/>
          <w:w w:val="100"/>
          <w:position w:val="0"/>
        </w:rPr>
        <w:t>六</w:t>
      </w:r>
      <w:bookmarkEnd w:id="693"/>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卫士通公司管理层负责按照企业会计准则的规定编制财务报表，使其实现公允反映，并设计、执行和 维护必要的内部控制，以使财务报表不存在由于舞弊或错误导致的重大错报。</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在编制财务报表时，卫士通公司管理层负责评估卫士通公司的持续经营能力，披露与持续经营相关的 事项（如适用），并运用持续经营假设，除非管理层计划清算卫士通公司、终止运营或别无其他现实的选 择。</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治理层负责监督卫士通公司的财务报告过程。</w:t>
      </w:r>
    </w:p>
    <w:p>
      <w:pPr>
        <w:pStyle w:val="Style18"/>
        <w:keepNext w:val="0"/>
        <w:keepLines w:val="0"/>
        <w:widowControl w:val="0"/>
        <w:shd w:val="clear" w:color="auto" w:fill="auto"/>
        <w:tabs>
          <w:tab w:pos="829" w:val="left"/>
        </w:tabs>
        <w:bidi w:val="0"/>
        <w:spacing w:before="0" w:after="0" w:line="315" w:lineRule="exact"/>
        <w:ind w:left="0" w:right="0" w:firstLine="360"/>
        <w:jc w:val="both"/>
      </w:pPr>
      <w:bookmarkStart w:id="694" w:name="bookmark694"/>
      <w:r>
        <w:rPr>
          <w:b/>
          <w:bCs/>
          <w:color w:val="000000"/>
          <w:spacing w:val="0"/>
          <w:w w:val="100"/>
          <w:position w:val="0"/>
        </w:rPr>
        <w:t>七</w:t>
      </w:r>
      <w:bookmarkEnd w:id="694"/>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18"/>
        <w:keepNext w:val="0"/>
        <w:keepLines w:val="0"/>
        <w:widowControl w:val="0"/>
        <w:numPr>
          <w:ilvl w:val="0"/>
          <w:numId w:val="21"/>
        </w:numPr>
        <w:shd w:val="clear" w:color="auto" w:fill="auto"/>
        <w:bidi w:val="0"/>
        <w:spacing w:before="0" w:after="0" w:line="315" w:lineRule="exact"/>
        <w:ind w:left="0" w:right="0" w:firstLine="360"/>
        <w:jc w:val="both"/>
      </w:pPr>
      <w:bookmarkStart w:id="695" w:name="bookmark695"/>
      <w:bookmarkEnd w:id="695"/>
      <w:r>
        <w:rPr>
          <w:rFonts w:ascii="Times New Roman" w:eastAsia="Times New Roman" w:hAnsi="Times New Roman" w:cs="Times New Roman"/>
          <w:color w:val="000000"/>
          <w:spacing w:val="0"/>
          <w:w w:val="100"/>
          <w:position w:val="0"/>
        </w:rPr>
        <w:t xml:space="preserve"> </w:t>
      </w:r>
      <w:r>
        <w:rPr>
          <w:color w:val="000000"/>
          <w:spacing w:val="0"/>
          <w:w w:val="100"/>
          <w:position w:val="0"/>
        </w:rPr>
        <w:t>识别和评估由于舞弊或错误导致的财务报表重大错报风险，设计和实施审计程序以应对这些风险，并 获取充分、适当的审计证据，作为发表审计意见的基础。由于舞弊可能涉及串通、伪造、故意遗漏、虚假 陈述或凌驾于内部控制之上，未能发现由于舞弊导致的重大错报的风险高于未能发现由于错误导致的重大 错报的风险。</w:t>
      </w:r>
    </w:p>
    <w:p>
      <w:pPr>
        <w:pStyle w:val="Style18"/>
        <w:keepNext w:val="0"/>
        <w:keepLines w:val="0"/>
        <w:widowControl w:val="0"/>
        <w:numPr>
          <w:ilvl w:val="0"/>
          <w:numId w:val="21"/>
        </w:numPr>
        <w:shd w:val="clear" w:color="auto" w:fill="auto"/>
        <w:bidi w:val="0"/>
        <w:spacing w:before="0" w:after="0" w:line="315" w:lineRule="exact"/>
        <w:ind w:left="0" w:right="0" w:firstLine="360"/>
        <w:jc w:val="both"/>
      </w:pPr>
      <w:bookmarkStart w:id="696" w:name="bookmark696"/>
      <w:bookmarkEnd w:id="696"/>
      <w:r>
        <w:rPr>
          <w:rFonts w:ascii="Times New Roman" w:eastAsia="Times New Roman" w:hAnsi="Times New Roman" w:cs="Times New Roman"/>
          <w:color w:val="000000"/>
          <w:spacing w:val="0"/>
          <w:w w:val="100"/>
          <w:position w:val="0"/>
        </w:rPr>
        <w:t xml:space="preserve"> </w:t>
      </w:r>
      <w:r>
        <w:rPr>
          <w:color w:val="000000"/>
          <w:spacing w:val="0"/>
          <w:w w:val="100"/>
          <w:position w:val="0"/>
        </w:rPr>
        <w:t>了解与审计相关的内部控制，以设计恰当的审计程序，但目的并非对内部控制的有效性发表意见。</w:t>
      </w:r>
    </w:p>
    <w:p>
      <w:pPr>
        <w:pStyle w:val="Style18"/>
        <w:keepNext w:val="0"/>
        <w:keepLines w:val="0"/>
        <w:widowControl w:val="0"/>
        <w:numPr>
          <w:ilvl w:val="0"/>
          <w:numId w:val="21"/>
        </w:numPr>
        <w:shd w:val="clear" w:color="auto" w:fill="auto"/>
        <w:tabs>
          <w:tab w:pos="680" w:val="left"/>
        </w:tabs>
        <w:bidi w:val="0"/>
        <w:spacing w:before="0" w:after="0" w:line="315" w:lineRule="exact"/>
        <w:ind w:left="0" w:right="0" w:firstLine="360"/>
        <w:jc w:val="both"/>
      </w:pPr>
      <w:bookmarkStart w:id="697" w:name="bookmark697"/>
      <w:bookmarkEnd w:id="697"/>
      <w:r>
        <w:rPr>
          <w:color w:val="000000"/>
          <w:spacing w:val="0"/>
          <w:w w:val="100"/>
          <w:position w:val="0"/>
        </w:rPr>
        <w:t>评价管理层选用会计政策的恰当性和作出会计估计及相关披露的合理性。</w:t>
      </w:r>
    </w:p>
    <w:p>
      <w:pPr>
        <w:pStyle w:val="Style18"/>
        <w:keepNext w:val="0"/>
        <w:keepLines w:val="0"/>
        <w:widowControl w:val="0"/>
        <w:numPr>
          <w:ilvl w:val="0"/>
          <w:numId w:val="21"/>
        </w:numPr>
        <w:shd w:val="clear" w:color="auto" w:fill="auto"/>
        <w:tabs>
          <w:tab w:pos="656" w:val="left"/>
        </w:tabs>
        <w:bidi w:val="0"/>
        <w:spacing w:before="0" w:after="0" w:line="315" w:lineRule="exact"/>
        <w:ind w:left="0" w:right="0" w:firstLine="360"/>
        <w:jc w:val="both"/>
      </w:pPr>
      <w:bookmarkStart w:id="698" w:name="bookmark698"/>
      <w:bookmarkEnd w:id="698"/>
      <w:r>
        <w:rPr>
          <w:color w:val="000000"/>
          <w:spacing w:val="0"/>
          <w:w w:val="100"/>
          <w:position w:val="0"/>
        </w:rPr>
        <w:t>对管理层使用持续经营假设的恰当性得出结论。同时，根据获取的审计证据，就可能导致对卫士通公 司持续经营能力产生重大疑虑的事项或情况是否存在重大不确定性得出结论。如果我们得出结论认为存在 重大不确定性，审计准则要求我们在审计报告中提请报告使用者注意财务报表中的相关披露；如果披露不 充分，我们应当发表非无保留意见。我们的结论基于截至审计报告日可获得的信息。然而，未来的事项或 情况可能导致卫士通公司不能持续经营。</w:t>
      </w:r>
    </w:p>
    <w:p>
      <w:pPr>
        <w:pStyle w:val="Style18"/>
        <w:keepNext w:val="0"/>
        <w:keepLines w:val="0"/>
        <w:widowControl w:val="0"/>
        <w:numPr>
          <w:ilvl w:val="0"/>
          <w:numId w:val="21"/>
        </w:numPr>
        <w:shd w:val="clear" w:color="auto" w:fill="auto"/>
        <w:tabs>
          <w:tab w:pos="680" w:val="left"/>
        </w:tabs>
        <w:bidi w:val="0"/>
        <w:spacing w:before="0" w:after="0" w:line="315" w:lineRule="exact"/>
        <w:ind w:left="0" w:right="0" w:firstLine="360"/>
        <w:jc w:val="both"/>
      </w:pPr>
      <w:bookmarkStart w:id="699" w:name="bookmark699"/>
      <w:bookmarkEnd w:id="699"/>
      <w:r>
        <w:rPr>
          <w:color w:val="000000"/>
          <w:spacing w:val="0"/>
          <w:w w:val="100"/>
          <w:position w:val="0"/>
        </w:rPr>
        <w:t>评价财务报表的总体列报、结构和内容，并评价财务报表是否公允反映相关交易和事项。</w:t>
      </w:r>
    </w:p>
    <w:p>
      <w:pPr>
        <w:pStyle w:val="Style18"/>
        <w:keepNext w:val="0"/>
        <w:keepLines w:val="0"/>
        <w:widowControl w:val="0"/>
        <w:numPr>
          <w:ilvl w:val="0"/>
          <w:numId w:val="21"/>
        </w:numPr>
        <w:shd w:val="clear" w:color="auto" w:fill="auto"/>
        <w:bidi w:val="0"/>
        <w:spacing w:before="0" w:after="0" w:line="315" w:lineRule="exact"/>
        <w:ind w:left="0" w:right="0" w:firstLine="360"/>
        <w:jc w:val="both"/>
      </w:pPr>
      <w:bookmarkStart w:id="700" w:name="bookmark700"/>
      <w:bookmarkEnd w:id="700"/>
      <w:r>
        <w:rPr>
          <w:rFonts w:ascii="Times New Roman" w:eastAsia="Times New Roman" w:hAnsi="Times New Roman" w:cs="Times New Roman"/>
          <w:color w:val="000000"/>
          <w:spacing w:val="0"/>
          <w:w w:val="100"/>
          <w:position w:val="0"/>
        </w:rPr>
        <w:t xml:space="preserve"> </w:t>
      </w:r>
      <w:r>
        <w:rPr>
          <w:color w:val="000000"/>
          <w:spacing w:val="0"/>
          <w:w w:val="100"/>
          <w:position w:val="0"/>
        </w:rPr>
        <w:t>就卫士通公司中实体或业务活动的财务信息获取充分、适当的审计证据，以对财务报表发表意见。我 们负责指导、监督和执行集团审计。我们对审计意见承担全部责任。</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r>
        <w:br w:type="page"/>
      </w:r>
    </w:p>
    <w:tbl>
      <w:tblPr>
        <w:tblOverlap w:val="never"/>
        <w:jc w:val="left"/>
        <w:tblLayout w:type="fixed"/>
      </w:tblPr>
      <w:tblGrid>
        <w:gridCol w:w="4546"/>
        <w:gridCol w:w="2626"/>
        <w:gridCol w:w="1421"/>
      </w:tblGrid>
      <w:tr>
        <w:trPr>
          <w:trHeight w:val="35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color w:val="000000"/>
                <w:spacing w:val="0"/>
                <w:w w:val="100"/>
                <w:position w:val="0"/>
                <w:sz w:val="20"/>
                <w:szCs w:val="20"/>
              </w:rPr>
              <w:t>）</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中国注册会计师：</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钟平修</w:t>
            </w:r>
          </w:p>
        </w:tc>
      </w:tr>
      <w:tr>
        <w:trPr>
          <w:trHeight w:val="52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r>
              <w:rPr>
                <w:rFonts w:ascii="Times New Roman" w:eastAsia="Times New Roman" w:hAnsi="Times New Roman" w:cs="Times New Roman"/>
                <w:b/>
                <w:bCs/>
                <w:color w:val="000000"/>
                <w:spacing w:val="0"/>
                <w:w w:val="100"/>
                <w:position w:val="0"/>
                <w:sz w:val="20"/>
                <w:szCs w:val="20"/>
              </w:rPr>
              <w:t>•</w:t>
            </w:r>
            <w:r>
              <w:rPr>
                <w:color w:val="000000"/>
                <w:spacing w:val="0"/>
                <w:w w:val="100"/>
                <w:position w:val="0"/>
                <w:sz w:val="20"/>
                <w:szCs w:val="20"/>
              </w:rPr>
              <w:t>北京</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（项目合伙人）</w:t>
            </w:r>
          </w:p>
        </w:tc>
        <w:tc>
          <w:tcPr>
            <w:tcBorders>
              <w:top w:val="single" w:sz="4"/>
            </w:tcBorders>
            <w:shd w:val="clear" w:color="auto" w:fill="FFFFFF"/>
            <w:vAlign w:val="top"/>
          </w:tcPr>
          <w:p>
            <w:pPr>
              <w:widowControl w:val="0"/>
              <w:rPr>
                <w:sz w:val="10"/>
                <w:szCs w:val="10"/>
              </w:rPr>
            </w:pPr>
          </w:p>
        </w:tc>
      </w:tr>
      <w:tr>
        <w:trPr>
          <w:trHeight w:val="883"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中国注册会计师：</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曹云华</w:t>
            </w:r>
          </w:p>
        </w:tc>
      </w:tr>
    </w:tbl>
    <w:p>
      <w:pPr>
        <w:pStyle w:val="Style18"/>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二</w:t>
      </w:r>
      <w:r>
        <w:rPr>
          <w:color w:val="000000"/>
          <w:spacing w:val="0"/>
          <w:w w:val="100"/>
          <w:position w:val="0"/>
          <w:sz w:val="20"/>
          <w:szCs w:val="20"/>
        </w:rPr>
        <w:t>O</w:t>
      </w:r>
      <w:r>
        <w:rPr>
          <w:color w:val="000000"/>
          <w:spacing w:val="0"/>
          <w:w w:val="100"/>
          <w:position w:val="0"/>
        </w:rPr>
        <w:t>二二年四月二十日</w:t>
      </w:r>
    </w:p>
    <w:p>
      <w:pPr>
        <w:pStyle w:val="Style24"/>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r>
        <w:rPr>
          <w:color w:val="000000"/>
          <w:spacing w:val="0"/>
          <w:w w:val="100"/>
          <w:position w:val="0"/>
        </w:rPr>
        <w:t>二、财务报表</w:t>
      </w:r>
      <w:bookmarkEnd w:id="701"/>
      <w:bookmarkEnd w:id="702"/>
      <w:bookmarkEnd w:id="70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、合并资产负债表</w:t>
      </w:r>
      <w:bookmarkEnd w:id="704"/>
      <w:bookmarkEnd w:id="705"/>
      <w:bookmarkEnd w:id="707"/>
    </w:p>
    <w:p>
      <w:pPr>
        <w:pStyle w:val="Style28"/>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6402705</wp:posOffset>
                </wp:positionH>
                <wp:positionV relativeFrom="paragraph">
                  <wp:posOffset>444500</wp:posOffset>
                </wp:positionV>
                <wp:extent cx="481330" cy="143510"/>
                <wp:wrapSquare wrapText="bothSides"/>
                <wp:docPr id="2" name="Shape 2"/>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04.15000000000003pt;margin-top:35.pt;width:37.899999999999999pt;height:11.300000000000001pt;z-index:-12582937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编制单位：成都卫士通信息产业股份有限公司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D3D3D3"/>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2,658,179,662.01</w:t>
            </w:r>
          </w:p>
        </w:tc>
        <w:tc>
          <w:tcPr>
            <w:tcBorders>
              <w:top w:val="single" w:sz="4"/>
              <w:left w:val="single" w:sz="4"/>
              <w:righ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1,985,273,734.86</w:t>
            </w: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406,525,530.07</w:t>
            </w:r>
          </w:p>
        </w:tc>
        <w:tc>
          <w:tcPr>
            <w:tcBorders>
              <w:top w:val="single" w:sz="4"/>
              <w:left w:val="single" w:sz="4"/>
              <w:righ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471,161,025.89</w:t>
            </w: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793,610,219.97</w:t>
            </w:r>
          </w:p>
        </w:tc>
        <w:tc>
          <w:tcPr>
            <w:tcBorders>
              <w:top w:val="single" w:sz="4"/>
              <w:left w:val="single" w:sz="4"/>
              <w:righ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1,274,671,255.83</w:t>
            </w:r>
          </w:p>
        </w:tc>
      </w:tr>
      <w:tr>
        <w:trPr>
          <w:trHeight w:val="398"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58,254,288.76</w:t>
            </w:r>
          </w:p>
        </w:tc>
        <w:tc>
          <w:tcPr>
            <w:tcBorders>
              <w:top w:val="single" w:sz="4"/>
              <w:left w:val="single" w:sz="4"/>
              <w:righ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55,695,454.55</w:t>
            </w: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79,819,910.11</w:t>
            </w:r>
          </w:p>
        </w:tc>
        <w:tc>
          <w:tcPr>
            <w:tcBorders>
              <w:top w:val="single" w:sz="4"/>
              <w:left w:val="single" w:sz="4"/>
              <w:righ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74,872,967.47</w:t>
            </w: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8054" w:hSpace="14" w:vSpace="629" w:wrap="notBeside" w:vAnchor="text" w:hAnchor="text" w:x="116" w:y="630"/>
              <w:widowControl w:val="0"/>
              <w:rPr>
                <w:sz w:val="10"/>
                <w:szCs w:val="10"/>
              </w:rPr>
            </w:pPr>
          </w:p>
        </w:tc>
        <w:tc>
          <w:tcPr>
            <w:tcBorders>
              <w:top w:val="single" w:sz="4"/>
              <w:left w:val="single" w:sz="4"/>
              <w:right w:val="single" w:sz="4"/>
            </w:tcBorders>
            <w:shd w:val="clear" w:color="auto" w:fill="FFFFFF"/>
            <w:vAlign w:val="top"/>
          </w:tcPr>
          <w:p>
            <w:pPr>
              <w:framePr w:w="9581" w:h="8054" w:hSpace="14" w:vSpace="629" w:wrap="notBeside" w:vAnchor="text" w:hAnchor="text" w:x="11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968,475,592.64</w:t>
            </w:r>
          </w:p>
        </w:tc>
        <w:tc>
          <w:tcPr>
            <w:tcBorders>
              <w:top w:val="single" w:sz="4"/>
              <w:left w:val="single" w:sz="4"/>
              <w:righ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475,493,509.36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87,516,497.10</w:t>
            </w:r>
          </w:p>
        </w:tc>
        <w:tc>
          <w:tcPr>
            <w:tcBorders>
              <w:top w:val="single" w:sz="4"/>
              <w:left w:val="single" w:sz="4"/>
              <w:bottom w:val="single" w:sz="4"/>
              <w:right w:val="single" w:sz="4"/>
            </w:tcBorders>
            <w:shd w:val="clear" w:color="auto" w:fill="FFFFFF"/>
            <w:vAlign w:val="center"/>
          </w:tcPr>
          <w:p>
            <w:pPr>
              <w:pStyle w:val="Style21"/>
              <w:keepNext w:val="0"/>
              <w:keepLines w:val="0"/>
              <w:framePr w:w="9581" w:h="8054" w:hSpace="14" w:vSpace="629" w:wrap="notBeside" w:vAnchor="text" w:hAnchor="text" w:x="116"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117,586,640.09</w:t>
            </w:r>
          </w:p>
        </w:tc>
      </w:tr>
    </w:tbl>
    <w:p>
      <w:pPr>
        <w:pStyle w:val="Style26"/>
        <w:keepNext w:val="0"/>
        <w:keepLines w:val="0"/>
        <w:framePr w:w="5606" w:h="211" w:hSpace="101" w:wrap="notBeside" w:vAnchor="text" w:hAnchor="text" w:x="102"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74,468,244.66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91,911,739.06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5,126,849,945.32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4,546,666,327.11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87,725,266.75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58,447,728.96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3,206,014.19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306,569,718.55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316,104,932.94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1,115,933,080.69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1,163,097,398.37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14,795,838.56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183,685,362.47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170,793,598.92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79,770,980.35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103,387,327.35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6,265,530.22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132,410,678.82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109,216,443.89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8,707,417.28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9,728,625.75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1,939,069,887.88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1,933,780,622.11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7,065,919,833.20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6,480,446,949.22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214,852,609.71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179,363,275.28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1,006,585,529.41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1,051,262,663.46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662,436,601.78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313,991,222.20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7,608,452.46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47,606,845.43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42,817,076.42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69,953,983.82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29,376,334.40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28,001,642.96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7,529,148.18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12,955,724.40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42,741,054.87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1,984,161,476.76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1,732,920,688.02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6,494,184.95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28,224,347.75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29,676,218.41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34,718,532.70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29,676,218.41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2,018,880,009.46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1,762,596,906.43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846,294,603.00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2,698,353,233.58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2,601,802,469.28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3,334,640.00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1,206,014.19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58,068,500.01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57,036,561.38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1,429,113,247.52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1,209,822,966.91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5,029,700,958.30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4,707,198,263.56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17,338,865.44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10,651,779.23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5,047,039,823.74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4,717,850,042.79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7,065,919,833.20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6,480,446,949.22</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0" behindDoc="0" locked="0" layoutInCell="1" allowOverlap="1">
                <wp:simplePos x="0" y="0"/>
                <wp:positionH relativeFrom="page">
                  <wp:posOffset>702945</wp:posOffset>
                </wp:positionH>
                <wp:positionV relativeFrom="margin">
                  <wp:posOffset>3837305</wp:posOffset>
                </wp:positionV>
                <wp:extent cx="941705" cy="149225"/>
                <wp:wrapTopAndBottom/>
                <wp:docPr id="4" name="Shape 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法定代表人：陈鑫</w:t>
                            </w:r>
                          </w:p>
                        </w:txbxContent>
                      </wps:txbx>
                      <wps:bodyPr wrap="none" lIns="0" tIns="0" rIns="0" bIns="0">
                        <a:noAutoFit/>
                      </wps:bodyPr>
                    </wps:wsp>
                  </a:graphicData>
                </a:graphic>
              </wp:anchor>
            </w:drawing>
          </mc:Choice>
          <mc:Fallback>
            <w:pict>
              <v:shape id="_x0000_s1030" type="#_x0000_t202" style="position:absolute;margin-left:55.350000000000001pt;margin-top:302.15000000000003pt;width:74.150000000000006pt;height:11.75pt;z-index:-125829373;mso-wrap-distance-left:9.pt;mso-wrap-distance-top:12.pt;mso-wrap-distance-right:414.35000000000002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法定代表人：陈鑫</w:t>
                      </w:r>
                    </w:p>
                  </w:txbxContent>
                </v:textbox>
                <w10:wrap type="topAndBottom" anchorx="page" anchory="margin"/>
              </v:shape>
            </w:pict>
          </mc:Fallback>
        </mc:AlternateContent>
      </w:r>
      <w:r>
        <mc:AlternateContent>
          <mc:Choice Requires="wps">
            <w:drawing>
              <wp:anchor distT="152400" distB="3175" distL="2232660" distR="2576830" simplePos="0" relativeHeight="125829382" behindDoc="0" locked="0" layoutInCell="1" allowOverlap="1">
                <wp:simplePos x="0" y="0"/>
                <wp:positionH relativeFrom="page">
                  <wp:posOffset>2821305</wp:posOffset>
                </wp:positionH>
                <wp:positionV relativeFrom="margin">
                  <wp:posOffset>3837305</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主管会计工作负责人：刘志惠</w:t>
                            </w:r>
                          </w:p>
                        </w:txbxContent>
                      </wps:txbx>
                      <wps:bodyPr wrap="none" lIns="0" tIns="0" rIns="0" bIns="0">
                        <a:noAutoFit/>
                      </wps:bodyPr>
                    </wps:wsp>
                  </a:graphicData>
                </a:graphic>
              </wp:anchor>
            </w:drawing>
          </mc:Choice>
          <mc:Fallback>
            <w:pict>
              <v:shape id="_x0000_s1032" type="#_x0000_t202" style="position:absolute;margin-left:222.15000000000001pt;margin-top:302.15000000000003pt;width:118.8pt;height:11.5pt;z-index:-125829371;mso-wrap-distance-left:175.80000000000001pt;mso-wrap-distance-top:12.pt;mso-wrap-distance-right:202.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主管会计工作负责人：刘志惠</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5506720</wp:posOffset>
                </wp:positionH>
                <wp:positionV relativeFrom="margin">
                  <wp:posOffset>3837305</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034" type="#_x0000_t202" style="position:absolute;margin-left:433.60000000000002pt;margin-top:302.15000000000003pt;width:101.3pt;height:11.75pt;z-index:-125829369;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、母公司资产负债表</w:t>
      </w:r>
      <w:bookmarkEnd w:id="708"/>
      <w:bookmarkEnd w:id="709"/>
      <w:bookmarkEnd w:id="71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69,369,438.12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67,489,149.28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11,445,020.20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8,690,480.00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436,616,340.84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280,261,320.79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14,236,288.13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9,544,128.10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96,380,499.03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90,922,644.98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40,500,945.84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35,282,073.75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5,129,008.15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429,052.60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1,345,920.20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674,106,592.91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493,535,717.10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3,431,027,177.56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3,429,474,639.77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3,206,014.19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3,000,237.99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143,932,321.12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144,605,697.91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3,318,027.06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60,602,572.89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32,962,015.80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51,068,769.20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58,182,971.28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1,979,286.27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51,883,931.59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40,168,717.22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3,747,018,099.88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3,708,394,279.97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4,421,124,692.79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4,201,929,997.07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4,558,170.00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3,859,700.00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519,434,770.55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404,423,361.44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55,989,002.60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41,702,769.60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1,011,997.57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2,944,273.86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6,516,567.31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6,982,774.62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11,162,237.81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10,778,258.50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1,795,121.12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3,273,761.84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5,391,066.84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603,741,628.80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476,082,204.86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1,682,241.16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8,227,758.81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10,948,697.91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9,909,999.97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10,948,697.91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613,651,628.77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487,030,902.77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846,294,603.00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838,336,028.00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2,758,981,121.08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2,662,430,356.78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3,334,640.00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1,206,014.19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58,068,500.01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57,036,561.38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146,257,465.74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156,895,910.15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3,807,473,064.02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3,714,899,094.30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4,421,124,692.79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4,201,929,997.07</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、合并利润表</w:t>
      </w:r>
      <w:bookmarkEnd w:id="712"/>
      <w:bookmarkEnd w:id="713"/>
      <w:bookmarkEnd w:id="7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2,788,967,984.57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2,383,704,942.48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2,788,967,984.57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2,383,704,942.48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2,516,698,660.86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2,212,316,259.43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1,731,326,558.94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1,538,049,066.18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12,012,552.33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19,960,139.99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333,315,307.54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274,228,766.90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168,469,816.67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157,745,639.08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282,925,506.16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247,594,767.24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-11,351,080.78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-25,262,119.96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937,200.62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12,356,740.81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25,861,994.10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21,617,001.53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48,463,235.52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69,617,841.05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-2,750,462.21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-8,387,852.83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-40,194,940.32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-117,980,115.76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-14,624,046.67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w:t>
            </w:r>
          </w:p>
        </w:tc>
      </w:tr>
    </w:tbl>
    <w:p>
      <w:pPr>
        <w:widowControl w:val="0"/>
        <w:spacing w:line="1" w:lineRule="exact"/>
      </w:pPr>
      <w:r>
        <w:br w:type="page"/>
      </w:r>
    </w:p>
    <w:tbl>
      <w:tblPr>
        <w:tblOverlap w:val="never"/>
        <w:jc w:val="center"/>
        <w:tblLayout w:type="fixed"/>
      </w:tblPr>
      <w:tblGrid>
        <w:gridCol w:w="4402"/>
        <w:gridCol w:w="2549"/>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237,136,197.70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165,696,770.98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6,069,317.81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1,155,568.74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199,824.76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243,005,690.75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166,837,880.30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4,340,722.04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4,387,252.61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238,664,968.71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162,450,627.69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238,664,968.71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162,450,627.69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238,048,110.30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161,408,158.18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616,858.41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1,042,469.51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238,870,745.91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162,922,492.20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238,253,887.50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161,880,022.69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616,858.41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1,042,469.51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0.1925</w:t>
            </w:r>
          </w:p>
        </w:tc>
      </w:tr>
    </w:tbl>
    <w:p>
      <w:pPr>
        <w:widowControl w:val="0"/>
        <w:spacing w:line="1" w:lineRule="exact"/>
      </w:pPr>
      <w:r>
        <w:br w:type="page"/>
      </w:r>
    </w:p>
    <w:tbl>
      <w:tblPr>
        <w:tblOverlap w:val="never"/>
        <w:jc w:val="center"/>
        <w:tblLayout w:type="fixed"/>
      </w:tblPr>
      <w:tblGrid>
        <w:gridCol w:w="4402"/>
        <w:gridCol w:w="2549"/>
        <w:gridCol w:w="263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0.1925</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331" w:val="left"/>
          <w:tab w:pos="7560" w:val="left"/>
        </w:tabs>
        <w:bidi w:val="0"/>
        <w:spacing w:before="0" w:after="400" w:line="240" w:lineRule="auto"/>
        <w:ind w:left="0" w:right="0" w:firstLine="0"/>
        <w:jc w:val="left"/>
      </w:pPr>
      <w:r>
        <w:rPr>
          <w:color w:val="000000"/>
          <w:spacing w:val="0"/>
          <w:w w:val="100"/>
          <w:position w:val="0"/>
        </w:rPr>
        <w:t>法定代表人：陈鑫</w:t>
        <w:tab/>
        <w:t>主管会计工作负责人：刘志惠</w:t>
        <w:tab/>
        <w:t>会计机构负责人：周天文</w:t>
      </w:r>
    </w:p>
    <w:p>
      <w:pPr>
        <w:pStyle w:val="Style32"/>
        <w:keepNext/>
        <w:keepLines/>
        <w:widowControl w:val="0"/>
        <w:shd w:val="clear" w:color="auto" w:fill="auto"/>
        <w:bidi w:val="0"/>
        <w:spacing w:before="0" w:after="40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4</w:t>
      </w:r>
      <w:bookmarkEnd w:id="718"/>
      <w:r>
        <w:rPr>
          <w:color w:val="000000"/>
          <w:spacing w:val="0"/>
          <w:w w:val="100"/>
          <w:position w:val="0"/>
        </w:rPr>
        <w:t>、母公司利润表</w:t>
      </w:r>
      <w:bookmarkEnd w:id="716"/>
      <w:bookmarkEnd w:id="717"/>
      <w:bookmarkEnd w:id="7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369,120,692.03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259,452,394.01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138,738,971.60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114,949,079.82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4,213,241.98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2,463,017.65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63,813,878.51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52,010,527.12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73,828,911.46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58,863,392.86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122,405,795.42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84,549,773.34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-752,212.64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-416,905.52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131,687.30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438,696.96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445,230.43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5,366,227.02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1,387,626.76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21,949,127.96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70,651,036.55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-2,750,462.21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以摊余成本计量的金融资产终止确认收益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9,131,102.00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-16,509,526.68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-8,604,356.97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-5,285,794.29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2,244,850.48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4,816,292.43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566,237.42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-595,829.09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2,808,530.34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-11,715,214.37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-11,155,084.43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11,119,385.28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13,963,614.77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11,119,385.28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13,963,614.77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205,777.20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205,777.20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205,777.20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11,325,162.48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14,435,479.28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5</w:t>
      </w:r>
      <w:bookmarkEnd w:id="722"/>
      <w:r>
        <w:rPr>
          <w:color w:val="000000"/>
          <w:spacing w:val="0"/>
          <w:w w:val="100"/>
          <w:position w:val="0"/>
        </w:rPr>
        <w:t>、合并现金流量表</w:t>
      </w:r>
      <w:bookmarkEnd w:id="720"/>
      <w:bookmarkEnd w:id="721"/>
      <w:bookmarkEnd w:id="72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4,060,116,955.01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3,027,053,969.75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18,972,259.95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30,914,604.88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51,296,937.04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49,713,249.40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4,130,386,152.00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3,107,681,824.03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2,574,881,608.62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1,634,016,062.08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627,842,756.66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498,177,693.81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131,450,938.88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160,802,930.56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115,344,499.40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186,396,034.29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3,449,519,803.56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2,479,392,720.74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680,866,348.44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628,289,103.29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11,370,023.03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27,251,872.02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1,188,645,053.36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91,759,289.98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85,195,199.10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1,158,000,000.00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1,249,759,289.98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114,195,199.10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-61,114,236.62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-114,122,708.36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89,960,085.62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89,960,085.62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16,783,487.28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15,928,378.53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10,994,506.40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25,745,056.34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27,777,993.68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41,673,434.87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62,182,091.94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-41,673,434.87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681,934,203.76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472,492,960.06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1,960,417,190.23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1,487,924,230.17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2,642,351,393.99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1,960,417,190.23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6</w:t>
      </w:r>
      <w:bookmarkEnd w:id="726"/>
      <w:r>
        <w:rPr>
          <w:color w:val="000000"/>
          <w:spacing w:val="0"/>
          <w:w w:val="100"/>
          <w:position w:val="0"/>
        </w:rPr>
        <w:t>、母公司现金流量表</w:t>
      </w:r>
      <w:bookmarkEnd w:id="724"/>
      <w:bookmarkEnd w:id="725"/>
      <w:bookmarkEnd w:id="72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262,897,736.64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365,980,924.39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4,783,644.32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3,384,099.42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13,142,785.65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1,973,129.14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280,824,166.61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371,338,152.95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79,204,635.36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164,874,681.40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190,050,658.63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161,042,712.50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26,700,593.58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10,294,769.25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19,149,515.23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53,257,079.47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315,105,402.80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389,469,242.62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-34,281,236.19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-18,131,089.67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28,204,409.19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100,064,335.00</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51,887,811.17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42,683,189.74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10,775,000.00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54,745,056.34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62,662,811.17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97,428,246.08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-34,458,401.98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2,636,088.92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88,735,085.62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88,735,085.62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16,783,487.28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15,944,312.91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1,667,052.80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18,450,540.08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15,944,312.91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70,284,545.54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-15,693,072.91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1,544,907.37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-31,188,073.66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67,131,985.95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98,320,059.61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68,676,893.32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67,131,985.95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7</w:t>
      </w:r>
      <w:bookmarkEnd w:id="730"/>
      <w:r>
        <w:rPr>
          <w:color w:val="000000"/>
          <w:spacing w:val="0"/>
          <w:w w:val="100"/>
          <w:position w:val="0"/>
        </w:rPr>
        <w:t>、合并所有者权益变动表</w:t>
      </w:r>
      <w:bookmarkEnd w:id="728"/>
      <w:bookmarkEnd w:id="729"/>
      <w:bookmarkEnd w:id="73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802,46</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822,96</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198,26</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10,651 </w:t>
            </w:r>
            <w:r>
              <w:rPr>
                <w:rFonts w:ascii="Times New Roman" w:eastAsia="Times New Roman" w:hAnsi="Times New Roman" w:cs="Times New Roman"/>
                <w:color w:val="000000"/>
                <w:spacing w:val="0"/>
                <w:w w:val="100"/>
                <w:position w:val="0"/>
                <w:sz w:val="18"/>
                <w:szCs w:val="18"/>
              </w:rPr>
              <w:t xml:space="preserve">,779.2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802,46</w:t>
            </w:r>
          </w:p>
          <w:p>
            <w:pPr>
              <w:pStyle w:val="Style21"/>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57,036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822,96</w:t>
            </w:r>
          </w:p>
          <w:p>
            <w:pPr>
              <w:pStyle w:val="Style21"/>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198,26</w:t>
            </w:r>
          </w:p>
          <w:p>
            <w:pPr>
              <w:pStyle w:val="Style21"/>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10,651 </w:t>
            </w:r>
            <w:r>
              <w:rPr>
                <w:rFonts w:ascii="Times New Roman" w:eastAsia="Times New Roman" w:hAnsi="Times New Roman" w:cs="Times New Roman"/>
                <w:color w:val="000000"/>
                <w:spacing w:val="0"/>
                <w:w w:val="100"/>
                <w:position w:val="0"/>
                <w:sz w:val="18"/>
                <w:szCs w:val="18"/>
              </w:rPr>
              <w:t xml:space="preserve">,779.2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850,04</w:t>
            </w:r>
          </w:p>
          <w:p>
            <w:pPr>
              <w:pStyle w:val="Style21"/>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2.79</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7,958 </w:t>
            </w:r>
            <w:r>
              <w:rPr>
                <w:rFonts w:ascii="Times New Roman" w:eastAsia="Times New Roman" w:hAnsi="Times New Roman" w:cs="Times New Roman"/>
                <w:color w:val="000000"/>
                <w:spacing w:val="0"/>
                <w:w w:val="100"/>
                <w:position w:val="0"/>
                <w:sz w:val="18"/>
                <w:szCs w:val="18"/>
              </w:rPr>
              <w:t>,575.</w:t>
            </w:r>
          </w:p>
          <w:p>
            <w:pPr>
              <w:pStyle w:val="Style21"/>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96,550 </w:t>
            </w:r>
            <w:r>
              <w:rPr>
                <w:rFonts w:ascii="Times New Roman" w:eastAsia="Times New Roman" w:hAnsi="Times New Roman" w:cs="Times New Roman"/>
                <w:color w:val="000000"/>
                <w:spacing w:val="0"/>
                <w:w w:val="100"/>
                <w:position w:val="0"/>
                <w:sz w:val="18"/>
                <w:szCs w:val="18"/>
              </w:rPr>
              <w:t xml:space="preserve">,764.3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219,29 </w:t>
            </w:r>
            <w:r>
              <w:rPr>
                <w:rFonts w:ascii="Times New Roman" w:eastAsia="Times New Roman" w:hAnsi="Times New Roman" w:cs="Times New Roman"/>
                <w:color w:val="000000"/>
                <w:spacing w:val="0"/>
                <w:w w:val="100"/>
                <w:position w:val="0"/>
                <w:sz w:val="18"/>
                <w:szCs w:val="18"/>
              </w:rPr>
              <w:t>0,280.</w:t>
            </w:r>
          </w:p>
          <w:p>
            <w:pPr>
              <w:pStyle w:val="Style21"/>
              <w:keepNext w:val="0"/>
              <w:keepLines w:val="0"/>
              <w:widowControl w:val="0"/>
              <w:shd w:val="clear" w:color="auto" w:fill="auto"/>
              <w:bidi w:val="0"/>
              <w:spacing w:before="0" w:after="0" w:line="36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329,18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205,77</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238,25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3,887.</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616,85</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238,87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7,958 </w:t>
            </w:r>
            <w:r>
              <w:rPr>
                <w:rFonts w:ascii="Times New Roman" w:eastAsia="Times New Roman" w:hAnsi="Times New Roman" w:cs="Times New Roman"/>
                <w:color w:val="000000"/>
                <w:spacing w:val="0"/>
                <w:w w:val="100"/>
                <w:position w:val="0"/>
                <w:sz w:val="18"/>
                <w:szCs w:val="18"/>
              </w:rPr>
              <w:t>,575.</w:t>
            </w:r>
          </w:p>
          <w:p>
            <w:pPr>
              <w:pStyle w:val="Style21"/>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96,550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4,699.</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7,958 </w:t>
            </w:r>
            <w:r>
              <w:rPr>
                <w:rFonts w:ascii="Times New Roman" w:eastAsia="Times New Roman" w:hAnsi="Times New Roman" w:cs="Times New Roman"/>
                <w:color w:val="000000"/>
                <w:spacing w:val="0"/>
                <w:w w:val="100"/>
                <w:position w:val="0"/>
                <w:sz w:val="18"/>
                <w:szCs w:val="18"/>
              </w:rPr>
              <w:t>,575.</w:t>
            </w:r>
          </w:p>
          <w:p>
            <w:pPr>
              <w:pStyle w:val="Style21"/>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82,928 </w:t>
            </w:r>
            <w:r>
              <w:rPr>
                <w:rFonts w:ascii="Times New Roman" w:eastAsia="Times New Roman" w:hAnsi="Times New Roman" w:cs="Times New Roman"/>
                <w:color w:val="000000"/>
                <w:spacing w:val="0"/>
                <w:w w:val="100"/>
                <w:position w:val="0"/>
                <w:sz w:val="18"/>
                <w:szCs w:val="18"/>
              </w:rPr>
              <w:t xml:space="preserve">,351.5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90,886 </w:t>
            </w:r>
            <w:r>
              <w:rPr>
                <w:rFonts w:ascii="Times New Roman" w:eastAsia="Times New Roman" w:hAnsi="Times New Roman" w:cs="Times New Roman"/>
                <w:color w:val="000000"/>
                <w:spacing w:val="0"/>
                <w:w w:val="100"/>
                <w:position w:val="0"/>
                <w:sz w:val="18"/>
                <w:szCs w:val="18"/>
              </w:rPr>
              <w:t xml:space="preserve">,926.5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96,957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13,594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13,594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5,892.</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-1,031, 938.63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5,892.</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799,99</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94,60</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353,23</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w:t>
            </w:r>
          </w:p>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113,24</w:t>
            </w:r>
          </w:p>
          <w:p>
            <w:pPr>
              <w:pStyle w:val="Style21"/>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700,95</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039,82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349,84</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55,640 </w:t>
            </w:r>
            <w:r>
              <w:rPr>
                <w:rFonts w:ascii="Times New Roman" w:eastAsia="Times New Roman" w:hAnsi="Times New Roman" w:cs="Times New Roman"/>
                <w:color w:val="000000"/>
                <w:spacing w:val="0"/>
                <w:w w:val="100"/>
                <w:position w:val="0"/>
                <w:sz w:val="18"/>
                <w:szCs w:val="18"/>
              </w:rPr>
              <w:t xml:space="preserve">,199.9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739,54</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55,640 </w:t>
            </w:r>
            <w:r>
              <w:rPr>
                <w:rFonts w:ascii="Times New Roman" w:eastAsia="Times New Roman" w:hAnsi="Times New Roman" w:cs="Times New Roman"/>
                <w:color w:val="000000"/>
                <w:spacing w:val="0"/>
                <w:w w:val="100"/>
                <w:position w:val="0"/>
                <w:sz w:val="18"/>
                <w:szCs w:val="18"/>
              </w:rPr>
              <w:t xml:space="preserve">,199.9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739,54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793,99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4,602,6</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40,099.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10,452 </w:t>
            </w:r>
            <w:r>
              <w:rPr>
                <w:rFonts w:ascii="Times New Roman" w:eastAsia="Times New Roman" w:hAnsi="Times New Roman" w:cs="Times New Roman"/>
                <w:color w:val="000000"/>
                <w:spacing w:val="0"/>
                <w:w w:val="100"/>
                <w:position w:val="0"/>
                <w:sz w:val="18"/>
                <w:szCs w:val="18"/>
              </w:rPr>
              <w:t xml:space="preserve">,627.5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471,86</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3,418.</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156,40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-41,194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115,209 </w:t>
            </w:r>
            <w:r>
              <w:rPr>
                <w:rFonts w:ascii="Times New Roman" w:eastAsia="Times New Roman" w:hAnsi="Times New Roman" w:cs="Times New Roman"/>
                <w:color w:val="000000"/>
                <w:spacing w:val="0"/>
                <w:w w:val="100"/>
                <w:position w:val="0"/>
                <w:sz w:val="18"/>
                <w:szCs w:val="18"/>
              </w:rPr>
              <w:t>,943.67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471,86</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8,158.</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161,88 </w:t>
            </w:r>
            <w:r>
              <w:rPr>
                <w:rFonts w:ascii="Times New Roman" w:eastAsia="Times New Roman" w:hAnsi="Times New Roman" w:cs="Times New Roman"/>
                <w:color w:val="000000"/>
                <w:spacing w:val="0"/>
                <w:w w:val="100"/>
                <w:position w:val="0"/>
                <w:sz w:val="18"/>
                <w:szCs w:val="18"/>
              </w:rPr>
              <w:t>0,022.</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162,922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,492.20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10,452 </w:t>
            </w:r>
            <w:r>
              <w:rPr>
                <w:rFonts w:ascii="Times New Roman" w:eastAsia="Times New Roman" w:hAnsi="Times New Roman" w:cs="Times New Roman"/>
                <w:color w:val="000000"/>
                <w:spacing w:val="0"/>
                <w:w w:val="100"/>
                <w:position w:val="0"/>
                <w:sz w:val="18"/>
                <w:szCs w:val="18"/>
              </w:rPr>
              <w:t xml:space="preserve">,627.5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10,452 </w:t>
            </w:r>
            <w:r>
              <w:rPr>
                <w:rFonts w:ascii="Times New Roman" w:eastAsia="Times New Roman" w:hAnsi="Times New Roman" w:cs="Times New Roman"/>
                <w:color w:val="000000"/>
                <w:spacing w:val="0"/>
                <w:w w:val="100"/>
                <w:position w:val="0"/>
                <w:sz w:val="18"/>
                <w:szCs w:val="18"/>
              </w:rPr>
              <w:t xml:space="preserve">,627.5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-42,236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-31,784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10,452 </w:t>
            </w:r>
            <w:r>
              <w:rPr>
                <w:rFonts w:ascii="Times New Roman" w:eastAsia="Times New Roman" w:hAnsi="Times New Roman" w:cs="Times New Roman"/>
                <w:color w:val="000000"/>
                <w:spacing w:val="0"/>
                <w:w w:val="100"/>
                <w:position w:val="0"/>
                <w:sz w:val="18"/>
                <w:szCs w:val="18"/>
              </w:rPr>
              <w:t xml:space="preserve">,627.5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10,452 </w:t>
            </w:r>
            <w:r>
              <w:rPr>
                <w:rFonts w:ascii="Times New Roman" w:eastAsia="Times New Roman" w:hAnsi="Times New Roman" w:cs="Times New Roman"/>
                <w:color w:val="000000"/>
                <w:spacing w:val="0"/>
                <w:w w:val="100"/>
                <w:position w:val="0"/>
                <w:sz w:val="18"/>
                <w:szCs w:val="18"/>
              </w:rPr>
              <w:t xml:space="preserve">,627.5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-42,236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-31,784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w:t>
            </w:r>
          </w:p>
          <w:p>
            <w:pPr>
              <w:pStyle w:val="Style21"/>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802,46</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4,717,8 </w:t>
            </w:r>
            <w:r>
              <w:rPr>
                <w:rFonts w:ascii="Times New Roman" w:eastAsia="Times New Roman" w:hAnsi="Times New Roman" w:cs="Times New Roman"/>
                <w:color w:val="000000"/>
                <w:spacing w:val="0"/>
                <w:w w:val="100"/>
                <w:position w:val="0"/>
                <w:sz w:val="18"/>
                <w:szCs w:val="18"/>
              </w:rPr>
              <w:t>50,042.</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8</w:t>
      </w:r>
      <w:bookmarkEnd w:id="734"/>
      <w:r>
        <w:rPr>
          <w:color w:val="000000"/>
          <w:spacing w:val="0"/>
          <w:w w:val="100"/>
          <w:position w:val="0"/>
        </w:rPr>
        <w:t>、母公司所有者权益变动表</w:t>
      </w:r>
      <w:bookmarkEnd w:id="732"/>
      <w:bookmarkEnd w:id="733"/>
      <w:bookmarkEnd w:id="73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57,036,5</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3,711,899,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57,036,5</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3,711,899,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094.30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96,550,7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1,031,93</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95,573,96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205,777.</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11,325,162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96,550,7</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7,958,5</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82,928,3</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90,886,92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13,594,4</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1,031,93</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-17,957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1,031,93</w:t>
            </w:r>
          </w:p>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-1,031, 938.63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799,999.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-799,99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799,999.</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-799,99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4,603.0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2,758,98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3,807,473,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064.02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w:t>
            </w:r>
          </w:p>
          <w:p>
            <w:pPr>
              <w:pStyle w:val="Style21"/>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30,356.</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55,640,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160,257,0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3,716,391,9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w:t>
            </w:r>
          </w:p>
          <w:p>
            <w:pPr>
              <w:pStyle w:val="Style21"/>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30,356.</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55,640,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157,257,0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3,713,391,9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-3,361,12</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13,963,61</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14,435,479.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-17,324,7</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-15,928,378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-15,928,3</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-15,928,378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153,895,9</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3,711,899,0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736" w:name="bookmark736"/>
      <w:bookmarkStart w:id="737" w:name="bookmark737"/>
      <w:bookmarkStart w:id="738" w:name="bookmark738"/>
      <w:r>
        <w:rPr>
          <w:color w:val="000000"/>
          <w:spacing w:val="0"/>
          <w:w w:val="100"/>
          <w:position w:val="0"/>
        </w:rPr>
        <w:t>三、公司基本情况</w:t>
      </w:r>
      <w:bookmarkEnd w:id="736"/>
      <w:bookmarkEnd w:id="737"/>
      <w:bookmarkEnd w:id="738"/>
    </w:p>
    <w:p>
      <w:pPr>
        <w:pStyle w:val="Style18"/>
        <w:keepNext w:val="0"/>
        <w:keepLines w:val="0"/>
        <w:widowControl w:val="0"/>
        <w:shd w:val="clear" w:color="auto" w:fill="auto"/>
        <w:bidi w:val="0"/>
        <w:spacing w:before="0" w:after="340" w:line="240" w:lineRule="auto"/>
        <w:ind w:left="0" w:right="0" w:firstLine="360"/>
        <w:jc w:val="left"/>
      </w:pPr>
      <w:r>
        <w:rPr>
          <w:b/>
          <w:bCs/>
          <w:color w:val="000000"/>
          <w:spacing w:val="0"/>
          <w:w w:val="100"/>
          <w:position w:val="0"/>
        </w:rPr>
        <w:t>（一）公司注册地、组织形式和总部地址</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成都卫士通信息产业股份有限公司（以下简称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）是于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日经成都市经济体制改革委 员会</w:t>
      </w:r>
      <w:r>
        <w:rPr>
          <w:rFonts w:ascii="Times New Roman" w:eastAsia="Times New Roman" w:hAnsi="Times New Roman" w:cs="Times New Roman"/>
          <w:color w:val="000000"/>
          <w:spacing w:val="0"/>
          <w:w w:val="100"/>
          <w:position w:val="0"/>
        </w:rPr>
        <w:t>“</w:t>
      </w:r>
      <w:r>
        <w:rPr>
          <w:color w:val="000000"/>
          <w:spacing w:val="0"/>
          <w:w w:val="100"/>
          <w:position w:val="0"/>
        </w:rPr>
        <w:t>成体改</w:t>
      </w:r>
      <w:r>
        <w:rPr>
          <w:rFonts w:ascii="Times New Roman" w:eastAsia="Times New Roman" w:hAnsi="Times New Roman" w:cs="Times New Roman"/>
          <w:color w:val="000000"/>
          <w:spacing w:val="0"/>
          <w:w w:val="100"/>
          <w:position w:val="0"/>
        </w:rPr>
        <w:t>[1998]</w:t>
      </w:r>
      <w:r>
        <w:rPr>
          <w:color w:val="000000"/>
          <w:spacing w:val="0"/>
          <w:w w:val="100"/>
          <w:position w:val="0"/>
        </w:rPr>
        <w:t>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文批准成立的股份有限公司，取得了成都市工商行政管理局核发的 </w:t>
      </w:r>
      <w:r>
        <w:rPr>
          <w:rFonts w:ascii="Times New Roman" w:eastAsia="Times New Roman" w:hAnsi="Times New Roman" w:cs="Times New Roman"/>
          <w:color w:val="000000"/>
          <w:spacing w:val="0"/>
          <w:w w:val="100"/>
          <w:position w:val="0"/>
        </w:rPr>
        <w:t>510109000045289</w:t>
      </w:r>
      <w:r>
        <w:rPr>
          <w:color w:val="000000"/>
          <w:spacing w:val="0"/>
          <w:w w:val="100"/>
          <w:position w:val="0"/>
        </w:rPr>
        <w:t>号《企业法人营业执照》。公司由中国电子科技集团公司第三十研究所、西南通信研究 所、成都西通开发公司及罗天文等</w:t>
      </w:r>
      <w:r>
        <w:rPr>
          <w:rFonts w:ascii="Times New Roman" w:eastAsia="Times New Roman" w:hAnsi="Times New Roman" w:cs="Times New Roman"/>
          <w:color w:val="000000"/>
          <w:spacing w:val="0"/>
          <w:w w:val="100"/>
          <w:position w:val="0"/>
        </w:rPr>
        <w:t>1,418</w:t>
      </w:r>
      <w:r>
        <w:rPr>
          <w:color w:val="000000"/>
          <w:spacing w:val="0"/>
          <w:w w:val="100"/>
          <w:position w:val="0"/>
        </w:rPr>
        <w:t xml:space="preserve">名自然人共同出资以发起设立方式组建，公司注册资本人民币 </w:t>
      </w:r>
      <w:r>
        <w:rPr>
          <w:rFonts w:ascii="Times New Roman" w:eastAsia="Times New Roman" w:hAnsi="Times New Roman" w:cs="Times New Roman"/>
          <w:color w:val="000000"/>
          <w:spacing w:val="0"/>
          <w:w w:val="100"/>
          <w:position w:val="0"/>
        </w:rPr>
        <w:t>1,201.00</w:t>
      </w:r>
      <w:r>
        <w:rPr>
          <w:color w:val="000000"/>
          <w:spacing w:val="0"/>
          <w:w w:val="100"/>
          <w:position w:val="0"/>
        </w:rPr>
        <w:t>万元。</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2000</w:t>
      </w:r>
      <w:r>
        <w:rPr>
          <w:color w:val="000000"/>
          <w:spacing w:val="0"/>
          <w:w w:val="100"/>
          <w:position w:val="0"/>
        </w:rPr>
        <w:t>年实施</w:t>
      </w:r>
      <w:r>
        <w:rPr>
          <w:rFonts w:ascii="Times New Roman" w:eastAsia="Times New Roman" w:hAnsi="Times New Roman" w:cs="Times New Roman"/>
          <w:color w:val="000000"/>
          <w:spacing w:val="0"/>
          <w:w w:val="100"/>
          <w:position w:val="0"/>
        </w:rPr>
        <w:t>1999</w:t>
      </w:r>
      <w:r>
        <w:rPr>
          <w:color w:val="000000"/>
          <w:spacing w:val="0"/>
          <w:w w:val="100"/>
          <w:position w:val="0"/>
        </w:rPr>
        <w:t>年度分配方案，以</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日累计可供分配利润向全体股东每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 xml:space="preserve">5.6 </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6,725,600.00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18,735,600</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2001</w:t>
      </w:r>
      <w:r>
        <w:rPr>
          <w:color w:val="000000"/>
          <w:spacing w:val="0"/>
          <w:w w:val="100"/>
          <w:position w:val="0"/>
        </w:rPr>
        <w:t>年实施</w:t>
      </w:r>
      <w:r>
        <w:rPr>
          <w:rFonts w:ascii="Times New Roman" w:eastAsia="Times New Roman" w:hAnsi="Times New Roman" w:cs="Times New Roman"/>
          <w:color w:val="000000"/>
          <w:spacing w:val="0"/>
          <w:w w:val="100"/>
          <w:position w:val="0"/>
        </w:rPr>
        <w:t>2000</w:t>
      </w:r>
      <w:r>
        <w:rPr>
          <w:color w:val="000000"/>
          <w:spacing w:val="0"/>
          <w:w w:val="100"/>
          <w:position w:val="0"/>
        </w:rPr>
        <w:t>年度分配方案，以</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日累计可供分配利润向全体股东每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股， 共计派发股票股利</w:t>
      </w:r>
      <w:r>
        <w:rPr>
          <w:rFonts w:ascii="Times New Roman" w:eastAsia="Times New Roman" w:hAnsi="Times New Roman" w:cs="Times New Roman"/>
          <w:color w:val="000000"/>
          <w:spacing w:val="0"/>
          <w:w w:val="100"/>
          <w:position w:val="0"/>
        </w:rPr>
        <w:t>5,620,680.00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24,356,280</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月公司发起人股东在持有本公司股份满三年后进行合法转让，自然人股东分别转让</w:t>
      </w:r>
      <w:r>
        <w:rPr>
          <w:rFonts w:ascii="Times New Roman" w:eastAsia="Times New Roman" w:hAnsi="Times New Roman" w:cs="Times New Roman"/>
          <w:color w:val="000000"/>
          <w:spacing w:val="0"/>
          <w:w w:val="100"/>
          <w:position w:val="0"/>
        </w:rPr>
        <w:t>860</w:t>
      </w:r>
      <w:r>
        <w:rPr>
          <w:color w:val="000000"/>
          <w:spacing w:val="0"/>
          <w:w w:val="100"/>
          <w:position w:val="0"/>
        </w:rPr>
        <w:t xml:space="preserve">万股和 </w:t>
      </w:r>
      <w:r>
        <w:rPr>
          <w:rFonts w:ascii="Times New Roman" w:eastAsia="Times New Roman" w:hAnsi="Times New Roman" w:cs="Times New Roman"/>
          <w:color w:val="000000"/>
          <w:spacing w:val="0"/>
          <w:w w:val="100"/>
          <w:position w:val="0"/>
        </w:rPr>
        <w:t>120</w:t>
      </w:r>
      <w:r>
        <w:rPr>
          <w:color w:val="000000"/>
          <w:spacing w:val="0"/>
          <w:w w:val="100"/>
          <w:position w:val="0"/>
        </w:rPr>
        <w:t>万股给成都新兴创业投资有限责任公司和成都三实立科技实业有限公司，同时自然人股东内部也进行 了转让，上述股权转让已在成都市工商局办理备案登记。转让后，股本结构变化为中国电子科技集团公司 第三十研究所持股</w:t>
      </w:r>
      <w:r>
        <w:rPr>
          <w:rFonts w:ascii="Times New Roman" w:eastAsia="Times New Roman" w:hAnsi="Times New Roman" w:cs="Times New Roman"/>
          <w:color w:val="000000"/>
          <w:spacing w:val="0"/>
          <w:w w:val="100"/>
          <w:position w:val="0"/>
        </w:rPr>
        <w:t>42.96%</w:t>
      </w:r>
      <w:r>
        <w:rPr>
          <w:color w:val="000000"/>
          <w:spacing w:val="0"/>
          <w:w w:val="100"/>
          <w:position w:val="0"/>
        </w:rPr>
        <w:t>，成都新兴创业投资有限责任公司持股</w:t>
      </w:r>
      <w:r>
        <w:rPr>
          <w:rFonts w:ascii="Times New Roman" w:eastAsia="Times New Roman" w:hAnsi="Times New Roman" w:cs="Times New Roman"/>
          <w:color w:val="000000"/>
          <w:spacing w:val="0"/>
          <w:w w:val="100"/>
          <w:position w:val="0"/>
        </w:rPr>
        <w:t>35.31%</w:t>
      </w:r>
      <w:r>
        <w:rPr>
          <w:color w:val="000000"/>
          <w:spacing w:val="0"/>
          <w:w w:val="100"/>
          <w:position w:val="0"/>
        </w:rPr>
        <w:t>，西南通信研究所持股</w:t>
      </w:r>
      <w:r>
        <w:rPr>
          <w:rFonts w:ascii="Times New Roman" w:eastAsia="Times New Roman" w:hAnsi="Times New Roman" w:cs="Times New Roman"/>
          <w:color w:val="000000"/>
          <w:spacing w:val="0"/>
          <w:w w:val="100"/>
          <w:position w:val="0"/>
        </w:rPr>
        <w:t>5.00%</w:t>
      </w:r>
      <w:r>
        <w:rPr>
          <w:color w:val="000000"/>
          <w:spacing w:val="0"/>
          <w:w w:val="100"/>
          <w:position w:val="0"/>
        </w:rPr>
        <w:t>，成 都三实立科技实业有限公司持股</w:t>
      </w:r>
      <w:r>
        <w:rPr>
          <w:rFonts w:ascii="Times New Roman" w:eastAsia="Times New Roman" w:hAnsi="Times New Roman" w:cs="Times New Roman"/>
          <w:color w:val="000000"/>
          <w:spacing w:val="0"/>
          <w:w w:val="100"/>
          <w:position w:val="0"/>
        </w:rPr>
        <w:t>4.93%</w:t>
      </w:r>
      <w:r>
        <w:rPr>
          <w:color w:val="000000"/>
          <w:spacing w:val="0"/>
          <w:w w:val="100"/>
          <w:position w:val="0"/>
        </w:rPr>
        <w:t>，成都西通开发公司持股</w:t>
      </w:r>
      <w:r>
        <w:rPr>
          <w:rFonts w:ascii="Times New Roman" w:eastAsia="Times New Roman" w:hAnsi="Times New Roman" w:cs="Times New Roman"/>
          <w:color w:val="000000"/>
          <w:spacing w:val="0"/>
          <w:w w:val="100"/>
          <w:position w:val="0"/>
        </w:rPr>
        <w:t>2.08%</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名自然人股东持股</w:t>
      </w:r>
      <w:r>
        <w:rPr>
          <w:rFonts w:ascii="Times New Roman" w:eastAsia="Times New Roman" w:hAnsi="Times New Roman" w:cs="Times New Roman"/>
          <w:color w:val="000000"/>
          <w:spacing w:val="0"/>
          <w:w w:val="100"/>
          <w:position w:val="0"/>
        </w:rPr>
        <w:t>9.72%</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2002</w:t>
      </w:r>
      <w:r>
        <w:rPr>
          <w:color w:val="000000"/>
          <w:spacing w:val="0"/>
          <w:w w:val="100"/>
          <w:position w:val="0"/>
        </w:rPr>
        <w:t>年实施</w:t>
      </w:r>
      <w:r>
        <w:rPr>
          <w:rFonts w:ascii="Times New Roman" w:eastAsia="Times New Roman" w:hAnsi="Times New Roman" w:cs="Times New Roman"/>
          <w:color w:val="000000"/>
          <w:spacing w:val="0"/>
          <w:w w:val="100"/>
          <w:position w:val="0"/>
        </w:rPr>
        <w:t>2001</w:t>
      </w:r>
      <w:r>
        <w:rPr>
          <w:color w:val="000000"/>
          <w:spacing w:val="0"/>
          <w:w w:val="100"/>
          <w:position w:val="0"/>
        </w:rPr>
        <w:t>年度分配方案，以</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4.5</w:t>
      </w:r>
      <w:r>
        <w:rPr>
          <w:color w:val="000000"/>
          <w:spacing w:val="0"/>
          <w:w w:val="100"/>
          <w:position w:val="0"/>
        </w:rPr>
        <w:t>股， 共计派发股票股利</w:t>
      </w:r>
      <w:r>
        <w:rPr>
          <w:rFonts w:ascii="Times New Roman" w:eastAsia="Times New Roman" w:hAnsi="Times New Roman" w:cs="Times New Roman"/>
          <w:color w:val="000000"/>
          <w:spacing w:val="0"/>
          <w:w w:val="100"/>
          <w:position w:val="0"/>
        </w:rPr>
        <w:t>10,960,326.00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35,316,606</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2003</w:t>
      </w:r>
      <w:r>
        <w:rPr>
          <w:color w:val="000000"/>
          <w:spacing w:val="0"/>
          <w:w w:val="100"/>
          <w:position w:val="0"/>
        </w:rPr>
        <w:t>年实施</w:t>
      </w:r>
      <w:r>
        <w:rPr>
          <w:rFonts w:ascii="Times New Roman" w:eastAsia="Times New Roman" w:hAnsi="Times New Roman" w:cs="Times New Roman"/>
          <w:color w:val="000000"/>
          <w:spacing w:val="0"/>
          <w:w w:val="100"/>
          <w:position w:val="0"/>
        </w:rPr>
        <w:t>2002</w:t>
      </w:r>
      <w:r>
        <w:rPr>
          <w:color w:val="000000"/>
          <w:spacing w:val="0"/>
          <w:w w:val="100"/>
          <w:position w:val="0"/>
        </w:rPr>
        <w:t>年度分配方案，以</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.44</w:t>
      </w:r>
      <w:r>
        <w:rPr>
          <w:color w:val="000000"/>
          <w:spacing w:val="0"/>
          <w:w w:val="100"/>
          <w:position w:val="0"/>
        </w:rPr>
        <w:t>股， 共计派发股票股利</w:t>
      </w:r>
      <w:r>
        <w:rPr>
          <w:rFonts w:ascii="Times New Roman" w:eastAsia="Times New Roman" w:hAnsi="Times New Roman" w:cs="Times New Roman"/>
          <w:color w:val="000000"/>
          <w:spacing w:val="0"/>
          <w:w w:val="100"/>
          <w:position w:val="0"/>
        </w:rPr>
        <w:t>5,085,581.00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40,402,187</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月，成都西通开发公司、西南通信研究所根据中国电子科技集团有限公司电科财（</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 xml:space="preserve">093 </w:t>
      </w:r>
      <w:r>
        <w:rPr>
          <w:color w:val="000000"/>
          <w:spacing w:val="0"/>
          <w:w w:val="100"/>
          <w:position w:val="0"/>
        </w:rPr>
        <w:t>号文《关于同意中国电子科技集团公司第三十研究所全资公司进行资本结构调整的批复》，分别与中国电 子科技集团公司第三十研究所签订《股权划转协议》，将持有的本公司</w:t>
      </w:r>
      <w:r>
        <w:rPr>
          <w:rFonts w:ascii="Times New Roman" w:eastAsia="Times New Roman" w:hAnsi="Times New Roman" w:cs="Times New Roman"/>
          <w:color w:val="000000"/>
          <w:spacing w:val="0"/>
          <w:w w:val="100"/>
          <w:position w:val="0"/>
        </w:rPr>
        <w:t>841,011</w:t>
      </w:r>
      <w:r>
        <w:rPr>
          <w:color w:val="000000"/>
          <w:spacing w:val="0"/>
          <w:w w:val="100"/>
          <w:position w:val="0"/>
        </w:rPr>
        <w:t>股、</w:t>
      </w:r>
      <w:r>
        <w:rPr>
          <w:rFonts w:ascii="Times New Roman" w:eastAsia="Times New Roman" w:hAnsi="Times New Roman" w:cs="Times New Roman"/>
          <w:color w:val="000000"/>
          <w:spacing w:val="0"/>
          <w:w w:val="100"/>
          <w:position w:val="0"/>
        </w:rPr>
        <w:t>2,018,427</w:t>
      </w:r>
      <w:r>
        <w:rPr>
          <w:color w:val="000000"/>
          <w:spacing w:val="0"/>
          <w:w w:val="100"/>
          <w:position w:val="0"/>
        </w:rPr>
        <w:t>股的股权无偿 划转归中国电子科技集团公司第三十研究所持有。划转后，公司的股权结构为中国电子科技集团公司第三 十研究所持股</w:t>
      </w:r>
      <w:r>
        <w:rPr>
          <w:rFonts w:ascii="Times New Roman" w:eastAsia="Times New Roman" w:hAnsi="Times New Roman" w:cs="Times New Roman"/>
          <w:color w:val="000000"/>
          <w:spacing w:val="0"/>
          <w:w w:val="100"/>
          <w:position w:val="0"/>
        </w:rPr>
        <w:t>50.04%</w:t>
      </w:r>
      <w:r>
        <w:rPr>
          <w:color w:val="000000"/>
          <w:spacing w:val="0"/>
          <w:w w:val="100"/>
          <w:position w:val="0"/>
        </w:rPr>
        <w:t>，成都新兴创业投资有限责任公司持股</w:t>
      </w:r>
      <w:r>
        <w:rPr>
          <w:rFonts w:ascii="Times New Roman" w:eastAsia="Times New Roman" w:hAnsi="Times New Roman" w:cs="Times New Roman"/>
          <w:color w:val="000000"/>
          <w:spacing w:val="0"/>
          <w:w w:val="100"/>
          <w:position w:val="0"/>
        </w:rPr>
        <w:t>35.31%</w:t>
      </w:r>
      <w:r>
        <w:rPr>
          <w:color w:val="000000"/>
          <w:spacing w:val="0"/>
          <w:w w:val="100"/>
          <w:position w:val="0"/>
        </w:rPr>
        <w:t xml:space="preserve">，成都三实立科技实业有限公司持股 </w:t>
      </w:r>
      <w:r>
        <w:rPr>
          <w:rFonts w:ascii="Times New Roman" w:eastAsia="Times New Roman" w:hAnsi="Times New Roman" w:cs="Times New Roman"/>
          <w:color w:val="000000"/>
          <w:spacing w:val="0"/>
          <w:w w:val="100"/>
          <w:position w:val="0"/>
        </w:rPr>
        <w:t>4.93%</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名自然人股东持股</w:t>
      </w:r>
      <w:r>
        <w:rPr>
          <w:rFonts w:ascii="Times New Roman" w:eastAsia="Times New Roman" w:hAnsi="Times New Roman" w:cs="Times New Roman"/>
          <w:color w:val="000000"/>
          <w:spacing w:val="0"/>
          <w:w w:val="100"/>
          <w:position w:val="0"/>
        </w:rPr>
        <w:t>9.72%</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2004</w:t>
      </w:r>
      <w:r>
        <w:rPr>
          <w:color w:val="000000"/>
          <w:spacing w:val="0"/>
          <w:w w:val="100"/>
          <w:position w:val="0"/>
        </w:rPr>
        <w:t>年实施</w:t>
      </w:r>
      <w:r>
        <w:rPr>
          <w:rFonts w:ascii="Times New Roman" w:eastAsia="Times New Roman" w:hAnsi="Times New Roman" w:cs="Times New Roman"/>
          <w:color w:val="000000"/>
          <w:spacing w:val="0"/>
          <w:w w:val="100"/>
          <w:position w:val="0"/>
        </w:rPr>
        <w:t>2003</w:t>
      </w:r>
      <w:r>
        <w:rPr>
          <w:color w:val="000000"/>
          <w:spacing w:val="0"/>
          <w:w w:val="100"/>
          <w:position w:val="0"/>
        </w:rPr>
        <w:t>年度分配方案，用</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2.4</w:t>
      </w:r>
      <w:r>
        <w:rPr>
          <w:color w:val="000000"/>
          <w:spacing w:val="0"/>
          <w:w w:val="100"/>
          <w:position w:val="0"/>
        </w:rPr>
        <w:t>股，共计派 发股票股利</w:t>
      </w:r>
      <w:r>
        <w:rPr>
          <w:rFonts w:ascii="Times New Roman" w:eastAsia="Times New Roman" w:hAnsi="Times New Roman" w:cs="Times New Roman"/>
          <w:color w:val="000000"/>
          <w:spacing w:val="0"/>
          <w:w w:val="100"/>
          <w:position w:val="0"/>
        </w:rPr>
        <w:t>9,696,518.00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50,098,705</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2007</w:t>
      </w:r>
      <w:r>
        <w:rPr>
          <w:color w:val="000000"/>
          <w:spacing w:val="0"/>
          <w:w w:val="100"/>
          <w:position w:val="0"/>
        </w:rPr>
        <w:t>年第三次临时股东大会决议和中国证券监督管理委员会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 可</w:t>
      </w:r>
      <w:r>
        <w:rPr>
          <w:rFonts w:ascii="Times New Roman" w:eastAsia="Times New Roman" w:hAnsi="Times New Roman" w:cs="Times New Roman"/>
          <w:color w:val="000000"/>
          <w:spacing w:val="0"/>
          <w:w w:val="100"/>
          <w:position w:val="0"/>
        </w:rPr>
        <w:t>[2008]926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日首次公开发行</w:t>
      </w:r>
      <w:r>
        <w:rPr>
          <w:rFonts w:ascii="Times New Roman" w:eastAsia="Times New Roman" w:hAnsi="Times New Roman" w:cs="Times New Roman"/>
          <w:color w:val="000000"/>
          <w:spacing w:val="0"/>
          <w:w w:val="100"/>
          <w:position w:val="0"/>
        </w:rPr>
        <w:t>17,000,000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 为</w:t>
      </w:r>
      <w:r>
        <w:rPr>
          <w:rFonts w:ascii="Times New Roman" w:eastAsia="Times New Roman" w:hAnsi="Times New Roman" w:cs="Times New Roman"/>
          <w:color w:val="000000"/>
          <w:spacing w:val="0"/>
          <w:w w:val="100"/>
          <w:position w:val="0"/>
        </w:rPr>
        <w:t>12.12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股。公司申请增加股本</w:t>
      </w:r>
      <w:r>
        <w:rPr>
          <w:rFonts w:ascii="Times New Roman" w:eastAsia="Times New Roman" w:hAnsi="Times New Roman" w:cs="Times New Roman"/>
          <w:color w:val="000000"/>
          <w:spacing w:val="0"/>
          <w:w w:val="100"/>
          <w:position w:val="0"/>
        </w:rPr>
        <w:t>17,000,000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67,098,705</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rPr>
        <w:t>2008</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67,098,705</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80,518,446</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rPr>
        <w:t>2009</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80,518,446</w:t>
      </w:r>
      <w:r>
        <w:rPr>
          <w:color w:val="000000"/>
          <w:spacing w:val="0"/>
          <w:w w:val="100"/>
          <w:position w:val="0"/>
        </w:rPr>
        <w:t>股为基数，以资本 公积金和未分配利润向全体股东每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6.5</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132,855,435</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年公司实施了</w:t>
      </w:r>
      <w:r>
        <w:rPr>
          <w:rFonts w:ascii="Times New Roman" w:eastAsia="Times New Roman" w:hAnsi="Times New Roman" w:cs="Times New Roman"/>
          <w:color w:val="000000"/>
          <w:spacing w:val="0"/>
          <w:w w:val="100"/>
          <w:position w:val="0"/>
        </w:rPr>
        <w:t>2010</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132,855,435</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172,712,065</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年第一次临时股东大会决议和中国证券监督管理委员会证监许可 </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729</w:t>
      </w:r>
      <w:r>
        <w:rPr>
          <w:color w:val="000000"/>
          <w:spacing w:val="0"/>
          <w:w w:val="100"/>
          <w:position w:val="0"/>
        </w:rPr>
        <w:t>号《关于核准成都卫士通信息产业股份有限公司向中国电子科技集团公司第三十研究所等发 行股份购买资产并募集配套资金的批复》，公司采取非公开发行股票的方式向中国电子科技集团公司第三 十研究所、四川蜀祥创业投资有限公司（现更名为四川发展投资有限公司）和成都国信安信息产业基地有 限公司发行股份，申请增加注册资本人民币</w:t>
      </w:r>
      <w:r>
        <w:rPr>
          <w:rFonts w:ascii="Times New Roman" w:eastAsia="Times New Roman" w:hAnsi="Times New Roman" w:cs="Times New Roman"/>
          <w:color w:val="000000"/>
          <w:spacing w:val="0"/>
          <w:w w:val="100"/>
          <w:position w:val="0"/>
        </w:rPr>
        <w:t>32,662,580.00</w:t>
      </w:r>
      <w:r>
        <w:rPr>
          <w:color w:val="000000"/>
          <w:spacing w:val="0"/>
          <w:w w:val="100"/>
          <w:position w:val="0"/>
        </w:rPr>
        <w:t xml:space="preserve">元，变更后的注册资本（股本）为人民币 </w:t>
      </w:r>
      <w:r>
        <w:rPr>
          <w:rFonts w:ascii="Times New Roman" w:eastAsia="Times New Roman" w:hAnsi="Times New Roman" w:cs="Times New Roman"/>
          <w:color w:val="000000"/>
          <w:spacing w:val="0"/>
          <w:w w:val="100"/>
          <w:position w:val="0"/>
        </w:rPr>
        <w:t>205,374,645.00</w:t>
      </w:r>
      <w:r>
        <w:rPr>
          <w:color w:val="000000"/>
          <w:spacing w:val="0"/>
          <w:w w:val="100"/>
          <w:position w:val="0"/>
        </w:rPr>
        <w:t>元。增资后的股权结构为中国电子科技集团公司第三十研究所出资人民币</w:t>
      </w:r>
      <w:r>
        <w:rPr>
          <w:rFonts w:ascii="Times New Roman" w:eastAsia="Times New Roman" w:hAnsi="Times New Roman" w:cs="Times New Roman"/>
          <w:color w:val="000000"/>
          <w:spacing w:val="0"/>
          <w:w w:val="100"/>
          <w:position w:val="0"/>
        </w:rPr>
        <w:t>82,994,968.00</w:t>
      </w:r>
      <w:r>
        <w:rPr>
          <w:color w:val="000000"/>
          <w:spacing w:val="0"/>
          <w:w w:val="100"/>
          <w:position w:val="0"/>
        </w:rPr>
        <w:t>元， 占注册资本</w:t>
      </w:r>
      <w:r>
        <w:rPr>
          <w:rFonts w:ascii="Times New Roman" w:eastAsia="Times New Roman" w:hAnsi="Times New Roman" w:cs="Times New Roman"/>
          <w:color w:val="000000"/>
          <w:spacing w:val="0"/>
          <w:w w:val="100"/>
          <w:position w:val="0"/>
        </w:rPr>
        <w:t xml:space="preserve">40.40% </w:t>
      </w:r>
      <w:r>
        <w:rPr>
          <w:color w:val="000000"/>
          <w:spacing w:val="0"/>
          <w:w w:val="100"/>
          <w:position w:val="0"/>
        </w:rPr>
        <w:t>；成都国信安信息产业基地有限公司出资人民币</w:t>
      </w:r>
      <w:r>
        <w:rPr>
          <w:rFonts w:ascii="Times New Roman" w:eastAsia="Times New Roman" w:hAnsi="Times New Roman" w:cs="Times New Roman"/>
          <w:color w:val="000000"/>
          <w:spacing w:val="0"/>
          <w:w w:val="100"/>
          <w:position w:val="0"/>
        </w:rPr>
        <w:t>1,715,123.00</w:t>
      </w:r>
      <w:r>
        <w:rPr>
          <w:color w:val="000000"/>
          <w:spacing w:val="0"/>
          <w:w w:val="100"/>
          <w:position w:val="0"/>
        </w:rPr>
        <w:t>元，占注册资本</w:t>
      </w:r>
      <w:r>
        <w:rPr>
          <w:rFonts w:ascii="Times New Roman" w:eastAsia="Times New Roman" w:hAnsi="Times New Roman" w:cs="Times New Roman"/>
          <w:color w:val="000000"/>
          <w:spacing w:val="0"/>
          <w:w w:val="100"/>
          <w:position w:val="0"/>
        </w:rPr>
        <w:t xml:space="preserve">0.84% </w:t>
      </w:r>
      <w:r>
        <w:rPr>
          <w:color w:val="000000"/>
          <w:spacing w:val="0"/>
          <w:w w:val="100"/>
          <w:position w:val="0"/>
        </w:rPr>
        <w:t>；四 川发展投资有限公司出资人民币</w:t>
      </w:r>
      <w:r>
        <w:rPr>
          <w:rFonts w:ascii="Times New Roman" w:eastAsia="Times New Roman" w:hAnsi="Times New Roman" w:cs="Times New Roman"/>
          <w:color w:val="000000"/>
          <w:spacing w:val="0"/>
          <w:w w:val="100"/>
          <w:position w:val="0"/>
        </w:rPr>
        <w:t>8,107,426.00</w:t>
      </w:r>
      <w:r>
        <w:rPr>
          <w:color w:val="000000"/>
          <w:spacing w:val="0"/>
          <w:w w:val="100"/>
          <w:position w:val="0"/>
        </w:rPr>
        <w:t>元，占注册资本</w:t>
      </w:r>
      <w:r>
        <w:rPr>
          <w:rFonts w:ascii="Times New Roman" w:eastAsia="Times New Roman" w:hAnsi="Times New Roman" w:cs="Times New Roman"/>
          <w:color w:val="000000"/>
          <w:spacing w:val="0"/>
          <w:w w:val="100"/>
          <w:position w:val="0"/>
        </w:rPr>
        <w:t xml:space="preserve">3.95% </w:t>
      </w:r>
      <w:r>
        <w:rPr>
          <w:color w:val="000000"/>
          <w:spacing w:val="0"/>
          <w:w w:val="100"/>
          <w:position w:val="0"/>
        </w:rPr>
        <w:t xml:space="preserve">；其他社会公众股出资人民币 </w:t>
      </w:r>
      <w:r>
        <w:rPr>
          <w:rFonts w:ascii="Times New Roman" w:eastAsia="Times New Roman" w:hAnsi="Times New Roman" w:cs="Times New Roman"/>
          <w:color w:val="000000"/>
          <w:spacing w:val="0"/>
          <w:w w:val="100"/>
          <w:position w:val="0"/>
        </w:rPr>
        <w:t>112,557,128.00</w:t>
      </w:r>
      <w:r>
        <w:rPr>
          <w:color w:val="000000"/>
          <w:spacing w:val="0"/>
          <w:w w:val="100"/>
          <w:position w:val="0"/>
        </w:rPr>
        <w:t>元，占注册资本</w:t>
      </w:r>
      <w:r>
        <w:rPr>
          <w:rFonts w:ascii="Times New Roman" w:eastAsia="Times New Roman" w:hAnsi="Times New Roman" w:cs="Times New Roman"/>
          <w:color w:val="000000"/>
          <w:spacing w:val="0"/>
          <w:w w:val="100"/>
          <w:position w:val="0"/>
        </w:rPr>
        <w:t>54.81%</w:t>
      </w:r>
      <w:r>
        <w:rPr>
          <w:color w:val="000000"/>
          <w:spacing w:val="0"/>
          <w:w w:val="100"/>
          <w:position w:val="0"/>
        </w:rPr>
        <w:t>。以上增资已经中天运会计师事务所（特殊普通合伙）审验，并于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日出具中天运〔</w:t>
      </w:r>
      <w:r>
        <w:rPr>
          <w:rFonts w:ascii="Times New Roman" w:eastAsia="Times New Roman" w:hAnsi="Times New Roman" w:cs="Times New Roman"/>
          <w:color w:val="000000"/>
          <w:spacing w:val="0"/>
          <w:w w:val="100"/>
          <w:position w:val="0"/>
        </w:rPr>
        <w:t>2014</w:t>
      </w:r>
      <w:r>
        <w:rPr>
          <w:color w:val="000000"/>
          <w:spacing w:val="0"/>
          <w:w w:val="100"/>
          <w:position w:val="0"/>
        </w:rPr>
        <w:t>）验字第</w:t>
      </w:r>
      <w:r>
        <w:rPr>
          <w:rFonts w:ascii="Times New Roman" w:eastAsia="Times New Roman" w:hAnsi="Times New Roman" w:cs="Times New Roman"/>
          <w:color w:val="000000"/>
          <w:spacing w:val="0"/>
          <w:w w:val="100"/>
          <w:position w:val="0"/>
        </w:rPr>
        <w:t>90026</w:t>
      </w:r>
      <w:r>
        <w:rPr>
          <w:color w:val="000000"/>
          <w:spacing w:val="0"/>
          <w:w w:val="100"/>
          <w:position w:val="0"/>
        </w:rPr>
        <w:t>号验资报告。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根据中国证券监督管理委员会《关于核准成都卫士通信息产业股份有限公司向中国电子科技集团第三 十研究所等发行股份购买资产并募集配套资金的批复》（证监许可</w:t>
      </w:r>
      <w:r>
        <w:rPr>
          <w:rFonts w:ascii="Times New Roman" w:eastAsia="Times New Roman" w:hAnsi="Times New Roman" w:cs="Times New Roman"/>
          <w:color w:val="000000"/>
          <w:spacing w:val="0"/>
          <w:w w:val="100"/>
          <w:position w:val="0"/>
        </w:rPr>
        <w:t>［2014］729</w:t>
      </w:r>
      <w:r>
        <w:rPr>
          <w:color w:val="000000"/>
          <w:spacing w:val="0"/>
          <w:w w:val="100"/>
          <w:position w:val="0"/>
        </w:rPr>
        <w:t>号）、《成都卫士通信息产业 股份有限公司二零一四年第一次临时股东大会决议》和《成都卫士通信息产业股份有限公司第五届董事会 第二十四次会议决议》，公司向中国电子科技集团公司第三十研究所非公开发行人民币普通股</w:t>
      </w:r>
      <w:r>
        <w:rPr>
          <w:rFonts w:ascii="Times New Roman" w:eastAsia="Times New Roman" w:hAnsi="Times New Roman" w:cs="Times New Roman"/>
          <w:color w:val="000000"/>
          <w:spacing w:val="0"/>
          <w:w w:val="100"/>
          <w:position w:val="0"/>
        </w:rPr>
        <w:t xml:space="preserve">10,887,028 </w:t>
      </w:r>
      <w:r>
        <w:rPr>
          <w:color w:val="000000"/>
          <w:spacing w:val="0"/>
          <w:w w:val="100"/>
          <w:position w:val="0"/>
        </w:rPr>
        <w:t>股（每股发行价</w:t>
      </w:r>
      <w:r>
        <w:rPr>
          <w:rFonts w:ascii="Times New Roman" w:eastAsia="Times New Roman" w:hAnsi="Times New Roman" w:cs="Times New Roman"/>
          <w:color w:val="000000"/>
          <w:spacing w:val="0"/>
          <w:w w:val="100"/>
          <w:position w:val="0"/>
        </w:rPr>
        <w:t>18.05</w:t>
      </w:r>
      <w:r>
        <w:rPr>
          <w:color w:val="000000"/>
          <w:spacing w:val="0"/>
          <w:w w:val="100"/>
          <w:position w:val="0"/>
        </w:rPr>
        <w:t>元），申请增加注册资本</w:t>
      </w:r>
      <w:r>
        <w:rPr>
          <w:rFonts w:ascii="Times New Roman" w:eastAsia="Times New Roman" w:hAnsi="Times New Roman" w:cs="Times New Roman"/>
          <w:color w:val="000000"/>
          <w:spacing w:val="0"/>
          <w:w w:val="100"/>
          <w:position w:val="0"/>
        </w:rPr>
        <w:t>10,887,028.00</w:t>
      </w:r>
      <w:r>
        <w:rPr>
          <w:color w:val="000000"/>
          <w:spacing w:val="0"/>
          <w:w w:val="100"/>
          <w:position w:val="0"/>
        </w:rPr>
        <w:t xml:space="preserve">元，变更后的注册资本（股本）为人民币 </w:t>
      </w:r>
      <w:r>
        <w:rPr>
          <w:rFonts w:ascii="Times New Roman" w:eastAsia="Times New Roman" w:hAnsi="Times New Roman" w:cs="Times New Roman"/>
          <w:color w:val="000000"/>
          <w:spacing w:val="0"/>
          <w:w w:val="100"/>
          <w:position w:val="0"/>
        </w:rPr>
        <w:t>216,261,673.00</w:t>
      </w:r>
      <w:r>
        <w:rPr>
          <w:color w:val="000000"/>
          <w:spacing w:val="0"/>
          <w:w w:val="100"/>
          <w:position w:val="0"/>
        </w:rPr>
        <w:t>元。增资后的股权结构为中国电子科技集团公司第三十研究所出资人民币</w:t>
      </w:r>
      <w:r>
        <w:rPr>
          <w:rFonts w:ascii="Times New Roman" w:eastAsia="Times New Roman" w:hAnsi="Times New Roman" w:cs="Times New Roman"/>
          <w:color w:val="000000"/>
          <w:spacing w:val="0"/>
          <w:w w:val="100"/>
          <w:position w:val="0"/>
        </w:rPr>
        <w:t>93,881,996.00</w:t>
      </w:r>
      <w:r>
        <w:rPr>
          <w:color w:val="000000"/>
          <w:spacing w:val="0"/>
          <w:w w:val="100"/>
          <w:position w:val="0"/>
        </w:rPr>
        <w:t>元， 占注册资本</w:t>
      </w:r>
      <w:r>
        <w:rPr>
          <w:rFonts w:ascii="Times New Roman" w:eastAsia="Times New Roman" w:hAnsi="Times New Roman" w:cs="Times New Roman"/>
          <w:color w:val="000000"/>
          <w:spacing w:val="0"/>
          <w:w w:val="100"/>
          <w:position w:val="0"/>
        </w:rPr>
        <w:t xml:space="preserve">43.41% </w:t>
      </w:r>
      <w:r>
        <w:rPr>
          <w:color w:val="000000"/>
          <w:spacing w:val="0"/>
          <w:w w:val="100"/>
          <w:position w:val="0"/>
        </w:rPr>
        <w:t>；成都国信安信息产业基地有限公司出资人民币</w:t>
      </w:r>
      <w:r>
        <w:rPr>
          <w:rFonts w:ascii="Times New Roman" w:eastAsia="Times New Roman" w:hAnsi="Times New Roman" w:cs="Times New Roman"/>
          <w:color w:val="000000"/>
          <w:spacing w:val="0"/>
          <w:w w:val="100"/>
          <w:position w:val="0"/>
        </w:rPr>
        <w:t>1,715,123.00</w:t>
      </w:r>
      <w:r>
        <w:rPr>
          <w:color w:val="000000"/>
          <w:spacing w:val="0"/>
          <w:w w:val="100"/>
          <w:position w:val="0"/>
        </w:rPr>
        <w:t>元，占注册资本</w:t>
      </w:r>
      <w:r>
        <w:rPr>
          <w:rFonts w:ascii="Times New Roman" w:eastAsia="Times New Roman" w:hAnsi="Times New Roman" w:cs="Times New Roman"/>
          <w:color w:val="000000"/>
          <w:spacing w:val="0"/>
          <w:w w:val="100"/>
          <w:position w:val="0"/>
        </w:rPr>
        <w:t xml:space="preserve">0.79% </w:t>
      </w:r>
      <w:r>
        <w:rPr>
          <w:color w:val="000000"/>
          <w:spacing w:val="0"/>
          <w:w w:val="100"/>
          <w:position w:val="0"/>
        </w:rPr>
        <w:t>；四 川发展投资有限公司出资人民币</w:t>
      </w:r>
      <w:r>
        <w:rPr>
          <w:rFonts w:ascii="Times New Roman" w:eastAsia="Times New Roman" w:hAnsi="Times New Roman" w:cs="Times New Roman"/>
          <w:color w:val="000000"/>
          <w:spacing w:val="0"/>
          <w:w w:val="100"/>
          <w:position w:val="0"/>
        </w:rPr>
        <w:t>8,107,426.00</w:t>
      </w:r>
      <w:r>
        <w:rPr>
          <w:color w:val="000000"/>
          <w:spacing w:val="0"/>
          <w:w w:val="100"/>
          <w:position w:val="0"/>
        </w:rPr>
        <w:t>元，占注册资本</w:t>
      </w:r>
      <w:r>
        <w:rPr>
          <w:rFonts w:ascii="Times New Roman" w:eastAsia="Times New Roman" w:hAnsi="Times New Roman" w:cs="Times New Roman"/>
          <w:color w:val="000000"/>
          <w:spacing w:val="0"/>
          <w:w w:val="100"/>
          <w:position w:val="0"/>
        </w:rPr>
        <w:t xml:space="preserve">3.75% </w:t>
      </w:r>
      <w:r>
        <w:rPr>
          <w:color w:val="000000"/>
          <w:spacing w:val="0"/>
          <w:w w:val="100"/>
          <w:position w:val="0"/>
        </w:rPr>
        <w:t xml:space="preserve">；其他社会公众股出资人民币 </w:t>
      </w:r>
      <w:r>
        <w:rPr>
          <w:rFonts w:ascii="Times New Roman" w:eastAsia="Times New Roman" w:hAnsi="Times New Roman" w:cs="Times New Roman"/>
          <w:color w:val="000000"/>
          <w:spacing w:val="0"/>
          <w:w w:val="100"/>
          <w:position w:val="0"/>
        </w:rPr>
        <w:t>112,557,128.00</w:t>
      </w:r>
      <w:r>
        <w:rPr>
          <w:color w:val="000000"/>
          <w:spacing w:val="0"/>
          <w:w w:val="100"/>
          <w:position w:val="0"/>
        </w:rPr>
        <w:t>元，占注册资本</w:t>
      </w:r>
      <w:r>
        <w:rPr>
          <w:rFonts w:ascii="Times New Roman" w:eastAsia="Times New Roman" w:hAnsi="Times New Roman" w:cs="Times New Roman"/>
          <w:color w:val="000000"/>
          <w:spacing w:val="0"/>
          <w:w w:val="100"/>
          <w:position w:val="0"/>
        </w:rPr>
        <w:t>52.05%</w:t>
      </w:r>
      <w:r>
        <w:rPr>
          <w:color w:val="000000"/>
          <w:spacing w:val="0"/>
          <w:w w:val="100"/>
          <w:position w:val="0"/>
        </w:rPr>
        <w:t>。以上增资已经中天运会计师事务所（特殊普通合伙）审验，并于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日出具中天运〔</w:t>
      </w:r>
      <w:r>
        <w:rPr>
          <w:rFonts w:ascii="Times New Roman" w:eastAsia="Times New Roman" w:hAnsi="Times New Roman" w:cs="Times New Roman"/>
          <w:color w:val="000000"/>
          <w:spacing w:val="0"/>
          <w:w w:val="100"/>
          <w:position w:val="0"/>
        </w:rPr>
        <w:t>2014</w:t>
      </w:r>
      <w:r>
        <w:rPr>
          <w:color w:val="000000"/>
          <w:spacing w:val="0"/>
          <w:w w:val="100"/>
          <w:position w:val="0"/>
        </w:rPr>
        <w:t>）验字第</w:t>
      </w:r>
      <w:r>
        <w:rPr>
          <w:rFonts w:ascii="Times New Roman" w:eastAsia="Times New Roman" w:hAnsi="Times New Roman" w:cs="Times New Roman"/>
          <w:color w:val="000000"/>
          <w:spacing w:val="0"/>
          <w:w w:val="100"/>
          <w:position w:val="0"/>
        </w:rPr>
        <w:t>90041</w:t>
      </w:r>
      <w:r>
        <w:rPr>
          <w:color w:val="000000"/>
          <w:spacing w:val="0"/>
          <w:w w:val="100"/>
          <w:position w:val="0"/>
        </w:rPr>
        <w:t>号验资报告。本公司上述变更已于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日完成工商 变更登记手续，并取得</w:t>
      </w:r>
      <w:r>
        <w:rPr>
          <w:rFonts w:ascii="Times New Roman" w:eastAsia="Times New Roman" w:hAnsi="Times New Roman" w:cs="Times New Roman"/>
          <w:color w:val="000000"/>
          <w:spacing w:val="0"/>
          <w:w w:val="100"/>
          <w:position w:val="0"/>
        </w:rPr>
        <w:t>510109000045289</w:t>
      </w:r>
      <w:r>
        <w:rPr>
          <w:color w:val="000000"/>
          <w:spacing w:val="0"/>
          <w:w w:val="100"/>
          <w:position w:val="0"/>
        </w:rPr>
        <w:t>号营业执照。</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年公司实施了</w:t>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216,261,673</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432,523,346</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根据中国证券监督管理委员会《关于核准核准豁免中国电子科技网络信息安全有限公司要约收购成都 卫士通信息产业股份有限公司股份义务的批复》（证监许可</w:t>
      </w:r>
      <w:r>
        <w:rPr>
          <w:rFonts w:ascii="Times New Roman" w:eastAsia="Times New Roman" w:hAnsi="Times New Roman" w:cs="Times New Roman"/>
          <w:color w:val="000000"/>
          <w:spacing w:val="0"/>
          <w:w w:val="100"/>
          <w:position w:val="0"/>
        </w:rPr>
        <w:t xml:space="preserve">［2015］ </w:t>
      </w:r>
      <w:r>
        <w:rPr>
          <w:rFonts w:ascii="Times New Roman" w:eastAsia="Times New Roman" w:hAnsi="Times New Roman" w:cs="Times New Roman"/>
          <w:color w:val="000000"/>
          <w:spacing w:val="0"/>
          <w:w w:val="100"/>
          <w:position w:val="0"/>
        </w:rPr>
        <w:t>2190</w:t>
      </w:r>
      <w:r>
        <w:rPr>
          <w:color w:val="000000"/>
          <w:spacing w:val="0"/>
          <w:w w:val="100"/>
          <w:position w:val="0"/>
        </w:rPr>
        <w:t>号）、国务院国有资产监督管理委 员会《关于无偿划转中国电子科技集团公司第三十研究所和成都国信安信息产业基地有限公司所持成都卫 士通信息产业股份有限公司股份有关问题的批复》（国资产权</w:t>
      </w:r>
      <w:r>
        <w:rPr>
          <w:rFonts w:ascii="Times New Roman" w:eastAsia="Times New Roman" w:hAnsi="Times New Roman" w:cs="Times New Roman"/>
          <w:color w:val="000000"/>
          <w:spacing w:val="0"/>
          <w:w w:val="100"/>
          <w:position w:val="0"/>
        </w:rPr>
        <w:t xml:space="preserve">［2015］ </w:t>
      </w:r>
      <w:r>
        <w:rPr>
          <w:rFonts w:ascii="Times New Roman" w:eastAsia="Times New Roman" w:hAnsi="Times New Roman" w:cs="Times New Roman"/>
          <w:color w:val="000000"/>
          <w:spacing w:val="0"/>
          <w:w w:val="100"/>
          <w:position w:val="0"/>
        </w:rPr>
        <w:t>877</w:t>
      </w:r>
      <w:r>
        <w:rPr>
          <w:color w:val="000000"/>
          <w:spacing w:val="0"/>
          <w:w w:val="100"/>
          <w:position w:val="0"/>
        </w:rPr>
        <w:t>号），中国电子科技集团公司第 三十研究所和成都国信安信息产业基地有限公司将其分别持有的公司</w:t>
      </w:r>
      <w:r>
        <w:rPr>
          <w:rFonts w:ascii="Times New Roman" w:eastAsia="Times New Roman" w:hAnsi="Times New Roman" w:cs="Times New Roman"/>
          <w:color w:val="000000"/>
          <w:spacing w:val="0"/>
          <w:w w:val="100"/>
          <w:position w:val="0"/>
        </w:rPr>
        <w:t>18,776.399</w:t>
      </w:r>
      <w:r>
        <w:rPr>
          <w:rFonts w:ascii="Times New Roman" w:eastAsia="Times New Roman" w:hAnsi="Times New Roman" w:cs="Times New Roman"/>
          <w:color w:val="000000"/>
          <w:spacing w:val="0"/>
          <w:w w:val="100"/>
          <w:position w:val="0"/>
        </w:rPr>
        <w:t>2</w:t>
      </w:r>
      <w:r>
        <w:rPr>
          <w:color w:val="000000"/>
          <w:spacing w:val="0"/>
          <w:w w:val="100"/>
          <w:position w:val="0"/>
        </w:rPr>
        <w:t>万股股份和</w:t>
      </w:r>
      <w:r>
        <w:rPr>
          <w:rFonts w:ascii="Times New Roman" w:eastAsia="Times New Roman" w:hAnsi="Times New Roman" w:cs="Times New Roman"/>
          <w:color w:val="000000"/>
          <w:spacing w:val="0"/>
          <w:w w:val="100"/>
          <w:position w:val="0"/>
        </w:rPr>
        <w:t>343.0246</w:t>
      </w:r>
      <w:r>
        <w:rPr>
          <w:color w:val="000000"/>
          <w:spacing w:val="0"/>
          <w:w w:val="100"/>
          <w:position w:val="0"/>
        </w:rPr>
        <w:t>万 股股份无偿划转给中国电子科技网络信息安全有限公司持有。本次股份划转后，公司总股本不变，中国电 子科技集团公司第三十研究所和成都国信安信息产业基地有限公司不再持有公司股份，中国电子科技网络 信息安全有限公司持有公司</w:t>
      </w:r>
      <w:r>
        <w:rPr>
          <w:rFonts w:ascii="Times New Roman" w:eastAsia="Times New Roman" w:hAnsi="Times New Roman" w:cs="Times New Roman"/>
          <w:color w:val="000000"/>
          <w:spacing w:val="0"/>
          <w:w w:val="100"/>
          <w:position w:val="0"/>
        </w:rPr>
        <w:t>19,119.4238</w:t>
      </w:r>
      <w:r>
        <w:rPr>
          <w:color w:val="000000"/>
          <w:spacing w:val="0"/>
          <w:w w:val="100"/>
          <w:position w:val="0"/>
        </w:rPr>
        <w:t>万股股份，占总股本的</w:t>
      </w:r>
      <w:r>
        <w:rPr>
          <w:rFonts w:ascii="Times New Roman" w:eastAsia="Times New Roman" w:hAnsi="Times New Roman" w:cs="Times New Roman"/>
          <w:color w:val="000000"/>
          <w:spacing w:val="0"/>
          <w:w w:val="100"/>
          <w:position w:val="0"/>
        </w:rPr>
        <w:t>44.20%</w:t>
      </w:r>
      <w:r>
        <w:rPr>
          <w:color w:val="000000"/>
          <w:spacing w:val="0"/>
          <w:w w:val="100"/>
          <w:position w:val="0"/>
        </w:rPr>
        <w:t>。公司实际控制人未发生变更，仍 为中国电子科技集团有限公司。</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根据中国证券监督管理委员会《关于核准成都卫士通信息产业股份有限公司非公开发行股票的批复》 （证监许可</w:t>
      </w:r>
      <w:r>
        <w:rPr>
          <w:rFonts w:ascii="Times New Roman" w:eastAsia="Times New Roman" w:hAnsi="Times New Roman" w:cs="Times New Roman"/>
          <w:color w:val="000000"/>
          <w:spacing w:val="0"/>
          <w:w w:val="100"/>
          <w:position w:val="0"/>
        </w:rPr>
        <w:t>［2016］3214</w:t>
      </w:r>
      <w:r>
        <w:rPr>
          <w:color w:val="000000"/>
          <w:spacing w:val="0"/>
          <w:w w:val="100"/>
          <w:position w:val="0"/>
        </w:rPr>
        <w:t>号）、国务院国有资产监督管理委员会《关于成都卫士通信息产业股份有限公司非 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股股票有关问题的批复》（国资产权</w:t>
      </w:r>
      <w:r>
        <w:rPr>
          <w:rFonts w:ascii="Times New Roman" w:eastAsia="Times New Roman" w:hAnsi="Times New Roman" w:cs="Times New Roman"/>
          <w:color w:val="000000"/>
          <w:spacing w:val="0"/>
          <w:w w:val="100"/>
          <w:position w:val="0"/>
        </w:rPr>
        <w:t>［2016］294</w:t>
      </w:r>
      <w:r>
        <w:rPr>
          <w:color w:val="000000"/>
          <w:spacing w:val="0"/>
          <w:w w:val="100"/>
          <w:position w:val="0"/>
        </w:rPr>
        <w:t>号），公司于采取向特定投资者非公开发行股 票的方式发行向</w:t>
      </w:r>
      <w:r>
        <w:rPr>
          <w:rFonts w:ascii="Times New Roman" w:eastAsia="Times New Roman" w:hAnsi="Times New Roman" w:cs="Times New Roman"/>
          <w:color w:val="000000"/>
          <w:spacing w:val="0"/>
          <w:w w:val="100"/>
          <w:position w:val="0"/>
        </w:rPr>
        <w:t>7</w:t>
      </w:r>
      <w:r>
        <w:rPr>
          <w:color w:val="000000"/>
          <w:spacing w:val="0"/>
          <w:w w:val="100"/>
          <w:position w:val="0"/>
        </w:rPr>
        <w:t>名特定对象发行人民币普通股</w:t>
      </w:r>
      <w:r>
        <w:rPr>
          <w:rFonts w:ascii="Times New Roman" w:eastAsia="Times New Roman" w:hAnsi="Times New Roman" w:cs="Times New Roman"/>
          <w:color w:val="000000"/>
          <w:spacing w:val="0"/>
          <w:w w:val="100"/>
          <w:position w:val="0"/>
        </w:rPr>
        <w:t xml:space="preserve">91,436,672 </w:t>
      </w:r>
      <w:r>
        <w:rPr>
          <w:color w:val="000000"/>
          <w:spacing w:val="0"/>
          <w:w w:val="100"/>
          <w:position w:val="0"/>
        </w:rPr>
        <w:t>（每股发行价</w:t>
      </w:r>
      <w:r>
        <w:rPr>
          <w:rFonts w:ascii="Times New Roman" w:eastAsia="Times New Roman" w:hAnsi="Times New Roman" w:cs="Times New Roman"/>
          <w:color w:val="000000"/>
          <w:spacing w:val="0"/>
          <w:w w:val="100"/>
          <w:position w:val="0"/>
        </w:rPr>
        <w:t>29.45</w:t>
      </w:r>
      <w:r>
        <w:rPr>
          <w:color w:val="000000"/>
          <w:spacing w:val="0"/>
          <w:w w:val="100"/>
          <w:position w:val="0"/>
        </w:rPr>
        <w:t>元）。以上增资已经中天运会 计师事务所（特殊普通合伙）审验，并于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月出具中天运</w:t>
      </w:r>
      <w:r>
        <w:rPr>
          <w:rFonts w:ascii="Times New Roman" w:eastAsia="Times New Roman" w:hAnsi="Times New Roman" w:cs="Times New Roman"/>
          <w:color w:val="000000"/>
          <w:spacing w:val="0"/>
          <w:w w:val="100"/>
          <w:position w:val="0"/>
        </w:rPr>
        <w:t>［2017］</w:t>
      </w:r>
      <w:r>
        <w:rPr>
          <w:color w:val="000000"/>
          <w:spacing w:val="0"/>
          <w:w w:val="100"/>
          <w:position w:val="0"/>
        </w:rPr>
        <w:t>验字第</w:t>
      </w:r>
      <w:r>
        <w:rPr>
          <w:rFonts w:ascii="Times New Roman" w:eastAsia="Times New Roman" w:hAnsi="Times New Roman" w:cs="Times New Roman"/>
          <w:color w:val="000000"/>
          <w:spacing w:val="0"/>
          <w:w w:val="100"/>
          <w:position w:val="0"/>
        </w:rPr>
        <w:t>90017</w:t>
      </w:r>
      <w:r>
        <w:rPr>
          <w:color w:val="000000"/>
          <w:spacing w:val="0"/>
          <w:w w:val="100"/>
          <w:position w:val="0"/>
        </w:rPr>
        <w:t>号验资报告。</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年公司实施了</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年年度利润分配方案，以定向增发后的总股本</w:t>
      </w:r>
      <w:r>
        <w:rPr>
          <w:rFonts w:ascii="Times New Roman" w:eastAsia="Times New Roman" w:hAnsi="Times New Roman" w:cs="Times New Roman"/>
          <w:color w:val="000000"/>
          <w:spacing w:val="0"/>
          <w:w w:val="100"/>
          <w:position w:val="0"/>
        </w:rPr>
        <w:t>523,960,018.00</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838,336,028.00</w:t>
      </w:r>
      <w:r>
        <w:rPr>
          <w:color w:val="000000"/>
          <w:spacing w:val="0"/>
          <w:w w:val="100"/>
          <w:position w:val="0"/>
        </w:rPr>
        <w:t>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本公司上述变更已于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日完成工商变更登记手续。</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根据国务院国资委《关于成都卫士通信息产业股份有限公司实施限制性股票激励计划的批复》（国 资考分〔</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622</w:t>
      </w:r>
      <w:r>
        <w:rPr>
          <w:color w:val="000000"/>
          <w:spacing w:val="0"/>
          <w:w w:val="100"/>
          <w:position w:val="0"/>
        </w:rPr>
        <w:t>号），公司于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日向限制性股票长期激励计划</w:t>
      </w:r>
      <w:r>
        <w:rPr>
          <w:rFonts w:ascii="Times New Roman" w:eastAsia="Times New Roman" w:hAnsi="Times New Roman" w:cs="Times New Roman"/>
          <w:color w:val="000000"/>
          <w:spacing w:val="0"/>
          <w:w w:val="100"/>
          <w:position w:val="0"/>
        </w:rPr>
        <w:t>2020</w:t>
      </w:r>
      <w:r>
        <w:rPr>
          <w:color w:val="000000"/>
          <w:spacing w:val="0"/>
          <w:w w:val="100"/>
          <w:position w:val="0"/>
        </w:rPr>
        <w:t>年首期激励对象授予了 限制性股票</w:t>
      </w:r>
      <w:r>
        <w:rPr>
          <w:rFonts w:ascii="Times New Roman" w:eastAsia="Times New Roman" w:hAnsi="Times New Roman" w:cs="Times New Roman"/>
          <w:color w:val="000000"/>
          <w:spacing w:val="0"/>
          <w:w w:val="100"/>
          <w:position w:val="0"/>
        </w:rPr>
        <w:t>7,958,575</w:t>
      </w:r>
      <w:r>
        <w:rPr>
          <w:color w:val="000000"/>
          <w:spacing w:val="0"/>
          <w:w w:val="100"/>
          <w:position w:val="0"/>
        </w:rPr>
        <w:t>股，上市日期为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日，公司股本增加至</w:t>
      </w:r>
      <w:r>
        <w:rPr>
          <w:rFonts w:ascii="Times New Roman" w:eastAsia="Times New Roman" w:hAnsi="Times New Roman" w:cs="Times New Roman"/>
          <w:color w:val="000000"/>
          <w:spacing w:val="0"/>
          <w:w w:val="100"/>
          <w:position w:val="0"/>
        </w:rPr>
        <w:t>846,294,603</w:t>
      </w:r>
      <w:r>
        <w:rPr>
          <w:color w:val="000000"/>
          <w:spacing w:val="0"/>
          <w:w w:val="100"/>
          <w:position w:val="0"/>
        </w:rPr>
        <w:t>股。以上增资已经大华 会计师事务所（特殊普通合伙）审验，并于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月出具大华验字</w:t>
      </w:r>
      <w:r>
        <w:rPr>
          <w:rFonts w:ascii="Times New Roman" w:eastAsia="Times New Roman" w:hAnsi="Times New Roman" w:cs="Times New Roman"/>
          <w:color w:val="000000"/>
          <w:spacing w:val="0"/>
          <w:w w:val="100"/>
          <w:position w:val="0"/>
        </w:rPr>
        <w:t>［2021］000027</w:t>
      </w:r>
      <w:r>
        <w:rPr>
          <w:color w:val="000000"/>
          <w:spacing w:val="0"/>
          <w:w w:val="100"/>
          <w:position w:val="0"/>
        </w:rPr>
        <w:t>号验资报告。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本公司注册地址：中国（四川）自由贸易试验区成都高新区云华路</w:t>
      </w:r>
      <w:r>
        <w:rPr>
          <w:rFonts w:ascii="Times New Roman" w:eastAsia="Times New Roman" w:hAnsi="Times New Roman" w:cs="Times New Roman"/>
          <w:color w:val="000000"/>
          <w:spacing w:val="0"/>
          <w:w w:val="100"/>
          <w:position w:val="0"/>
        </w:rPr>
        <w:t>333</w:t>
      </w:r>
      <w:r>
        <w:rPr>
          <w:color w:val="000000"/>
          <w:spacing w:val="0"/>
          <w:w w:val="100"/>
          <w:position w:val="0"/>
        </w:rPr>
        <w:t>号。法人代表：陈鑫。统一社 会信用代码：</w:t>
      </w:r>
      <w:r>
        <w:rPr>
          <w:rFonts w:ascii="Times New Roman" w:eastAsia="Times New Roman" w:hAnsi="Times New Roman" w:cs="Times New Roman"/>
          <w:color w:val="000000"/>
          <w:spacing w:val="0"/>
          <w:w w:val="100"/>
          <w:position w:val="0"/>
        </w:rPr>
        <w:t>9151010070927392XM</w:t>
      </w:r>
      <w:r>
        <w:rPr>
          <w:color w:val="000000"/>
          <w:spacing w:val="0"/>
          <w:w w:val="100"/>
          <w:position w:val="0"/>
        </w:rPr>
        <w:t>。</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本公司是从事软件技术与信息服务的股份有限公司。</w:t>
      </w:r>
    </w:p>
    <w:p>
      <w:pPr>
        <w:pStyle w:val="Style18"/>
        <w:keepNext w:val="0"/>
        <w:keepLines w:val="0"/>
        <w:widowControl w:val="0"/>
        <w:shd w:val="clear" w:color="auto" w:fill="auto"/>
        <w:bidi w:val="0"/>
        <w:spacing w:before="0" w:after="0" w:line="322" w:lineRule="exact"/>
        <w:ind w:left="0" w:right="0" w:firstLine="280"/>
        <w:jc w:val="both"/>
      </w:pPr>
      <w:r>
        <w:rPr>
          <w:b/>
          <w:bCs/>
          <w:color w:val="000000"/>
          <w:spacing w:val="0"/>
          <w:w w:val="100"/>
          <w:position w:val="0"/>
        </w:rPr>
        <w:t>（二）公司业务性质和主要经营活动</w:t>
      </w:r>
    </w:p>
    <w:p>
      <w:pPr>
        <w:pStyle w:val="Style18"/>
        <w:keepNext w:val="0"/>
        <w:keepLines w:val="0"/>
        <w:widowControl w:val="0"/>
        <w:numPr>
          <w:ilvl w:val="0"/>
          <w:numId w:val="23"/>
        </w:numPr>
        <w:shd w:val="clear" w:color="auto" w:fill="auto"/>
        <w:tabs>
          <w:tab w:pos="695" w:val="left"/>
        </w:tabs>
        <w:bidi w:val="0"/>
        <w:spacing w:before="0" w:after="0" w:line="322" w:lineRule="exact"/>
        <w:ind w:left="0" w:right="0" w:firstLine="440"/>
        <w:jc w:val="both"/>
      </w:pPr>
      <w:bookmarkStart w:id="739" w:name="bookmark739"/>
      <w:bookmarkEnd w:id="739"/>
      <w:r>
        <w:rPr>
          <w:color w:val="000000"/>
          <w:spacing w:val="0"/>
          <w:w w:val="100"/>
          <w:position w:val="0"/>
        </w:rPr>
        <w:t>业务性质</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本公司一直致力于信息安全领域相关安全产品的开发及技术研究。经过</w:t>
      </w:r>
      <w:r>
        <w:rPr>
          <w:rFonts w:ascii="Times New Roman" w:eastAsia="Times New Roman" w:hAnsi="Times New Roman" w:cs="Times New Roman"/>
          <w:color w:val="000000"/>
          <w:spacing w:val="0"/>
          <w:w w:val="100"/>
          <w:position w:val="0"/>
        </w:rPr>
        <w:t>20</w:t>
      </w:r>
      <w:r>
        <w:rPr>
          <w:color w:val="000000"/>
          <w:spacing w:val="0"/>
          <w:w w:val="100"/>
          <w:position w:val="0"/>
        </w:rPr>
        <w:t>余年的耕耘，业务范围已覆 盖安全产品研制、安全服务提供和安全集成。</w:t>
      </w:r>
    </w:p>
    <w:p>
      <w:pPr>
        <w:pStyle w:val="Style18"/>
        <w:keepNext w:val="0"/>
        <w:keepLines w:val="0"/>
        <w:widowControl w:val="0"/>
        <w:numPr>
          <w:ilvl w:val="0"/>
          <w:numId w:val="23"/>
        </w:numPr>
        <w:shd w:val="clear" w:color="auto" w:fill="auto"/>
        <w:tabs>
          <w:tab w:pos="714" w:val="left"/>
        </w:tabs>
        <w:bidi w:val="0"/>
        <w:spacing w:before="0" w:after="0" w:line="312" w:lineRule="exact"/>
        <w:ind w:left="0" w:right="0" w:firstLine="440"/>
        <w:jc w:val="both"/>
      </w:pPr>
      <w:bookmarkStart w:id="740" w:name="bookmark740"/>
      <w:bookmarkEnd w:id="740"/>
      <w:r>
        <w:rPr>
          <w:color w:val="000000"/>
          <w:spacing w:val="0"/>
          <w:w w:val="100"/>
          <w:position w:val="0"/>
        </w:rPr>
        <w:t>主要提供的产品和服务包括</w:t>
      </w:r>
    </w:p>
    <w:p>
      <w:pPr>
        <w:pStyle w:val="Style18"/>
        <w:keepNext w:val="0"/>
        <w:keepLines w:val="0"/>
        <w:widowControl w:val="0"/>
        <w:shd w:val="clear" w:color="auto" w:fill="auto"/>
        <w:bidi w:val="0"/>
        <w:spacing w:before="0" w:after="40" w:line="312" w:lineRule="exact"/>
        <w:ind w:left="0" w:right="0" w:firstLine="440"/>
        <w:jc w:val="both"/>
      </w:pPr>
      <w:bookmarkStart w:id="741" w:name="bookmark741"/>
      <w:r>
        <w:rPr>
          <w:color w:val="000000"/>
          <w:spacing w:val="0"/>
          <w:w w:val="100"/>
          <w:position w:val="0"/>
          <w:sz w:val="20"/>
          <w:szCs w:val="20"/>
        </w:rPr>
        <w:t>（</w:t>
      </w:r>
      <w:bookmarkEnd w:id="741"/>
      <w:r>
        <w:rPr>
          <w:color w:val="000000"/>
          <w:spacing w:val="0"/>
          <w:w w:val="100"/>
          <w:position w:val="0"/>
          <w:sz w:val="20"/>
          <w:szCs w:val="20"/>
        </w:rPr>
        <w:t>1）</w:t>
      </w:r>
      <w:r>
        <w:rPr>
          <w:color w:val="000000"/>
          <w:spacing w:val="0"/>
          <w:w w:val="100"/>
          <w:position w:val="0"/>
        </w:rPr>
        <w:t>安全芯片与模块</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安全芯片和模块以重点行业融合为目标，以芯片为核心的模块化解决方案为手段，面向“云物移大智” 应用场景，通过涵盖“云端、管道、边缘、终端”需求的产品体系，实现高性能安全芯片在高性能密码终 端设备、云服务器的深度应用、低功耗安全芯片在物联网终端的广泛应用和嵌入式安全</w:t>
      </w:r>
      <w:r>
        <w:rPr>
          <w:color w:val="000000"/>
          <w:spacing w:val="0"/>
          <w:w w:val="100"/>
          <w:position w:val="0"/>
          <w:sz w:val="20"/>
          <w:szCs w:val="20"/>
        </w:rPr>
        <w:t>SE</w:t>
      </w:r>
      <w:r>
        <w:rPr>
          <w:color w:val="000000"/>
          <w:spacing w:val="0"/>
          <w:w w:val="100"/>
          <w:position w:val="0"/>
        </w:rPr>
        <w:t>在党政、重点 行业的融合应用。并以安全芯片为和模块基础，加快向网络安全和信息化行业的产业链上游发展，促进密 码在关键信息基础设施行业的泛在化应用。</w:t>
      </w:r>
    </w:p>
    <w:p>
      <w:pPr>
        <w:pStyle w:val="Style18"/>
        <w:keepNext w:val="0"/>
        <w:keepLines w:val="0"/>
        <w:widowControl w:val="0"/>
        <w:shd w:val="clear" w:color="auto" w:fill="auto"/>
        <w:tabs>
          <w:tab w:pos="758" w:val="left"/>
        </w:tabs>
        <w:bidi w:val="0"/>
        <w:spacing w:before="0" w:after="0" w:line="313" w:lineRule="exact"/>
        <w:ind w:left="0" w:right="0" w:firstLine="440"/>
        <w:jc w:val="both"/>
      </w:pPr>
      <w:bookmarkStart w:id="742" w:name="bookmark742"/>
      <w:r>
        <w:rPr>
          <w:color w:val="000000"/>
          <w:spacing w:val="0"/>
          <w:w w:val="100"/>
          <w:position w:val="0"/>
          <w:sz w:val="20"/>
          <w:szCs w:val="20"/>
        </w:rPr>
        <w:t>1</w:t>
      </w:r>
      <w:bookmarkEnd w:id="742"/>
      <w:r>
        <w:rPr>
          <w:color w:val="000000"/>
          <w:spacing w:val="0"/>
          <w:w w:val="100"/>
          <w:position w:val="0"/>
          <w:sz w:val="20"/>
          <w:szCs w:val="20"/>
        </w:rPr>
        <w:t>）</w:t>
        <w:tab/>
      </w:r>
      <w:r>
        <w:rPr>
          <w:color w:val="000000"/>
          <w:spacing w:val="0"/>
          <w:w w:val="100"/>
          <w:position w:val="0"/>
        </w:rPr>
        <w:t>安全芯片</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以面向多业务场景、可支持多种密码算法的可重构安全芯片为核心，研发高性能、低功耗、嵌入式安 全</w:t>
      </w:r>
      <w:r>
        <w:rPr>
          <w:color w:val="000000"/>
          <w:spacing w:val="0"/>
          <w:w w:val="100"/>
          <w:position w:val="0"/>
          <w:sz w:val="20"/>
          <w:szCs w:val="20"/>
        </w:rPr>
        <w:t>SE</w:t>
      </w:r>
      <w:r>
        <w:rPr>
          <w:color w:val="000000"/>
          <w:spacing w:val="0"/>
          <w:w w:val="100"/>
          <w:position w:val="0"/>
        </w:rPr>
        <w:t>系列芯片。高性能安全芯片可实现高速/超高速的硬件加解密且支持硬件辅助虚拟化功能，面向党 政等领域的高性能网络密码机、云服务器、数据中心服务器等应用，提升高速设备的密码运算能力和提供 更安全的业务管理能力；低功耗安全芯片则面向物联网领域的高安全需求，提供行业应用和安全融合的超 低功耗安全芯片以及定制化安全解决方案，产品可应用于党政、交通、能源、通信等领域有高安全需求的 低功耗智能终端；嵌入式安全</w:t>
      </w:r>
      <w:r>
        <w:rPr>
          <w:color w:val="000000"/>
          <w:spacing w:val="0"/>
          <w:w w:val="100"/>
          <w:position w:val="0"/>
          <w:sz w:val="20"/>
          <w:szCs w:val="20"/>
        </w:rPr>
        <w:t>SE</w:t>
      </w:r>
      <w:r>
        <w:rPr>
          <w:color w:val="000000"/>
          <w:spacing w:val="0"/>
          <w:w w:val="100"/>
          <w:position w:val="0"/>
        </w:rPr>
        <w:t>支持高速数据加解密、签名/验签、密钥管理、真随机数生成等功能，可 提供高性能密码运算、信息保护、启动代码主动度量、计算平台启动保护等安全服务，通过标准化与处理 器融合机制，可适配多种国产处理器和通信基带处理器，满足桌面级、服务器级处理器的基础安全功能需 求，是一种行业与安全业务有效融合的新业务模式产品。</w:t>
      </w:r>
    </w:p>
    <w:p>
      <w:pPr>
        <w:pStyle w:val="Style18"/>
        <w:keepNext w:val="0"/>
        <w:keepLines w:val="0"/>
        <w:widowControl w:val="0"/>
        <w:shd w:val="clear" w:color="auto" w:fill="auto"/>
        <w:tabs>
          <w:tab w:pos="772" w:val="left"/>
        </w:tabs>
        <w:bidi w:val="0"/>
        <w:spacing w:before="0" w:after="0" w:line="326" w:lineRule="auto"/>
        <w:ind w:left="0" w:right="0" w:firstLine="440"/>
        <w:jc w:val="both"/>
      </w:pPr>
      <w:bookmarkStart w:id="743" w:name="bookmark743"/>
      <w:r>
        <w:rPr>
          <w:rFonts w:ascii="Times New Roman" w:eastAsia="Times New Roman" w:hAnsi="Times New Roman" w:cs="Times New Roman"/>
          <w:color w:val="000000"/>
          <w:spacing w:val="0"/>
          <w:w w:val="100"/>
          <w:position w:val="0"/>
        </w:rPr>
        <w:t>2</w:t>
      </w:r>
      <w:bookmarkEnd w:id="743"/>
      <w:r>
        <w:rPr>
          <w:color w:val="000000"/>
          <w:spacing w:val="0"/>
          <w:w w:val="100"/>
          <w:position w:val="0"/>
        </w:rPr>
        <w:t>）</w:t>
        <w:tab/>
        <w:t>模块产品</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主要进行网络安全处理平台和计算机总线密码模块的研发和生产。网络安全总线平台硬件模块主要应 用于</w:t>
      </w:r>
      <w:r>
        <w:rPr>
          <w:rFonts w:ascii="Times New Roman" w:eastAsia="Times New Roman" w:hAnsi="Times New Roman" w:cs="Times New Roman"/>
          <w:color w:val="000000"/>
          <w:spacing w:val="0"/>
          <w:w w:val="100"/>
          <w:position w:val="0"/>
        </w:rPr>
        <w:t>VPN/</w:t>
      </w:r>
      <w:r>
        <w:rPr>
          <w:color w:val="000000"/>
          <w:spacing w:val="0"/>
          <w:w w:val="100"/>
          <w:position w:val="0"/>
        </w:rPr>
        <w:t>防火墙、金融数据密码、服务器密码机、电力纵向领域。计算机总线密码模块是公司自主开发 的基础密码设备，具有</w:t>
      </w:r>
      <w:r>
        <w:rPr>
          <w:rFonts w:ascii="Times New Roman" w:eastAsia="Times New Roman" w:hAnsi="Times New Roman" w:cs="Times New Roman"/>
          <w:color w:val="000000"/>
          <w:spacing w:val="0"/>
          <w:w w:val="100"/>
          <w:position w:val="0"/>
        </w:rPr>
        <w:t>mini PCIe</w:t>
      </w:r>
      <w:r>
        <w:rPr>
          <w:color w:val="000000"/>
          <w:spacing w:val="0"/>
          <w:w w:val="100"/>
          <w:position w:val="0"/>
        </w:rPr>
        <w:t>、</w:t>
      </w:r>
      <w:r>
        <w:rPr>
          <w:rFonts w:ascii="Times New Roman" w:eastAsia="Times New Roman" w:hAnsi="Times New Roman" w:cs="Times New Roman"/>
          <w:color w:val="000000"/>
          <w:spacing w:val="0"/>
          <w:w w:val="100"/>
          <w:position w:val="0"/>
        </w:rPr>
        <w:t>PCIe</w:t>
      </w:r>
      <w:r>
        <w:rPr>
          <w:color w:val="000000"/>
          <w:spacing w:val="0"/>
          <w:w w:val="100"/>
          <w:position w:val="0"/>
        </w:rPr>
        <w:t>、</w:t>
      </w:r>
      <w:r>
        <w:rPr>
          <w:rFonts w:ascii="Times New Roman" w:eastAsia="Times New Roman" w:hAnsi="Times New Roman" w:cs="Times New Roman"/>
          <w:color w:val="000000"/>
          <w:spacing w:val="0"/>
          <w:w w:val="100"/>
          <w:position w:val="0"/>
        </w:rPr>
        <w:t>CPCIe</w:t>
      </w:r>
      <w:r>
        <w:rPr>
          <w:color w:val="000000"/>
          <w:spacing w:val="0"/>
          <w:w w:val="100"/>
          <w:position w:val="0"/>
        </w:rPr>
        <w:t>、</w:t>
      </w:r>
      <w:r>
        <w:rPr>
          <w:rFonts w:ascii="Times New Roman" w:eastAsia="Times New Roman" w:hAnsi="Times New Roman" w:cs="Times New Roman"/>
          <w:color w:val="000000"/>
          <w:spacing w:val="0"/>
          <w:w w:val="100"/>
          <w:position w:val="0"/>
        </w:rPr>
        <w:t>USB</w:t>
      </w:r>
      <w:r>
        <w:rPr>
          <w:color w:val="000000"/>
          <w:spacing w:val="0"/>
          <w:w w:val="100"/>
          <w:position w:val="0"/>
        </w:rPr>
        <w:t>等各种物理接口，其加密性能覆盖几十兆〜</w:t>
      </w:r>
      <w:r>
        <w:rPr>
          <w:rFonts w:ascii="Times New Roman" w:eastAsia="Times New Roman" w:hAnsi="Times New Roman" w:cs="Times New Roman"/>
          <w:color w:val="000000"/>
          <w:spacing w:val="0"/>
          <w:w w:val="100"/>
          <w:position w:val="0"/>
        </w:rPr>
        <w:t xml:space="preserve">10Gbps </w:t>
      </w:r>
      <w:r>
        <w:rPr>
          <w:color w:val="000000"/>
          <w:spacing w:val="0"/>
          <w:w w:val="100"/>
          <w:position w:val="0"/>
        </w:rPr>
        <w:t>不等，能够适用于各类密码安全应用系统。</w:t>
      </w:r>
    </w:p>
    <w:p>
      <w:pPr>
        <w:pStyle w:val="Style18"/>
        <w:keepNext w:val="0"/>
        <w:keepLines w:val="0"/>
        <w:widowControl w:val="0"/>
        <w:shd w:val="clear" w:color="auto" w:fill="auto"/>
        <w:bidi w:val="0"/>
        <w:spacing w:before="0" w:after="0" w:line="313" w:lineRule="exact"/>
        <w:ind w:left="0" w:right="0" w:firstLine="44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2</w:t>
      </w:r>
      <w:r>
        <w:rPr>
          <w:color w:val="000000"/>
          <w:spacing w:val="0"/>
          <w:w w:val="100"/>
          <w:position w:val="0"/>
        </w:rPr>
        <w:t>）安全整机与系统</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公司基于纵深防御和主动防御理念，形成多维度、立体覆盖的产品谱系，产品涵盖密码产品、网络安 全、数据安全产品和安全应用产品等</w:t>
      </w:r>
      <w:r>
        <w:rPr>
          <w:rFonts w:ascii="Times New Roman" w:eastAsia="Times New Roman" w:hAnsi="Times New Roman" w:cs="Times New Roman"/>
          <w:color w:val="000000"/>
          <w:spacing w:val="0"/>
          <w:w w:val="100"/>
          <w:position w:val="0"/>
        </w:rPr>
        <w:t>4</w:t>
      </w:r>
      <w:r>
        <w:rPr>
          <w:color w:val="000000"/>
          <w:spacing w:val="0"/>
          <w:w w:val="100"/>
          <w:position w:val="0"/>
        </w:rPr>
        <w:t>大领域，</w:t>
      </w:r>
      <w:r>
        <w:rPr>
          <w:rFonts w:ascii="Times New Roman" w:eastAsia="Times New Roman" w:hAnsi="Times New Roman" w:cs="Times New Roman"/>
          <w:color w:val="000000"/>
          <w:spacing w:val="0"/>
          <w:w w:val="100"/>
          <w:position w:val="0"/>
        </w:rPr>
        <w:t>60</w:t>
      </w:r>
      <w:r>
        <w:rPr>
          <w:color w:val="000000"/>
          <w:spacing w:val="0"/>
          <w:w w:val="100"/>
          <w:position w:val="0"/>
        </w:rPr>
        <w:t>余个系列，超百款产品，产品全面开展国产化适配和 改造，有</w:t>
      </w:r>
      <w:r>
        <w:rPr>
          <w:rFonts w:ascii="Times New Roman" w:eastAsia="Times New Roman" w:hAnsi="Times New Roman" w:cs="Times New Roman"/>
          <w:color w:val="000000"/>
          <w:spacing w:val="0"/>
          <w:w w:val="100"/>
          <w:position w:val="0"/>
        </w:rPr>
        <w:t>44</w:t>
      </w:r>
      <w:r>
        <w:rPr>
          <w:color w:val="000000"/>
          <w:spacing w:val="0"/>
          <w:w w:val="100"/>
          <w:position w:val="0"/>
        </w:rPr>
        <w:t>款产品通过商密认证，</w:t>
      </w:r>
      <w:r>
        <w:rPr>
          <w:rFonts w:ascii="Times New Roman" w:eastAsia="Times New Roman" w:hAnsi="Times New Roman" w:cs="Times New Roman"/>
          <w:color w:val="000000"/>
          <w:spacing w:val="0"/>
          <w:w w:val="100"/>
          <w:position w:val="0"/>
        </w:rPr>
        <w:t>17</w:t>
      </w:r>
      <w:r>
        <w:rPr>
          <w:color w:val="000000"/>
          <w:spacing w:val="0"/>
          <w:w w:val="100"/>
          <w:position w:val="0"/>
        </w:rPr>
        <w:t>款产品获得公安部销售许可证，</w:t>
      </w:r>
      <w:r>
        <w:rPr>
          <w:rFonts w:ascii="Times New Roman" w:eastAsia="Times New Roman" w:hAnsi="Times New Roman" w:cs="Times New Roman"/>
          <w:color w:val="000000"/>
          <w:spacing w:val="0"/>
          <w:w w:val="100"/>
          <w:position w:val="0"/>
        </w:rPr>
        <w:t>23</w:t>
      </w:r>
      <w:r>
        <w:rPr>
          <w:color w:val="000000"/>
          <w:spacing w:val="0"/>
          <w:w w:val="100"/>
          <w:position w:val="0"/>
        </w:rPr>
        <w:t>款产品获得涉密信息系统产品 检测证书。在保障用户整体安全的同时，满足等级保护、分级保护、密评等合规性测评需求</w:t>
      </w:r>
      <w:r>
        <w:rPr>
          <w:color w:val="000000"/>
          <w:spacing w:val="0"/>
          <w:w w:val="100"/>
          <w:position w:val="0"/>
        </w:rPr>
        <w:t>，</w:t>
      </w:r>
      <w:r>
        <w:rPr>
          <w:color w:val="000000"/>
          <w:spacing w:val="0"/>
          <w:w w:val="100"/>
          <w:position w:val="0"/>
        </w:rPr>
        <w:t>并为客户业 务的安全和可持续性运行赋能。</w:t>
      </w:r>
    </w:p>
    <w:p>
      <w:pPr>
        <w:pStyle w:val="Style18"/>
        <w:keepNext w:val="0"/>
        <w:keepLines w:val="0"/>
        <w:widowControl w:val="0"/>
        <w:shd w:val="clear" w:color="auto" w:fill="auto"/>
        <w:tabs>
          <w:tab w:pos="758" w:val="left"/>
        </w:tabs>
        <w:bidi w:val="0"/>
        <w:spacing w:before="0" w:after="0" w:line="326" w:lineRule="auto"/>
        <w:ind w:left="0" w:right="0" w:firstLine="440"/>
        <w:jc w:val="both"/>
      </w:pPr>
      <w:bookmarkStart w:id="745" w:name="bookmark745"/>
      <w:r>
        <w:rPr>
          <w:rFonts w:ascii="Times New Roman" w:eastAsia="Times New Roman" w:hAnsi="Times New Roman" w:cs="Times New Roman"/>
          <w:color w:val="000000"/>
          <w:spacing w:val="0"/>
          <w:w w:val="100"/>
          <w:position w:val="0"/>
        </w:rPr>
        <w:t>1</w:t>
      </w:r>
      <w:bookmarkEnd w:id="745"/>
      <w:r>
        <w:rPr>
          <w:color w:val="000000"/>
          <w:spacing w:val="0"/>
          <w:w w:val="100"/>
          <w:position w:val="0"/>
        </w:rPr>
        <w:t>）</w:t>
        <w:tab/>
        <w:t>密码产品</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密码产品是网络安全的重要基础产品，卫士通是国内最早从事密码技术研究和市场应用的企业之一， 拥有二十余年的密码从业经验。近年来，公司持续增强产品自主创新能力，不断提升产业支撑能力，建成 种类丰富，链条完整的商用密码产品体系，密码综合保障能力达到国内领先水平。能提供数据加解密、认 证鉴别、证书管理、密钥管理、密码防伪和密码综合应用等各类产品。</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公司充分发挥芯片自有的优势，以嵌入式安全</w:t>
      </w:r>
      <w:r>
        <w:rPr>
          <w:rFonts w:ascii="Times New Roman" w:eastAsia="Times New Roman" w:hAnsi="Times New Roman" w:cs="Times New Roman"/>
          <w:color w:val="000000"/>
          <w:spacing w:val="0"/>
          <w:w w:val="100"/>
          <w:position w:val="0"/>
        </w:rPr>
        <w:t>SE IP</w:t>
      </w:r>
      <w:r>
        <w:rPr>
          <w:color w:val="000000"/>
          <w:spacing w:val="0"/>
          <w:w w:val="100"/>
          <w:position w:val="0"/>
        </w:rPr>
        <w:t>核、高性能</w:t>
      </w:r>
      <w:r>
        <w:rPr>
          <w:rFonts w:ascii="Times New Roman" w:eastAsia="Times New Roman" w:hAnsi="Times New Roman" w:cs="Times New Roman"/>
          <w:color w:val="000000"/>
          <w:spacing w:val="0"/>
          <w:w w:val="100"/>
          <w:position w:val="0"/>
        </w:rPr>
        <w:t>/</w:t>
      </w:r>
      <w:r>
        <w:rPr>
          <w:color w:val="000000"/>
          <w:spacing w:val="0"/>
          <w:w w:val="100"/>
          <w:position w:val="0"/>
        </w:rPr>
        <w:t>低功耗安全芯片、高性能</w:t>
      </w:r>
      <w:r>
        <w:rPr>
          <w:rFonts w:ascii="Times New Roman" w:eastAsia="Times New Roman" w:hAnsi="Times New Roman" w:cs="Times New Roman"/>
          <w:color w:val="000000"/>
          <w:spacing w:val="0"/>
          <w:w w:val="100"/>
          <w:position w:val="0"/>
        </w:rPr>
        <w:t>/</w:t>
      </w:r>
      <w:r>
        <w:rPr>
          <w:color w:val="000000"/>
          <w:spacing w:val="0"/>
          <w:w w:val="100"/>
          <w:position w:val="0"/>
        </w:rPr>
        <w:t>高安全</w:t>
      </w:r>
      <w:r>
        <w:rPr>
          <w:rFonts w:ascii="Times New Roman" w:eastAsia="Times New Roman" w:hAnsi="Times New Roman" w:cs="Times New Roman"/>
          <w:color w:val="000000"/>
          <w:spacing w:val="0"/>
          <w:w w:val="100"/>
          <w:position w:val="0"/>
        </w:rPr>
        <w:t>/</w:t>
      </w:r>
      <w:r>
        <w:rPr>
          <w:color w:val="000000"/>
          <w:spacing w:val="0"/>
          <w:w w:val="100"/>
          <w:position w:val="0"/>
        </w:rPr>
        <w:t>虚 拟化密码卡为基础，打造了服务器密码机、密钥管理系统、数字证书认证系统、密码监管系统、密码服 务平台等通用产品，并以通用产品为根基，全面开展重点行业商用密码应用推进和市场推广，在金融、电 力、测绘和政务等领域开展金融数据密码机、税控服务器密码机、测绘服务器密码机、电力纵向加密认证 装置、电子印章系统等产品的研究和研制。在云计算、物联网、车联网等领域开展云服务器密码机、云密 码资源池管理平台、安全视频加密套件、物联网安全套件、车联网证书及密钥管理基础设施等产品的研究 和研制。公司持续打造平台级产品能力，发挥产品体系完善的综合能力。整合公司密码能力形成密码服务 平台，通过为用户提供整合的密码资源和标准化的应用接口，提升密码产品的易用性；整合管理能力，推 出密码监管系统、密码设备与服务管理系统等多款产品，全方位实现密码设备、密码资源、密码使用的实 时监控，帮助客户实现密码使用的合理合规。</w:t>
      </w:r>
    </w:p>
    <w:p>
      <w:pPr>
        <w:pStyle w:val="Style18"/>
        <w:keepNext w:val="0"/>
        <w:keepLines w:val="0"/>
        <w:widowControl w:val="0"/>
        <w:shd w:val="clear" w:color="auto" w:fill="auto"/>
        <w:tabs>
          <w:tab w:pos="772" w:val="left"/>
        </w:tabs>
        <w:bidi w:val="0"/>
        <w:spacing w:before="0" w:after="0" w:line="326" w:lineRule="auto"/>
        <w:ind w:left="0" w:right="0" w:firstLine="440"/>
        <w:jc w:val="both"/>
      </w:pPr>
      <w:bookmarkStart w:id="746" w:name="bookmark746"/>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网络安全产品</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公司网络安全产品涵盖网络边界安全、终端安全、身份安全、安全管理、云安全、物联网安全等多个 领域，可部署在互联网、政务外网、政务内网、党政专网等不同安全等级的网络环境中。</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网络边界安全产品主要包括</w:t>
      </w:r>
      <w:r>
        <w:rPr>
          <w:color w:val="000000"/>
          <w:spacing w:val="0"/>
          <w:w w:val="100"/>
          <w:position w:val="0"/>
          <w:sz w:val="20"/>
          <w:szCs w:val="20"/>
        </w:rPr>
        <w:t>VPN</w:t>
      </w:r>
      <w:r>
        <w:rPr>
          <w:color w:val="000000"/>
          <w:spacing w:val="0"/>
          <w:w w:val="100"/>
          <w:position w:val="0"/>
        </w:rPr>
        <w:t>综合安全网关（包括</w:t>
      </w:r>
      <w:r>
        <w:rPr>
          <w:color w:val="000000"/>
          <w:spacing w:val="0"/>
          <w:w w:val="100"/>
          <w:position w:val="0"/>
          <w:sz w:val="20"/>
          <w:szCs w:val="20"/>
        </w:rPr>
        <w:t>IPSec VPN</w:t>
      </w:r>
      <w:r>
        <w:rPr>
          <w:color w:val="000000"/>
          <w:spacing w:val="0"/>
          <w:w w:val="100"/>
          <w:position w:val="0"/>
        </w:rPr>
        <w:t>、</w:t>
      </w:r>
      <w:r>
        <w:rPr>
          <w:color w:val="000000"/>
          <w:spacing w:val="0"/>
          <w:w w:val="100"/>
          <w:position w:val="0"/>
          <w:sz w:val="20"/>
          <w:szCs w:val="20"/>
        </w:rPr>
        <w:t>SSL VPN）</w:t>
      </w:r>
      <w:r>
        <w:rPr>
          <w:color w:val="000000"/>
          <w:spacing w:val="0"/>
          <w:w w:val="100"/>
          <w:position w:val="0"/>
        </w:rPr>
        <w:t>、电力专用纵向加密 认证装置、网络安全隔离与交换（包括双向交换、单向导入、激光单向）、安全应用交付网关和下一代防 火墙等。其中</w:t>
      </w:r>
      <w:r>
        <w:rPr>
          <w:color w:val="000000"/>
          <w:spacing w:val="0"/>
          <w:w w:val="100"/>
          <w:position w:val="0"/>
          <w:sz w:val="20"/>
          <w:szCs w:val="20"/>
        </w:rPr>
        <w:t>VPN</w:t>
      </w:r>
      <w:r>
        <w:rPr>
          <w:color w:val="000000"/>
          <w:spacing w:val="0"/>
          <w:w w:val="100"/>
          <w:position w:val="0"/>
        </w:rPr>
        <w:t>综合安全网关用于在互联网等环境中构建虚拟安全专用网络；网络安全隔离与交换产 品用于在两个不同安全等级的网络之间交互信息。</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终端安全产品主要包括身份鉴别系统、主机监控与审计系统、服务器审计系统、安全保密记事本，可 实现用户登录终端的身份鉴别，主机资源的管控、用户行为和事件的审计、以及终端安全的加固。其中身 份鉴别系统支持商密、特种等多种</w:t>
      </w:r>
      <w:r>
        <w:rPr>
          <w:color w:val="000000"/>
          <w:spacing w:val="0"/>
          <w:w w:val="100"/>
          <w:position w:val="0"/>
          <w:sz w:val="20"/>
          <w:szCs w:val="20"/>
        </w:rPr>
        <w:t>USBKey</w:t>
      </w:r>
      <w:r>
        <w:rPr>
          <w:color w:val="000000"/>
          <w:spacing w:val="0"/>
          <w:w w:val="100"/>
          <w:position w:val="0"/>
        </w:rPr>
        <w:t>，满足各类用户合规需求。</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身份安全产品包括统一身份认证系统、信任服务系统、安全认证网关、以及零信任安全解决方案。产 品支持证书、动态口令、生物特征、法人/自然人等多种认证方式，其中信任服务系统占据政务内网身份 认证过半的市场份额。</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安全管理产品包括网络安全管理系统、安全运行监管系统、日志收集与审计系统、高级威胁检测分析 系统。可实时监测设备运行状态，实时检测网络安全威胁，实时检测用户行为，帮助用户掌握网络威胁状 况，提高网络安全威胁检测和响应能力，能为安全运维人员、安全管理人员、安全保密人员分别提供运行 监管、安全监管和保密监管。</w:t>
      </w:r>
    </w:p>
    <w:p>
      <w:pPr>
        <w:pStyle w:val="Style18"/>
        <w:keepNext w:val="0"/>
        <w:keepLines w:val="0"/>
        <w:widowControl w:val="0"/>
        <w:shd w:val="clear" w:color="auto" w:fill="auto"/>
        <w:tabs>
          <w:tab w:pos="771" w:val="left"/>
        </w:tabs>
        <w:bidi w:val="0"/>
        <w:spacing w:before="0" w:after="0" w:line="313" w:lineRule="exact"/>
        <w:ind w:left="0" w:right="0" w:firstLine="440"/>
        <w:jc w:val="both"/>
      </w:pPr>
      <w:bookmarkStart w:id="747" w:name="bookmark747"/>
      <w:r>
        <w:rPr>
          <w:color w:val="000000"/>
          <w:spacing w:val="0"/>
          <w:w w:val="100"/>
          <w:position w:val="0"/>
          <w:sz w:val="20"/>
          <w:szCs w:val="20"/>
        </w:rPr>
        <w:t>3</w:t>
      </w:r>
      <w:bookmarkEnd w:id="747"/>
      <w:r>
        <w:rPr>
          <w:color w:val="000000"/>
          <w:spacing w:val="0"/>
          <w:w w:val="100"/>
          <w:position w:val="0"/>
          <w:sz w:val="20"/>
          <w:szCs w:val="20"/>
        </w:rPr>
        <w:t>）</w:t>
        <w:tab/>
      </w:r>
      <w:r>
        <w:rPr>
          <w:color w:val="000000"/>
          <w:spacing w:val="0"/>
          <w:w w:val="100"/>
          <w:position w:val="0"/>
        </w:rPr>
        <w:t>数据安全产品</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公司依靠自身密码技术优势，紧紧围绕“分类治理、多方信任、安全共享”的数据安全理念，打造了 一整套以密码为核心的数据安全产品体系，全面支撑满足国家、企业、个人等不同主体不同场景的各类数 据安全诉求。在分类治理产品方面，基于人工智能数据内容识别技术和基于密码的数据标记技术打造创新 产品，实现结构化、非结构化类型数据的自动分级分类和自动标记。</w:t>
      </w:r>
    </w:p>
    <w:p>
      <w:pPr>
        <w:pStyle w:val="Style18"/>
        <w:keepNext w:val="0"/>
        <w:keepLines w:val="0"/>
        <w:widowControl w:val="0"/>
        <w:shd w:val="clear" w:color="auto" w:fill="auto"/>
        <w:tabs>
          <w:tab w:pos="776" w:val="left"/>
        </w:tabs>
        <w:bidi w:val="0"/>
        <w:spacing w:before="0" w:after="0" w:line="313" w:lineRule="exact"/>
        <w:ind w:left="0" w:right="0" w:firstLine="440"/>
        <w:jc w:val="both"/>
      </w:pPr>
      <w:bookmarkStart w:id="748" w:name="bookmark748"/>
      <w:r>
        <w:rPr>
          <w:color w:val="000000"/>
          <w:spacing w:val="0"/>
          <w:w w:val="100"/>
          <w:position w:val="0"/>
          <w:sz w:val="20"/>
          <w:szCs w:val="20"/>
        </w:rPr>
        <w:t>4</w:t>
      </w:r>
      <w:bookmarkEnd w:id="748"/>
      <w:r>
        <w:rPr>
          <w:color w:val="000000"/>
          <w:spacing w:val="0"/>
          <w:w w:val="100"/>
          <w:position w:val="0"/>
          <w:sz w:val="20"/>
          <w:szCs w:val="20"/>
        </w:rPr>
        <w:t>）</w:t>
        <w:tab/>
      </w:r>
      <w:r>
        <w:rPr>
          <w:color w:val="000000"/>
          <w:spacing w:val="0"/>
          <w:w w:val="100"/>
          <w:position w:val="0"/>
        </w:rPr>
        <w:t>安全应用产品</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公司深度融合安全和业务应用，打造可应用于互联网、企业内网、专网等各种网络环境的安全应用产 品。公司安全应用产品全面对接密码、网络安全、数据安全和认证服务等公司核心安全能力，产品主要包 括通讯安全应用系列、文档安全应用系列和行业安全应用系列。</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通讯安全应用系列针对安全通信、安全接入、安全管控三大场景，打造基础通信能力+第三方应用相 结合的沟通协作平台，有效解决用户移动办公场景下的安全问题。产品包括橙讯、无纸化会议系统、密信 通等产品。其中橙讯是卫士通面向党政军企客户境内通信联络和移动办公场景，自主研发的基于国产商用 密码保护的高安全及时通讯和办公协作平台，提供安全合规、高效可控、便捷灵活和内容丰富的一体化安 全即时通讯服务，有效保障重要工作信息在移动终端和通信网络不可控条件下的安全沟通和传递。</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文档安全应用系列产品实现包括文件安全存储、安全流转、交换共享在内的全生命周期安全，保障党 政机关、大中型企业等用户文档应用的安全。产品包括卫士云盘，电子文档安全管理系统等。</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行业安全应用系列产品发挥密码基因优势，对重要物品、重要场所进行统一管理，可广泛应用于公检 法等党政企事业单位。产品包括资产管理系统、涉案财物管理系统等。</w:t>
      </w:r>
    </w:p>
    <w:p>
      <w:pPr>
        <w:pStyle w:val="Style18"/>
        <w:keepNext w:val="0"/>
        <w:keepLines w:val="0"/>
        <w:widowControl w:val="0"/>
        <w:shd w:val="clear" w:color="auto" w:fill="auto"/>
        <w:bidi w:val="0"/>
        <w:spacing w:before="0" w:after="0" w:line="313" w:lineRule="exact"/>
        <w:ind w:left="0" w:right="0" w:firstLine="440"/>
        <w:jc w:val="both"/>
      </w:pPr>
      <w:bookmarkStart w:id="749" w:name="bookmark749"/>
      <w:r>
        <w:rPr>
          <w:color w:val="000000"/>
          <w:spacing w:val="0"/>
          <w:w w:val="100"/>
          <w:position w:val="0"/>
          <w:sz w:val="20"/>
          <w:szCs w:val="20"/>
        </w:rPr>
        <w:t>（</w:t>
      </w:r>
      <w:bookmarkEnd w:id="749"/>
      <w:r>
        <w:rPr>
          <w:color w:val="000000"/>
          <w:spacing w:val="0"/>
          <w:w w:val="100"/>
          <w:position w:val="0"/>
          <w:sz w:val="20"/>
          <w:szCs w:val="20"/>
        </w:rPr>
        <w:t>3）</w:t>
      </w:r>
      <w:r>
        <w:rPr>
          <w:color w:val="000000"/>
          <w:spacing w:val="0"/>
          <w:w w:val="100"/>
          <w:position w:val="0"/>
        </w:rPr>
        <w:t>安全集成与服务</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公司以密码为核心，以“安全赋能，同生共长”为目标，为用户提供包括安全咨询、安全评估、安全 集成、安全运维、应急响应、安全运营、安全培训在内的全生命周期安全集成与服务。</w:t>
      </w:r>
    </w:p>
    <w:p>
      <w:pPr>
        <w:pStyle w:val="Style18"/>
        <w:keepNext w:val="0"/>
        <w:keepLines w:val="0"/>
        <w:widowControl w:val="0"/>
        <w:shd w:val="clear" w:color="auto" w:fill="auto"/>
        <w:tabs>
          <w:tab w:pos="762" w:val="left"/>
        </w:tabs>
        <w:bidi w:val="0"/>
        <w:spacing w:before="0" w:after="0" w:line="313" w:lineRule="exact"/>
        <w:ind w:left="0" w:right="0" w:firstLine="440"/>
        <w:jc w:val="both"/>
      </w:pPr>
      <w:bookmarkStart w:id="750" w:name="bookmark750"/>
      <w:r>
        <w:rPr>
          <w:color w:val="000000"/>
          <w:spacing w:val="0"/>
          <w:w w:val="100"/>
          <w:position w:val="0"/>
          <w:sz w:val="20"/>
          <w:szCs w:val="20"/>
        </w:rPr>
        <w:t>1</w:t>
      </w:r>
      <w:bookmarkEnd w:id="750"/>
      <w:r>
        <w:rPr>
          <w:color w:val="000000"/>
          <w:spacing w:val="0"/>
          <w:w w:val="100"/>
          <w:position w:val="0"/>
          <w:sz w:val="20"/>
          <w:szCs w:val="20"/>
        </w:rPr>
        <w:t>）</w:t>
        <w:tab/>
      </w:r>
      <w:r>
        <w:rPr>
          <w:color w:val="000000"/>
          <w:spacing w:val="0"/>
          <w:w w:val="100"/>
          <w:position w:val="0"/>
        </w:rPr>
        <w:t>安全集成</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公司具备行业内各类安全服务、集成、应急服务等相关资质，融合自有产品与技术能力，形成针对网 络基础设施、移动互联网、信息系统等的通用解决方案，以及针对政务外网、政务内网、智慧城市、大型 企业整体保障等典型应用场景的解决方案，依托雄厚的技术支持和强大的营销网络，为各层次用户提供全 生命周期的系统集成与安全支持服务，包括项目规划、整体解决方案设计、工程建设、用户培训等。</w:t>
      </w:r>
    </w:p>
    <w:p>
      <w:pPr>
        <w:pStyle w:val="Style18"/>
        <w:keepNext w:val="0"/>
        <w:keepLines w:val="0"/>
        <w:widowControl w:val="0"/>
        <w:shd w:val="clear" w:color="auto" w:fill="auto"/>
        <w:tabs>
          <w:tab w:pos="776" w:val="left"/>
        </w:tabs>
        <w:bidi w:val="0"/>
        <w:spacing w:before="0" w:after="0" w:line="313" w:lineRule="exact"/>
        <w:ind w:left="0" w:right="0" w:firstLine="440"/>
        <w:jc w:val="both"/>
      </w:pPr>
      <w:bookmarkStart w:id="751" w:name="bookmark751"/>
      <w:r>
        <w:rPr>
          <w:color w:val="000000"/>
          <w:spacing w:val="0"/>
          <w:w w:val="100"/>
          <w:position w:val="0"/>
          <w:sz w:val="20"/>
          <w:szCs w:val="20"/>
        </w:rPr>
        <w:t>2</w:t>
      </w:r>
      <w:bookmarkEnd w:id="751"/>
      <w:r>
        <w:rPr>
          <w:color w:val="000000"/>
          <w:spacing w:val="0"/>
          <w:w w:val="100"/>
          <w:position w:val="0"/>
          <w:sz w:val="20"/>
          <w:szCs w:val="20"/>
        </w:rPr>
        <w:t>）</w:t>
        <w:tab/>
      </w:r>
      <w:r>
        <w:rPr>
          <w:color w:val="000000"/>
          <w:spacing w:val="0"/>
          <w:w w:val="100"/>
          <w:position w:val="0"/>
        </w:rPr>
        <w:t>安全服务</w:t>
      </w:r>
    </w:p>
    <w:p>
      <w:pPr>
        <w:pStyle w:val="Style18"/>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 xml:space="preserve">公司通过服务接口、安全中间件、密码嵌入等多种方式，在线、离线、线上线下一体化、现场等多种 形式，向党政、军队、关键行业安全服务，“一键式”满足不同用户不同层次的安全需求，为用户提供持 续有效的安全能力。其中，综合保障服务围绕用户网络安全体系，提供网络安全综合保障服务、网络安全 </w:t>
      </w:r>
      <w:r>
        <w:rPr>
          <w:color w:val="000000"/>
          <w:spacing w:val="0"/>
          <w:w w:val="100"/>
          <w:position w:val="0"/>
        </w:rPr>
        <w:t>及服务；密码服务围绕个人信息保护，提供第三方加密和典型密码应用服务，如密码基础设施建设与运营、 在线密码服务；云安全服务主要提供云计算信息基础设施监管、云安全一体化运营服务。</w:t>
      </w:r>
    </w:p>
    <w:p>
      <w:pPr>
        <w:pStyle w:val="Style18"/>
        <w:keepNext w:val="0"/>
        <w:keepLines w:val="0"/>
        <w:widowControl w:val="0"/>
        <w:shd w:val="clear" w:color="auto" w:fill="auto"/>
        <w:bidi w:val="0"/>
        <w:spacing w:before="0" w:after="0" w:line="326" w:lineRule="auto"/>
        <w:ind w:left="0" w:right="0" w:firstLine="440"/>
        <w:jc w:val="both"/>
      </w:pPr>
      <w:bookmarkStart w:id="752" w:name="bookmark752"/>
      <w:r>
        <w:rPr>
          <w:rFonts w:ascii="Times New Roman" w:eastAsia="Times New Roman" w:hAnsi="Times New Roman" w:cs="Times New Roman"/>
          <w:color w:val="000000"/>
          <w:spacing w:val="0"/>
          <w:w w:val="100"/>
          <w:position w:val="0"/>
        </w:rPr>
        <w:t>3</w:t>
      </w:r>
      <w:bookmarkEnd w:id="752"/>
      <w:r>
        <w:rPr>
          <w:color w:val="000000"/>
          <w:spacing w:val="0"/>
          <w:w w:val="100"/>
          <w:position w:val="0"/>
        </w:rPr>
        <w:t>、经营范围</w:t>
      </w:r>
    </w:p>
    <w:p>
      <w:pPr>
        <w:pStyle w:val="Style18"/>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本公司营业范围包括通信保密与信息安全、信息网络与多媒体终端及系统产品的开发、生产、销售、 工程建设（涉及前置审批的批准后方可经营）；税控收款机系列产品、金融及贸易结算电子设备、</w:t>
      </w:r>
      <w:r>
        <w:rPr>
          <w:rFonts w:ascii="Times New Roman" w:eastAsia="Times New Roman" w:hAnsi="Times New Roman" w:cs="Times New Roman"/>
          <w:color w:val="000000"/>
          <w:spacing w:val="0"/>
          <w:w w:val="100"/>
          <w:position w:val="0"/>
        </w:rPr>
        <w:t>IC</w:t>
      </w:r>
      <w:r>
        <w:rPr>
          <w:color w:val="000000"/>
          <w:spacing w:val="0"/>
          <w:w w:val="100"/>
          <w:position w:val="0"/>
        </w:rPr>
        <w:t>卡机 具设备、微型计算机系统产品及相关软件等电子信息技术产品的研制、生产、组装、销售、工程集成和技 术服务；无线通信系统（不含无线电发射设备）、图像设备、电子设备、电子计算机及外围设备、耗材、 电子元器件、专用芯片的研制、生产、销售、工程建设、系统集成及技术咨询与服务；自营和代理各类商 品及技术的进出口业务，但国家限定公司经营或禁止进出口的商品及技术除外。</w:t>
      </w:r>
    </w:p>
    <w:p>
      <w:pPr>
        <w:pStyle w:val="Style26"/>
        <w:keepNext w:val="0"/>
        <w:keepLines w:val="0"/>
        <w:widowControl w:val="0"/>
        <w:shd w:val="clear" w:color="auto" w:fill="auto"/>
        <w:bidi w:val="0"/>
        <w:spacing w:before="0" w:after="60" w:line="240" w:lineRule="auto"/>
        <w:ind w:left="365" w:right="0" w:firstLine="0"/>
        <w:jc w:val="left"/>
        <w:rPr>
          <w:sz w:val="20"/>
          <w:szCs w:val="20"/>
        </w:rPr>
      </w:pPr>
      <w:r>
        <w:rPr>
          <w:b/>
          <w:bCs/>
          <w:color w:val="000000"/>
          <w:spacing w:val="0"/>
          <w:w w:val="100"/>
          <w:position w:val="0"/>
          <w:sz w:val="20"/>
          <w:szCs w:val="20"/>
        </w:rPr>
        <w:t>（三）财务报表的批准报出</w:t>
      </w:r>
    </w:p>
    <w:p>
      <w:pPr>
        <w:pStyle w:val="Style26"/>
        <w:keepNext w:val="0"/>
        <w:keepLines w:val="0"/>
        <w:widowControl w:val="0"/>
        <w:shd w:val="clear" w:color="auto" w:fill="auto"/>
        <w:bidi w:val="0"/>
        <w:spacing w:before="0" w:after="0" w:line="240" w:lineRule="auto"/>
        <w:ind w:left="365" w:right="0" w:firstLine="0"/>
        <w:jc w:val="left"/>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日批准报出。</w:t>
      </w:r>
    </w:p>
    <w:tbl>
      <w:tblPr>
        <w:tblOverlap w:val="never"/>
        <w:jc w:val="left"/>
        <w:tblLayout w:type="fixed"/>
      </w:tblPr>
      <w:tblGrid>
        <w:gridCol w:w="3514"/>
        <w:gridCol w:w="1262"/>
        <w:gridCol w:w="725"/>
        <w:gridCol w:w="1517"/>
        <w:gridCol w:w="1526"/>
      </w:tblGrid>
      <w:tr>
        <w:trPr>
          <w:trHeight w:val="288"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本期纳入合并财务报表范围的子公司共</w:t>
            </w:r>
            <w:r>
              <w:rPr>
                <w:rFonts w:ascii="Times New Roman" w:eastAsia="Times New Roman" w:hAnsi="Times New Roman" w:cs="Times New Roman"/>
                <w:color w:val="0000CC"/>
                <w:spacing w:val="0"/>
                <w:w w:val="100"/>
                <w:position w:val="0"/>
                <w:sz w:val="20"/>
                <w:szCs w:val="20"/>
              </w:rPr>
              <w:t>5</w:t>
            </w:r>
            <w:r>
              <w:rPr>
                <w:color w:val="000000"/>
                <w:spacing w:val="0"/>
                <w:w w:val="100"/>
                <w:position w:val="0"/>
                <w:sz w:val="20"/>
                <w:szCs w:val="20"/>
              </w:rPr>
              <w:t>户，具，</w:t>
            </w:r>
          </w:p>
        </w:tc>
        <w:tc>
          <w:tcPr>
            <w:gridSpan w:val="3"/>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体包括</w:t>
            </w:r>
            <w:r>
              <w:rPr>
                <w:color w:val="FF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98.49</w:t>
            </w:r>
          </w:p>
        </w:tc>
      </w:tr>
      <w:tr>
        <w:trPr>
          <w:trHeight w:val="302"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本期纳入合并财务报表范围的主体较上期</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相比，减少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户，其中：</w:t>
            </w:r>
          </w:p>
        </w:tc>
      </w:tr>
    </w:tbl>
    <w:p>
      <w:pPr>
        <w:widowControl w:val="0"/>
        <w:spacing w:after="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本期不再纳入合并范围的子公司、特殊目的主体、通过委托经营或出租等方式丧失控制权的经营实体</w:t>
      </w:r>
    </w:p>
    <w:tbl>
      <w:tblPr>
        <w:tblOverlap w:val="never"/>
        <w:jc w:val="center"/>
        <w:tblLayout w:type="fixed"/>
      </w:tblPr>
      <w:tblGrid>
        <w:gridCol w:w="3374"/>
        <w:gridCol w:w="5170"/>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本期出售其</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股权，失去控制，不再纳入合并范围</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both"/>
      </w:pPr>
      <w:bookmarkStart w:id="753" w:name="bookmark753"/>
      <w:bookmarkStart w:id="754" w:name="bookmark754"/>
      <w:bookmarkStart w:id="755" w:name="bookmark755"/>
      <w:bookmarkStart w:id="756" w:name="bookmark756"/>
      <w:r>
        <w:rPr>
          <w:color w:val="000000"/>
          <w:spacing w:val="0"/>
          <w:w w:val="100"/>
          <w:position w:val="0"/>
        </w:rPr>
        <w:t>四</w:t>
      </w:r>
      <w:bookmarkEnd w:id="755"/>
      <w:r>
        <w:rPr>
          <w:color w:val="000000"/>
          <w:spacing w:val="0"/>
          <w:w w:val="100"/>
          <w:position w:val="0"/>
        </w:rPr>
        <w:t>、财务报表的编制基础</w:t>
      </w:r>
      <w:bookmarkEnd w:id="753"/>
      <w:bookmarkEnd w:id="754"/>
      <w:bookmarkEnd w:id="756"/>
    </w:p>
    <w:p>
      <w:pPr>
        <w:pStyle w:val="Style32"/>
        <w:keepNext/>
        <w:keepLines/>
        <w:widowControl w:val="0"/>
        <w:shd w:val="clear" w:color="auto" w:fill="auto"/>
        <w:tabs>
          <w:tab w:pos="354" w:val="left"/>
        </w:tabs>
        <w:bidi w:val="0"/>
        <w:spacing w:before="0" w:after="300" w:line="310" w:lineRule="exact"/>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color w:val="000000"/>
          <w:spacing w:val="0"/>
          <w:w w:val="100"/>
          <w:position w:val="0"/>
        </w:rPr>
        <w:t>、</w:t>
        <w:tab/>
        <w:t>编制基础</w:t>
      </w:r>
      <w:bookmarkEnd w:id="757"/>
      <w:bookmarkEnd w:id="758"/>
      <w:bookmarkEnd w:id="760"/>
    </w:p>
    <w:p>
      <w:pPr>
        <w:pStyle w:val="Style18"/>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2"/>
        <w:keepNext/>
        <w:keepLines/>
        <w:widowControl w:val="0"/>
        <w:shd w:val="clear" w:color="auto" w:fill="auto"/>
        <w:tabs>
          <w:tab w:pos="364" w:val="left"/>
        </w:tabs>
        <w:bidi w:val="0"/>
        <w:spacing w:before="0" w:after="300" w:line="310" w:lineRule="exact"/>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color w:val="000000"/>
          <w:spacing w:val="0"/>
          <w:w w:val="100"/>
          <w:position w:val="0"/>
        </w:rPr>
        <w:t>、</w:t>
        <w:tab/>
        <w:t>持续经营</w:t>
      </w:r>
      <w:bookmarkEnd w:id="761"/>
      <w:bookmarkEnd w:id="762"/>
      <w:bookmarkEnd w:id="764"/>
    </w:p>
    <w:p>
      <w:pPr>
        <w:pStyle w:val="Style18"/>
        <w:keepNext w:val="0"/>
        <w:keepLines w:val="0"/>
        <w:widowControl w:val="0"/>
        <w:shd w:val="clear" w:color="auto" w:fill="auto"/>
        <w:bidi w:val="0"/>
        <w:spacing w:before="0" w:after="380" w:line="326" w:lineRule="exact"/>
        <w:ind w:left="0" w:right="0" w:firstLine="360"/>
        <w:jc w:val="left"/>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4"/>
        <w:keepNext/>
        <w:keepLines/>
        <w:widowControl w:val="0"/>
        <w:shd w:val="clear" w:color="auto" w:fill="auto"/>
        <w:bidi w:val="0"/>
        <w:spacing w:before="0" w:after="38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五</w:t>
      </w:r>
      <w:bookmarkEnd w:id="767"/>
      <w:r>
        <w:rPr>
          <w:color w:val="000000"/>
          <w:spacing w:val="0"/>
          <w:w w:val="100"/>
          <w:position w:val="0"/>
        </w:rPr>
        <w:t>、重要会计政策及会计估计</w:t>
      </w:r>
      <w:bookmarkEnd w:id="765"/>
      <w:bookmarkEnd w:id="766"/>
      <w:bookmarkEnd w:id="768"/>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00" w:line="307" w:lineRule="exact"/>
        <w:ind w:left="0" w:right="0" w:firstLine="360"/>
        <w:jc w:val="left"/>
      </w:pPr>
      <w:r>
        <w:rPr>
          <w:color w:val="000000"/>
          <w:spacing w:val="0"/>
          <w:w w:val="100"/>
          <w:position w:val="0"/>
        </w:rPr>
        <w:t xml:space="preserve">（一）本公司根据生产经营特点确定具体会计政策和会计估计，主要体现在存货的计价方法（附注五、 </w:t>
      </w:r>
      <w:r>
        <w:rPr>
          <w:rFonts w:ascii="Times New Roman" w:eastAsia="Times New Roman" w:hAnsi="Times New Roman" w:cs="Times New Roman"/>
          <w:color w:val="000000"/>
          <w:spacing w:val="0"/>
          <w:w w:val="100"/>
          <w:position w:val="0"/>
        </w:rPr>
        <w:t>12</w:t>
      </w:r>
      <w:r>
        <w:rPr>
          <w:color w:val="000000"/>
          <w:spacing w:val="0"/>
          <w:w w:val="100"/>
          <w:position w:val="0"/>
        </w:rPr>
        <w:t>）、应收款项预期信用损失计提的方法（附注五、</w:t>
      </w:r>
      <w:r>
        <w:rPr>
          <w:rFonts w:ascii="Times New Roman" w:eastAsia="Times New Roman" w:hAnsi="Times New Roman" w:cs="Times New Roman"/>
          <w:color w:val="000000"/>
          <w:spacing w:val="0"/>
          <w:w w:val="100"/>
          <w:position w:val="0"/>
        </w:rPr>
        <w:t>10</w:t>
      </w:r>
      <w:r>
        <w:rPr>
          <w:color w:val="000000"/>
          <w:spacing w:val="0"/>
          <w:w w:val="100"/>
          <w:position w:val="0"/>
        </w:rPr>
        <w:t>）、固定资产折旧和无形资产摊销（附注五、</w:t>
      </w:r>
      <w:r>
        <w:rPr>
          <w:rFonts w:ascii="Times New Roman" w:eastAsia="Times New Roman" w:hAnsi="Times New Roman" w:cs="Times New Roman"/>
          <w:color w:val="000000"/>
          <w:spacing w:val="0"/>
          <w:w w:val="100"/>
          <w:position w:val="0"/>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）、收入的确认时点（附注五、</w:t>
      </w:r>
      <w:r>
        <w:rPr>
          <w:rFonts w:ascii="Times New Roman" w:eastAsia="Times New Roman" w:hAnsi="Times New Roman" w:cs="Times New Roman"/>
          <w:color w:val="000000"/>
          <w:spacing w:val="0"/>
          <w:w w:val="100"/>
          <w:position w:val="0"/>
        </w:rPr>
        <w:t>29</w:t>
      </w:r>
      <w:r>
        <w:rPr>
          <w:color w:val="000000"/>
          <w:spacing w:val="0"/>
          <w:w w:val="100"/>
          <w:position w:val="0"/>
        </w:rPr>
        <w:t>）等。</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（二）本公司根据历史经验和其他因素，包括对未来事项的合理预期，对所采用的重要会计估计和关 键假设进行持续的评价。下列重要会计估计及关键假设如果发生重大变动，则可能会导致以后会计年度的 资产和负债账面价值的重大影响：</w:t>
      </w:r>
    </w:p>
    <w:p>
      <w:pPr>
        <w:pStyle w:val="Style18"/>
        <w:keepNext w:val="0"/>
        <w:keepLines w:val="0"/>
        <w:widowControl w:val="0"/>
        <w:numPr>
          <w:ilvl w:val="0"/>
          <w:numId w:val="25"/>
        </w:numPr>
        <w:shd w:val="clear" w:color="auto" w:fill="auto"/>
        <w:tabs>
          <w:tab w:pos="610" w:val="left"/>
        </w:tabs>
        <w:bidi w:val="0"/>
        <w:spacing w:before="0" w:after="0" w:line="315" w:lineRule="exact"/>
        <w:ind w:left="0" w:right="0" w:firstLine="360"/>
        <w:jc w:val="both"/>
      </w:pPr>
      <w:bookmarkStart w:id="769" w:name="bookmark769"/>
      <w:bookmarkEnd w:id="769"/>
      <w:r>
        <w:rPr>
          <w:color w:val="000000"/>
          <w:spacing w:val="0"/>
          <w:w w:val="100"/>
          <w:position w:val="0"/>
        </w:rPr>
        <w:t>应收账款和其他应收款预期信用损失。管理层根据其判断的应收账款和其他应收款的预期信用损失， 以此来估计应收账款和其他应收款减值准备。如发生任何事件或情况变动，显示公司未必可追回有关余额， 则需要使用估计，对应收账款和其他应收款计提减值准备。若预期数字与原来估计数不同，有关差额则会 影响应收账款和其他应收款的账面价值，以及在估计变动期间的减值费用。</w:t>
      </w:r>
    </w:p>
    <w:p>
      <w:pPr>
        <w:pStyle w:val="Style18"/>
        <w:keepNext w:val="0"/>
        <w:keepLines w:val="0"/>
        <w:widowControl w:val="0"/>
        <w:numPr>
          <w:ilvl w:val="0"/>
          <w:numId w:val="25"/>
        </w:numPr>
        <w:shd w:val="clear" w:color="auto" w:fill="auto"/>
        <w:tabs>
          <w:tab w:pos="610" w:val="left"/>
        </w:tabs>
        <w:bidi w:val="0"/>
        <w:spacing w:before="0" w:after="0" w:line="315" w:lineRule="exact"/>
        <w:ind w:left="0" w:right="0" w:firstLine="360"/>
        <w:jc w:val="both"/>
      </w:pPr>
      <w:bookmarkStart w:id="770" w:name="bookmark770"/>
      <w:bookmarkEnd w:id="770"/>
      <w:r>
        <w:rPr>
          <w:color w:val="000000"/>
          <w:spacing w:val="0"/>
          <w:w w:val="100"/>
          <w:position w:val="0"/>
        </w:rPr>
        <w:t>存货减值的估计。在资产负债表日对存货按照成本与可变现净值孰低计量，可变现净值的计算需要利 用假设和估计。如果管理层对估计售价及完工时将要发生的成本及费用等进行重新修订，将影响存货的可 变现净值的估计，该差异将对计提的存货跌价准备产生影响。</w:t>
      </w:r>
    </w:p>
    <w:p>
      <w:pPr>
        <w:pStyle w:val="Style18"/>
        <w:keepNext w:val="0"/>
        <w:keepLines w:val="0"/>
        <w:widowControl w:val="0"/>
        <w:numPr>
          <w:ilvl w:val="0"/>
          <w:numId w:val="25"/>
        </w:numPr>
        <w:shd w:val="clear" w:color="auto" w:fill="auto"/>
        <w:tabs>
          <w:tab w:pos="610" w:val="left"/>
        </w:tabs>
        <w:bidi w:val="0"/>
        <w:spacing w:before="0" w:after="0" w:line="315" w:lineRule="exact"/>
        <w:ind w:left="0" w:right="0" w:firstLine="360"/>
        <w:jc w:val="both"/>
      </w:pPr>
      <w:bookmarkStart w:id="771" w:name="bookmark771"/>
      <w:bookmarkEnd w:id="771"/>
      <w:r>
        <w:rPr>
          <w:color w:val="000000"/>
          <w:spacing w:val="0"/>
          <w:w w:val="100"/>
          <w:position w:val="0"/>
        </w:rPr>
        <w:t>长期资产减值的估计。管理层在判断长期资产是否存在减值时，主要从以下方面进行评估和分析：</w:t>
      </w:r>
      <w:r>
        <w:rPr>
          <w:rFonts w:ascii="Times New Roman" w:eastAsia="Times New Roman" w:hAnsi="Times New Roman" w:cs="Times New Roman"/>
          <w:color w:val="000000"/>
          <w:spacing w:val="0"/>
          <w:w w:val="100"/>
          <w:position w:val="0"/>
        </w:rPr>
        <w:t xml:space="preserve">1） </w:t>
      </w:r>
      <w:r>
        <w:rPr>
          <w:color w:val="000000"/>
          <w:spacing w:val="0"/>
          <w:w w:val="100"/>
          <w:position w:val="0"/>
        </w:rPr>
        <w:t>影响资产减值的事项是否已经发生；</w:t>
      </w:r>
      <w:r>
        <w:rPr>
          <w:rFonts w:ascii="Times New Roman" w:eastAsia="Times New Roman" w:hAnsi="Times New Roman" w:cs="Times New Roman"/>
          <w:color w:val="000000"/>
          <w:spacing w:val="0"/>
          <w:w w:val="100"/>
          <w:position w:val="0"/>
        </w:rPr>
        <w:t>2）</w:t>
      </w:r>
      <w:r>
        <w:rPr>
          <w:color w:val="000000"/>
          <w:spacing w:val="0"/>
          <w:w w:val="100"/>
          <w:position w:val="0"/>
        </w:rPr>
        <w:t>资产继续使用或处置而预期可获得的现金流量现值是否低于资产的 账面价值；</w:t>
      </w:r>
      <w:r>
        <w:rPr>
          <w:rFonts w:ascii="Times New Roman" w:eastAsia="Times New Roman" w:hAnsi="Times New Roman" w:cs="Times New Roman"/>
          <w:color w:val="000000"/>
          <w:spacing w:val="0"/>
          <w:w w:val="100"/>
          <w:position w:val="0"/>
        </w:rPr>
        <w:t>3）</w:t>
      </w:r>
      <w:r>
        <w:rPr>
          <w:color w:val="000000"/>
          <w:spacing w:val="0"/>
          <w:w w:val="100"/>
          <w:position w:val="0"/>
        </w:rPr>
        <w:t>预期未来现金流量现值中使用的重要假设是否适当。</w:t>
      </w:r>
    </w:p>
    <w:p>
      <w:pPr>
        <w:pStyle w:val="Style18"/>
        <w:keepNext w:val="0"/>
        <w:keepLines w:val="0"/>
        <w:widowControl w:val="0"/>
        <w:numPr>
          <w:ilvl w:val="0"/>
          <w:numId w:val="25"/>
        </w:numPr>
        <w:shd w:val="clear" w:color="auto" w:fill="auto"/>
        <w:tabs>
          <w:tab w:pos="610" w:val="left"/>
        </w:tabs>
        <w:bidi w:val="0"/>
        <w:spacing w:before="0" w:after="0" w:line="315" w:lineRule="exact"/>
        <w:ind w:left="0" w:right="0" w:firstLine="360"/>
        <w:jc w:val="both"/>
      </w:pPr>
      <w:bookmarkStart w:id="772" w:name="bookmark772"/>
      <w:bookmarkEnd w:id="772"/>
      <w:r>
        <w:rPr>
          <w:color w:val="000000"/>
          <w:spacing w:val="0"/>
          <w:w w:val="100"/>
          <w:position w:val="0"/>
        </w:rPr>
        <w:t>固定资产的预计使用寿命与预计净残值。固定资产的预计使用寿命与预计净残值的估计是将性质和功 能类似的固定资产过往的实际使用寿命与实际净残值作为基础。在固定资产使用过程中，其所处的经济环 境、技术环境以及其他环境有可能对固定资产使用寿命与预计净残值产生较大影响。如果固定资产使用寿 命与净残值的预计数与原先估计数有差异，管理层将对其进行适当调整。</w:t>
      </w:r>
    </w:p>
    <w:p>
      <w:pPr>
        <w:pStyle w:val="Style18"/>
        <w:keepNext w:val="0"/>
        <w:keepLines w:val="0"/>
        <w:widowControl w:val="0"/>
        <w:numPr>
          <w:ilvl w:val="0"/>
          <w:numId w:val="25"/>
        </w:numPr>
        <w:shd w:val="clear" w:color="auto" w:fill="auto"/>
        <w:tabs>
          <w:tab w:pos="615" w:val="left"/>
        </w:tabs>
        <w:bidi w:val="0"/>
        <w:spacing w:before="0" w:after="0" w:line="315" w:lineRule="exact"/>
        <w:ind w:left="0" w:right="0" w:firstLine="360"/>
        <w:jc w:val="both"/>
      </w:pPr>
      <w:bookmarkStart w:id="773" w:name="bookmark773"/>
      <w:bookmarkEnd w:id="773"/>
      <w:r>
        <w:rPr>
          <w:color w:val="000000"/>
          <w:spacing w:val="0"/>
          <w:w w:val="100"/>
          <w:position w:val="0"/>
        </w:rPr>
        <w:t>金融资产的公允价值。本公司对没有活跃市场的金融工具，采用包括现金流量折现法等在内的各种估 值技术确定其公允价值。对于法律明令限制本公司在特定期间内处置的金融资产，其公允价值是以市场报 价为基础并根据该工具的特征进行调整。在估值时，本公司需对诸如自身和交易对手的信用风险、市场波 动率和相关性等方面进行估计，这些相关因素假设的变化会对金融工具的公允价值产生影响。</w:t>
      </w:r>
    </w:p>
    <w:p>
      <w:pPr>
        <w:pStyle w:val="Style18"/>
        <w:keepNext w:val="0"/>
        <w:keepLines w:val="0"/>
        <w:widowControl w:val="0"/>
        <w:numPr>
          <w:ilvl w:val="0"/>
          <w:numId w:val="25"/>
        </w:numPr>
        <w:shd w:val="clear" w:color="auto" w:fill="auto"/>
        <w:tabs>
          <w:tab w:pos="610" w:val="left"/>
        </w:tabs>
        <w:bidi w:val="0"/>
        <w:spacing w:before="0" w:after="0" w:line="315" w:lineRule="exact"/>
        <w:ind w:left="0" w:right="0" w:firstLine="360"/>
        <w:jc w:val="both"/>
      </w:pPr>
      <w:bookmarkStart w:id="774" w:name="bookmark774"/>
      <w:bookmarkEnd w:id="774"/>
      <w:r>
        <w:rPr>
          <w:color w:val="000000"/>
          <w:spacing w:val="0"/>
          <w:w w:val="100"/>
          <w:position w:val="0"/>
        </w:rPr>
        <w:t>股份支付。本公司需估计将于股票期权及限制性股票归属期间结束时预期留任本公司的获授予者的每 年百分比</w:t>
      </w:r>
      <w:r>
        <w:rPr>
          <w:rFonts w:ascii="Times New Roman" w:eastAsia="Times New Roman" w:hAnsi="Times New Roman" w:cs="Times New Roman"/>
          <w:color w:val="000000"/>
          <w:spacing w:val="0"/>
          <w:w w:val="100"/>
          <w:position w:val="0"/>
        </w:rPr>
        <w:t>（“</w:t>
      </w:r>
      <w:r>
        <w:rPr>
          <w:color w:val="000000"/>
          <w:spacing w:val="0"/>
          <w:w w:val="100"/>
          <w:position w:val="0"/>
        </w:rPr>
        <w:t>预期留职率</w:t>
      </w:r>
      <w:r>
        <w:rPr>
          <w:rFonts w:ascii="Times New Roman" w:eastAsia="Times New Roman" w:hAnsi="Times New Roman" w:cs="Times New Roman"/>
          <w:color w:val="000000"/>
          <w:spacing w:val="0"/>
          <w:w w:val="100"/>
          <w:position w:val="0"/>
        </w:rPr>
        <w:t>”）</w:t>
      </w:r>
      <w:r>
        <w:rPr>
          <w:color w:val="000000"/>
          <w:spacing w:val="0"/>
          <w:w w:val="100"/>
          <w:position w:val="0"/>
        </w:rPr>
        <w:t>，以确定于利润表内列支的股份支付金额。于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日，本集团及其全资 附属公司的预期留职率评估为</w:t>
      </w:r>
      <w:r>
        <w:rPr>
          <w:rFonts w:ascii="Times New Roman" w:eastAsia="Times New Roman" w:hAnsi="Times New Roman" w:cs="Times New Roman"/>
          <w:color w:val="000000"/>
          <w:spacing w:val="0"/>
          <w:w w:val="100"/>
          <w:position w:val="0"/>
        </w:rPr>
        <w:t>96%</w:t>
      </w:r>
      <w:r>
        <w:rPr>
          <w:color w:val="000000"/>
          <w:spacing w:val="0"/>
          <w:w w:val="100"/>
          <w:position w:val="0"/>
        </w:rPr>
        <w:t>。</w:t>
      </w:r>
    </w:p>
    <w:p>
      <w:pPr>
        <w:pStyle w:val="Style18"/>
        <w:keepNext w:val="0"/>
        <w:keepLines w:val="0"/>
        <w:widowControl w:val="0"/>
        <w:numPr>
          <w:ilvl w:val="0"/>
          <w:numId w:val="25"/>
        </w:numPr>
        <w:shd w:val="clear" w:color="auto" w:fill="auto"/>
        <w:tabs>
          <w:tab w:pos="615" w:val="left"/>
        </w:tabs>
        <w:bidi w:val="0"/>
        <w:spacing w:before="0" w:after="0" w:line="315" w:lineRule="exact"/>
        <w:ind w:left="0" w:right="0" w:firstLine="360"/>
        <w:jc w:val="both"/>
      </w:pPr>
      <w:bookmarkStart w:id="775" w:name="bookmark775"/>
      <w:bookmarkEnd w:id="775"/>
      <w:r>
        <w:rPr>
          <w:color w:val="000000"/>
          <w:spacing w:val="0"/>
          <w:w w:val="100"/>
          <w:position w:val="0"/>
        </w:rPr>
        <w:t>递延所得税资产和递延所得税负债。本公司根据国家税务总局公告</w:t>
      </w:r>
      <w:r>
        <w:rPr>
          <w:rFonts w:ascii="Times New Roman" w:eastAsia="Times New Roman" w:hAnsi="Times New Roman" w:cs="Times New Roman"/>
          <w:color w:val="000000"/>
          <w:spacing w:val="0"/>
          <w:w w:val="100"/>
          <w:position w:val="0"/>
        </w:rPr>
        <w:t>[2012]18</w:t>
      </w:r>
      <w:r>
        <w:rPr>
          <w:color w:val="000000"/>
          <w:spacing w:val="0"/>
          <w:w w:val="100"/>
          <w:position w:val="0"/>
        </w:rPr>
        <w:t>号以及相关规定，预计上 市后股权激励计划的相关支出在行权时可税前扣除，可税前扣除的金额为实际行权时的股票公允价格与激 励对象支付的行权价格之间的差额，并根据此金额确认年末递延所得税资产。如果税务局对上述股份支付 有关的税前列支事项的最终认定结果与管理层的入账金额存在差异，该差异将影响已确认的递延所得税资 产及所得税费用。</w:t>
      </w:r>
    </w:p>
    <w:p>
      <w:pPr>
        <w:pStyle w:val="Style18"/>
        <w:keepNext w:val="0"/>
        <w:keepLines w:val="0"/>
        <w:widowControl w:val="0"/>
        <w:numPr>
          <w:ilvl w:val="0"/>
          <w:numId w:val="25"/>
        </w:numPr>
        <w:shd w:val="clear" w:color="auto" w:fill="auto"/>
        <w:tabs>
          <w:tab w:pos="615" w:val="left"/>
        </w:tabs>
        <w:bidi w:val="0"/>
        <w:spacing w:before="0" w:after="0" w:line="315" w:lineRule="exact"/>
        <w:ind w:left="0" w:right="0" w:firstLine="360"/>
        <w:jc w:val="both"/>
      </w:pPr>
      <w:bookmarkStart w:id="776" w:name="bookmark776"/>
      <w:bookmarkEnd w:id="776"/>
      <w:r>
        <w:rPr>
          <w:color w:val="000000"/>
          <w:spacing w:val="0"/>
          <w:w w:val="100"/>
          <w:position w:val="0"/>
        </w:rPr>
        <w:t>所得税。在正常的经营活动中，很多交易和事项的最终税务处理都存在不确定性。在计提所得税时需 要作出重大判断。如果这些税务事项的最终认定结果与最初入账的金额存在差异，该差异将对作出上述最 终认定期间的税金金额产生影响。</w:t>
      </w:r>
    </w:p>
    <w:p>
      <w:pPr>
        <w:pStyle w:val="Style18"/>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如附注五、（二）</w:t>
      </w:r>
      <w:r>
        <w:rPr>
          <w:rFonts w:ascii="Times New Roman" w:eastAsia="Times New Roman" w:hAnsi="Times New Roman" w:cs="Times New Roman"/>
          <w:color w:val="000000"/>
          <w:spacing w:val="0"/>
          <w:w w:val="100"/>
          <w:position w:val="0"/>
        </w:rPr>
        <w:t>“</w:t>
      </w:r>
      <w:r>
        <w:rPr>
          <w:color w:val="000000"/>
          <w:spacing w:val="0"/>
          <w:w w:val="100"/>
          <w:position w:val="0"/>
        </w:rPr>
        <w:t>税收优惠政策及依据''所述，本公司部分子公司为高新技术企业。高新技术企业资 质的有效期为三年，到期后需向相关政府部门重新提交高新技术企业认定申请。根据以往年度高新技术企 业到期后重新认定的历史经验以及该等子公司的实际情况，本公司认为该等子公司于未来年度能够持续取 得高新技术企业认定，进而按照</w:t>
      </w:r>
      <w:r>
        <w:rPr>
          <w:rFonts w:ascii="Times New Roman" w:eastAsia="Times New Roman" w:hAnsi="Times New Roman" w:cs="Times New Roman"/>
          <w:color w:val="000000"/>
          <w:spacing w:val="0"/>
          <w:w w:val="100"/>
          <w:position w:val="0"/>
        </w:rPr>
        <w:t>15%</w:t>
      </w:r>
      <w:r>
        <w:rPr>
          <w:color w:val="000000"/>
          <w:spacing w:val="0"/>
          <w:w w:val="100"/>
          <w:position w:val="0"/>
        </w:rPr>
        <w:t>的优惠税率计算其相应的递延所得税。倘若未来部分子公司于高新技 术企业资质到期后未能取得重新认定，则需按照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的法定税率计算所得税，进而将影响已确认的递延所 得税资产、递延所得税负债及所得税费用。</w:t>
      </w:r>
    </w:p>
    <w:p>
      <w:pPr>
        <w:pStyle w:val="Style32"/>
        <w:keepNext/>
        <w:keepLines/>
        <w:widowControl w:val="0"/>
        <w:shd w:val="clear" w:color="auto" w:fill="auto"/>
        <w:bidi w:val="0"/>
        <w:spacing w:before="0" w:after="180" w:line="329"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color w:val="000000"/>
          <w:spacing w:val="0"/>
          <w:w w:val="100"/>
          <w:position w:val="0"/>
        </w:rPr>
        <w:t>、遵循企业会计准则的声明</w:t>
      </w:r>
      <w:bookmarkEnd w:id="777"/>
      <w:bookmarkEnd w:id="778"/>
      <w:bookmarkEnd w:id="780"/>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2"/>
        <w:keepNext/>
        <w:keepLines/>
        <w:widowControl w:val="0"/>
        <w:shd w:val="clear" w:color="auto" w:fill="auto"/>
        <w:tabs>
          <w:tab w:pos="378" w:val="left"/>
        </w:tabs>
        <w:bidi w:val="0"/>
        <w:spacing w:before="0" w:after="300" w:line="313" w:lineRule="exact"/>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color w:val="000000"/>
          <w:spacing w:val="0"/>
          <w:w w:val="100"/>
          <w:position w:val="0"/>
        </w:rPr>
        <w:t>、</w:t>
        <w:tab/>
        <w:t>会计期间</w:t>
      </w:r>
      <w:bookmarkEnd w:id="781"/>
      <w:bookmarkEnd w:id="782"/>
      <w:bookmarkEnd w:id="784"/>
    </w:p>
    <w:p>
      <w:pPr>
        <w:pStyle w:val="Style18"/>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300" w:line="313" w:lineRule="exact"/>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3</w:t>
      </w:r>
      <w:bookmarkEnd w:id="787"/>
      <w:r>
        <w:rPr>
          <w:color w:val="000000"/>
          <w:spacing w:val="0"/>
          <w:w w:val="100"/>
          <w:position w:val="0"/>
        </w:rPr>
        <w:t>、</w:t>
        <w:tab/>
        <w:t>营业周期</w:t>
      </w:r>
      <w:bookmarkEnd w:id="785"/>
      <w:bookmarkEnd w:id="786"/>
      <w:bookmarkEnd w:id="788"/>
    </w:p>
    <w:p>
      <w:pPr>
        <w:pStyle w:val="Style18"/>
        <w:keepNext w:val="0"/>
        <w:keepLines w:val="0"/>
        <w:widowControl w:val="0"/>
        <w:shd w:val="clear" w:color="auto" w:fill="auto"/>
        <w:bidi w:val="0"/>
        <w:spacing w:before="0" w:after="300" w:line="317" w:lineRule="exact"/>
        <w:ind w:left="0" w:right="0" w:firstLine="42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 个营业周期，并以其作为资产和负债的流动性划分标准。</w:t>
      </w:r>
    </w:p>
    <w:p>
      <w:pPr>
        <w:pStyle w:val="Style32"/>
        <w:keepNext/>
        <w:keepLines/>
        <w:widowControl w:val="0"/>
        <w:shd w:val="clear" w:color="auto" w:fill="auto"/>
        <w:tabs>
          <w:tab w:pos="378" w:val="left"/>
        </w:tabs>
        <w:bidi w:val="0"/>
        <w:spacing w:before="0" w:after="300" w:line="313" w:lineRule="exact"/>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4</w:t>
      </w:r>
      <w:bookmarkEnd w:id="791"/>
      <w:r>
        <w:rPr>
          <w:color w:val="000000"/>
          <w:spacing w:val="0"/>
          <w:w w:val="100"/>
          <w:position w:val="0"/>
        </w:rPr>
        <w:t>、</w:t>
        <w:tab/>
        <w:t>记账本位币</w:t>
      </w:r>
      <w:bookmarkEnd w:id="789"/>
      <w:bookmarkEnd w:id="790"/>
      <w:bookmarkEnd w:id="792"/>
    </w:p>
    <w:p>
      <w:pPr>
        <w:pStyle w:val="Style18"/>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本公司采用人民币为记账本位币。</w:t>
      </w:r>
    </w:p>
    <w:p>
      <w:pPr>
        <w:pStyle w:val="Style32"/>
        <w:keepNext/>
        <w:keepLines/>
        <w:widowControl w:val="0"/>
        <w:shd w:val="clear" w:color="auto" w:fill="auto"/>
        <w:tabs>
          <w:tab w:pos="378" w:val="left"/>
        </w:tabs>
        <w:bidi w:val="0"/>
        <w:spacing w:before="0" w:after="300" w:line="313" w:lineRule="exact"/>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5</w:t>
      </w:r>
      <w:bookmarkEnd w:id="795"/>
      <w:r>
        <w:rPr>
          <w:color w:val="000000"/>
          <w:spacing w:val="0"/>
          <w:w w:val="100"/>
          <w:position w:val="0"/>
        </w:rPr>
        <w:t>、</w:t>
        <w:tab/>
        <w:t>同一控制下和非同一控制下企业合并的会计处理方法</w:t>
      </w:r>
      <w:bookmarkEnd w:id="793"/>
      <w:bookmarkEnd w:id="794"/>
      <w:bookmarkEnd w:id="796"/>
    </w:p>
    <w:p>
      <w:pPr>
        <w:pStyle w:val="Style18"/>
        <w:keepNext w:val="0"/>
        <w:keepLines w:val="0"/>
        <w:widowControl w:val="0"/>
        <w:shd w:val="clear" w:color="auto" w:fill="auto"/>
        <w:bidi w:val="0"/>
        <w:spacing w:before="0" w:after="0" w:line="313" w:lineRule="exact"/>
        <w:ind w:left="0" w:right="0" w:firstLine="420"/>
        <w:jc w:val="both"/>
      </w:pPr>
      <w:bookmarkStart w:id="797" w:name="bookmark797"/>
      <w:r>
        <w:rPr>
          <w:b/>
          <w:bCs/>
          <w:color w:val="000000"/>
          <w:spacing w:val="0"/>
          <w:w w:val="100"/>
          <w:position w:val="0"/>
        </w:rPr>
        <w:t>（</w:t>
      </w:r>
      <w:bookmarkEnd w:id="797"/>
      <w:r>
        <w:rPr>
          <w:rFonts w:ascii="Times New Roman" w:eastAsia="Times New Roman" w:hAnsi="Times New Roman" w:cs="Times New Roman"/>
          <w:b/>
          <w:bCs/>
          <w:color w:val="000000"/>
          <w:spacing w:val="0"/>
          <w:w w:val="100"/>
          <w:position w:val="0"/>
        </w:rPr>
        <w:t>1</w:t>
      </w:r>
      <w:r>
        <w:rPr>
          <w:b/>
          <w:bCs/>
          <w:color w:val="000000"/>
          <w:spacing w:val="0"/>
          <w:w w:val="100"/>
          <w:position w:val="0"/>
        </w:rPr>
        <w:t>）分步实现企业合并过程中的各项交易的条款、条件以及经济影响符合以下一种或多种情况，将多 次交易事项作为一揽子交易进行会计处理</w:t>
      </w:r>
    </w:p>
    <w:p>
      <w:pPr>
        <w:pStyle w:val="Style18"/>
        <w:keepNext w:val="0"/>
        <w:keepLines w:val="0"/>
        <w:widowControl w:val="0"/>
        <w:numPr>
          <w:ilvl w:val="0"/>
          <w:numId w:val="27"/>
        </w:numPr>
        <w:shd w:val="clear" w:color="auto" w:fill="auto"/>
        <w:tabs>
          <w:tab w:pos="772" w:val="left"/>
        </w:tabs>
        <w:bidi w:val="0"/>
        <w:spacing w:before="0" w:after="0" w:line="313" w:lineRule="exact"/>
        <w:ind w:left="0" w:right="0" w:firstLine="380"/>
        <w:jc w:val="both"/>
      </w:pPr>
      <w:bookmarkStart w:id="798" w:name="bookmark798"/>
      <w:bookmarkEnd w:id="798"/>
      <w:r>
        <w:rPr>
          <w:color w:val="000000"/>
          <w:spacing w:val="0"/>
          <w:w w:val="100"/>
          <w:position w:val="0"/>
        </w:rPr>
        <w:t>这些交易是同时或者在考虑了彼此影响的情况下订立的；</w:t>
      </w:r>
    </w:p>
    <w:p>
      <w:pPr>
        <w:pStyle w:val="Style18"/>
        <w:keepNext w:val="0"/>
        <w:keepLines w:val="0"/>
        <w:widowControl w:val="0"/>
        <w:numPr>
          <w:ilvl w:val="0"/>
          <w:numId w:val="27"/>
        </w:numPr>
        <w:shd w:val="clear" w:color="auto" w:fill="auto"/>
        <w:tabs>
          <w:tab w:pos="777" w:val="left"/>
        </w:tabs>
        <w:bidi w:val="0"/>
        <w:spacing w:before="0" w:after="0" w:line="313" w:lineRule="exact"/>
        <w:ind w:left="0" w:right="0" w:firstLine="380"/>
        <w:jc w:val="both"/>
      </w:pPr>
      <w:bookmarkStart w:id="799" w:name="bookmark799"/>
      <w:bookmarkEnd w:id="799"/>
      <w:r>
        <w:rPr>
          <w:color w:val="000000"/>
          <w:spacing w:val="0"/>
          <w:w w:val="100"/>
          <w:position w:val="0"/>
        </w:rPr>
        <w:t>这些交易整体才能达成一项完整的商业结果；</w:t>
      </w:r>
    </w:p>
    <w:p>
      <w:pPr>
        <w:pStyle w:val="Style18"/>
        <w:keepNext w:val="0"/>
        <w:keepLines w:val="0"/>
        <w:widowControl w:val="0"/>
        <w:numPr>
          <w:ilvl w:val="0"/>
          <w:numId w:val="27"/>
        </w:numPr>
        <w:shd w:val="clear" w:color="auto" w:fill="auto"/>
        <w:tabs>
          <w:tab w:pos="777" w:val="left"/>
        </w:tabs>
        <w:bidi w:val="0"/>
        <w:spacing w:before="0" w:after="0" w:line="313" w:lineRule="exact"/>
        <w:ind w:left="0" w:right="0" w:firstLine="380"/>
        <w:jc w:val="both"/>
      </w:pPr>
      <w:bookmarkStart w:id="800" w:name="bookmark800"/>
      <w:bookmarkEnd w:id="800"/>
      <w:r>
        <w:rPr>
          <w:color w:val="000000"/>
          <w:spacing w:val="0"/>
          <w:w w:val="100"/>
          <w:position w:val="0"/>
        </w:rPr>
        <w:t>一项交易的发生取决于其他至少一项交易的发生；</w:t>
      </w:r>
    </w:p>
    <w:p>
      <w:pPr>
        <w:pStyle w:val="Style18"/>
        <w:keepNext w:val="0"/>
        <w:keepLines w:val="0"/>
        <w:widowControl w:val="0"/>
        <w:numPr>
          <w:ilvl w:val="0"/>
          <w:numId w:val="27"/>
        </w:numPr>
        <w:shd w:val="clear" w:color="auto" w:fill="auto"/>
        <w:tabs>
          <w:tab w:pos="777" w:val="left"/>
        </w:tabs>
        <w:bidi w:val="0"/>
        <w:spacing w:before="0" w:after="0" w:line="313" w:lineRule="exact"/>
        <w:ind w:left="0" w:right="0" w:firstLine="380"/>
        <w:jc w:val="both"/>
      </w:pPr>
      <w:bookmarkStart w:id="801" w:name="bookmark801"/>
      <w:bookmarkEnd w:id="801"/>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tabs>
          <w:tab w:pos="873" w:val="left"/>
        </w:tabs>
        <w:bidi w:val="0"/>
        <w:spacing w:before="0" w:after="0" w:line="313" w:lineRule="exact"/>
        <w:ind w:left="0" w:right="0" w:firstLine="380"/>
        <w:jc w:val="both"/>
      </w:pPr>
      <w:bookmarkStart w:id="802" w:name="bookmark802"/>
      <w:r>
        <w:rPr>
          <w:b/>
          <w:bCs/>
          <w:color w:val="000000"/>
          <w:spacing w:val="0"/>
          <w:w w:val="100"/>
          <w:position w:val="0"/>
        </w:rPr>
        <w:t>（</w:t>
      </w:r>
      <w:bookmarkEnd w:id="8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同一控制下的企业合并</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18"/>
        <w:keepNext w:val="0"/>
        <w:keepLines w:val="0"/>
        <w:widowControl w:val="0"/>
        <w:shd w:val="clear" w:color="auto" w:fill="auto"/>
        <w:tabs>
          <w:tab w:pos="873" w:val="left"/>
        </w:tabs>
        <w:bidi w:val="0"/>
        <w:spacing w:before="0" w:after="0" w:line="313" w:lineRule="exact"/>
        <w:ind w:left="0" w:right="0" w:firstLine="380"/>
        <w:jc w:val="both"/>
      </w:pPr>
      <w:bookmarkStart w:id="803" w:name="bookmark803"/>
      <w:r>
        <w:rPr>
          <w:b/>
          <w:bCs/>
          <w:color w:val="000000"/>
          <w:spacing w:val="0"/>
          <w:w w:val="100"/>
          <w:position w:val="0"/>
        </w:rPr>
        <w:t>（</w:t>
      </w:r>
      <w:bookmarkEnd w:id="80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非同一控制下的企业合并</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18"/>
        <w:keepNext w:val="0"/>
        <w:keepLines w:val="0"/>
        <w:widowControl w:val="0"/>
        <w:numPr>
          <w:ilvl w:val="0"/>
          <w:numId w:val="29"/>
        </w:numPr>
        <w:shd w:val="clear" w:color="auto" w:fill="auto"/>
        <w:tabs>
          <w:tab w:pos="812" w:val="left"/>
        </w:tabs>
        <w:bidi w:val="0"/>
        <w:spacing w:before="0" w:after="0" w:line="313" w:lineRule="exact"/>
        <w:ind w:left="0" w:right="0" w:firstLine="420"/>
        <w:jc w:val="both"/>
      </w:pPr>
      <w:bookmarkStart w:id="804" w:name="bookmark804"/>
      <w:bookmarkEnd w:id="804"/>
      <w:r>
        <w:rPr>
          <w:color w:val="000000"/>
          <w:spacing w:val="0"/>
          <w:w w:val="100"/>
          <w:position w:val="0"/>
        </w:rPr>
        <w:t>企业合并合同或协议已获本公司内部权力机构通过。</w:t>
      </w:r>
    </w:p>
    <w:p>
      <w:pPr>
        <w:pStyle w:val="Style18"/>
        <w:keepNext w:val="0"/>
        <w:keepLines w:val="0"/>
        <w:widowControl w:val="0"/>
        <w:numPr>
          <w:ilvl w:val="0"/>
          <w:numId w:val="29"/>
        </w:numPr>
        <w:shd w:val="clear" w:color="auto" w:fill="auto"/>
        <w:tabs>
          <w:tab w:pos="817" w:val="left"/>
        </w:tabs>
        <w:bidi w:val="0"/>
        <w:spacing w:before="0" w:after="0" w:line="313" w:lineRule="exact"/>
        <w:ind w:left="0" w:right="0" w:firstLine="420"/>
        <w:jc w:val="both"/>
      </w:pPr>
      <w:bookmarkStart w:id="805" w:name="bookmark805"/>
      <w:bookmarkEnd w:id="805"/>
      <w:r>
        <w:rPr>
          <w:color w:val="000000"/>
          <w:spacing w:val="0"/>
          <w:w w:val="100"/>
          <w:position w:val="0"/>
        </w:rPr>
        <w:t>企业合并事项需要经过国家有关主管部门审批的，已获得批准。</w:t>
      </w:r>
    </w:p>
    <w:p>
      <w:pPr>
        <w:pStyle w:val="Style18"/>
        <w:keepNext w:val="0"/>
        <w:keepLines w:val="0"/>
        <w:widowControl w:val="0"/>
        <w:numPr>
          <w:ilvl w:val="0"/>
          <w:numId w:val="29"/>
        </w:numPr>
        <w:shd w:val="clear" w:color="auto" w:fill="auto"/>
        <w:tabs>
          <w:tab w:pos="817" w:val="left"/>
        </w:tabs>
        <w:bidi w:val="0"/>
        <w:spacing w:before="0" w:after="0" w:line="313" w:lineRule="exact"/>
        <w:ind w:left="0" w:right="0" w:firstLine="420"/>
        <w:jc w:val="both"/>
      </w:pPr>
      <w:bookmarkStart w:id="806" w:name="bookmark806"/>
      <w:bookmarkEnd w:id="806"/>
      <w:r>
        <w:rPr>
          <w:color w:val="000000"/>
          <w:spacing w:val="0"/>
          <w:w w:val="100"/>
          <w:position w:val="0"/>
        </w:rPr>
        <w:t>已办理了必要的财产权转移手续。</w:t>
      </w:r>
    </w:p>
    <w:p>
      <w:pPr>
        <w:pStyle w:val="Style18"/>
        <w:keepNext w:val="0"/>
        <w:keepLines w:val="0"/>
        <w:widowControl w:val="0"/>
        <w:numPr>
          <w:ilvl w:val="0"/>
          <w:numId w:val="29"/>
        </w:numPr>
        <w:shd w:val="clear" w:color="auto" w:fill="auto"/>
        <w:tabs>
          <w:tab w:pos="777" w:val="left"/>
        </w:tabs>
        <w:bidi w:val="0"/>
        <w:spacing w:before="0" w:after="0" w:line="313" w:lineRule="exact"/>
        <w:ind w:left="0" w:right="0" w:firstLine="380"/>
        <w:jc w:val="both"/>
      </w:pPr>
      <w:bookmarkStart w:id="807" w:name="bookmark807"/>
      <w:bookmarkEnd w:id="807"/>
      <w:r>
        <w:rPr>
          <w:color w:val="000000"/>
          <w:spacing w:val="0"/>
          <w:w w:val="100"/>
          <w:position w:val="0"/>
        </w:rPr>
        <w:t>本公司已支付了合并价款的大部分，并且有能力、有计划支付剩余款项。</w:t>
      </w:r>
    </w:p>
    <w:p>
      <w:pPr>
        <w:pStyle w:val="Style18"/>
        <w:keepNext w:val="0"/>
        <w:keepLines w:val="0"/>
        <w:widowControl w:val="0"/>
        <w:numPr>
          <w:ilvl w:val="0"/>
          <w:numId w:val="29"/>
        </w:numPr>
        <w:shd w:val="clear" w:color="auto" w:fill="auto"/>
        <w:tabs>
          <w:tab w:pos="777" w:val="left"/>
        </w:tabs>
        <w:bidi w:val="0"/>
        <w:spacing w:before="0" w:after="0" w:line="313" w:lineRule="exact"/>
        <w:ind w:left="0" w:right="0" w:firstLine="380"/>
        <w:jc w:val="both"/>
      </w:pPr>
      <w:bookmarkStart w:id="808" w:name="bookmark808"/>
      <w:bookmarkEnd w:id="808"/>
      <w:r>
        <w:rPr>
          <w:color w:val="000000"/>
          <w:spacing w:val="0"/>
          <w:w w:val="100"/>
          <w:position w:val="0"/>
        </w:rPr>
        <w:t>本公司实际上已经控制了被购买方的财务和经营政策，并享有相应的利益、承担相应的风险。</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本公司在购买日对作为企业合并对价付出的资产、发生或承担的负债按照公允价值计量，公允价值与 </w:t>
      </w:r>
      <w:r>
        <w:rPr>
          <w:color w:val="000000"/>
          <w:spacing w:val="0"/>
          <w:w w:val="100"/>
          <w:position w:val="0"/>
        </w:rPr>
        <w:t>其账面价值的差额，计入当期损益。</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18"/>
        <w:keepNext w:val="0"/>
        <w:keepLines w:val="0"/>
        <w:widowControl w:val="0"/>
        <w:shd w:val="clear" w:color="auto" w:fill="auto"/>
        <w:bidi w:val="0"/>
        <w:spacing w:before="0" w:after="0" w:line="311" w:lineRule="exact"/>
        <w:ind w:left="0" w:right="0" w:firstLine="440"/>
        <w:jc w:val="both"/>
      </w:pPr>
      <w:bookmarkStart w:id="809" w:name="bookmark809"/>
      <w:r>
        <w:rPr>
          <w:b/>
          <w:bCs/>
          <w:color w:val="000000"/>
          <w:spacing w:val="0"/>
          <w:w w:val="100"/>
          <w:position w:val="0"/>
        </w:rPr>
        <w:t>（</w:t>
      </w:r>
      <w:bookmarkEnd w:id="809"/>
      <w:r>
        <w:rPr>
          <w:rFonts w:ascii="Times New Roman" w:eastAsia="Times New Roman" w:hAnsi="Times New Roman" w:cs="Times New Roman"/>
          <w:b/>
          <w:bCs/>
          <w:color w:val="000000"/>
          <w:spacing w:val="0"/>
          <w:w w:val="100"/>
          <w:position w:val="0"/>
        </w:rPr>
        <w:t>4</w:t>
      </w:r>
      <w:r>
        <w:rPr>
          <w:b/>
          <w:bCs/>
          <w:color w:val="000000"/>
          <w:spacing w:val="0"/>
          <w:w w:val="100"/>
          <w:position w:val="0"/>
        </w:rPr>
        <w:t>）为合并发生的相关费用</w:t>
      </w:r>
    </w:p>
    <w:p>
      <w:pPr>
        <w:pStyle w:val="Style18"/>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2"/>
        <w:keepNext/>
        <w:keepLines/>
        <w:widowControl w:val="0"/>
        <w:shd w:val="clear" w:color="auto" w:fill="auto"/>
        <w:bidi w:val="0"/>
        <w:spacing w:before="0" w:after="280" w:line="324"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6</w:t>
      </w:r>
      <w:bookmarkEnd w:id="812"/>
      <w:r>
        <w:rPr>
          <w:color w:val="000000"/>
          <w:spacing w:val="0"/>
          <w:w w:val="100"/>
          <w:position w:val="0"/>
        </w:rPr>
        <w:t>、合并财务报表的编制方法</w:t>
      </w:r>
      <w:bookmarkEnd w:id="810"/>
      <w:bookmarkEnd w:id="811"/>
      <w:bookmarkEnd w:id="813"/>
    </w:p>
    <w:p>
      <w:pPr>
        <w:pStyle w:val="Style32"/>
        <w:keepNext/>
        <w:keepLines/>
        <w:widowControl w:val="0"/>
        <w:numPr>
          <w:ilvl w:val="0"/>
          <w:numId w:val="31"/>
        </w:numPr>
        <w:shd w:val="clear" w:color="auto" w:fill="auto"/>
        <w:tabs>
          <w:tab w:pos="721" w:val="left"/>
        </w:tabs>
        <w:bidi w:val="0"/>
        <w:spacing w:before="0" w:after="0" w:line="324" w:lineRule="auto"/>
        <w:ind w:left="0" w:right="0" w:firstLine="420"/>
        <w:jc w:val="both"/>
      </w:pPr>
      <w:bookmarkStart w:id="810" w:name="bookmark810"/>
      <w:bookmarkStart w:id="811" w:name="bookmark811"/>
      <w:bookmarkStart w:id="814" w:name="bookmark814"/>
      <w:bookmarkEnd w:id="814"/>
      <w:r>
        <w:rPr>
          <w:color w:val="000000"/>
          <w:spacing w:val="0"/>
          <w:w w:val="100"/>
          <w:position w:val="0"/>
        </w:rPr>
        <w:t>合并范围</w:t>
      </w:r>
      <w:bookmarkEnd w:id="810"/>
      <w:bookmarkEnd w:id="811"/>
    </w:p>
    <w:p>
      <w:pPr>
        <w:pStyle w:val="Style18"/>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18"/>
        <w:keepNext w:val="0"/>
        <w:keepLines w:val="0"/>
        <w:widowControl w:val="0"/>
        <w:numPr>
          <w:ilvl w:val="0"/>
          <w:numId w:val="31"/>
        </w:numPr>
        <w:shd w:val="clear" w:color="auto" w:fill="auto"/>
        <w:tabs>
          <w:tab w:pos="730" w:val="left"/>
        </w:tabs>
        <w:bidi w:val="0"/>
        <w:spacing w:before="0" w:after="0" w:line="324" w:lineRule="auto"/>
        <w:ind w:left="0" w:right="0" w:firstLine="420"/>
        <w:jc w:val="both"/>
      </w:pPr>
      <w:bookmarkStart w:id="815" w:name="bookmark815"/>
      <w:bookmarkEnd w:id="815"/>
      <w:r>
        <w:rPr>
          <w:b/>
          <w:bCs/>
          <w:color w:val="000000"/>
          <w:spacing w:val="0"/>
          <w:w w:val="100"/>
          <w:position w:val="0"/>
        </w:rPr>
        <w:t>合并程序</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18"/>
        <w:keepNext w:val="0"/>
        <w:keepLines w:val="0"/>
        <w:widowControl w:val="0"/>
        <w:shd w:val="clear" w:color="auto" w:fill="auto"/>
        <w:bidi w:val="0"/>
        <w:spacing w:before="0" w:after="0" w:line="311" w:lineRule="exact"/>
        <w:ind w:left="0" w:right="0" w:firstLine="60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因追加投资等原因能够对同一控制下的被投资方实施控制的，视同参与合并的各方在最终控制方开始 控制时即以目前的状态存在进行调整。在取得被合并方控制权之前持有的股权投资，在取得原股权之日与 </w:t>
      </w:r>
      <w:r>
        <w:rPr>
          <w:color w:val="000000"/>
          <w:spacing w:val="0"/>
          <w:w w:val="100"/>
          <w:position w:val="0"/>
        </w:rPr>
        <w:t>合并方和被合并方同处于同一控制之日孰晚日起至合并日之间已确认有关损益、其他综合收益以及其他净 资产变动，分别冲减比较报表期间的期初留存收益或当期损益。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18"/>
        <w:keepNext w:val="0"/>
        <w:keepLines w:val="0"/>
        <w:widowControl w:val="0"/>
        <w:shd w:val="clear" w:color="auto" w:fill="auto"/>
        <w:bidi w:val="0"/>
        <w:spacing w:before="0" w:after="80" w:line="313" w:lineRule="exact"/>
        <w:ind w:left="0" w:right="0" w:firstLine="44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2</w:t>
      </w:r>
      <w:r>
        <w:rPr>
          <w:color w:val="000000"/>
          <w:spacing w:val="0"/>
          <w:w w:val="100"/>
          <w:position w:val="0"/>
        </w:rPr>
        <w:t>）处置子公司或业务</w:t>
      </w:r>
    </w:p>
    <w:p>
      <w:pPr>
        <w:pStyle w:val="Style18"/>
        <w:keepNext w:val="0"/>
        <w:keepLines w:val="0"/>
        <w:widowControl w:val="0"/>
        <w:shd w:val="clear" w:color="auto" w:fill="auto"/>
        <w:tabs>
          <w:tab w:pos="781" w:val="left"/>
        </w:tabs>
        <w:bidi w:val="0"/>
        <w:spacing w:before="0" w:after="0" w:line="326" w:lineRule="auto"/>
        <w:ind w:left="0" w:right="0" w:firstLine="440"/>
        <w:jc w:val="left"/>
      </w:pPr>
      <w:bookmarkStart w:id="818" w:name="bookmark818"/>
      <w:r>
        <w:rPr>
          <w:rFonts w:ascii="Times New Roman" w:eastAsia="Times New Roman" w:hAnsi="Times New Roman" w:cs="Times New Roman"/>
          <w:color w:val="000000"/>
          <w:spacing w:val="0"/>
          <w:w w:val="100"/>
          <w:position w:val="0"/>
        </w:rPr>
        <w:t>1</w:t>
      </w:r>
      <w:bookmarkEnd w:id="818"/>
      <w:r>
        <w:rPr>
          <w:color w:val="000000"/>
          <w:spacing w:val="0"/>
          <w:w w:val="100"/>
          <w:position w:val="0"/>
        </w:rPr>
        <w:t>）</w:t>
        <w:tab/>
        <w:t>一般处理方法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18"/>
        <w:keepNext w:val="0"/>
        <w:keepLines w:val="0"/>
        <w:widowControl w:val="0"/>
        <w:shd w:val="clear" w:color="auto" w:fill="auto"/>
        <w:tabs>
          <w:tab w:pos="800" w:val="left"/>
        </w:tabs>
        <w:bidi w:val="0"/>
        <w:spacing w:before="0" w:after="0" w:line="329" w:lineRule="auto"/>
        <w:ind w:left="0" w:right="0" w:firstLine="440"/>
        <w:jc w:val="both"/>
      </w:pPr>
      <w:bookmarkStart w:id="819" w:name="bookmark819"/>
      <w:r>
        <w:rPr>
          <w:rFonts w:ascii="Times New Roman" w:eastAsia="Times New Roman" w:hAnsi="Times New Roman" w:cs="Times New Roman"/>
          <w:color w:val="000000"/>
          <w:spacing w:val="0"/>
          <w:w w:val="100"/>
          <w:position w:val="0"/>
        </w:rPr>
        <w:t>2</w:t>
      </w:r>
      <w:bookmarkEnd w:id="819"/>
      <w:r>
        <w:rPr>
          <w:color w:val="000000"/>
          <w:spacing w:val="0"/>
          <w:w w:val="100"/>
          <w:position w:val="0"/>
        </w:rPr>
        <w:t>）</w:t>
        <w:tab/>
        <w:t>分步处置子公司</w:t>
      </w:r>
    </w:p>
    <w:p>
      <w:pPr>
        <w:pStyle w:val="Style18"/>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18"/>
        <w:keepNext w:val="0"/>
        <w:keepLines w:val="0"/>
        <w:widowControl w:val="0"/>
        <w:numPr>
          <w:ilvl w:val="0"/>
          <w:numId w:val="33"/>
        </w:numPr>
        <w:shd w:val="clear" w:color="auto" w:fill="auto"/>
        <w:tabs>
          <w:tab w:pos="790" w:val="left"/>
        </w:tabs>
        <w:bidi w:val="0"/>
        <w:spacing w:before="0" w:after="0" w:line="329" w:lineRule="auto"/>
        <w:ind w:left="0" w:right="0" w:firstLine="440"/>
        <w:jc w:val="left"/>
      </w:pPr>
      <w:bookmarkStart w:id="820" w:name="bookmark820"/>
      <w:bookmarkEnd w:id="820"/>
      <w:r>
        <w:rPr>
          <w:color w:val="000000"/>
          <w:spacing w:val="0"/>
          <w:w w:val="100"/>
          <w:position w:val="0"/>
        </w:rPr>
        <w:t>这些交易是同时或者在考虑了彼此影响的情况下订立的；</w:t>
      </w:r>
    </w:p>
    <w:p>
      <w:pPr>
        <w:pStyle w:val="Style18"/>
        <w:keepNext w:val="0"/>
        <w:keepLines w:val="0"/>
        <w:widowControl w:val="0"/>
        <w:numPr>
          <w:ilvl w:val="0"/>
          <w:numId w:val="33"/>
        </w:numPr>
        <w:shd w:val="clear" w:color="auto" w:fill="auto"/>
        <w:tabs>
          <w:tab w:pos="790" w:val="left"/>
        </w:tabs>
        <w:bidi w:val="0"/>
        <w:spacing w:before="0" w:after="0" w:line="329" w:lineRule="auto"/>
        <w:ind w:left="0" w:right="0" w:firstLine="440"/>
        <w:jc w:val="left"/>
      </w:pPr>
      <w:bookmarkStart w:id="821" w:name="bookmark821"/>
      <w:bookmarkEnd w:id="821"/>
      <w:r>
        <w:rPr>
          <w:color w:val="000000"/>
          <w:spacing w:val="0"/>
          <w:w w:val="100"/>
          <w:position w:val="0"/>
        </w:rPr>
        <w:t>这些交易整体才能达成一项完整的商业结果；</w:t>
      </w:r>
    </w:p>
    <w:p>
      <w:pPr>
        <w:pStyle w:val="Style18"/>
        <w:keepNext w:val="0"/>
        <w:keepLines w:val="0"/>
        <w:widowControl w:val="0"/>
        <w:numPr>
          <w:ilvl w:val="0"/>
          <w:numId w:val="33"/>
        </w:numPr>
        <w:shd w:val="clear" w:color="auto" w:fill="auto"/>
        <w:tabs>
          <w:tab w:pos="790" w:val="left"/>
        </w:tabs>
        <w:bidi w:val="0"/>
        <w:spacing w:before="0" w:after="0" w:line="329" w:lineRule="auto"/>
        <w:ind w:left="0" w:right="0" w:firstLine="440"/>
        <w:jc w:val="left"/>
      </w:pPr>
      <w:bookmarkStart w:id="822" w:name="bookmark822"/>
      <w:bookmarkEnd w:id="822"/>
      <w:r>
        <w:rPr>
          <w:color w:val="000000"/>
          <w:spacing w:val="0"/>
          <w:w w:val="100"/>
          <w:position w:val="0"/>
        </w:rPr>
        <w:t>一项交易的发生取决于其他至少一项交易的发生；</w:t>
      </w:r>
    </w:p>
    <w:p>
      <w:pPr>
        <w:pStyle w:val="Style18"/>
        <w:keepNext w:val="0"/>
        <w:keepLines w:val="0"/>
        <w:widowControl w:val="0"/>
        <w:numPr>
          <w:ilvl w:val="0"/>
          <w:numId w:val="33"/>
        </w:numPr>
        <w:shd w:val="clear" w:color="auto" w:fill="auto"/>
        <w:tabs>
          <w:tab w:pos="790" w:val="left"/>
        </w:tabs>
        <w:bidi w:val="0"/>
        <w:spacing w:before="0" w:after="0" w:line="329" w:lineRule="auto"/>
        <w:ind w:left="0" w:right="0" w:firstLine="440"/>
        <w:jc w:val="left"/>
      </w:pPr>
      <w:bookmarkStart w:id="823" w:name="bookmark823"/>
      <w:bookmarkEnd w:id="823"/>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18"/>
        <w:keepNext w:val="0"/>
        <w:keepLines w:val="0"/>
        <w:widowControl w:val="0"/>
        <w:shd w:val="clear" w:color="auto" w:fill="auto"/>
        <w:bidi w:val="0"/>
        <w:spacing w:before="0" w:after="0" w:line="315" w:lineRule="exact"/>
        <w:ind w:left="0" w:right="0" w:firstLine="36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3</w:t>
      </w:r>
      <w:r>
        <w:rPr>
          <w:color w:val="000000"/>
          <w:spacing w:val="0"/>
          <w:w w:val="100"/>
          <w:position w:val="0"/>
        </w:rPr>
        <w:t>）购买子公司少数股权</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8"/>
        <w:keepNext w:val="0"/>
        <w:keepLines w:val="0"/>
        <w:widowControl w:val="0"/>
        <w:shd w:val="clear" w:color="auto" w:fill="auto"/>
        <w:bidi w:val="0"/>
        <w:spacing w:before="0" w:after="0" w:line="315" w:lineRule="exact"/>
        <w:ind w:left="0" w:right="0" w:firstLine="44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18"/>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2"/>
        <w:keepNext/>
        <w:keepLines/>
        <w:widowControl w:val="0"/>
        <w:shd w:val="clear" w:color="auto" w:fill="auto"/>
        <w:tabs>
          <w:tab w:pos="373" w:val="left"/>
        </w:tabs>
        <w:bidi w:val="0"/>
        <w:spacing w:before="0" w:after="280" w:line="313" w:lineRule="exact"/>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7</w:t>
      </w:r>
      <w:bookmarkEnd w:id="828"/>
      <w:r>
        <w:rPr>
          <w:color w:val="000000"/>
          <w:spacing w:val="0"/>
          <w:w w:val="100"/>
          <w:position w:val="0"/>
        </w:rPr>
        <w:t>、</w:t>
        <w:tab/>
        <w:t>现金及现金等价物的确定标准</w:t>
      </w:r>
      <w:bookmarkEnd w:id="826"/>
      <w:bookmarkEnd w:id="827"/>
      <w:bookmarkEnd w:id="829"/>
    </w:p>
    <w:p>
      <w:pPr>
        <w:pStyle w:val="Style1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2"/>
        <w:keepNext/>
        <w:keepLines/>
        <w:widowControl w:val="0"/>
        <w:shd w:val="clear" w:color="auto" w:fill="auto"/>
        <w:tabs>
          <w:tab w:pos="378" w:val="left"/>
        </w:tabs>
        <w:bidi w:val="0"/>
        <w:spacing w:before="0" w:after="280" w:line="313" w:lineRule="exact"/>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8</w:t>
      </w:r>
      <w:bookmarkEnd w:id="832"/>
      <w:r>
        <w:rPr>
          <w:color w:val="000000"/>
          <w:spacing w:val="0"/>
          <w:w w:val="100"/>
          <w:position w:val="0"/>
        </w:rPr>
        <w:t>、</w:t>
        <w:tab/>
        <w:t>金融工具</w:t>
      </w:r>
      <w:bookmarkEnd w:id="830"/>
      <w:bookmarkEnd w:id="831"/>
      <w:bookmarkEnd w:id="833"/>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本公司在成为金融工具合同的一方时确认一项金融资产或金融负债。</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18"/>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numPr>
          <w:ilvl w:val="0"/>
          <w:numId w:val="35"/>
        </w:numPr>
        <w:shd w:val="clear" w:color="auto" w:fill="auto"/>
        <w:bidi w:val="0"/>
        <w:spacing w:before="0" w:after="0" w:line="326" w:lineRule="auto"/>
        <w:ind w:left="0" w:right="0" w:firstLine="380"/>
        <w:jc w:val="both"/>
      </w:pPr>
      <w:bookmarkStart w:id="834" w:name="bookmark834"/>
      <w:bookmarkEnd w:id="834"/>
      <w:r>
        <w:rPr>
          <w:b/>
          <w:bCs/>
          <w:color w:val="000000"/>
          <w:spacing w:val="0"/>
          <w:w w:val="100"/>
          <w:position w:val="0"/>
        </w:rPr>
        <w:t>金融资产分类和计量</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本公司根据所管理金融资产的业务模式和金融资产的合同现金流量特征，将金融资产划分为以下三 类：</w:t>
      </w:r>
    </w:p>
    <w:p>
      <w:pPr>
        <w:pStyle w:val="Style18"/>
        <w:keepNext w:val="0"/>
        <w:keepLines w:val="0"/>
        <w:widowControl w:val="0"/>
        <w:shd w:val="clear" w:color="auto" w:fill="auto"/>
        <w:tabs>
          <w:tab w:pos="828" w:val="left"/>
        </w:tabs>
        <w:bidi w:val="0"/>
        <w:spacing w:before="0" w:after="0" w:line="313" w:lineRule="exact"/>
        <w:ind w:left="0" w:right="0" w:firstLine="3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18"/>
        <w:keepNext w:val="0"/>
        <w:keepLines w:val="0"/>
        <w:widowControl w:val="0"/>
        <w:shd w:val="clear" w:color="auto" w:fill="auto"/>
        <w:tabs>
          <w:tab w:pos="828" w:val="left"/>
        </w:tabs>
        <w:bidi w:val="0"/>
        <w:spacing w:before="0" w:after="0" w:line="313" w:lineRule="exact"/>
        <w:ind w:left="0" w:right="0" w:firstLine="34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w:t>
      </w:r>
    </w:p>
    <w:p>
      <w:pPr>
        <w:pStyle w:val="Style18"/>
        <w:keepNext w:val="0"/>
        <w:keepLines w:val="0"/>
        <w:widowControl w:val="0"/>
        <w:shd w:val="clear" w:color="auto" w:fill="auto"/>
        <w:tabs>
          <w:tab w:pos="828" w:val="left"/>
        </w:tabs>
        <w:bidi w:val="0"/>
        <w:spacing w:before="0" w:after="0" w:line="313" w:lineRule="exact"/>
        <w:ind w:left="0" w:right="0" w:firstLine="34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18"/>
        <w:keepNext w:val="0"/>
        <w:keepLines w:val="0"/>
        <w:widowControl w:val="0"/>
        <w:shd w:val="clear" w:color="auto" w:fill="auto"/>
        <w:bidi w:val="0"/>
        <w:spacing w:before="0" w:after="0" w:line="313" w:lineRule="exact"/>
        <w:ind w:left="0" w:right="0" w:firstLine="34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）分类为以摊余成本计量的金融资产</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余成本计量的金融资产。本公司分类为以摊余成本计量的金融资产包括货币资金、应收票据及应收账款、 其他应收款等。</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18"/>
        <w:keepNext w:val="0"/>
        <w:keepLines w:val="0"/>
        <w:widowControl w:val="0"/>
        <w:shd w:val="clear" w:color="auto" w:fill="auto"/>
        <w:tabs>
          <w:tab w:pos="810" w:val="left"/>
        </w:tabs>
        <w:bidi w:val="0"/>
        <w:spacing w:before="0" w:after="0" w:line="313" w:lineRule="exact"/>
        <w:ind w:left="0" w:right="0" w:firstLine="440"/>
        <w:jc w:val="both"/>
      </w:pPr>
      <w:bookmarkStart w:id="839" w:name="bookmark839"/>
      <w:r>
        <w:rPr>
          <w:rFonts w:ascii="Times New Roman" w:eastAsia="Times New Roman" w:hAnsi="Times New Roman" w:cs="Times New Roman"/>
          <w:color w:val="000000"/>
          <w:spacing w:val="0"/>
          <w:w w:val="100"/>
          <w:position w:val="0"/>
        </w:rPr>
        <w:t>1</w:t>
      </w:r>
      <w:bookmarkEnd w:id="839"/>
      <w:r>
        <w:rPr>
          <w:color w:val="000000"/>
          <w:spacing w:val="0"/>
          <w:w w:val="100"/>
          <w:position w:val="0"/>
        </w:rPr>
        <w:t>）</w:t>
        <w:tab/>
        <w:t>对于购入或源生的已发生信用减值的金融资产，本公司自初始确认起，按照该金融资产的摊余成 本和经信用调整的实际利率计算确定其利息收入。</w:t>
      </w:r>
    </w:p>
    <w:p>
      <w:pPr>
        <w:pStyle w:val="Style18"/>
        <w:keepNext w:val="0"/>
        <w:keepLines w:val="0"/>
        <w:widowControl w:val="0"/>
        <w:shd w:val="clear" w:color="auto" w:fill="auto"/>
        <w:tabs>
          <w:tab w:pos="810" w:val="left"/>
        </w:tabs>
        <w:bidi w:val="0"/>
        <w:spacing w:before="0" w:after="0" w:line="313" w:lineRule="exact"/>
        <w:ind w:left="0" w:right="0" w:firstLine="440"/>
        <w:jc w:val="both"/>
      </w:pPr>
      <w:bookmarkStart w:id="840" w:name="bookmark840"/>
      <w:r>
        <w:rPr>
          <w:rFonts w:ascii="Times New Roman" w:eastAsia="Times New Roman" w:hAnsi="Times New Roman" w:cs="Times New Roman"/>
          <w:color w:val="000000"/>
          <w:spacing w:val="0"/>
          <w:w w:val="100"/>
          <w:position w:val="0"/>
        </w:rPr>
        <w:t>2</w:t>
      </w:r>
      <w:bookmarkEnd w:id="840"/>
      <w:r>
        <w:rPr>
          <w:color w:val="000000"/>
          <w:spacing w:val="0"/>
          <w:w w:val="100"/>
          <w:position w:val="0"/>
        </w:rPr>
        <w:t>）</w:t>
        <w:tab/>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18"/>
        <w:keepNext w:val="0"/>
        <w:keepLines w:val="0"/>
        <w:widowControl w:val="0"/>
        <w:shd w:val="clear" w:color="auto" w:fill="auto"/>
        <w:bidi w:val="0"/>
        <w:spacing w:before="0" w:after="0" w:line="313" w:lineRule="exact"/>
        <w:ind w:left="0" w:right="0" w:firstLine="38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）分类为以公允价值计量且其变动计入其他综合收益的金融资产</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金融资产的合同条款规定在特定日期产生的现金流量仅为对本金和以未偿付本金金额为基础的利息 </w:t>
      </w:r>
      <w:r>
        <w:rPr>
          <w:color w:val="000000"/>
          <w:spacing w:val="0"/>
          <w:w w:val="100"/>
          <w:position w:val="0"/>
        </w:rPr>
        <w:t>的支付，且管理该金融资产的业务模式既以收取合同现金流量为目标又以出售该金融资产为目标，则本公 司将该金融资产分类为以公允价值计量且其变动计入其他综合收益的金融资产。</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18"/>
        <w:keepNext w:val="0"/>
        <w:keepLines w:val="0"/>
        <w:widowControl w:val="0"/>
        <w:shd w:val="clear" w:color="auto" w:fill="auto"/>
        <w:tabs>
          <w:tab w:pos="912" w:val="left"/>
        </w:tabs>
        <w:bidi w:val="0"/>
        <w:spacing w:before="0" w:after="0" w:line="311" w:lineRule="exact"/>
        <w:ind w:left="0" w:right="0" w:firstLine="44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18"/>
        <w:keepNext w:val="0"/>
        <w:keepLines w:val="0"/>
        <w:widowControl w:val="0"/>
        <w:shd w:val="clear" w:color="auto" w:fill="auto"/>
        <w:tabs>
          <w:tab w:pos="912" w:val="left"/>
        </w:tabs>
        <w:bidi w:val="0"/>
        <w:spacing w:before="0" w:after="0" w:line="312" w:lineRule="exact"/>
        <w:ind w:left="0" w:right="0" w:firstLine="44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18"/>
        <w:keepNext w:val="0"/>
        <w:keepLines w:val="0"/>
        <w:widowControl w:val="0"/>
        <w:shd w:val="clear" w:color="auto" w:fill="auto"/>
        <w:tabs>
          <w:tab w:pos="912" w:val="left"/>
        </w:tabs>
        <w:bidi w:val="0"/>
        <w:spacing w:before="0" w:after="0" w:line="316" w:lineRule="exact"/>
        <w:ind w:left="0" w:right="0" w:firstLine="44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18"/>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18"/>
        <w:keepNext w:val="0"/>
        <w:keepLines w:val="0"/>
        <w:widowControl w:val="0"/>
        <w:shd w:val="clear" w:color="auto" w:fill="auto"/>
        <w:tabs>
          <w:tab w:pos="814" w:val="left"/>
        </w:tabs>
        <w:bidi w:val="0"/>
        <w:spacing w:before="0" w:after="0" w:line="331" w:lineRule="auto"/>
        <w:ind w:left="0" w:right="0" w:firstLine="440"/>
        <w:jc w:val="both"/>
      </w:pPr>
      <w:bookmarkStart w:id="845" w:name="bookmark845"/>
      <w:r>
        <w:rPr>
          <w:rFonts w:ascii="Times New Roman" w:eastAsia="Times New Roman" w:hAnsi="Times New Roman" w:cs="Times New Roman"/>
          <w:color w:val="000000"/>
          <w:spacing w:val="0"/>
          <w:w w:val="100"/>
          <w:position w:val="0"/>
        </w:rPr>
        <w:t>1</w:t>
      </w:r>
      <w:bookmarkEnd w:id="845"/>
      <w:r>
        <w:rPr>
          <w:color w:val="000000"/>
          <w:spacing w:val="0"/>
          <w:w w:val="100"/>
          <w:position w:val="0"/>
        </w:rPr>
        <w:t>）</w:t>
        <w:tab/>
        <w:t>嵌入衍生工具不会对混合合同的现金流量产生重大改变。</w:t>
      </w:r>
    </w:p>
    <w:p>
      <w:pPr>
        <w:pStyle w:val="Style18"/>
        <w:keepNext w:val="0"/>
        <w:keepLines w:val="0"/>
        <w:widowControl w:val="0"/>
        <w:shd w:val="clear" w:color="auto" w:fill="auto"/>
        <w:tabs>
          <w:tab w:pos="814" w:val="left"/>
        </w:tabs>
        <w:bidi w:val="0"/>
        <w:spacing w:before="0" w:after="0" w:line="316" w:lineRule="exact"/>
        <w:ind w:left="0" w:right="0" w:firstLine="440"/>
        <w:jc w:val="both"/>
      </w:pPr>
      <w:bookmarkStart w:id="846" w:name="bookmark846"/>
      <w:r>
        <w:rPr>
          <w:rFonts w:ascii="Times New Roman" w:eastAsia="Times New Roman" w:hAnsi="Times New Roman" w:cs="Times New Roman"/>
          <w:color w:val="000000"/>
          <w:spacing w:val="0"/>
          <w:w w:val="100"/>
          <w:position w:val="0"/>
        </w:rPr>
        <w:t>2</w:t>
      </w:r>
      <w:bookmarkEnd w:id="846"/>
      <w:r>
        <w:rPr>
          <w:color w:val="000000"/>
          <w:spacing w:val="0"/>
          <w:w w:val="100"/>
          <w:position w:val="0"/>
        </w:rPr>
        <w:t>）</w:t>
        <w:tab/>
        <w:t>在初次确定类似的混合合同是否需要分拆时，几乎不需分析就能明确其包含的嵌入衍生工具不应 分拆。如嵌入贷款的提前还款权，允许持有人以接近摊余成本的金额提前偿还贷款，该提前还款权不需要 分拆。</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18"/>
        <w:keepNext w:val="0"/>
        <w:keepLines w:val="0"/>
        <w:widowControl w:val="0"/>
        <w:shd w:val="clear" w:color="auto" w:fill="auto"/>
        <w:bidi w:val="0"/>
        <w:spacing w:before="0" w:after="200" w:line="316"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18"/>
        <w:keepNext w:val="0"/>
        <w:keepLines w:val="0"/>
        <w:widowControl w:val="0"/>
        <w:numPr>
          <w:ilvl w:val="0"/>
          <w:numId w:val="35"/>
        </w:numPr>
        <w:shd w:val="clear" w:color="auto" w:fill="auto"/>
        <w:bidi w:val="0"/>
        <w:spacing w:before="0" w:after="0" w:line="326" w:lineRule="auto"/>
        <w:ind w:left="0" w:right="0" w:firstLine="440"/>
        <w:jc w:val="both"/>
      </w:pPr>
      <w:bookmarkStart w:id="847" w:name="bookmark847"/>
      <w:bookmarkEnd w:id="847"/>
      <w:r>
        <w:rPr>
          <w:b/>
          <w:bCs/>
          <w:color w:val="000000"/>
          <w:spacing w:val="0"/>
          <w:w w:val="100"/>
          <w:position w:val="0"/>
        </w:rPr>
        <w:t>金融负债分类和计量</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金融负债在初始确认时以公允价值计量。对于以公允价值计量且其变动计入当期损益的金融负债，相 </w:t>
      </w:r>
      <w:r>
        <w:rPr>
          <w:color w:val="000000"/>
          <w:spacing w:val="0"/>
          <w:w w:val="100"/>
          <w:position w:val="0"/>
        </w:rPr>
        <w:t>关的交易费用直接计入当期损益；对于其他类别的金融负债，相关交易费用计入初始确认金额。</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金融负债的后续计量取决于其分类：</w:t>
      </w:r>
    </w:p>
    <w:p>
      <w:pPr>
        <w:pStyle w:val="Style18"/>
        <w:keepNext w:val="0"/>
        <w:keepLines w:val="0"/>
        <w:widowControl w:val="0"/>
        <w:shd w:val="clear" w:color="auto" w:fill="auto"/>
        <w:bidi w:val="0"/>
        <w:spacing w:before="0" w:after="0" w:line="313" w:lineRule="exact"/>
        <w:ind w:left="0" w:right="0" w:firstLine="38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18"/>
        <w:keepNext w:val="0"/>
        <w:keepLines w:val="0"/>
        <w:widowControl w:val="0"/>
        <w:shd w:val="clear" w:color="auto" w:fill="auto"/>
        <w:tabs>
          <w:tab w:pos="1073" w:val="left"/>
        </w:tabs>
        <w:bidi w:val="0"/>
        <w:spacing w:before="0" w:after="0" w:line="326" w:lineRule="auto"/>
        <w:ind w:left="0" w:right="0" w:firstLine="700"/>
        <w:jc w:val="both"/>
      </w:pPr>
      <w:bookmarkStart w:id="849" w:name="bookmark849"/>
      <w:r>
        <w:rPr>
          <w:rFonts w:ascii="Times New Roman" w:eastAsia="Times New Roman" w:hAnsi="Times New Roman" w:cs="Times New Roman"/>
          <w:color w:val="000000"/>
          <w:spacing w:val="0"/>
          <w:w w:val="100"/>
          <w:position w:val="0"/>
        </w:rPr>
        <w:t>1</w:t>
      </w:r>
      <w:bookmarkEnd w:id="849"/>
      <w:r>
        <w:rPr>
          <w:color w:val="000000"/>
          <w:spacing w:val="0"/>
          <w:w w:val="100"/>
          <w:position w:val="0"/>
        </w:rPr>
        <w:t>）</w:t>
        <w:tab/>
        <w:t>能够消除或显著减少会计错配。</w:t>
      </w:r>
    </w:p>
    <w:p>
      <w:pPr>
        <w:pStyle w:val="Style18"/>
        <w:keepNext w:val="0"/>
        <w:keepLines w:val="0"/>
        <w:widowControl w:val="0"/>
        <w:shd w:val="clear" w:color="auto" w:fill="auto"/>
        <w:bidi w:val="0"/>
        <w:spacing w:before="0" w:after="0" w:line="313" w:lineRule="exact"/>
        <w:ind w:left="0" w:right="0" w:firstLine="700"/>
        <w:jc w:val="both"/>
      </w:pPr>
      <w:bookmarkStart w:id="850" w:name="bookmark850"/>
      <w:r>
        <w:rPr>
          <w:rFonts w:ascii="Times New Roman" w:eastAsia="Times New Roman" w:hAnsi="Times New Roman" w:cs="Times New Roman"/>
          <w:color w:val="000000"/>
          <w:spacing w:val="0"/>
          <w:w w:val="100"/>
          <w:position w:val="0"/>
        </w:rPr>
        <w:t>2</w:t>
      </w:r>
      <w:bookmarkEnd w:id="850"/>
      <w:r>
        <w:rPr>
          <w:color w:val="000000"/>
          <w:spacing w:val="0"/>
          <w:w w:val="100"/>
          <w:position w:val="0"/>
        </w:rPr>
        <w:t>） 根据正式书面文件载明的企业风险管理或投资策略，以公允价值为基础对金融负债组合或金融 资产和金融负债组合进行管理和业绩评价，并在企业内部以此为基础向关键管理人员报告。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18"/>
        <w:keepNext w:val="0"/>
        <w:keepLines w:val="0"/>
        <w:widowControl w:val="0"/>
        <w:shd w:val="clear" w:color="auto" w:fill="auto"/>
        <w:bidi w:val="0"/>
        <w:spacing w:before="0" w:after="0" w:line="313" w:lineRule="exact"/>
        <w:ind w:left="0" w:right="0" w:firstLine="36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18"/>
        <w:keepNext w:val="0"/>
        <w:keepLines w:val="0"/>
        <w:widowControl w:val="0"/>
        <w:shd w:val="clear" w:color="auto" w:fill="auto"/>
        <w:tabs>
          <w:tab w:pos="968" w:val="left"/>
        </w:tabs>
        <w:bidi w:val="0"/>
        <w:spacing w:before="0" w:after="0" w:line="326" w:lineRule="auto"/>
        <w:ind w:left="0" w:right="0" w:firstLine="600"/>
        <w:jc w:val="both"/>
      </w:pPr>
      <w:bookmarkStart w:id="852" w:name="bookmark852"/>
      <w:r>
        <w:rPr>
          <w:rFonts w:ascii="Times New Roman" w:eastAsia="Times New Roman" w:hAnsi="Times New Roman" w:cs="Times New Roman"/>
          <w:color w:val="000000"/>
          <w:spacing w:val="0"/>
          <w:w w:val="100"/>
          <w:position w:val="0"/>
        </w:rPr>
        <w:t>1</w:t>
      </w:r>
      <w:bookmarkEnd w:id="852"/>
      <w:r>
        <w:rPr>
          <w:color w:val="000000"/>
          <w:spacing w:val="0"/>
          <w:w w:val="100"/>
          <w:position w:val="0"/>
        </w:rPr>
        <w:t>）</w:t>
        <w:tab/>
        <w:t>以公允价值计量且其变动计入当期损益的金融负债。</w:t>
      </w:r>
    </w:p>
    <w:p>
      <w:pPr>
        <w:pStyle w:val="Style18"/>
        <w:keepNext w:val="0"/>
        <w:keepLines w:val="0"/>
        <w:widowControl w:val="0"/>
        <w:shd w:val="clear" w:color="auto" w:fill="auto"/>
        <w:tabs>
          <w:tab w:pos="987" w:val="left"/>
        </w:tabs>
        <w:bidi w:val="0"/>
        <w:spacing w:before="0" w:after="0" w:line="326" w:lineRule="auto"/>
        <w:ind w:left="0" w:right="0" w:firstLine="600"/>
        <w:jc w:val="both"/>
      </w:pPr>
      <w:bookmarkStart w:id="853" w:name="bookmark853"/>
      <w:r>
        <w:rPr>
          <w:rFonts w:ascii="Times New Roman" w:eastAsia="Times New Roman" w:hAnsi="Times New Roman" w:cs="Times New Roman"/>
          <w:color w:val="000000"/>
          <w:spacing w:val="0"/>
          <w:w w:val="100"/>
          <w:position w:val="0"/>
        </w:rPr>
        <w:t>2</w:t>
      </w:r>
      <w:bookmarkEnd w:id="853"/>
      <w:r>
        <w:rPr>
          <w:color w:val="000000"/>
          <w:spacing w:val="0"/>
          <w:w w:val="100"/>
          <w:position w:val="0"/>
        </w:rPr>
        <w:t>）</w:t>
        <w:tab/>
        <w:t>金融资产转移不符合终止确认条件或继续涉入被转移金融资产所形成的金融负债。</w:t>
      </w:r>
    </w:p>
    <w:p>
      <w:pPr>
        <w:pStyle w:val="Style18"/>
        <w:keepNext w:val="0"/>
        <w:keepLines w:val="0"/>
        <w:widowControl w:val="0"/>
        <w:shd w:val="clear" w:color="auto" w:fill="auto"/>
        <w:bidi w:val="0"/>
        <w:spacing w:before="0" w:after="0" w:line="313" w:lineRule="exact"/>
        <w:ind w:left="0" w:right="0" w:firstLine="600"/>
        <w:jc w:val="both"/>
      </w:pPr>
      <w:bookmarkStart w:id="854" w:name="bookmark854"/>
      <w:r>
        <w:rPr>
          <w:rFonts w:ascii="Times New Roman" w:eastAsia="Times New Roman" w:hAnsi="Times New Roman" w:cs="Times New Roman"/>
          <w:color w:val="000000"/>
          <w:spacing w:val="0"/>
          <w:w w:val="100"/>
          <w:position w:val="0"/>
        </w:rPr>
        <w:t>3</w:t>
      </w:r>
      <w:bookmarkEnd w:id="854"/>
      <w:r>
        <w:rPr>
          <w:color w:val="000000"/>
          <w:spacing w:val="0"/>
          <w:w w:val="100"/>
          <w:position w:val="0"/>
        </w:rPr>
        <w:t>） 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 贷款承诺。</w:t>
      </w:r>
    </w:p>
    <w:p>
      <w:pPr>
        <w:pStyle w:val="Style18"/>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18"/>
        <w:keepNext w:val="0"/>
        <w:keepLines w:val="0"/>
        <w:widowControl w:val="0"/>
        <w:numPr>
          <w:ilvl w:val="0"/>
          <w:numId w:val="35"/>
        </w:numPr>
        <w:shd w:val="clear" w:color="auto" w:fill="auto"/>
        <w:bidi w:val="0"/>
        <w:spacing w:before="0" w:after="0" w:line="329" w:lineRule="auto"/>
        <w:ind w:left="0" w:right="0" w:firstLine="380"/>
        <w:jc w:val="both"/>
      </w:pPr>
      <w:bookmarkStart w:id="855" w:name="bookmark855"/>
      <w:bookmarkEnd w:id="855"/>
      <w:r>
        <w:rPr>
          <w:b/>
          <w:bCs/>
          <w:color w:val="000000"/>
          <w:spacing w:val="0"/>
          <w:w w:val="100"/>
          <w:position w:val="0"/>
        </w:rPr>
        <w:t>金融资产和金融负债的终止确认</w:t>
      </w:r>
    </w:p>
    <w:p>
      <w:pPr>
        <w:pStyle w:val="Style18"/>
        <w:keepNext w:val="0"/>
        <w:keepLines w:val="0"/>
        <w:widowControl w:val="0"/>
        <w:shd w:val="clear" w:color="auto" w:fill="auto"/>
        <w:tabs>
          <w:tab w:pos="947" w:val="left"/>
        </w:tabs>
        <w:bidi w:val="0"/>
        <w:spacing w:before="0" w:after="80" w:line="314" w:lineRule="exact"/>
        <w:ind w:left="0" w:right="0" w:firstLine="38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18"/>
        <w:keepNext w:val="0"/>
        <w:keepLines w:val="0"/>
        <w:widowControl w:val="0"/>
        <w:shd w:val="clear" w:color="auto" w:fill="auto"/>
        <w:tabs>
          <w:tab w:pos="1148" w:val="left"/>
        </w:tabs>
        <w:bidi w:val="0"/>
        <w:spacing w:before="0" w:after="0" w:line="329" w:lineRule="auto"/>
        <w:ind w:left="0" w:right="0" w:firstLine="780"/>
        <w:jc w:val="both"/>
      </w:pPr>
      <w:bookmarkStart w:id="857" w:name="bookmark857"/>
      <w:r>
        <w:rPr>
          <w:rFonts w:ascii="Times New Roman" w:eastAsia="Times New Roman" w:hAnsi="Times New Roman" w:cs="Times New Roman"/>
          <w:color w:val="000000"/>
          <w:spacing w:val="0"/>
          <w:w w:val="100"/>
          <w:position w:val="0"/>
        </w:rPr>
        <w:t>1</w:t>
      </w:r>
      <w:bookmarkEnd w:id="857"/>
      <w:r>
        <w:rPr>
          <w:color w:val="000000"/>
          <w:spacing w:val="0"/>
          <w:w w:val="100"/>
          <w:position w:val="0"/>
        </w:rPr>
        <w:t>）</w:t>
        <w:tab/>
        <w:t>收取该金融资产现金流量的合同权利终止。</w:t>
      </w:r>
    </w:p>
    <w:p>
      <w:pPr>
        <w:pStyle w:val="Style18"/>
        <w:keepNext w:val="0"/>
        <w:keepLines w:val="0"/>
        <w:widowControl w:val="0"/>
        <w:shd w:val="clear" w:color="auto" w:fill="auto"/>
        <w:tabs>
          <w:tab w:pos="1167" w:val="left"/>
        </w:tabs>
        <w:bidi w:val="0"/>
        <w:spacing w:before="0" w:after="0" w:line="329" w:lineRule="auto"/>
        <w:ind w:left="0" w:right="0" w:firstLine="780"/>
        <w:jc w:val="both"/>
      </w:pPr>
      <w:bookmarkStart w:id="858" w:name="bookmark858"/>
      <w:r>
        <w:rPr>
          <w:rFonts w:ascii="Times New Roman" w:eastAsia="Times New Roman" w:hAnsi="Times New Roman" w:cs="Times New Roman"/>
          <w:color w:val="000000"/>
          <w:spacing w:val="0"/>
          <w:w w:val="100"/>
          <w:position w:val="0"/>
        </w:rPr>
        <w:t>2</w:t>
      </w:r>
      <w:bookmarkEnd w:id="858"/>
      <w:r>
        <w:rPr>
          <w:color w:val="000000"/>
          <w:spacing w:val="0"/>
          <w:w w:val="100"/>
          <w:position w:val="0"/>
        </w:rPr>
        <w:t>）</w:t>
        <w:tab/>
        <w:t>该金融资产已转移，且该转移满足金融资产终止确认的规定。</w:t>
      </w:r>
    </w:p>
    <w:p>
      <w:pPr>
        <w:pStyle w:val="Style18"/>
        <w:keepNext w:val="0"/>
        <w:keepLines w:val="0"/>
        <w:widowControl w:val="0"/>
        <w:shd w:val="clear" w:color="auto" w:fill="auto"/>
        <w:tabs>
          <w:tab w:pos="947" w:val="left"/>
        </w:tabs>
        <w:bidi w:val="0"/>
        <w:spacing w:before="0" w:after="0" w:line="314" w:lineRule="exact"/>
        <w:ind w:left="0" w:right="0" w:firstLine="38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金融负债（或其一部分）的现时义务已经解除的，则终止确认该金融负债（或该部分金融负债）。</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18"/>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18"/>
        <w:keepNext w:val="0"/>
        <w:keepLines w:val="0"/>
        <w:widowControl w:val="0"/>
        <w:numPr>
          <w:ilvl w:val="0"/>
          <w:numId w:val="35"/>
        </w:numPr>
        <w:shd w:val="clear" w:color="auto" w:fill="auto"/>
        <w:bidi w:val="0"/>
        <w:spacing w:before="0" w:after="80" w:line="329" w:lineRule="auto"/>
        <w:ind w:left="0" w:right="0" w:firstLine="380"/>
        <w:jc w:val="both"/>
      </w:pPr>
      <w:bookmarkStart w:id="860" w:name="bookmark860"/>
      <w:bookmarkEnd w:id="860"/>
      <w:r>
        <w:rPr>
          <w:b/>
          <w:bCs/>
          <w:color w:val="000000"/>
          <w:spacing w:val="0"/>
          <w:w w:val="100"/>
          <w:position w:val="0"/>
        </w:rPr>
        <w:t>金融资产转移的确认依据和计量方法</w:t>
      </w:r>
    </w:p>
    <w:p>
      <w:pPr>
        <w:pStyle w:val="Style18"/>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本公司在发生金融资产转移时，评估其保留金融资产所有权上的风险和报酬的程度，并分别下列情形 处理：</w:t>
      </w:r>
    </w:p>
    <w:p>
      <w:pPr>
        <w:pStyle w:val="Style18"/>
        <w:keepNext w:val="0"/>
        <w:keepLines w:val="0"/>
        <w:widowControl w:val="0"/>
        <w:shd w:val="clear" w:color="auto" w:fill="auto"/>
        <w:tabs>
          <w:tab w:pos="894" w:val="left"/>
        </w:tabs>
        <w:bidi w:val="0"/>
        <w:spacing w:before="0" w:after="0" w:line="318" w:lineRule="exact"/>
        <w:ind w:left="0" w:right="0" w:firstLine="32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转移了金融资产所有权上几乎所有风险和报酬的，则终止确认该金融资产，并将转移中产生或保 留的权利和义务单独确认为资产或负债。</w:t>
      </w:r>
    </w:p>
    <w:p>
      <w:pPr>
        <w:pStyle w:val="Style18"/>
        <w:keepNext w:val="0"/>
        <w:keepLines w:val="0"/>
        <w:widowControl w:val="0"/>
        <w:shd w:val="clear" w:color="auto" w:fill="auto"/>
        <w:tabs>
          <w:tab w:pos="801" w:val="left"/>
        </w:tabs>
        <w:bidi w:val="0"/>
        <w:spacing w:before="0" w:after="0" w:line="318" w:lineRule="exact"/>
        <w:ind w:left="0" w:right="0" w:firstLine="32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18"/>
        <w:keepNext w:val="0"/>
        <w:keepLines w:val="0"/>
        <w:widowControl w:val="0"/>
        <w:shd w:val="clear" w:color="auto" w:fill="auto"/>
        <w:tabs>
          <w:tab w:pos="909" w:val="left"/>
        </w:tabs>
        <w:bidi w:val="0"/>
        <w:spacing w:before="0" w:after="0" w:line="318" w:lineRule="exact"/>
        <w:ind w:left="0" w:right="0" w:firstLine="32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 其他情形），则根据其是否保留了对金融资产的控制，分别下列情形处理：</w:t>
      </w:r>
    </w:p>
    <w:p>
      <w:pPr>
        <w:pStyle w:val="Style18"/>
        <w:keepNext w:val="0"/>
        <w:keepLines w:val="0"/>
        <w:widowControl w:val="0"/>
        <w:shd w:val="clear" w:color="auto" w:fill="auto"/>
        <w:tabs>
          <w:tab w:pos="870" w:val="left"/>
        </w:tabs>
        <w:bidi w:val="0"/>
        <w:spacing w:before="0" w:after="0" w:line="318" w:lineRule="exact"/>
        <w:ind w:left="0" w:right="0" w:firstLine="460"/>
        <w:jc w:val="both"/>
      </w:pPr>
      <w:bookmarkStart w:id="864" w:name="bookmark864"/>
      <w:r>
        <w:rPr>
          <w:rFonts w:ascii="Times New Roman" w:eastAsia="Times New Roman" w:hAnsi="Times New Roman" w:cs="Times New Roman"/>
          <w:color w:val="000000"/>
          <w:spacing w:val="0"/>
          <w:w w:val="100"/>
          <w:position w:val="0"/>
        </w:rPr>
        <w:t>1</w:t>
      </w:r>
      <w:bookmarkEnd w:id="864"/>
      <w:r>
        <w:rPr>
          <w:color w:val="000000"/>
          <w:spacing w:val="0"/>
          <w:w w:val="100"/>
          <w:position w:val="0"/>
        </w:rPr>
        <w:t>）</w:t>
        <w:tab/>
        <w:t>未保留对该金融资产控制的，则终止确认该金融资产，并将转移中产生或保留的权利和义务单独 确认为资产或负债。</w:t>
      </w:r>
    </w:p>
    <w:p>
      <w:pPr>
        <w:pStyle w:val="Style18"/>
        <w:keepNext w:val="0"/>
        <w:keepLines w:val="0"/>
        <w:widowControl w:val="0"/>
        <w:shd w:val="clear" w:color="auto" w:fill="auto"/>
        <w:tabs>
          <w:tab w:pos="865" w:val="left"/>
        </w:tabs>
        <w:bidi w:val="0"/>
        <w:spacing w:before="0" w:after="0" w:line="318" w:lineRule="exact"/>
        <w:ind w:left="0" w:right="0" w:firstLine="460"/>
        <w:jc w:val="both"/>
      </w:pPr>
      <w:bookmarkStart w:id="865" w:name="bookmark865"/>
      <w:r>
        <w:rPr>
          <w:rFonts w:ascii="Times New Roman" w:eastAsia="Times New Roman" w:hAnsi="Times New Roman" w:cs="Times New Roman"/>
          <w:color w:val="000000"/>
          <w:spacing w:val="0"/>
          <w:w w:val="100"/>
          <w:position w:val="0"/>
        </w:rPr>
        <w:t>2</w:t>
      </w:r>
      <w:bookmarkEnd w:id="865"/>
      <w:r>
        <w:rPr>
          <w:color w:val="000000"/>
          <w:spacing w:val="0"/>
          <w:w w:val="100"/>
          <w:position w:val="0"/>
        </w:rPr>
        <w:t>）</w:t>
        <w:tab/>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18"/>
        <w:keepNext w:val="0"/>
        <w:keepLines w:val="0"/>
        <w:widowControl w:val="0"/>
        <w:shd w:val="clear" w:color="auto" w:fill="auto"/>
        <w:bidi w:val="0"/>
        <w:spacing w:before="0" w:after="0" w:line="318" w:lineRule="exact"/>
        <w:ind w:left="0" w:right="0" w:firstLine="46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18"/>
        <w:keepNext w:val="0"/>
        <w:keepLines w:val="0"/>
        <w:widowControl w:val="0"/>
        <w:shd w:val="clear" w:color="auto" w:fill="auto"/>
        <w:tabs>
          <w:tab w:pos="801" w:val="left"/>
        </w:tabs>
        <w:bidi w:val="0"/>
        <w:spacing w:before="0" w:after="80" w:line="318" w:lineRule="exact"/>
        <w:ind w:left="0" w:right="0" w:firstLine="32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18"/>
        <w:keepNext w:val="0"/>
        <w:keepLines w:val="0"/>
        <w:widowControl w:val="0"/>
        <w:shd w:val="clear" w:color="auto" w:fill="auto"/>
        <w:tabs>
          <w:tab w:pos="946" w:val="left"/>
        </w:tabs>
        <w:bidi w:val="0"/>
        <w:spacing w:before="0" w:after="0" w:line="331" w:lineRule="auto"/>
        <w:ind w:left="0" w:right="0" w:firstLine="580"/>
        <w:jc w:val="both"/>
      </w:pPr>
      <w:bookmarkStart w:id="867" w:name="bookmark867"/>
      <w:r>
        <w:rPr>
          <w:rFonts w:ascii="Times New Roman" w:eastAsia="Times New Roman" w:hAnsi="Times New Roman" w:cs="Times New Roman"/>
          <w:color w:val="000000"/>
          <w:spacing w:val="0"/>
          <w:w w:val="100"/>
          <w:position w:val="0"/>
        </w:rPr>
        <w:t>1</w:t>
      </w:r>
      <w:bookmarkEnd w:id="867"/>
      <w:r>
        <w:rPr>
          <w:color w:val="000000"/>
          <w:spacing w:val="0"/>
          <w:w w:val="100"/>
          <w:position w:val="0"/>
        </w:rPr>
        <w:t>）</w:t>
        <w:tab/>
        <w:t>被转移金融资产在终止确认日的账面价值。</w:t>
      </w:r>
    </w:p>
    <w:p>
      <w:pPr>
        <w:pStyle w:val="Style18"/>
        <w:keepNext w:val="0"/>
        <w:keepLines w:val="0"/>
        <w:widowControl w:val="0"/>
        <w:shd w:val="clear" w:color="auto" w:fill="auto"/>
        <w:tabs>
          <w:tab w:pos="952" w:val="left"/>
        </w:tabs>
        <w:bidi w:val="0"/>
        <w:spacing w:before="0" w:after="0" w:line="318" w:lineRule="exact"/>
        <w:ind w:left="0" w:right="0" w:firstLine="580"/>
        <w:jc w:val="both"/>
      </w:pPr>
      <w:bookmarkStart w:id="868" w:name="bookmark868"/>
      <w:r>
        <w:rPr>
          <w:rFonts w:ascii="Times New Roman" w:eastAsia="Times New Roman" w:hAnsi="Times New Roman" w:cs="Times New Roman"/>
          <w:color w:val="000000"/>
          <w:spacing w:val="0"/>
          <w:w w:val="100"/>
          <w:position w:val="0"/>
        </w:rPr>
        <w:t>2</w:t>
      </w:r>
      <w:bookmarkEnd w:id="868"/>
      <w:r>
        <w:rPr>
          <w:color w:val="000000"/>
          <w:spacing w:val="0"/>
          <w:w w:val="100"/>
          <w:position w:val="0"/>
        </w:rPr>
        <w:t>）</w:t>
        <w:tab/>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18"/>
        <w:keepNext w:val="0"/>
        <w:keepLines w:val="0"/>
        <w:widowControl w:val="0"/>
        <w:shd w:val="clear" w:color="auto" w:fill="auto"/>
        <w:tabs>
          <w:tab w:pos="909" w:val="left"/>
        </w:tabs>
        <w:bidi w:val="0"/>
        <w:spacing w:before="0" w:after="80" w:line="318" w:lineRule="exact"/>
        <w:ind w:left="0" w:right="0" w:firstLine="32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金融资产部分转移且该被转移部分整体满足终止确认条件的，将转移前金融资产整体的账面价值， 在终止确认部分和继续确认部分（在此种情形下，所保留的服务资产应当视同继续确认金融资产的一部分） 之间，按照转移日各自的相对公允价值进行分摊，并将下列两项金额的差额计入当期损益：</w:t>
      </w:r>
    </w:p>
    <w:p>
      <w:pPr>
        <w:pStyle w:val="Style18"/>
        <w:keepNext w:val="0"/>
        <w:keepLines w:val="0"/>
        <w:widowControl w:val="0"/>
        <w:shd w:val="clear" w:color="auto" w:fill="auto"/>
        <w:tabs>
          <w:tab w:pos="806" w:val="left"/>
        </w:tabs>
        <w:bidi w:val="0"/>
        <w:spacing w:before="0" w:after="0" w:line="331" w:lineRule="auto"/>
        <w:ind w:left="0" w:right="0" w:firstLine="440"/>
        <w:jc w:val="both"/>
      </w:pPr>
      <w:bookmarkStart w:id="870" w:name="bookmark870"/>
      <w:r>
        <w:rPr>
          <w:rFonts w:ascii="Times New Roman" w:eastAsia="Times New Roman" w:hAnsi="Times New Roman" w:cs="Times New Roman"/>
          <w:color w:val="000000"/>
          <w:spacing w:val="0"/>
          <w:w w:val="100"/>
          <w:position w:val="0"/>
        </w:rPr>
        <w:t>1</w:t>
      </w:r>
      <w:bookmarkEnd w:id="870"/>
      <w:r>
        <w:rPr>
          <w:color w:val="000000"/>
          <w:spacing w:val="0"/>
          <w:w w:val="100"/>
          <w:position w:val="0"/>
        </w:rPr>
        <w:t>）</w:t>
        <w:tab/>
        <w:t>终止确认部分在终止确认日的账面价值。</w:t>
      </w:r>
    </w:p>
    <w:p>
      <w:pPr>
        <w:pStyle w:val="Style18"/>
        <w:keepNext w:val="0"/>
        <w:keepLines w:val="0"/>
        <w:widowControl w:val="0"/>
        <w:shd w:val="clear" w:color="auto" w:fill="auto"/>
        <w:tabs>
          <w:tab w:pos="870" w:val="left"/>
        </w:tabs>
        <w:bidi w:val="0"/>
        <w:spacing w:before="0" w:after="0" w:line="318" w:lineRule="exact"/>
        <w:ind w:left="0" w:right="0" w:firstLine="460"/>
        <w:jc w:val="both"/>
      </w:pPr>
      <w:bookmarkStart w:id="871" w:name="bookmark871"/>
      <w:r>
        <w:rPr>
          <w:rFonts w:ascii="Times New Roman" w:eastAsia="Times New Roman" w:hAnsi="Times New Roman" w:cs="Times New Roman"/>
          <w:color w:val="000000"/>
          <w:spacing w:val="0"/>
          <w:w w:val="100"/>
          <w:position w:val="0"/>
        </w:rPr>
        <w:t>2</w:t>
      </w:r>
      <w:bookmarkEnd w:id="871"/>
      <w:r>
        <w:rPr>
          <w:color w:val="000000"/>
          <w:spacing w:val="0"/>
          <w:w w:val="100"/>
          <w:position w:val="0"/>
        </w:rPr>
        <w:t>）</w:t>
        <w:tab/>
        <w:t>终止确认部分收到的对价，与原计入其他综合收益的公允价值变动累计额中对应终止确认部分的 金额（涉及转移的金融资产为以公允价值计量且其变动计入其他综合收益的金融资产）之和。</w:t>
      </w:r>
    </w:p>
    <w:p>
      <w:pPr>
        <w:pStyle w:val="Style18"/>
        <w:keepNext w:val="0"/>
        <w:keepLines w:val="0"/>
        <w:widowControl w:val="0"/>
        <w:shd w:val="clear" w:color="auto" w:fill="auto"/>
        <w:bidi w:val="0"/>
        <w:spacing w:before="0" w:after="80" w:line="318" w:lineRule="exact"/>
        <w:ind w:left="0" w:right="0" w:firstLine="0"/>
        <w:jc w:val="both"/>
      </w:pPr>
      <w:r>
        <w:rPr>
          <w:color w:val="000000"/>
          <w:spacing w:val="0"/>
          <w:w w:val="100"/>
          <w:position w:val="0"/>
        </w:rPr>
        <w:t>金融资产转移不满足终止确认条件的，继续确认该金融资产，所收到的对价确认为一项金融</w:t>
      </w:r>
    </w:p>
    <w:p>
      <w:pPr>
        <w:pStyle w:val="Style18"/>
        <w:keepNext w:val="0"/>
        <w:keepLines w:val="0"/>
        <w:widowControl w:val="0"/>
        <w:numPr>
          <w:ilvl w:val="0"/>
          <w:numId w:val="35"/>
        </w:numPr>
        <w:shd w:val="clear" w:color="auto" w:fill="auto"/>
        <w:tabs>
          <w:tab w:pos="797" w:val="left"/>
        </w:tabs>
        <w:bidi w:val="0"/>
        <w:spacing w:before="0" w:after="0" w:line="329" w:lineRule="auto"/>
        <w:ind w:left="0" w:right="0" w:firstLine="460"/>
        <w:jc w:val="both"/>
      </w:pPr>
      <w:bookmarkStart w:id="872" w:name="bookmark872"/>
      <w:bookmarkEnd w:id="872"/>
      <w:r>
        <w:rPr>
          <w:b/>
          <w:bCs/>
          <w:color w:val="000000"/>
          <w:spacing w:val="0"/>
          <w:w w:val="100"/>
          <w:position w:val="0"/>
        </w:rPr>
        <w:t>金融资产和金融负债公允价值的确定方法</w:t>
      </w:r>
    </w:p>
    <w:p>
      <w:pPr>
        <w:pStyle w:val="Style1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1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初始取得或衍生的金融资产或承担的金融负债，以市场交易价格作为确定其公允价值的基础。</w:t>
      </w:r>
    </w:p>
    <w:p>
      <w:pPr>
        <w:pStyle w:val="Style18"/>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18"/>
        <w:keepNext w:val="0"/>
        <w:keepLines w:val="0"/>
        <w:widowControl w:val="0"/>
        <w:numPr>
          <w:ilvl w:val="0"/>
          <w:numId w:val="35"/>
        </w:numPr>
        <w:shd w:val="clear" w:color="auto" w:fill="auto"/>
        <w:tabs>
          <w:tab w:pos="797" w:val="left"/>
        </w:tabs>
        <w:bidi w:val="0"/>
        <w:spacing w:before="0" w:after="0" w:line="329" w:lineRule="auto"/>
        <w:ind w:left="0" w:right="0" w:firstLine="460"/>
        <w:jc w:val="both"/>
      </w:pPr>
      <w:bookmarkStart w:id="873" w:name="bookmark873"/>
      <w:bookmarkEnd w:id="873"/>
      <w:r>
        <w:rPr>
          <w:b/>
          <w:bCs/>
          <w:color w:val="000000"/>
          <w:spacing w:val="0"/>
          <w:w w:val="100"/>
          <w:position w:val="0"/>
        </w:rPr>
        <w:t>金融工具减值</w:t>
      </w:r>
    </w:p>
    <w:p>
      <w:pPr>
        <w:pStyle w:val="Style1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1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对由收入准则规范的交易形成的应收款项，本公司运用简化计量方法，按照相当于整个存续期内预期 </w:t>
      </w:r>
      <w:r>
        <w:rPr>
          <w:color w:val="000000"/>
          <w:spacing w:val="0"/>
          <w:w w:val="100"/>
          <w:position w:val="0"/>
        </w:rPr>
        <w:t>信用损失的金额计量损失准备。</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18"/>
        <w:keepNext w:val="0"/>
        <w:keepLines w:val="0"/>
        <w:widowControl w:val="0"/>
        <w:shd w:val="clear" w:color="auto" w:fill="auto"/>
        <w:tabs>
          <w:tab w:pos="903" w:val="left"/>
        </w:tabs>
        <w:bidi w:val="0"/>
        <w:spacing w:before="0" w:after="0" w:line="313" w:lineRule="exact"/>
        <w:ind w:left="0" w:right="0" w:firstLine="32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如果该金融工具的信用风险自初始确认后并未显著增加，处于第一阶段，则按照相当于该金融工 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18"/>
        <w:keepNext w:val="0"/>
        <w:keepLines w:val="0"/>
        <w:widowControl w:val="0"/>
        <w:shd w:val="clear" w:color="auto" w:fill="auto"/>
        <w:bidi w:val="0"/>
        <w:spacing w:before="0" w:after="0" w:line="313" w:lineRule="exact"/>
        <w:ind w:left="0" w:right="0" w:firstLine="32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 如果该金融工具的信用风险自初始确认后已显著增加但尚未发生信用减值的，处于第二阶段，则 按照相当于该金融工具整个存续期内预期信用损失的金额计量其损失准备，并按照账面余额和实际利率计 算利息收入。</w:t>
      </w:r>
    </w:p>
    <w:p>
      <w:pPr>
        <w:pStyle w:val="Style18"/>
        <w:keepNext w:val="0"/>
        <w:keepLines w:val="0"/>
        <w:widowControl w:val="0"/>
        <w:shd w:val="clear" w:color="auto" w:fill="auto"/>
        <w:bidi w:val="0"/>
        <w:spacing w:before="0" w:after="0" w:line="313" w:lineRule="exact"/>
        <w:ind w:left="0" w:right="0" w:firstLine="32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3</w:t>
      </w:r>
      <w:r>
        <w:rPr>
          <w:color w:val="000000"/>
          <w:spacing w:val="0"/>
          <w:w w:val="100"/>
          <w:position w:val="0"/>
        </w:rPr>
        <w:t>） 如果该金融工具自初始确认后已经发生信用减值的，处于第三阶段，本公司按照相当于该金融工 具整个存续期内预期信用损失的金额计量其损失准备，并按照摊余成本和实际利率计算利息收入。</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18"/>
        <w:keepNext w:val="0"/>
        <w:keepLines w:val="0"/>
        <w:widowControl w:val="0"/>
        <w:shd w:val="clear" w:color="auto" w:fill="auto"/>
        <w:tabs>
          <w:tab w:pos="800" w:val="left"/>
        </w:tabs>
        <w:bidi w:val="0"/>
        <w:spacing w:before="0" w:after="0" w:line="313" w:lineRule="exact"/>
        <w:ind w:left="0" w:right="0" w:firstLine="32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本公司在评估信用风险是否显著增加时会考虑如下因素：</w:t>
      </w:r>
    </w:p>
    <w:p>
      <w:pPr>
        <w:pStyle w:val="Style18"/>
        <w:keepNext w:val="0"/>
        <w:keepLines w:val="0"/>
        <w:widowControl w:val="0"/>
        <w:shd w:val="clear" w:color="auto" w:fill="auto"/>
        <w:tabs>
          <w:tab w:pos="805" w:val="left"/>
        </w:tabs>
        <w:bidi w:val="0"/>
        <w:spacing w:before="0" w:after="0" w:line="326" w:lineRule="auto"/>
        <w:ind w:left="0" w:right="0" w:firstLine="440"/>
        <w:jc w:val="both"/>
      </w:pPr>
      <w:bookmarkStart w:id="878" w:name="bookmark878"/>
      <w:r>
        <w:rPr>
          <w:rFonts w:ascii="Times New Roman" w:eastAsia="Times New Roman" w:hAnsi="Times New Roman" w:cs="Times New Roman"/>
          <w:color w:val="000000"/>
          <w:spacing w:val="0"/>
          <w:w w:val="100"/>
          <w:position w:val="0"/>
        </w:rPr>
        <w:t>1</w:t>
      </w:r>
      <w:bookmarkEnd w:id="878"/>
      <w:r>
        <w:rPr>
          <w:color w:val="000000"/>
          <w:spacing w:val="0"/>
          <w:w w:val="100"/>
          <w:position w:val="0"/>
        </w:rPr>
        <w:t>）</w:t>
        <w:tab/>
        <w:t>债务人经营成果实际或预期是否发生显著变化；</w:t>
      </w:r>
    </w:p>
    <w:p>
      <w:pPr>
        <w:pStyle w:val="Style18"/>
        <w:keepNext w:val="0"/>
        <w:keepLines w:val="0"/>
        <w:widowControl w:val="0"/>
        <w:shd w:val="clear" w:color="auto" w:fill="auto"/>
        <w:bidi w:val="0"/>
        <w:spacing w:before="0" w:after="0" w:line="326" w:lineRule="auto"/>
        <w:ind w:left="0" w:right="0" w:firstLine="440"/>
        <w:jc w:val="both"/>
      </w:pPr>
      <w:bookmarkStart w:id="879" w:name="bookmark879"/>
      <w:r>
        <w:rPr>
          <w:rFonts w:ascii="Times New Roman" w:eastAsia="Times New Roman" w:hAnsi="Times New Roman" w:cs="Times New Roman"/>
          <w:color w:val="000000"/>
          <w:spacing w:val="0"/>
          <w:w w:val="100"/>
          <w:position w:val="0"/>
        </w:rPr>
        <w:t>2</w:t>
      </w:r>
      <w:bookmarkEnd w:id="879"/>
      <w:r>
        <w:rPr>
          <w:color w:val="000000"/>
          <w:spacing w:val="0"/>
          <w:w w:val="100"/>
          <w:position w:val="0"/>
        </w:rPr>
        <w:t>） 债务人所处的监管、经济或技术环境是否发生显著不利变化；</w:t>
      </w:r>
    </w:p>
    <w:p>
      <w:pPr>
        <w:pStyle w:val="Style18"/>
        <w:keepNext w:val="0"/>
        <w:keepLines w:val="0"/>
        <w:widowControl w:val="0"/>
        <w:shd w:val="clear" w:color="auto" w:fill="auto"/>
        <w:tabs>
          <w:tab w:pos="797" w:val="left"/>
        </w:tabs>
        <w:bidi w:val="0"/>
        <w:spacing w:before="0" w:after="80" w:line="313" w:lineRule="exact"/>
        <w:ind w:left="0" w:right="0" w:firstLine="440"/>
        <w:jc w:val="both"/>
      </w:pPr>
      <w:bookmarkStart w:id="880" w:name="bookmark880"/>
      <w:r>
        <w:rPr>
          <w:rFonts w:ascii="Times New Roman" w:eastAsia="Times New Roman" w:hAnsi="Times New Roman" w:cs="Times New Roman"/>
          <w:color w:val="000000"/>
          <w:spacing w:val="0"/>
          <w:w w:val="100"/>
          <w:position w:val="0"/>
        </w:rPr>
        <w:t>3</w:t>
      </w:r>
      <w:bookmarkEnd w:id="880"/>
      <w:r>
        <w:rPr>
          <w:color w:val="000000"/>
          <w:spacing w:val="0"/>
          <w:w w:val="100"/>
          <w:position w:val="0"/>
        </w:rPr>
        <w:t>）</w:t>
        <w:tab/>
        <w:t>作为债务抵押的担保物价值或第三方提供的担保或信用增级质量是否发生显著变化，这些变化预 期将降低债务人按合同规定期限还款的经济动机或者影响违约概率；</w:t>
      </w:r>
    </w:p>
    <w:p>
      <w:pPr>
        <w:pStyle w:val="Style18"/>
        <w:keepNext w:val="0"/>
        <w:keepLines w:val="0"/>
        <w:widowControl w:val="0"/>
        <w:shd w:val="clear" w:color="auto" w:fill="auto"/>
        <w:tabs>
          <w:tab w:pos="824" w:val="left"/>
        </w:tabs>
        <w:bidi w:val="0"/>
        <w:spacing w:before="0" w:after="0" w:line="326" w:lineRule="auto"/>
        <w:ind w:left="0" w:right="0" w:firstLine="440"/>
        <w:jc w:val="both"/>
      </w:pPr>
      <w:bookmarkStart w:id="881" w:name="bookmark881"/>
      <w:r>
        <w:rPr>
          <w:rFonts w:ascii="Times New Roman" w:eastAsia="Times New Roman" w:hAnsi="Times New Roman" w:cs="Times New Roman"/>
          <w:color w:val="000000"/>
          <w:spacing w:val="0"/>
          <w:w w:val="100"/>
          <w:position w:val="0"/>
        </w:rPr>
        <w:t>4</w:t>
      </w:r>
      <w:bookmarkEnd w:id="881"/>
      <w:r>
        <w:rPr>
          <w:color w:val="000000"/>
          <w:spacing w:val="0"/>
          <w:w w:val="100"/>
          <w:position w:val="0"/>
        </w:rPr>
        <w:t>）</w:t>
        <w:tab/>
        <w:t>债务人预期表现和还款行为是否发生显著变化；</w:t>
      </w:r>
    </w:p>
    <w:p>
      <w:pPr>
        <w:pStyle w:val="Style18"/>
        <w:keepNext w:val="0"/>
        <w:keepLines w:val="0"/>
        <w:widowControl w:val="0"/>
        <w:shd w:val="clear" w:color="auto" w:fill="auto"/>
        <w:tabs>
          <w:tab w:pos="824" w:val="left"/>
        </w:tabs>
        <w:bidi w:val="0"/>
        <w:spacing w:before="0" w:after="0" w:line="326" w:lineRule="auto"/>
        <w:ind w:left="0" w:right="0" w:firstLine="440"/>
        <w:jc w:val="both"/>
      </w:pPr>
      <w:bookmarkStart w:id="882" w:name="bookmark882"/>
      <w:r>
        <w:rPr>
          <w:rFonts w:ascii="Times New Roman" w:eastAsia="Times New Roman" w:hAnsi="Times New Roman" w:cs="Times New Roman"/>
          <w:color w:val="000000"/>
          <w:spacing w:val="0"/>
          <w:w w:val="100"/>
          <w:position w:val="0"/>
        </w:rPr>
        <w:t>5</w:t>
      </w:r>
      <w:bookmarkEnd w:id="882"/>
      <w:r>
        <w:rPr>
          <w:color w:val="000000"/>
          <w:spacing w:val="0"/>
          <w:w w:val="100"/>
          <w:position w:val="0"/>
        </w:rPr>
        <w:t>）</w:t>
        <w:tab/>
        <w:t>本公司对金融工具信用管理方法是否发生变化等。</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18"/>
        <w:keepNext w:val="0"/>
        <w:keepLines w:val="0"/>
        <w:widowControl w:val="0"/>
        <w:shd w:val="clear" w:color="auto" w:fill="auto"/>
        <w:tabs>
          <w:tab w:pos="800" w:val="left"/>
        </w:tabs>
        <w:bidi w:val="0"/>
        <w:spacing w:before="0" w:after="0" w:line="313" w:lineRule="exact"/>
        <w:ind w:left="0" w:right="0" w:firstLine="32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18"/>
        <w:keepNext w:val="0"/>
        <w:keepLines w:val="0"/>
        <w:widowControl w:val="0"/>
        <w:shd w:val="clear" w:color="auto" w:fill="auto"/>
        <w:tabs>
          <w:tab w:pos="805" w:val="left"/>
        </w:tabs>
        <w:bidi w:val="0"/>
        <w:spacing w:before="0" w:after="0" w:line="326" w:lineRule="auto"/>
        <w:ind w:left="0" w:right="0" w:firstLine="440"/>
        <w:jc w:val="both"/>
      </w:pPr>
      <w:bookmarkStart w:id="884" w:name="bookmark884"/>
      <w:r>
        <w:rPr>
          <w:rFonts w:ascii="Times New Roman" w:eastAsia="Times New Roman" w:hAnsi="Times New Roman" w:cs="Times New Roman"/>
          <w:color w:val="000000"/>
          <w:spacing w:val="0"/>
          <w:w w:val="100"/>
          <w:position w:val="0"/>
        </w:rPr>
        <w:t>1</w:t>
      </w:r>
      <w:bookmarkEnd w:id="884"/>
      <w:r>
        <w:rPr>
          <w:color w:val="000000"/>
          <w:spacing w:val="0"/>
          <w:w w:val="100"/>
          <w:position w:val="0"/>
        </w:rPr>
        <w:t>）</w:t>
        <w:tab/>
        <w:t>发行方或债务人发生重大财务困难；</w:t>
      </w:r>
    </w:p>
    <w:p>
      <w:pPr>
        <w:pStyle w:val="Style18"/>
        <w:keepNext w:val="0"/>
        <w:keepLines w:val="0"/>
        <w:widowControl w:val="0"/>
        <w:shd w:val="clear" w:color="auto" w:fill="auto"/>
        <w:bidi w:val="0"/>
        <w:spacing w:before="0" w:after="0" w:line="326" w:lineRule="auto"/>
        <w:ind w:left="0" w:right="0" w:firstLine="440"/>
        <w:jc w:val="both"/>
      </w:pPr>
      <w:bookmarkStart w:id="885" w:name="bookmark885"/>
      <w:r>
        <w:rPr>
          <w:rFonts w:ascii="Times New Roman" w:eastAsia="Times New Roman" w:hAnsi="Times New Roman" w:cs="Times New Roman"/>
          <w:color w:val="000000"/>
          <w:spacing w:val="0"/>
          <w:w w:val="100"/>
          <w:position w:val="0"/>
        </w:rPr>
        <w:t>2</w:t>
      </w:r>
      <w:bookmarkEnd w:id="885"/>
      <w:r>
        <w:rPr>
          <w:color w:val="000000"/>
          <w:spacing w:val="0"/>
          <w:w w:val="100"/>
          <w:position w:val="0"/>
        </w:rPr>
        <w:t>） 债务人违反合同，如偿付利息或本金违约或逾期等；</w:t>
      </w:r>
    </w:p>
    <w:p>
      <w:pPr>
        <w:pStyle w:val="Style18"/>
        <w:keepNext w:val="0"/>
        <w:keepLines w:val="0"/>
        <w:widowControl w:val="0"/>
        <w:shd w:val="clear" w:color="auto" w:fill="auto"/>
        <w:bidi w:val="0"/>
        <w:spacing w:before="0" w:after="0" w:line="326" w:lineRule="auto"/>
        <w:ind w:left="0" w:right="0" w:firstLine="440"/>
        <w:jc w:val="both"/>
      </w:pPr>
      <w:bookmarkStart w:id="886" w:name="bookmark886"/>
      <w:r>
        <w:rPr>
          <w:rFonts w:ascii="Times New Roman" w:eastAsia="Times New Roman" w:hAnsi="Times New Roman" w:cs="Times New Roman"/>
          <w:color w:val="000000"/>
          <w:spacing w:val="0"/>
          <w:w w:val="100"/>
          <w:position w:val="0"/>
        </w:rPr>
        <w:t>3</w:t>
      </w:r>
      <w:bookmarkEnd w:id="886"/>
      <w:r>
        <w:rPr>
          <w:color w:val="000000"/>
          <w:spacing w:val="0"/>
          <w:w w:val="100"/>
          <w:position w:val="0"/>
        </w:rPr>
        <w:t xml:space="preserve">） 债权人出于与债务人财务困难有关的经济或合同考虑，给予债务人在任何其他情况下都不会做出 </w:t>
      </w:r>
      <w:r>
        <w:rPr>
          <w:color w:val="000000"/>
          <w:spacing w:val="0"/>
          <w:w w:val="100"/>
          <w:position w:val="0"/>
        </w:rPr>
        <w:t>的让步；</w:t>
      </w:r>
    </w:p>
    <w:p>
      <w:pPr>
        <w:pStyle w:val="Style18"/>
        <w:keepNext w:val="0"/>
        <w:keepLines w:val="0"/>
        <w:widowControl w:val="0"/>
        <w:shd w:val="clear" w:color="auto" w:fill="auto"/>
        <w:tabs>
          <w:tab w:pos="832" w:val="left"/>
        </w:tabs>
        <w:bidi w:val="0"/>
        <w:spacing w:before="0" w:after="0" w:line="314" w:lineRule="exact"/>
        <w:ind w:left="0" w:right="0" w:firstLine="440"/>
        <w:jc w:val="left"/>
      </w:pPr>
      <w:bookmarkStart w:id="887" w:name="bookmark887"/>
      <w:r>
        <w:rPr>
          <w:rFonts w:ascii="Times New Roman" w:eastAsia="Times New Roman" w:hAnsi="Times New Roman" w:cs="Times New Roman"/>
          <w:color w:val="000000"/>
          <w:spacing w:val="0"/>
          <w:w w:val="100"/>
          <w:position w:val="0"/>
        </w:rPr>
        <w:t>4</w:t>
      </w:r>
      <w:bookmarkEnd w:id="887"/>
      <w:r>
        <w:rPr>
          <w:color w:val="000000"/>
          <w:spacing w:val="0"/>
          <w:w w:val="100"/>
          <w:position w:val="0"/>
        </w:rPr>
        <w:t>）</w:t>
        <w:tab/>
        <w:t>债务人很可能破产或进行其他财务重组；</w:t>
      </w:r>
    </w:p>
    <w:p>
      <w:pPr>
        <w:pStyle w:val="Style18"/>
        <w:keepNext w:val="0"/>
        <w:keepLines w:val="0"/>
        <w:widowControl w:val="0"/>
        <w:shd w:val="clear" w:color="auto" w:fill="auto"/>
        <w:tabs>
          <w:tab w:pos="832" w:val="left"/>
        </w:tabs>
        <w:bidi w:val="0"/>
        <w:spacing w:before="0" w:after="0" w:line="314" w:lineRule="exact"/>
        <w:ind w:left="0" w:right="0" w:firstLine="440"/>
        <w:jc w:val="left"/>
      </w:pPr>
      <w:bookmarkStart w:id="888" w:name="bookmark888"/>
      <w:r>
        <w:rPr>
          <w:rFonts w:ascii="Times New Roman" w:eastAsia="Times New Roman" w:hAnsi="Times New Roman" w:cs="Times New Roman"/>
          <w:color w:val="000000"/>
          <w:spacing w:val="0"/>
          <w:w w:val="100"/>
          <w:position w:val="0"/>
        </w:rPr>
        <w:t>5</w:t>
      </w:r>
      <w:bookmarkEnd w:id="888"/>
      <w:r>
        <w:rPr>
          <w:color w:val="000000"/>
          <w:spacing w:val="0"/>
          <w:w w:val="100"/>
          <w:position w:val="0"/>
        </w:rPr>
        <w:t>）</w:t>
        <w:tab/>
        <w:t>发行方或债务人财务困难导致该金融资产的活跃市场消失；</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以大幅折扣购买或源生一项金融资产，该折扣反映了发生信用损失的事实。</w:t>
      </w:r>
    </w:p>
    <w:p>
      <w:pPr>
        <w:pStyle w:val="Style18"/>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18"/>
        <w:keepNext w:val="0"/>
        <w:keepLines w:val="0"/>
        <w:widowControl w:val="0"/>
        <w:shd w:val="clear" w:color="auto" w:fill="auto"/>
        <w:tabs>
          <w:tab w:pos="828" w:val="left"/>
        </w:tabs>
        <w:bidi w:val="0"/>
        <w:spacing w:before="0" w:after="0" w:line="314" w:lineRule="exact"/>
        <w:ind w:left="0" w:right="0" w:firstLine="34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18"/>
        <w:keepNext w:val="0"/>
        <w:keepLines w:val="0"/>
        <w:widowControl w:val="0"/>
        <w:shd w:val="clear" w:color="auto" w:fill="auto"/>
        <w:bidi w:val="0"/>
        <w:spacing w:before="0" w:after="0" w:line="299" w:lineRule="exact"/>
        <w:ind w:left="0" w:right="0" w:firstLine="44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18"/>
        <w:keepNext w:val="0"/>
        <w:keepLines w:val="0"/>
        <w:widowControl w:val="0"/>
        <w:shd w:val="clear" w:color="auto" w:fill="auto"/>
        <w:bidi w:val="0"/>
        <w:spacing w:before="0" w:after="0" w:line="299" w:lineRule="exact"/>
        <w:ind w:left="0" w:right="0" w:firstLine="440"/>
        <w:jc w:val="left"/>
      </w:pPr>
      <w:r>
        <w:rPr>
          <w:color w:val="000000"/>
          <w:spacing w:val="0"/>
          <w:w w:val="100"/>
          <w:position w:val="0"/>
        </w:rPr>
        <w:t>本公司以共同信用风险特征为依据，将金融工具分为不同组合。本公司采用的共同信用风险特征包括: 金融工具类型、信用风险评级、账龄组合、逾期账龄组合、合同结算周期、债务人所处行业等。相关金融 工具的单项评估标准和组合信用风险特征详见相关金融工具的会计政策。</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本公司按照下列方法确定相关金融工具的预期信用损失：</w:t>
      </w:r>
    </w:p>
    <w:p>
      <w:pPr>
        <w:pStyle w:val="Style18"/>
        <w:keepNext w:val="0"/>
        <w:keepLines w:val="0"/>
        <w:widowControl w:val="0"/>
        <w:shd w:val="clear" w:color="auto" w:fill="auto"/>
        <w:tabs>
          <w:tab w:pos="813" w:val="left"/>
        </w:tabs>
        <w:bidi w:val="0"/>
        <w:spacing w:before="0" w:after="0" w:line="314" w:lineRule="exact"/>
        <w:ind w:left="0" w:right="0" w:firstLine="440"/>
        <w:jc w:val="both"/>
      </w:pPr>
      <w:bookmarkStart w:id="890" w:name="bookmark890"/>
      <w:r>
        <w:rPr>
          <w:rFonts w:ascii="Times New Roman" w:eastAsia="Times New Roman" w:hAnsi="Times New Roman" w:cs="Times New Roman"/>
          <w:color w:val="000000"/>
          <w:spacing w:val="0"/>
          <w:w w:val="100"/>
          <w:position w:val="0"/>
        </w:rPr>
        <w:t>1</w:t>
      </w:r>
      <w:bookmarkEnd w:id="890"/>
      <w:r>
        <w:rPr>
          <w:color w:val="000000"/>
          <w:spacing w:val="0"/>
          <w:w w:val="100"/>
          <w:position w:val="0"/>
        </w:rPr>
        <w:t>）</w:t>
        <w:tab/>
        <w:t>对于金融资产，信用损失为本公司应收取的合同现金流量与预期收取的现金流量之间差额的现值。</w:t>
      </w:r>
    </w:p>
    <w:p>
      <w:pPr>
        <w:pStyle w:val="Style18"/>
        <w:keepNext w:val="0"/>
        <w:keepLines w:val="0"/>
        <w:widowControl w:val="0"/>
        <w:shd w:val="clear" w:color="auto" w:fill="auto"/>
        <w:tabs>
          <w:tab w:pos="810" w:val="left"/>
        </w:tabs>
        <w:bidi w:val="0"/>
        <w:spacing w:before="0" w:after="0" w:line="318" w:lineRule="exact"/>
        <w:ind w:left="0" w:right="0" w:firstLine="440"/>
        <w:jc w:val="both"/>
      </w:pPr>
      <w:bookmarkStart w:id="891" w:name="bookmark891"/>
      <w:r>
        <w:rPr>
          <w:rFonts w:ascii="Times New Roman" w:eastAsia="Times New Roman" w:hAnsi="Times New Roman" w:cs="Times New Roman"/>
          <w:color w:val="000000"/>
          <w:spacing w:val="0"/>
          <w:w w:val="100"/>
          <w:position w:val="0"/>
        </w:rPr>
        <w:t>2</w:t>
      </w:r>
      <w:bookmarkEnd w:id="891"/>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18"/>
        <w:keepNext w:val="0"/>
        <w:keepLines w:val="0"/>
        <w:widowControl w:val="0"/>
        <w:shd w:val="clear" w:color="auto" w:fill="auto"/>
        <w:tabs>
          <w:tab w:pos="810" w:val="left"/>
        </w:tabs>
        <w:bidi w:val="0"/>
        <w:spacing w:before="0" w:after="0" w:line="318" w:lineRule="exact"/>
        <w:ind w:left="0" w:right="0" w:firstLine="440"/>
        <w:jc w:val="both"/>
      </w:pPr>
      <w:bookmarkStart w:id="892" w:name="bookmark892"/>
      <w:r>
        <w:rPr>
          <w:rFonts w:ascii="Times New Roman" w:eastAsia="Times New Roman" w:hAnsi="Times New Roman" w:cs="Times New Roman"/>
          <w:color w:val="000000"/>
          <w:spacing w:val="0"/>
          <w:w w:val="100"/>
          <w:position w:val="0"/>
        </w:rPr>
        <w:t>3</w:t>
      </w:r>
      <w:bookmarkEnd w:id="892"/>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18"/>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18"/>
        <w:keepNext w:val="0"/>
        <w:keepLines w:val="0"/>
        <w:widowControl w:val="0"/>
        <w:shd w:val="clear" w:color="auto" w:fill="auto"/>
        <w:tabs>
          <w:tab w:pos="828" w:val="left"/>
        </w:tabs>
        <w:bidi w:val="0"/>
        <w:spacing w:before="0" w:after="0" w:line="314" w:lineRule="exact"/>
        <w:ind w:left="0" w:right="0" w:firstLine="34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减记金融资产</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18"/>
        <w:keepNext w:val="0"/>
        <w:keepLines w:val="0"/>
        <w:widowControl w:val="0"/>
        <w:numPr>
          <w:ilvl w:val="0"/>
          <w:numId w:val="35"/>
        </w:numPr>
        <w:shd w:val="clear" w:color="auto" w:fill="auto"/>
        <w:bidi w:val="0"/>
        <w:spacing w:before="0" w:after="0" w:line="314" w:lineRule="exact"/>
        <w:ind w:left="0" w:right="0" w:firstLine="520"/>
        <w:jc w:val="both"/>
      </w:pPr>
      <w:bookmarkStart w:id="894" w:name="bookmark894"/>
      <w:bookmarkEnd w:id="894"/>
      <w:r>
        <w:rPr>
          <w:b/>
          <w:bCs/>
          <w:color w:val="000000"/>
          <w:spacing w:val="0"/>
          <w:w w:val="100"/>
          <w:position w:val="0"/>
        </w:rPr>
        <w:t>金融资产及金融负债的抵销</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18"/>
        <w:keepNext w:val="0"/>
        <w:keepLines w:val="0"/>
        <w:widowControl w:val="0"/>
        <w:shd w:val="clear" w:color="auto" w:fill="auto"/>
        <w:tabs>
          <w:tab w:pos="928" w:val="left"/>
        </w:tabs>
        <w:bidi w:val="0"/>
        <w:spacing w:before="0" w:after="0" w:line="314" w:lineRule="exact"/>
        <w:ind w:left="0" w:right="0" w:firstLine="440"/>
        <w:jc w:val="left"/>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18"/>
        <w:keepNext w:val="0"/>
        <w:keepLines w:val="0"/>
        <w:widowControl w:val="0"/>
        <w:shd w:val="clear" w:color="auto" w:fill="auto"/>
        <w:tabs>
          <w:tab w:pos="928" w:val="left"/>
        </w:tabs>
        <w:bidi w:val="0"/>
        <w:spacing w:before="0" w:after="280" w:line="314" w:lineRule="exact"/>
        <w:ind w:left="0" w:right="0" w:firstLine="44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2"/>
        <w:keepNext/>
        <w:keepLines/>
        <w:widowControl w:val="0"/>
        <w:shd w:val="clear" w:color="auto" w:fill="auto"/>
        <w:bidi w:val="0"/>
        <w:spacing w:before="0" w:after="280" w:line="314" w:lineRule="exact"/>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9</w:t>
      </w:r>
      <w:bookmarkEnd w:id="899"/>
      <w:r>
        <w:rPr>
          <w:color w:val="000000"/>
          <w:spacing w:val="0"/>
          <w:w w:val="100"/>
          <w:position w:val="0"/>
        </w:rPr>
        <w:t>、应收票据</w:t>
      </w:r>
      <w:bookmarkEnd w:id="897"/>
      <w:bookmarkEnd w:id="898"/>
      <w:bookmarkEnd w:id="900"/>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本公司对应收票据的预期信用损失的确定方法及会计处理方法详见本附注</w:t>
      </w:r>
      <w:r>
        <w:rPr>
          <w:rFonts w:ascii="Times New Roman" w:eastAsia="Times New Roman" w:hAnsi="Times New Roman" w:cs="Times New Roman"/>
          <w:color w:val="000000"/>
          <w:spacing w:val="0"/>
          <w:w w:val="100"/>
          <w:position w:val="0"/>
        </w:rPr>
        <w:t>8</w:t>
      </w:r>
      <w:r>
        <w:rPr>
          <w:color w:val="000000"/>
          <w:spacing w:val="0"/>
          <w:w w:val="100"/>
          <w:position w:val="0"/>
        </w:rPr>
        <w:t>之</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本公司对在单项工具层面能以合理成本评估预期信用损失的充分证据的应收票据单独确定其信用损 失。</w:t>
      </w:r>
    </w:p>
    <w:p>
      <w:pPr>
        <w:pStyle w:val="Style26"/>
        <w:keepNext w:val="0"/>
        <w:keepLines w:val="0"/>
        <w:widowControl w:val="0"/>
        <w:shd w:val="clear" w:color="auto" w:fill="auto"/>
        <w:bidi w:val="0"/>
        <w:spacing w:before="0" w:after="0" w:line="317" w:lineRule="exact"/>
        <w:ind w:left="0" w:right="0" w:firstLine="0"/>
        <w:jc w:val="distribute"/>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计算预期信用损失。确定组合的依据如下：</w:t>
      </w:r>
    </w:p>
    <w:tbl>
      <w:tblPr>
        <w:tblOverlap w:val="never"/>
        <w:jc w:val="center"/>
        <w:tblLayout w:type="fixed"/>
      </w:tblPr>
      <w:tblGrid>
        <w:gridCol w:w="1291"/>
        <w:gridCol w:w="5102"/>
        <w:gridCol w:w="3278"/>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无风险银行承兑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出票人具有较高的信用评级，历史上未发生票据违约，信用损失 风险极低，在短期内履行其支付合同现金流量义务的能力很强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参考历史信用损失经验，结合当前状况以 及对未来经济状况的预期计量坏账准备</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关联企业商业承 兑票据组合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出票人为电科集团及其下属企业，历史上未发生票据违约，信用 损失风险极低。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参考历史信用损失经验，结合当前状况以 及对未来经济状况的预期计量坏账准备</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其他商业承兑票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出票人为非电科集团及其下属企业。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参考历史信用损失经验，结合当前状况以</w:t>
            </w:r>
          </w:p>
        </w:tc>
      </w:tr>
    </w:tbl>
    <w:p>
      <w:pPr>
        <w:widowControl w:val="0"/>
        <w:spacing w:line="1" w:lineRule="exact"/>
      </w:pPr>
    </w:p>
    <w:tbl>
      <w:tblPr>
        <w:tblOverlap w:val="never"/>
        <w:jc w:val="center"/>
        <w:tblLayout w:type="fixed"/>
      </w:tblPr>
      <w:tblGrid>
        <w:gridCol w:w="1291"/>
        <w:gridCol w:w="5102"/>
        <w:gridCol w:w="3278"/>
      </w:tblGrid>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及对未来经济状况的预期计量坏账准备</w:t>
            </w:r>
          </w:p>
        </w:tc>
      </w:tr>
    </w:tbl>
    <w:p>
      <w:pPr>
        <w:widowControl w:val="0"/>
        <w:spacing w:after="259" w:line="1" w:lineRule="exact"/>
      </w:pPr>
    </w:p>
    <w:p>
      <w:pPr>
        <w:pStyle w:val="Style32"/>
        <w:keepNext/>
        <w:keepLines/>
        <w:widowControl w:val="0"/>
        <w:shd w:val="clear" w:color="auto" w:fill="auto"/>
        <w:bidi w:val="0"/>
        <w:spacing w:before="0" w:after="260" w:line="322" w:lineRule="exact"/>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0</w:t>
      </w:r>
      <w:r>
        <w:rPr>
          <w:color w:val="000000"/>
          <w:spacing w:val="0"/>
          <w:w w:val="100"/>
          <w:position w:val="0"/>
        </w:rPr>
        <w:t>、应收账款</w:t>
      </w:r>
      <w:bookmarkEnd w:id="901"/>
      <w:bookmarkEnd w:id="902"/>
      <w:bookmarkEnd w:id="904"/>
    </w:p>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本公司对应收账款的预期信用损失的确定方法及会计处理方法详见本附注</w:t>
      </w:r>
      <w:r>
        <w:rPr>
          <w:rFonts w:ascii="Times New Roman" w:eastAsia="Times New Roman" w:hAnsi="Times New Roman" w:cs="Times New Roman"/>
          <w:color w:val="000000"/>
          <w:spacing w:val="0"/>
          <w:w w:val="100"/>
          <w:position w:val="0"/>
        </w:rPr>
        <w:t>8</w:t>
      </w:r>
      <w:r>
        <w:rPr>
          <w:color w:val="000000"/>
          <w:spacing w:val="0"/>
          <w:w w:val="100"/>
          <w:position w:val="0"/>
        </w:rPr>
        <w:t>之</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1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本公司对在单项工具层面能以合理成本评估预期信用损失的充分证据的应收账款单独确定其信用损 失。</w:t>
      </w:r>
    </w:p>
    <w:p>
      <w:pPr>
        <w:pStyle w:val="Style26"/>
        <w:keepNext w:val="0"/>
        <w:keepLines w:val="0"/>
        <w:widowControl w:val="0"/>
        <w:shd w:val="clear" w:color="auto" w:fill="auto"/>
        <w:bidi w:val="0"/>
        <w:spacing w:before="0" w:after="0" w:line="317" w:lineRule="exact"/>
        <w:ind w:left="0" w:right="0" w:firstLine="0"/>
        <w:jc w:val="distribute"/>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1526"/>
        <w:gridCol w:w="5069"/>
        <w:gridCol w:w="3077"/>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本公司根据以往的历史经验对应收款项预期信用损失计提比例作 出合理估计，参考应收款项的账龄进行信用风险组合分类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按账龄与整个存续期预期信用损失率 对照表计提</w:t>
            </w:r>
          </w:p>
        </w:tc>
      </w:tr>
    </w:tbl>
    <w:p>
      <w:pPr>
        <w:widowControl w:val="0"/>
        <w:spacing w:after="259" w:line="1" w:lineRule="exact"/>
      </w:pPr>
    </w:p>
    <w:p>
      <w:pPr>
        <w:pStyle w:val="Style32"/>
        <w:keepNext/>
        <w:keepLines/>
        <w:widowControl w:val="0"/>
        <w:shd w:val="clear" w:color="auto" w:fill="auto"/>
        <w:bidi w:val="0"/>
        <w:spacing w:before="0" w:line="326" w:lineRule="exact"/>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905"/>
      <w:bookmarkEnd w:id="906"/>
      <w:bookmarkEnd w:id="90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本公司对其他应收款的预期信用损失的确定方法及会计处理方法详见本附注</w:t>
      </w:r>
      <w:r>
        <w:rPr>
          <w:rFonts w:ascii="Times New Roman" w:eastAsia="Times New Roman" w:hAnsi="Times New Roman" w:cs="Times New Roman"/>
          <w:color w:val="000000"/>
          <w:spacing w:val="0"/>
          <w:w w:val="100"/>
          <w:position w:val="0"/>
        </w:rPr>
        <w:t>8</w:t>
      </w:r>
      <w:r>
        <w:rPr>
          <w:color w:val="000000"/>
          <w:spacing w:val="0"/>
          <w:w w:val="100"/>
          <w:position w:val="0"/>
        </w:rPr>
        <w:t>之</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18"/>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本公司对在单项工具层面能以合理成本评估预期信用损失的充分证据的其他应收款单独确定其信用 损失。</w:t>
      </w:r>
    </w:p>
    <w:p>
      <w:pPr>
        <w:pStyle w:val="Style18"/>
        <w:keepNext w:val="0"/>
        <w:keepLines w:val="0"/>
        <w:widowControl w:val="0"/>
        <w:shd w:val="clear" w:color="auto" w:fill="auto"/>
        <w:bidi w:val="0"/>
        <w:spacing w:before="0" w:after="60" w:line="317" w:lineRule="exact"/>
        <w:ind w:left="0" w:right="0" w:firstLine="42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w:t>
      </w:r>
    </w:p>
    <w:tbl>
      <w:tblPr>
        <w:tblOverlap w:val="never"/>
        <w:jc w:val="center"/>
        <w:tblLayout w:type="fixed"/>
      </w:tblPr>
      <w:tblGrid>
        <w:gridCol w:w="1531"/>
        <w:gridCol w:w="5064"/>
        <w:gridCol w:w="3077"/>
      </w:tblGrid>
      <w:tr>
        <w:trPr>
          <w:trHeight w:val="28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上计算预期信用;</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质失。确定组合的依据如下：</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押金及个人业务借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根据业务性质，认定无信用风险，主要包括押金及个人业务借款。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参考历史信用损失经验不计提预期信 用损失</w:t>
            </w:r>
          </w:p>
        </w:tc>
      </w:tr>
      <w:tr>
        <w:trPr>
          <w:trHeight w:val="97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包括除上述组合之外的其他预收款，本公司根据以往的历史经验 对其他应收款计提比例作出最佳估计，参考其他应收款的账龄进 行信用风险组合分类</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按账龄与整个存续期预期信用损失率 对照表计提</w:t>
            </w:r>
          </w:p>
        </w:tc>
      </w:tr>
    </w:tbl>
    <w:p>
      <w:pPr>
        <w:widowControl w:val="0"/>
        <w:spacing w:after="259" w:line="1" w:lineRule="exact"/>
      </w:pPr>
    </w:p>
    <w:p>
      <w:pPr>
        <w:pStyle w:val="Style32"/>
        <w:keepNext/>
        <w:keepLines/>
        <w:widowControl w:val="0"/>
        <w:shd w:val="clear" w:color="auto" w:fill="auto"/>
        <w:bidi w:val="0"/>
        <w:spacing w:before="0" w:after="300" w:line="311" w:lineRule="exact"/>
        <w:ind w:left="0" w:right="0" w:firstLine="0"/>
        <w:jc w:val="left"/>
      </w:pPr>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909"/>
      <w:bookmarkEnd w:id="910"/>
      <w:bookmarkEnd w:id="911"/>
    </w:p>
    <w:p>
      <w:pPr>
        <w:pStyle w:val="Style32"/>
        <w:keepNext/>
        <w:keepLines/>
        <w:widowControl w:val="0"/>
        <w:numPr>
          <w:ilvl w:val="0"/>
          <w:numId w:val="37"/>
        </w:numPr>
        <w:shd w:val="clear" w:color="auto" w:fill="auto"/>
        <w:tabs>
          <w:tab w:pos="710" w:val="left"/>
        </w:tabs>
        <w:bidi w:val="0"/>
        <w:spacing w:before="0" w:after="0" w:line="311" w:lineRule="exact"/>
        <w:ind w:left="0" w:right="0" w:firstLine="380"/>
        <w:jc w:val="both"/>
      </w:pPr>
      <w:bookmarkStart w:id="909" w:name="bookmark909"/>
      <w:bookmarkStart w:id="910" w:name="bookmark910"/>
      <w:bookmarkStart w:id="912" w:name="bookmark912"/>
      <w:bookmarkEnd w:id="912"/>
      <w:r>
        <w:rPr>
          <w:color w:val="000000"/>
          <w:spacing w:val="0"/>
          <w:w w:val="100"/>
          <w:position w:val="0"/>
        </w:rPr>
        <w:t>存货的分类</w:t>
      </w:r>
      <w:bookmarkEnd w:id="909"/>
      <w:bookmarkEnd w:id="910"/>
    </w:p>
    <w:p>
      <w:pPr>
        <w:pStyle w:val="Style18"/>
        <w:keepNext w:val="0"/>
        <w:keepLines w:val="0"/>
        <w:widowControl w:val="0"/>
        <w:shd w:val="clear" w:color="auto" w:fill="auto"/>
        <w:bidi w:val="0"/>
        <w:spacing w:before="0" w:after="0" w:line="311" w:lineRule="exact"/>
        <w:ind w:left="0" w:right="0" w:firstLine="420"/>
        <w:jc w:val="left"/>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或提供劳务过程中耗用的材料和物料等。主要包括原材料、周转材料、在产品、自制半成品、产成品（库 存商品）、发出商品、合同履约成本等。</w:t>
      </w:r>
    </w:p>
    <w:p>
      <w:pPr>
        <w:pStyle w:val="Style18"/>
        <w:keepNext w:val="0"/>
        <w:keepLines w:val="0"/>
        <w:widowControl w:val="0"/>
        <w:numPr>
          <w:ilvl w:val="0"/>
          <w:numId w:val="37"/>
        </w:numPr>
        <w:shd w:val="clear" w:color="auto" w:fill="auto"/>
        <w:tabs>
          <w:tab w:pos="719" w:val="left"/>
        </w:tabs>
        <w:bidi w:val="0"/>
        <w:spacing w:before="0" w:after="0" w:line="311" w:lineRule="exact"/>
        <w:ind w:left="0" w:right="0" w:firstLine="380"/>
        <w:jc w:val="both"/>
      </w:pPr>
      <w:bookmarkStart w:id="913" w:name="bookmark913"/>
      <w:bookmarkEnd w:id="913"/>
      <w:r>
        <w:rPr>
          <w:b/>
          <w:bCs/>
          <w:color w:val="000000"/>
          <w:spacing w:val="0"/>
          <w:w w:val="100"/>
          <w:position w:val="0"/>
        </w:rPr>
        <w:t>存货的计价方法</w:t>
      </w:r>
    </w:p>
    <w:p>
      <w:pPr>
        <w:pStyle w:val="Style18"/>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存货在取得时，按成本进行初始计量，包括采购成本、加工成本和其他成本。存货发出时按先进先出 法计价。</w:t>
      </w:r>
    </w:p>
    <w:p>
      <w:pPr>
        <w:pStyle w:val="Style18"/>
        <w:keepNext w:val="0"/>
        <w:keepLines w:val="0"/>
        <w:widowControl w:val="0"/>
        <w:numPr>
          <w:ilvl w:val="0"/>
          <w:numId w:val="37"/>
        </w:numPr>
        <w:shd w:val="clear" w:color="auto" w:fill="auto"/>
        <w:tabs>
          <w:tab w:pos="699" w:val="left"/>
        </w:tabs>
        <w:bidi w:val="0"/>
        <w:spacing w:before="0" w:after="0" w:line="311" w:lineRule="exact"/>
        <w:ind w:left="0" w:right="0" w:firstLine="360"/>
        <w:jc w:val="left"/>
      </w:pPr>
      <w:bookmarkStart w:id="914" w:name="bookmark914"/>
      <w:bookmarkEnd w:id="914"/>
      <w:r>
        <w:rPr>
          <w:b/>
          <w:bCs/>
          <w:color w:val="000000"/>
          <w:spacing w:val="0"/>
          <w:w w:val="100"/>
          <w:position w:val="0"/>
        </w:rPr>
        <w:t>存货可变现净值的确定依据及存货跌价准备的计提方法</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 xml:space="preserve">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w:t>
      </w:r>
      <w:r>
        <w:rPr>
          <w:color w:val="000000"/>
          <w:spacing w:val="0"/>
          <w:w w:val="100"/>
          <w:position w:val="0"/>
        </w:rPr>
        <w:t>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18"/>
        <w:keepNext w:val="0"/>
        <w:keepLines w:val="0"/>
        <w:widowControl w:val="0"/>
        <w:shd w:val="clear" w:color="auto" w:fill="auto"/>
        <w:bidi w:val="0"/>
        <w:spacing w:before="0" w:after="80" w:line="314" w:lineRule="exact"/>
        <w:ind w:left="0" w:right="0" w:firstLine="42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18"/>
        <w:keepNext w:val="0"/>
        <w:keepLines w:val="0"/>
        <w:widowControl w:val="0"/>
        <w:numPr>
          <w:ilvl w:val="0"/>
          <w:numId w:val="37"/>
        </w:numPr>
        <w:shd w:val="clear" w:color="auto" w:fill="auto"/>
        <w:tabs>
          <w:tab w:pos="719" w:val="left"/>
        </w:tabs>
        <w:bidi w:val="0"/>
        <w:spacing w:before="0" w:after="0" w:line="329" w:lineRule="auto"/>
        <w:ind w:left="0" w:right="0" w:firstLine="380"/>
        <w:jc w:val="both"/>
      </w:pPr>
      <w:bookmarkStart w:id="915" w:name="bookmark915"/>
      <w:bookmarkEnd w:id="915"/>
      <w:r>
        <w:rPr>
          <w:b/>
          <w:bCs/>
          <w:color w:val="000000"/>
          <w:spacing w:val="0"/>
          <w:w w:val="100"/>
          <w:position w:val="0"/>
        </w:rPr>
        <w:t>存货的盘存制度</w:t>
      </w:r>
    </w:p>
    <w:p>
      <w:pPr>
        <w:pStyle w:val="Style18"/>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采用永续盘存制。</w:t>
      </w:r>
    </w:p>
    <w:p>
      <w:pPr>
        <w:pStyle w:val="Style18"/>
        <w:keepNext w:val="0"/>
        <w:keepLines w:val="0"/>
        <w:widowControl w:val="0"/>
        <w:numPr>
          <w:ilvl w:val="0"/>
          <w:numId w:val="37"/>
        </w:numPr>
        <w:shd w:val="clear" w:color="auto" w:fill="auto"/>
        <w:tabs>
          <w:tab w:pos="719" w:val="left"/>
        </w:tabs>
        <w:bidi w:val="0"/>
        <w:spacing w:before="0" w:after="0" w:line="329" w:lineRule="auto"/>
        <w:ind w:left="0" w:right="0" w:firstLine="380"/>
        <w:jc w:val="both"/>
      </w:pPr>
      <w:bookmarkStart w:id="916" w:name="bookmark916"/>
      <w:bookmarkEnd w:id="916"/>
      <w:r>
        <w:rPr>
          <w:b/>
          <w:bCs/>
          <w:color w:val="000000"/>
          <w:spacing w:val="0"/>
          <w:w w:val="100"/>
          <w:position w:val="0"/>
        </w:rPr>
        <w:t>低值易耗品和包装物的摊销方法</w:t>
      </w:r>
    </w:p>
    <w:p>
      <w:pPr>
        <w:pStyle w:val="Style1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低值易耗品和包装物采用一次转销法。</w:t>
      </w:r>
    </w:p>
    <w:p>
      <w:pPr>
        <w:pStyle w:val="Style32"/>
        <w:keepNext/>
        <w:keepLines/>
        <w:widowControl w:val="0"/>
        <w:shd w:val="clear" w:color="auto" w:fill="auto"/>
        <w:tabs>
          <w:tab w:pos="518" w:val="left"/>
        </w:tabs>
        <w:bidi w:val="0"/>
        <w:spacing w:before="0" w:after="200" w:line="326"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917"/>
      <w:bookmarkEnd w:id="918"/>
      <w:bookmarkEnd w:id="920"/>
    </w:p>
    <w:p>
      <w:pPr>
        <w:pStyle w:val="Style1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本公司已向客户转让商品而有权收取对价的权利，且该权利取决于时间流逝之外的其他因素的，确认 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18"/>
        <w:keepNext w:val="0"/>
        <w:keepLines w:val="0"/>
        <w:widowControl w:val="0"/>
        <w:shd w:val="clear" w:color="auto" w:fill="auto"/>
        <w:bidi w:val="0"/>
        <w:spacing w:before="0" w:after="380" w:line="317" w:lineRule="exact"/>
        <w:ind w:left="0" w:right="0" w:firstLine="420"/>
        <w:jc w:val="both"/>
      </w:pPr>
      <w:r>
        <w:rPr>
          <w:color w:val="000000"/>
          <w:spacing w:val="0"/>
          <w:w w:val="100"/>
          <w:position w:val="0"/>
        </w:rPr>
        <w:t>本公司对合同资产的预期信用损失的确定方法及会计处理方法详见本附注</w:t>
      </w:r>
      <w:r>
        <w:rPr>
          <w:rFonts w:ascii="Times New Roman" w:eastAsia="Times New Roman" w:hAnsi="Times New Roman" w:cs="Times New Roman"/>
          <w:color w:val="000000"/>
          <w:spacing w:val="0"/>
          <w:w w:val="100"/>
          <w:position w:val="0"/>
        </w:rPr>
        <w:t>8</w:t>
      </w:r>
      <w:r>
        <w:rPr>
          <w:color w:val="000000"/>
          <w:spacing w:val="0"/>
          <w:w w:val="100"/>
          <w:position w:val="0"/>
        </w:rPr>
        <w:t>之</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2"/>
        <w:keepNext/>
        <w:keepLines/>
        <w:widowControl w:val="0"/>
        <w:shd w:val="clear" w:color="auto" w:fill="auto"/>
        <w:tabs>
          <w:tab w:pos="518" w:val="left"/>
        </w:tabs>
        <w:bidi w:val="0"/>
        <w:spacing w:before="0" w:after="300" w:line="326"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921"/>
      <w:bookmarkEnd w:id="922"/>
      <w:bookmarkEnd w:id="924"/>
    </w:p>
    <w:p>
      <w:pPr>
        <w:pStyle w:val="Style32"/>
        <w:keepNext/>
        <w:keepLines/>
        <w:widowControl w:val="0"/>
        <w:numPr>
          <w:ilvl w:val="0"/>
          <w:numId w:val="39"/>
        </w:numPr>
        <w:shd w:val="clear" w:color="auto" w:fill="auto"/>
        <w:tabs>
          <w:tab w:pos="754" w:val="left"/>
        </w:tabs>
        <w:bidi w:val="0"/>
        <w:spacing w:before="0" w:after="0" w:line="326" w:lineRule="auto"/>
        <w:ind w:left="0" w:right="0" w:firstLine="420"/>
        <w:jc w:val="both"/>
      </w:pPr>
      <w:bookmarkStart w:id="921" w:name="bookmark921"/>
      <w:bookmarkStart w:id="922" w:name="bookmark922"/>
      <w:bookmarkStart w:id="925" w:name="bookmark925"/>
      <w:bookmarkEnd w:id="925"/>
      <w:r>
        <w:rPr>
          <w:color w:val="000000"/>
          <w:spacing w:val="0"/>
          <w:w w:val="100"/>
          <w:position w:val="0"/>
        </w:rPr>
        <w:t>合同履约成本</w:t>
      </w:r>
      <w:bookmarkEnd w:id="921"/>
      <w:bookmarkEnd w:id="922"/>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18"/>
        <w:keepNext w:val="0"/>
        <w:keepLines w:val="0"/>
        <w:widowControl w:val="0"/>
        <w:shd w:val="clear" w:color="auto" w:fill="auto"/>
        <w:bidi w:val="0"/>
        <w:spacing w:before="0" w:after="0" w:line="313" w:lineRule="exact"/>
        <w:ind w:left="0" w:right="0" w:firstLine="42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 该成本与一份当前或预期取得的合同直接相关，包括直接人工、直接材料、制造费用（或类似 费用）、明确由客户承担的成本以及仅因该合同而发生的其他成本；</w:t>
      </w:r>
    </w:p>
    <w:p>
      <w:pPr>
        <w:pStyle w:val="Style18"/>
        <w:keepNext w:val="0"/>
        <w:keepLines w:val="0"/>
        <w:widowControl w:val="0"/>
        <w:shd w:val="clear" w:color="auto" w:fill="auto"/>
        <w:tabs>
          <w:tab w:pos="908" w:val="left"/>
        </w:tabs>
        <w:bidi w:val="0"/>
        <w:spacing w:before="0" w:after="0" w:line="313" w:lineRule="exact"/>
        <w:ind w:left="0" w:right="0" w:firstLine="42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18"/>
        <w:keepNext w:val="0"/>
        <w:keepLines w:val="0"/>
        <w:widowControl w:val="0"/>
        <w:shd w:val="clear" w:color="auto" w:fill="auto"/>
        <w:tabs>
          <w:tab w:pos="908" w:val="left"/>
        </w:tabs>
        <w:bidi w:val="0"/>
        <w:spacing w:before="0" w:after="0" w:line="313" w:lineRule="exact"/>
        <w:ind w:left="0" w:right="0" w:firstLine="42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18"/>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该资产根据其初始确认时摊销期限是否超过一个正常营业周期在存货或其他非流动资产中列报。</w:t>
      </w:r>
    </w:p>
    <w:p>
      <w:pPr>
        <w:pStyle w:val="Style18"/>
        <w:keepNext w:val="0"/>
        <w:keepLines w:val="0"/>
        <w:widowControl w:val="0"/>
        <w:numPr>
          <w:ilvl w:val="0"/>
          <w:numId w:val="39"/>
        </w:numPr>
        <w:shd w:val="clear" w:color="auto" w:fill="auto"/>
        <w:tabs>
          <w:tab w:pos="724" w:val="left"/>
        </w:tabs>
        <w:bidi w:val="0"/>
        <w:spacing w:before="0" w:after="0" w:line="326" w:lineRule="auto"/>
        <w:ind w:left="0" w:right="0" w:firstLine="380"/>
        <w:jc w:val="both"/>
      </w:pPr>
      <w:bookmarkStart w:id="929" w:name="bookmark929"/>
      <w:bookmarkEnd w:id="929"/>
      <w:r>
        <w:rPr>
          <w:b/>
          <w:bCs/>
          <w:color w:val="000000"/>
          <w:spacing w:val="0"/>
          <w:w w:val="100"/>
          <w:position w:val="0"/>
        </w:rPr>
        <w:t>合同取得成本</w:t>
      </w:r>
    </w:p>
    <w:p>
      <w:pPr>
        <w:pStyle w:val="Style18"/>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18"/>
        <w:keepNext w:val="0"/>
        <w:keepLines w:val="0"/>
        <w:widowControl w:val="0"/>
        <w:numPr>
          <w:ilvl w:val="0"/>
          <w:numId w:val="39"/>
        </w:numPr>
        <w:shd w:val="clear" w:color="auto" w:fill="auto"/>
        <w:tabs>
          <w:tab w:pos="764" w:val="left"/>
        </w:tabs>
        <w:bidi w:val="0"/>
        <w:spacing w:before="0" w:after="0" w:line="326" w:lineRule="auto"/>
        <w:ind w:left="0" w:right="0" w:firstLine="420"/>
        <w:jc w:val="both"/>
      </w:pPr>
      <w:bookmarkStart w:id="930" w:name="bookmark930"/>
      <w:bookmarkEnd w:id="930"/>
      <w:r>
        <w:rPr>
          <w:b/>
          <w:bCs/>
          <w:color w:val="000000"/>
          <w:spacing w:val="0"/>
          <w:w w:val="100"/>
          <w:position w:val="0"/>
        </w:rPr>
        <w:t>合同成本摊销</w:t>
      </w:r>
    </w:p>
    <w:p>
      <w:pPr>
        <w:pStyle w:val="Style18"/>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18"/>
        <w:keepNext w:val="0"/>
        <w:keepLines w:val="0"/>
        <w:widowControl w:val="0"/>
        <w:numPr>
          <w:ilvl w:val="0"/>
          <w:numId w:val="39"/>
        </w:numPr>
        <w:shd w:val="clear" w:color="auto" w:fill="auto"/>
        <w:tabs>
          <w:tab w:pos="764" w:val="left"/>
        </w:tabs>
        <w:bidi w:val="0"/>
        <w:spacing w:before="0" w:after="0" w:line="326" w:lineRule="auto"/>
        <w:ind w:left="0" w:right="0" w:firstLine="420"/>
        <w:jc w:val="both"/>
      </w:pPr>
      <w:bookmarkStart w:id="931" w:name="bookmark931"/>
      <w:bookmarkEnd w:id="931"/>
      <w:r>
        <w:rPr>
          <w:b/>
          <w:bCs/>
          <w:color w:val="000000"/>
          <w:spacing w:val="0"/>
          <w:w w:val="100"/>
          <w:position w:val="0"/>
        </w:rPr>
        <w:t>合同成本减值</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18"/>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32"/>
        <w:keepNext/>
        <w:keepLines/>
        <w:widowControl w:val="0"/>
        <w:shd w:val="clear" w:color="auto" w:fill="auto"/>
        <w:bidi w:val="0"/>
        <w:spacing w:before="0" w:after="300" w:line="313" w:lineRule="exact"/>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932"/>
      <w:bookmarkEnd w:id="933"/>
      <w:bookmarkEnd w:id="935"/>
    </w:p>
    <w:p>
      <w:pPr>
        <w:pStyle w:val="Style32"/>
        <w:keepNext/>
        <w:keepLines/>
        <w:widowControl w:val="0"/>
        <w:numPr>
          <w:ilvl w:val="0"/>
          <w:numId w:val="41"/>
        </w:numPr>
        <w:shd w:val="clear" w:color="auto" w:fill="auto"/>
        <w:tabs>
          <w:tab w:pos="755" w:val="left"/>
        </w:tabs>
        <w:bidi w:val="0"/>
        <w:spacing w:before="0" w:after="0" w:line="313" w:lineRule="exact"/>
        <w:ind w:left="0" w:right="0" w:firstLine="440"/>
        <w:jc w:val="both"/>
      </w:pPr>
      <w:bookmarkStart w:id="932" w:name="bookmark932"/>
      <w:bookmarkStart w:id="933" w:name="bookmark933"/>
      <w:bookmarkStart w:id="936" w:name="bookmark936"/>
      <w:bookmarkEnd w:id="936"/>
      <w:r>
        <w:rPr>
          <w:color w:val="000000"/>
          <w:spacing w:val="0"/>
          <w:w w:val="100"/>
          <w:position w:val="0"/>
        </w:rPr>
        <w:t>初始投资成本的确定</w:t>
      </w:r>
      <w:bookmarkEnd w:id="932"/>
      <w:bookmarkEnd w:id="933"/>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通过债务重组取得的长期股权投资，其初始投资成本按照公允价值为基础确定。</w:t>
      </w:r>
    </w:p>
    <w:p>
      <w:pPr>
        <w:pStyle w:val="Style18"/>
        <w:keepNext w:val="0"/>
        <w:keepLines w:val="0"/>
        <w:widowControl w:val="0"/>
        <w:numPr>
          <w:ilvl w:val="0"/>
          <w:numId w:val="41"/>
        </w:numPr>
        <w:shd w:val="clear" w:color="auto" w:fill="auto"/>
        <w:tabs>
          <w:tab w:pos="765" w:val="left"/>
        </w:tabs>
        <w:bidi w:val="0"/>
        <w:spacing w:before="0" w:after="0" w:line="313" w:lineRule="exact"/>
        <w:ind w:left="0" w:right="0" w:firstLine="440"/>
        <w:jc w:val="both"/>
      </w:pPr>
      <w:bookmarkStart w:id="937" w:name="bookmark937"/>
      <w:bookmarkEnd w:id="937"/>
      <w:r>
        <w:rPr>
          <w:b/>
          <w:bCs/>
          <w:color w:val="000000"/>
          <w:spacing w:val="0"/>
          <w:w w:val="100"/>
          <w:position w:val="0"/>
        </w:rPr>
        <w:t>后续计量及损益确认</w:t>
      </w:r>
    </w:p>
    <w:p>
      <w:pPr>
        <w:pStyle w:val="Style18"/>
        <w:keepNext w:val="0"/>
        <w:keepLines w:val="0"/>
        <w:widowControl w:val="0"/>
        <w:shd w:val="clear" w:color="auto" w:fill="auto"/>
        <w:tabs>
          <w:tab w:pos="909" w:val="left"/>
        </w:tabs>
        <w:bidi w:val="0"/>
        <w:spacing w:before="0" w:after="0" w:line="313" w:lineRule="exact"/>
        <w:ind w:left="0" w:right="0" w:firstLine="4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18"/>
        <w:keepNext w:val="0"/>
        <w:keepLines w:val="0"/>
        <w:widowControl w:val="0"/>
        <w:shd w:val="clear" w:color="auto" w:fill="auto"/>
        <w:tabs>
          <w:tab w:pos="909" w:val="left"/>
        </w:tabs>
        <w:bidi w:val="0"/>
        <w:spacing w:before="0" w:after="0" w:line="313"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18"/>
        <w:keepNext w:val="0"/>
        <w:keepLines w:val="0"/>
        <w:widowControl w:val="0"/>
        <w:numPr>
          <w:ilvl w:val="0"/>
          <w:numId w:val="41"/>
        </w:numPr>
        <w:shd w:val="clear" w:color="auto" w:fill="auto"/>
        <w:tabs>
          <w:tab w:pos="765" w:val="left"/>
        </w:tabs>
        <w:bidi w:val="0"/>
        <w:spacing w:before="0" w:after="0" w:line="313" w:lineRule="exact"/>
        <w:ind w:left="0" w:right="0" w:firstLine="440"/>
        <w:jc w:val="both"/>
      </w:pPr>
      <w:bookmarkStart w:id="940" w:name="bookmark940"/>
      <w:bookmarkEnd w:id="940"/>
      <w:r>
        <w:rPr>
          <w:b/>
          <w:bCs/>
          <w:color w:val="000000"/>
          <w:spacing w:val="0"/>
          <w:w w:val="100"/>
          <w:position w:val="0"/>
        </w:rPr>
        <w:t>长期股权投资核算方法的转换</w:t>
      </w:r>
    </w:p>
    <w:p>
      <w:pPr>
        <w:pStyle w:val="Style18"/>
        <w:keepNext w:val="0"/>
        <w:keepLines w:val="0"/>
        <w:widowControl w:val="0"/>
        <w:shd w:val="clear" w:color="auto" w:fill="auto"/>
        <w:bidi w:val="0"/>
        <w:spacing w:before="0" w:after="0" w:line="313" w:lineRule="exact"/>
        <w:ind w:left="0" w:right="0" w:firstLine="32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）公允价值计量转权益法核算</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号——金融工具确认和计量》确定的原持有的股权投资的公允价值加上新增 </w:t>
      </w:r>
      <w:r>
        <w:rPr>
          <w:color w:val="000000"/>
          <w:spacing w:val="0"/>
          <w:w w:val="100"/>
          <w:position w:val="0"/>
        </w:rPr>
        <w:t>投资成本之和，作为改按权益法核算的初始投资成本。</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18"/>
        <w:keepNext w:val="0"/>
        <w:keepLines w:val="0"/>
        <w:widowControl w:val="0"/>
        <w:shd w:val="clear" w:color="auto" w:fill="auto"/>
        <w:tabs>
          <w:tab w:pos="827" w:val="left"/>
        </w:tabs>
        <w:bidi w:val="0"/>
        <w:spacing w:before="0" w:after="0" w:line="313" w:lineRule="exact"/>
        <w:ind w:left="0" w:right="0" w:firstLine="3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18"/>
        <w:keepNext w:val="0"/>
        <w:keepLines w:val="0"/>
        <w:widowControl w:val="0"/>
        <w:shd w:val="clear" w:color="auto" w:fill="auto"/>
        <w:bidi w:val="0"/>
        <w:spacing w:before="0" w:after="0" w:line="278"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 计处理的，原计入其他综合收益的累计公允价值变动在改按成本法核算时转入当期损益。</w:t>
      </w:r>
    </w:p>
    <w:p>
      <w:pPr>
        <w:pStyle w:val="Style18"/>
        <w:keepNext w:val="0"/>
        <w:keepLines w:val="0"/>
        <w:widowControl w:val="0"/>
        <w:shd w:val="clear" w:color="auto" w:fill="auto"/>
        <w:tabs>
          <w:tab w:pos="827" w:val="left"/>
        </w:tabs>
        <w:bidi w:val="0"/>
        <w:spacing w:before="0" w:after="0" w:line="313" w:lineRule="exact"/>
        <w:ind w:left="0" w:right="0" w:firstLine="34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18"/>
        <w:keepNext w:val="0"/>
        <w:keepLines w:val="0"/>
        <w:widowControl w:val="0"/>
        <w:shd w:val="clear" w:color="auto" w:fill="auto"/>
        <w:tabs>
          <w:tab w:pos="827" w:val="left"/>
        </w:tabs>
        <w:bidi w:val="0"/>
        <w:spacing w:before="0" w:after="0" w:line="313" w:lineRule="exact"/>
        <w:ind w:left="0" w:right="0" w:firstLine="3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18"/>
        <w:keepNext w:val="0"/>
        <w:keepLines w:val="0"/>
        <w:widowControl w:val="0"/>
        <w:shd w:val="clear" w:color="auto" w:fill="auto"/>
        <w:tabs>
          <w:tab w:pos="827" w:val="left"/>
        </w:tabs>
        <w:bidi w:val="0"/>
        <w:spacing w:before="0" w:after="0" w:line="313" w:lineRule="exact"/>
        <w:ind w:left="0" w:right="0" w:firstLine="34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w:t>
      </w:r>
    </w:p>
    <w:p>
      <w:pPr>
        <w:pStyle w:val="Style1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18"/>
        <w:keepNext w:val="0"/>
        <w:keepLines w:val="0"/>
        <w:widowControl w:val="0"/>
        <w:numPr>
          <w:ilvl w:val="0"/>
          <w:numId w:val="41"/>
        </w:numPr>
        <w:shd w:val="clear" w:color="auto" w:fill="auto"/>
        <w:bidi w:val="0"/>
        <w:spacing w:before="0" w:after="0" w:line="326" w:lineRule="auto"/>
        <w:ind w:left="0" w:right="0" w:firstLine="420"/>
        <w:jc w:val="left"/>
      </w:pPr>
      <w:bookmarkStart w:id="946" w:name="bookmark946"/>
      <w:bookmarkEnd w:id="946"/>
      <w:r>
        <w:rPr>
          <w:b/>
          <w:bCs/>
          <w:color w:val="000000"/>
          <w:spacing w:val="0"/>
          <w:w w:val="100"/>
          <w:position w:val="0"/>
        </w:rPr>
        <w:t>长期股权投资的处置</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18"/>
        <w:keepNext w:val="0"/>
        <w:keepLines w:val="0"/>
        <w:widowControl w:val="0"/>
        <w:shd w:val="clear" w:color="auto" w:fill="auto"/>
        <w:tabs>
          <w:tab w:pos="827" w:val="left"/>
        </w:tabs>
        <w:bidi w:val="0"/>
        <w:spacing w:before="0" w:after="0" w:line="313" w:lineRule="exact"/>
        <w:ind w:left="0" w:right="0" w:firstLine="3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18"/>
        <w:keepNext w:val="0"/>
        <w:keepLines w:val="0"/>
        <w:widowControl w:val="0"/>
        <w:shd w:val="clear" w:color="auto" w:fill="auto"/>
        <w:tabs>
          <w:tab w:pos="827" w:val="left"/>
        </w:tabs>
        <w:bidi w:val="0"/>
        <w:spacing w:before="0" w:after="80" w:line="313" w:lineRule="exact"/>
        <w:ind w:left="0" w:right="0" w:firstLine="3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18"/>
        <w:keepNext w:val="0"/>
        <w:keepLines w:val="0"/>
        <w:widowControl w:val="0"/>
        <w:shd w:val="clear" w:color="auto" w:fill="auto"/>
        <w:tabs>
          <w:tab w:pos="907" w:val="left"/>
        </w:tabs>
        <w:bidi w:val="0"/>
        <w:spacing w:before="0" w:after="0" w:line="326" w:lineRule="auto"/>
        <w:ind w:left="0" w:right="0" w:firstLine="420"/>
        <w:jc w:val="left"/>
      </w:pPr>
      <w:bookmarkStart w:id="949" w:name="bookmark949"/>
      <w:r>
        <w:rPr>
          <w:rFonts w:ascii="Times New Roman" w:eastAsia="Times New Roman" w:hAnsi="Times New Roman" w:cs="Times New Roman"/>
          <w:color w:val="000000"/>
          <w:spacing w:val="0"/>
          <w:w w:val="100"/>
          <w:position w:val="0"/>
        </w:rPr>
        <w:t>（</w:t>
      </w:r>
      <w:bookmarkEnd w:id="949"/>
      <w:r>
        <w:rPr>
          <w:rFonts w:ascii="Times New Roman" w:eastAsia="Times New Roman" w:hAnsi="Times New Roman" w:cs="Times New Roman"/>
          <w:color w:val="000000"/>
          <w:spacing w:val="0"/>
          <w:w w:val="100"/>
          <w:position w:val="0"/>
        </w:rPr>
        <w:t>3）</w:t>
        <w:tab/>
      </w:r>
      <w:r>
        <w:rPr>
          <w:color w:val="000000"/>
          <w:spacing w:val="0"/>
          <w:w w:val="100"/>
          <w:position w:val="0"/>
        </w:rPr>
        <w:t>一项交易的发生取决于其他至少一项交易的发生；</w:t>
      </w:r>
    </w:p>
    <w:p>
      <w:pPr>
        <w:pStyle w:val="Style18"/>
        <w:keepNext w:val="0"/>
        <w:keepLines w:val="0"/>
        <w:widowControl w:val="0"/>
        <w:shd w:val="clear" w:color="auto" w:fill="auto"/>
        <w:tabs>
          <w:tab w:pos="849" w:val="left"/>
        </w:tabs>
        <w:bidi w:val="0"/>
        <w:spacing w:before="0" w:after="0" w:line="326" w:lineRule="auto"/>
        <w:ind w:left="0" w:right="0" w:firstLine="420"/>
        <w:jc w:val="left"/>
      </w:pPr>
      <w:bookmarkStart w:id="950" w:name="bookmark950"/>
      <w:r>
        <w:rPr>
          <w:rFonts w:ascii="Times New Roman" w:eastAsia="Times New Roman" w:hAnsi="Times New Roman" w:cs="Times New Roman"/>
          <w:color w:val="000000"/>
          <w:spacing w:val="0"/>
          <w:w w:val="100"/>
          <w:position w:val="0"/>
        </w:rPr>
        <w:t>（</w:t>
      </w:r>
      <w:bookmarkEnd w:id="950"/>
      <w:r>
        <w:rPr>
          <w:rFonts w:ascii="Times New Roman" w:eastAsia="Times New Roman" w:hAnsi="Times New Roman" w:cs="Times New Roman"/>
          <w:color w:val="000000"/>
          <w:spacing w:val="0"/>
          <w:w w:val="100"/>
          <w:position w:val="0"/>
        </w:rPr>
        <w:t>4）</w:t>
        <w:tab/>
      </w:r>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18"/>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）在个别财务报表中，对于处置的股权，其账面价值与实际取得价款之间的差额计入当期损益。处 置后的剩余股权能够对被投资单位实施共同控制或施加重大影响的，改按权益法核算，并对该剩余股权视 同自取得时即采用权益法核算进行调整；处置后的剩余股权不能对被投资单位实施共同控制或施加重大影 </w:t>
      </w:r>
      <w:r>
        <w:rPr>
          <w:color w:val="000000"/>
          <w:spacing w:val="0"/>
          <w:w w:val="100"/>
          <w:position w:val="0"/>
        </w:rPr>
        <w:t>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号——金融工具确认和计量》的有关规定进行会计处理，其在丧失控制之 日的公允价值与账面价值间的差额计入当期损益。</w:t>
      </w:r>
    </w:p>
    <w:p>
      <w:pPr>
        <w:pStyle w:val="Style18"/>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）在合并财务报表中，对于在丧失对子公司控制权以前的各项交易，处置价款与处置长期股权投资 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18"/>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18"/>
        <w:keepNext w:val="0"/>
        <w:keepLines w:val="0"/>
        <w:widowControl w:val="0"/>
        <w:shd w:val="clear" w:color="auto" w:fill="auto"/>
        <w:tabs>
          <w:tab w:pos="866" w:val="left"/>
        </w:tabs>
        <w:bidi w:val="0"/>
        <w:spacing w:before="0" w:after="0" w:line="314" w:lineRule="exact"/>
        <w:ind w:left="0" w:right="0" w:firstLine="520"/>
        <w:jc w:val="both"/>
      </w:pPr>
      <w:bookmarkStart w:id="951" w:name="bookmark951"/>
      <w:r>
        <w:rPr>
          <w:rFonts w:ascii="Times New Roman" w:eastAsia="Times New Roman" w:hAnsi="Times New Roman" w:cs="Times New Roman"/>
          <w:color w:val="000000"/>
          <w:spacing w:val="0"/>
          <w:w w:val="100"/>
          <w:position w:val="0"/>
        </w:rPr>
        <w:t>1</w:t>
      </w:r>
      <w:bookmarkEnd w:id="951"/>
      <w:r>
        <w:rPr>
          <w:color w:val="000000"/>
          <w:spacing w:val="0"/>
          <w:w w:val="100"/>
          <w:position w:val="0"/>
        </w:rPr>
        <w:t>）</w:t>
        <w:tab/>
        <w:t>在个别财务报表中，在丧失控制权之前每一次处置价款与处置的股权对应的长期股权投资账面价 值之间的差额，确认为其他综合收益，在丧失控制权时一并转入丧失控制权当期的损益。</w:t>
      </w:r>
    </w:p>
    <w:p>
      <w:pPr>
        <w:pStyle w:val="Style18"/>
        <w:keepNext w:val="0"/>
        <w:keepLines w:val="0"/>
        <w:widowControl w:val="0"/>
        <w:shd w:val="clear" w:color="auto" w:fill="auto"/>
        <w:tabs>
          <w:tab w:pos="866" w:val="left"/>
        </w:tabs>
        <w:bidi w:val="0"/>
        <w:spacing w:before="0" w:after="0" w:line="314" w:lineRule="exact"/>
        <w:ind w:left="0" w:right="0" w:firstLine="520"/>
        <w:jc w:val="both"/>
      </w:pPr>
      <w:bookmarkStart w:id="952" w:name="bookmark952"/>
      <w:r>
        <w:rPr>
          <w:rFonts w:ascii="Times New Roman" w:eastAsia="Times New Roman" w:hAnsi="Times New Roman" w:cs="Times New Roman"/>
          <w:color w:val="000000"/>
          <w:spacing w:val="0"/>
          <w:w w:val="100"/>
          <w:position w:val="0"/>
        </w:rPr>
        <w:t>2</w:t>
      </w:r>
      <w:bookmarkEnd w:id="952"/>
      <w:r>
        <w:rPr>
          <w:color w:val="000000"/>
          <w:spacing w:val="0"/>
          <w:w w:val="100"/>
          <w:position w:val="0"/>
        </w:rPr>
        <w:t>）</w:t>
        <w:tab/>
        <w:t>在合并财务报表中，在丧失控制权之前每一次处置价款与处置投资对应的享有该子公司净资产份 额的差额，确认为其他综合收益，在丧失控制权时一并转入丧失控制权当期的损益。</w:t>
      </w:r>
    </w:p>
    <w:p>
      <w:pPr>
        <w:pStyle w:val="Style18"/>
        <w:keepNext w:val="0"/>
        <w:keepLines w:val="0"/>
        <w:widowControl w:val="0"/>
        <w:numPr>
          <w:ilvl w:val="0"/>
          <w:numId w:val="41"/>
        </w:numPr>
        <w:shd w:val="clear" w:color="auto" w:fill="auto"/>
        <w:bidi w:val="0"/>
        <w:spacing w:before="0" w:after="0" w:line="314" w:lineRule="exact"/>
        <w:ind w:left="0" w:right="0" w:firstLine="400"/>
        <w:jc w:val="both"/>
      </w:pPr>
      <w:bookmarkStart w:id="953" w:name="bookmark953"/>
      <w:bookmarkEnd w:id="953"/>
      <w:r>
        <w:rPr>
          <w:b/>
          <w:bCs/>
          <w:color w:val="000000"/>
          <w:spacing w:val="0"/>
          <w:w w:val="100"/>
          <w:position w:val="0"/>
        </w:rPr>
        <w:t>共同控制、重大影响的判断标准</w:t>
      </w:r>
    </w:p>
    <w:p>
      <w:pPr>
        <w:pStyle w:val="Style18"/>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18"/>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18"/>
        <w:keepNext w:val="0"/>
        <w:keepLines w:val="0"/>
        <w:widowControl w:val="0"/>
        <w:shd w:val="clear" w:color="auto" w:fill="auto"/>
        <w:bidi w:val="0"/>
        <w:spacing w:before="0" w:after="380" w:line="314" w:lineRule="exact"/>
        <w:ind w:left="0" w:right="0" w:firstLine="40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 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 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2"/>
        <w:keepNext/>
        <w:keepLines/>
        <w:widowControl w:val="0"/>
        <w:shd w:val="clear" w:color="auto" w:fill="auto"/>
        <w:tabs>
          <w:tab w:pos="444" w:val="left"/>
        </w:tabs>
        <w:bidi w:val="0"/>
        <w:spacing w:before="0" w:after="200" w:line="326"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bookmarkEnd w:id="956"/>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954"/>
      <w:bookmarkEnd w:id="955"/>
      <w:bookmarkEnd w:id="957"/>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44" w:val="left"/>
        </w:tabs>
        <w:bidi w:val="0"/>
        <w:spacing w:before="0" w:after="200" w:line="326"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958"/>
      <w:bookmarkEnd w:id="959"/>
      <w:bookmarkEnd w:id="961"/>
    </w:p>
    <w:p>
      <w:pPr>
        <w:pStyle w:val="Style37"/>
        <w:keepNext/>
        <w:keepLines/>
        <w:widowControl w:val="0"/>
        <w:shd w:val="clear" w:color="auto" w:fill="auto"/>
        <w:bidi w:val="0"/>
        <w:spacing w:before="0" w:after="260" w:line="314" w:lineRule="exact"/>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62"/>
      <w:bookmarkEnd w:id="963"/>
      <w:bookmarkEnd w:id="965"/>
    </w:p>
    <w:p>
      <w:pPr>
        <w:pStyle w:val="Style28"/>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8"/>
        <w:keepNext w:val="0"/>
        <w:keepLines w:val="0"/>
        <w:widowControl w:val="0"/>
        <w:shd w:val="clear" w:color="auto" w:fill="auto"/>
        <w:tabs>
          <w:tab w:pos="815" w:val="left"/>
        </w:tabs>
        <w:bidi w:val="0"/>
        <w:spacing w:before="0" w:after="0" w:line="313" w:lineRule="exact"/>
        <w:ind w:left="0" w:right="0" w:firstLine="40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28"/>
        <w:keepNext w:val="0"/>
        <w:keepLines w:val="0"/>
        <w:widowControl w:val="0"/>
        <w:shd w:val="clear" w:color="auto" w:fill="auto"/>
        <w:tabs>
          <w:tab w:pos="815" w:val="left"/>
        </w:tabs>
        <w:bidi w:val="0"/>
        <w:spacing w:before="0" w:after="0" w:line="313" w:lineRule="exact"/>
        <w:ind w:left="0" w:right="0" w:firstLine="40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28"/>
        <w:keepNext w:val="0"/>
        <w:keepLines w:val="0"/>
        <w:widowControl w:val="0"/>
        <w:shd w:val="clear" w:color="auto" w:fill="auto"/>
        <w:bidi w:val="0"/>
        <w:spacing w:before="0" w:after="360" w:line="310" w:lineRule="exact"/>
        <w:ind w:left="0" w:right="0" w:firstLine="400"/>
        <w:jc w:val="both"/>
      </w:pPr>
      <w:r>
        <w:rPr>
          <w:color w:val="000000"/>
          <w:spacing w:val="0"/>
          <w:w w:val="100"/>
          <w:position w:val="0"/>
        </w:rPr>
        <w:t>本公司固定资产按成本进行初始计量。（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）外购的固定资产的成本包括买价、进口关税等相关税费，以及为使固定资产 达到预定可使用状态前所发生的可直接归属于该资产的其他支出。（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）自行建造固定资产的成本，由建造该项资产达到预定 可使用状态前所发生的必要支出构成。（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）投资者投入的固定资产，按投资合同或协议约定的价值作为入账价值，但合同或 </w:t>
      </w:r>
      <w:r>
        <w:rPr>
          <w:color w:val="000000"/>
          <w:spacing w:val="0"/>
          <w:w w:val="100"/>
          <w:position w:val="0"/>
        </w:rPr>
        <w:t>协议约定价值不公允的按公允价值入账。（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）购买固定资产的价款超过正常信用条件延期支付，实质上具有融资性质的，固 定资产的成本以购买价款的现值为基础确定。实际支付的价款与购买价款的现值之间的差额，除应予资本化的以外，在信用 期间内计入当期损益。</w:t>
      </w:r>
    </w:p>
    <w:p>
      <w:pPr>
        <w:pStyle w:val="Style37"/>
        <w:keepNext/>
        <w:keepLines/>
        <w:widowControl w:val="0"/>
        <w:shd w:val="clear" w:color="auto" w:fill="auto"/>
        <w:bidi w:val="0"/>
        <w:spacing w:before="0" w:after="360" w:line="240" w:lineRule="auto"/>
        <w:ind w:left="0" w:right="0" w:firstLine="0"/>
        <w:jc w:val="both"/>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68"/>
      <w:bookmarkEnd w:id="969"/>
      <w:bookmarkEnd w:id="971"/>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12.50-20.00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bl>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固定资产折旧按其入账价值减去预计净残值后在预计使用寿命内计提。对计提了减值准备的固定资 产，则在未来期间按扣除减值准备后的账面价值及依据尚可使用年限确定折旧额；已提足折旧仍继续使用 的固定资产不计提折旧。</w:t>
      </w:r>
    </w:p>
    <w:p>
      <w:pPr>
        <w:pStyle w:val="Style18"/>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37"/>
        <w:keepNext/>
        <w:keepLines/>
        <w:widowControl w:val="0"/>
        <w:shd w:val="clear" w:color="auto" w:fill="auto"/>
        <w:bidi w:val="0"/>
        <w:spacing w:before="0" w:after="280" w:line="314" w:lineRule="exact"/>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72"/>
      <w:bookmarkEnd w:id="973"/>
      <w:bookmarkEnd w:id="975"/>
    </w:p>
    <w:p>
      <w:pPr>
        <w:pStyle w:val="Style28"/>
        <w:keepNext w:val="0"/>
        <w:keepLines w:val="0"/>
        <w:widowControl w:val="0"/>
        <w:shd w:val="clear" w:color="auto" w:fill="auto"/>
        <w:bidi w:val="0"/>
        <w:spacing w:before="0" w:after="0" w:line="331" w:lineRule="exact"/>
        <w:ind w:left="0" w:right="0"/>
        <w:jc w:val="both"/>
      </w:pPr>
      <w:r>
        <w:rPr>
          <w:color w:val="000000"/>
          <w:spacing w:val="0"/>
          <w:w w:val="100"/>
          <w:position w:val="0"/>
        </w:rPr>
        <w:t>当本公司租入的固定资产符合下列一项或数项标准时，确认为融资租入固定资产：</w:t>
      </w:r>
    </w:p>
    <w:p>
      <w:pPr>
        <w:pStyle w:val="Style28"/>
        <w:keepNext w:val="0"/>
        <w:keepLines w:val="0"/>
        <w:widowControl w:val="0"/>
        <w:shd w:val="clear" w:color="auto" w:fill="auto"/>
        <w:bidi w:val="0"/>
        <w:spacing w:before="0" w:after="0" w:line="331" w:lineRule="exact"/>
        <w:ind w:left="0" w:right="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在租赁期届满时，租赁资产的所有权转移给本公司。</w:t>
      </w:r>
    </w:p>
    <w:p>
      <w:pPr>
        <w:pStyle w:val="Style28"/>
        <w:keepNext w:val="0"/>
        <w:keepLines w:val="0"/>
        <w:widowControl w:val="0"/>
        <w:shd w:val="clear" w:color="auto" w:fill="auto"/>
        <w:tabs>
          <w:tab w:pos="901" w:val="left"/>
        </w:tabs>
        <w:bidi w:val="0"/>
        <w:spacing w:before="0" w:after="0" w:line="331" w:lineRule="exact"/>
        <w:ind w:left="0" w:right="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本公司有购买租赁资产的选择权，所订立的购买价款预计将远低于行使选择权时租赁资产的公允价值，因而在租 赁开始日就可以合理确定本公司将会行使这种选择权。</w:t>
      </w:r>
    </w:p>
    <w:p>
      <w:pPr>
        <w:pStyle w:val="Style28"/>
        <w:keepNext w:val="0"/>
        <w:keepLines w:val="0"/>
        <w:widowControl w:val="0"/>
        <w:shd w:val="clear" w:color="auto" w:fill="auto"/>
        <w:tabs>
          <w:tab w:pos="825" w:val="left"/>
        </w:tabs>
        <w:bidi w:val="0"/>
        <w:spacing w:before="0" w:after="0" w:line="331" w:lineRule="exact"/>
        <w:ind w:left="0" w:right="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即使资产的所有权不转移，但租赁期占租赁资产使用寿命的大部分。</w:t>
      </w:r>
    </w:p>
    <w:p>
      <w:pPr>
        <w:pStyle w:val="Style28"/>
        <w:keepNext w:val="0"/>
        <w:keepLines w:val="0"/>
        <w:widowControl w:val="0"/>
        <w:shd w:val="clear" w:color="auto" w:fill="auto"/>
        <w:tabs>
          <w:tab w:pos="825" w:val="left"/>
        </w:tabs>
        <w:bidi w:val="0"/>
        <w:spacing w:before="0" w:after="0" w:line="317" w:lineRule="exact"/>
        <w:ind w:left="0" w:right="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本公司在租赁开始日的最低租赁付款额现值，几乎相当于租赁开始日租赁资产公允价值。</w:t>
      </w:r>
    </w:p>
    <w:p>
      <w:pPr>
        <w:pStyle w:val="Style28"/>
        <w:keepNext w:val="0"/>
        <w:keepLines w:val="0"/>
        <w:widowControl w:val="0"/>
        <w:shd w:val="clear" w:color="auto" w:fill="auto"/>
        <w:tabs>
          <w:tab w:pos="825" w:val="left"/>
        </w:tabs>
        <w:bidi w:val="0"/>
        <w:spacing w:before="0" w:after="0" w:line="317" w:lineRule="exact"/>
        <w:ind w:left="0" w:right="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租赁资产性质特殊，如果不作较大改造，只有本公司才能使用。</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融资租赁租入的固定资产，按租赁开始日租赁资产公允价值与最低租赁付款额的现值两者中较低者，作为入账价值。最低租 赁付款额作为长期应付款的入账价值，其差额作为未确认融资费用。在租赁谈判和签订租赁合同过程中发生的，可归属于租 赁项目的手续费、律师费、差旅费、印花税等初始直接费用，计入租入资产价值。未确认融资费用在租赁期内各个期间采用 实际利率法进行分摊。</w:t>
      </w:r>
    </w:p>
    <w:p>
      <w:pPr>
        <w:pStyle w:val="Style28"/>
        <w:keepNext w:val="0"/>
        <w:keepLines w:val="0"/>
        <w:widowControl w:val="0"/>
        <w:shd w:val="clear" w:color="auto" w:fill="auto"/>
        <w:bidi w:val="0"/>
        <w:spacing w:before="0" w:after="360" w:line="317" w:lineRule="exact"/>
        <w:ind w:left="0" w:right="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32"/>
        <w:keepNext/>
        <w:keepLines/>
        <w:widowControl w:val="0"/>
        <w:shd w:val="clear" w:color="auto" w:fill="auto"/>
        <w:bidi w:val="0"/>
        <w:spacing w:before="0" w:after="280" w:line="329"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bookmarkEnd w:id="983"/>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981"/>
      <w:bookmarkEnd w:id="982"/>
      <w:bookmarkEnd w:id="984"/>
    </w:p>
    <w:p>
      <w:pPr>
        <w:pStyle w:val="Style32"/>
        <w:keepNext/>
        <w:keepLines/>
        <w:widowControl w:val="0"/>
        <w:numPr>
          <w:ilvl w:val="0"/>
          <w:numId w:val="43"/>
        </w:numPr>
        <w:shd w:val="clear" w:color="auto" w:fill="auto"/>
        <w:tabs>
          <w:tab w:pos="690" w:val="left"/>
        </w:tabs>
        <w:bidi w:val="0"/>
        <w:spacing w:before="0" w:after="0" w:line="329" w:lineRule="auto"/>
        <w:ind w:left="0" w:right="0" w:firstLine="360"/>
        <w:jc w:val="both"/>
      </w:pPr>
      <w:bookmarkStart w:id="981" w:name="bookmark981"/>
      <w:bookmarkStart w:id="982" w:name="bookmark982"/>
      <w:bookmarkStart w:id="985" w:name="bookmark985"/>
      <w:bookmarkEnd w:id="985"/>
      <w:r>
        <w:rPr>
          <w:color w:val="000000"/>
          <w:spacing w:val="0"/>
          <w:w w:val="100"/>
          <w:position w:val="0"/>
        </w:rPr>
        <w:t>在建工程初始计量</w:t>
      </w:r>
      <w:bookmarkEnd w:id="981"/>
      <w:bookmarkEnd w:id="982"/>
    </w:p>
    <w:p>
      <w:pPr>
        <w:pStyle w:val="Style18"/>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18"/>
        <w:keepNext w:val="0"/>
        <w:keepLines w:val="0"/>
        <w:widowControl w:val="0"/>
        <w:numPr>
          <w:ilvl w:val="0"/>
          <w:numId w:val="43"/>
        </w:numPr>
        <w:shd w:val="clear" w:color="auto" w:fill="auto"/>
        <w:tabs>
          <w:tab w:pos="699" w:val="left"/>
        </w:tabs>
        <w:bidi w:val="0"/>
        <w:spacing w:before="0" w:after="40" w:line="329" w:lineRule="auto"/>
        <w:ind w:left="0" w:right="0" w:firstLine="360"/>
        <w:jc w:val="both"/>
      </w:pPr>
      <w:bookmarkStart w:id="986" w:name="bookmark986"/>
      <w:bookmarkEnd w:id="986"/>
      <w:r>
        <w:rPr>
          <w:b/>
          <w:bCs/>
          <w:color w:val="000000"/>
          <w:spacing w:val="0"/>
          <w:w w:val="100"/>
          <w:position w:val="0"/>
        </w:rPr>
        <w:t>在建工程结转为固定资产的标准和时点</w:t>
      </w:r>
    </w:p>
    <w:p>
      <w:pPr>
        <w:pStyle w:val="Style18"/>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2"/>
        <w:keepNext/>
        <w:keepLines/>
        <w:widowControl w:val="0"/>
        <w:shd w:val="clear" w:color="auto" w:fill="auto"/>
        <w:tabs>
          <w:tab w:pos="493" w:val="left"/>
        </w:tabs>
        <w:bidi w:val="0"/>
        <w:spacing w:before="0" w:after="300" w:line="326"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1</w:t>
      </w:r>
      <w:bookmarkEnd w:id="989"/>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987"/>
      <w:bookmarkEnd w:id="988"/>
      <w:bookmarkEnd w:id="990"/>
    </w:p>
    <w:p>
      <w:pPr>
        <w:pStyle w:val="Style32"/>
        <w:keepNext/>
        <w:keepLines/>
        <w:widowControl w:val="0"/>
        <w:numPr>
          <w:ilvl w:val="0"/>
          <w:numId w:val="45"/>
        </w:numPr>
        <w:shd w:val="clear" w:color="auto" w:fill="auto"/>
        <w:tabs>
          <w:tab w:pos="710" w:val="left"/>
        </w:tabs>
        <w:bidi w:val="0"/>
        <w:spacing w:before="0" w:after="0" w:line="326" w:lineRule="auto"/>
        <w:ind w:left="0" w:right="0" w:firstLine="380"/>
        <w:jc w:val="both"/>
      </w:pPr>
      <w:bookmarkStart w:id="987" w:name="bookmark987"/>
      <w:bookmarkStart w:id="988" w:name="bookmark988"/>
      <w:bookmarkStart w:id="991" w:name="bookmark991"/>
      <w:bookmarkEnd w:id="991"/>
      <w:r>
        <w:rPr>
          <w:color w:val="000000"/>
          <w:spacing w:val="0"/>
          <w:w w:val="100"/>
          <w:position w:val="0"/>
        </w:rPr>
        <w:t>借款费用资本化的确认原则</w:t>
      </w:r>
      <w:bookmarkEnd w:id="987"/>
      <w:bookmarkEnd w:id="988"/>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借款费用同时满足下列条件时开始资本化：</w:t>
      </w:r>
    </w:p>
    <w:p>
      <w:pPr>
        <w:pStyle w:val="Style18"/>
        <w:keepNext w:val="0"/>
        <w:keepLines w:val="0"/>
        <w:widowControl w:val="0"/>
        <w:shd w:val="clear" w:color="auto" w:fill="auto"/>
        <w:tabs>
          <w:tab w:pos="1016" w:val="left"/>
        </w:tabs>
        <w:bidi w:val="0"/>
        <w:spacing w:before="0" w:after="0" w:line="314" w:lineRule="exact"/>
        <w:ind w:left="0" w:right="0" w:firstLine="42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18"/>
        <w:keepNext w:val="0"/>
        <w:keepLines w:val="0"/>
        <w:widowControl w:val="0"/>
        <w:shd w:val="clear" w:color="auto" w:fill="auto"/>
        <w:tabs>
          <w:tab w:pos="908" w:val="left"/>
        </w:tabs>
        <w:bidi w:val="0"/>
        <w:spacing w:before="0" w:after="0" w:line="314" w:lineRule="exact"/>
        <w:ind w:left="0" w:right="0" w:firstLine="42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18"/>
        <w:keepNext w:val="0"/>
        <w:keepLines w:val="0"/>
        <w:widowControl w:val="0"/>
        <w:shd w:val="clear" w:color="auto" w:fill="auto"/>
        <w:tabs>
          <w:tab w:pos="908" w:val="left"/>
        </w:tabs>
        <w:bidi w:val="0"/>
        <w:spacing w:before="0" w:after="80" w:line="314" w:lineRule="exact"/>
        <w:ind w:left="0" w:right="0" w:firstLine="42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18"/>
        <w:keepNext w:val="0"/>
        <w:keepLines w:val="0"/>
        <w:widowControl w:val="0"/>
        <w:numPr>
          <w:ilvl w:val="0"/>
          <w:numId w:val="45"/>
        </w:numPr>
        <w:shd w:val="clear" w:color="auto" w:fill="auto"/>
        <w:tabs>
          <w:tab w:pos="719" w:val="left"/>
        </w:tabs>
        <w:bidi w:val="0"/>
        <w:spacing w:before="0" w:after="0" w:line="326" w:lineRule="auto"/>
        <w:ind w:left="0" w:right="0" w:firstLine="380"/>
        <w:jc w:val="both"/>
      </w:pPr>
      <w:bookmarkStart w:id="995" w:name="bookmark995"/>
      <w:bookmarkEnd w:id="995"/>
      <w:r>
        <w:rPr>
          <w:b/>
          <w:bCs/>
          <w:color w:val="000000"/>
          <w:spacing w:val="0"/>
          <w:w w:val="100"/>
          <w:position w:val="0"/>
        </w:rPr>
        <w:t>借款费用资本化期间</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资本化期间，指从借款费用开始资本化时点到停止资本化时点的期间，借款费用暂停资本化的期间不 包括在内。</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当购建或者生产符合资本化条件的资产中部分项目分别完工且可单独使用时，该部分资产借款费用停 止资本化。</w:t>
      </w:r>
    </w:p>
    <w:p>
      <w:pPr>
        <w:pStyle w:val="Style18"/>
        <w:keepNext w:val="0"/>
        <w:keepLines w:val="0"/>
        <w:widowControl w:val="0"/>
        <w:shd w:val="clear" w:color="auto" w:fill="auto"/>
        <w:bidi w:val="0"/>
        <w:spacing w:before="0" w:after="80" w:line="314" w:lineRule="exact"/>
        <w:ind w:left="0" w:right="0" w:firstLine="42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18"/>
        <w:keepNext w:val="0"/>
        <w:keepLines w:val="0"/>
        <w:widowControl w:val="0"/>
        <w:numPr>
          <w:ilvl w:val="0"/>
          <w:numId w:val="45"/>
        </w:numPr>
        <w:shd w:val="clear" w:color="auto" w:fill="auto"/>
        <w:tabs>
          <w:tab w:pos="719" w:val="left"/>
        </w:tabs>
        <w:bidi w:val="0"/>
        <w:spacing w:before="0" w:after="0" w:line="326" w:lineRule="auto"/>
        <w:ind w:left="0" w:right="0" w:firstLine="380"/>
        <w:jc w:val="both"/>
      </w:pPr>
      <w:bookmarkStart w:id="996" w:name="bookmark996"/>
      <w:bookmarkEnd w:id="996"/>
      <w:r>
        <w:rPr>
          <w:b/>
          <w:bCs/>
          <w:color w:val="000000"/>
          <w:spacing w:val="0"/>
          <w:w w:val="100"/>
          <w:position w:val="0"/>
        </w:rPr>
        <w:t>暂停资本化期间</w:t>
      </w:r>
    </w:p>
    <w:p>
      <w:pPr>
        <w:pStyle w:val="Style18"/>
        <w:keepNext w:val="0"/>
        <w:keepLines w:val="0"/>
        <w:widowControl w:val="0"/>
        <w:shd w:val="clear" w:color="auto" w:fill="auto"/>
        <w:bidi w:val="0"/>
        <w:spacing w:before="0" w:after="80" w:line="314"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8"/>
        <w:keepNext w:val="0"/>
        <w:keepLines w:val="0"/>
        <w:widowControl w:val="0"/>
        <w:numPr>
          <w:ilvl w:val="0"/>
          <w:numId w:val="45"/>
        </w:numPr>
        <w:shd w:val="clear" w:color="auto" w:fill="auto"/>
        <w:tabs>
          <w:tab w:pos="719" w:val="left"/>
        </w:tabs>
        <w:bidi w:val="0"/>
        <w:spacing w:before="0" w:after="0" w:line="326" w:lineRule="auto"/>
        <w:ind w:left="0" w:right="0" w:firstLine="380"/>
        <w:jc w:val="both"/>
      </w:pPr>
      <w:bookmarkStart w:id="997" w:name="bookmark997"/>
      <w:bookmarkEnd w:id="997"/>
      <w:r>
        <w:rPr>
          <w:b/>
          <w:bCs/>
          <w:color w:val="000000"/>
          <w:spacing w:val="0"/>
          <w:w w:val="100"/>
          <w:position w:val="0"/>
        </w:rPr>
        <w:t>借款费用资本化金额的计算方法</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18"/>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根据累计资产支出超过专门借款部分的资产支出加权平均数（按每月月末平均）乘以所占用一般借款 的资本化率，计算确定一般借款应予资本化的利息金额。资本化率根据一般借款加权平均利率计算确定。</w:t>
      </w:r>
    </w:p>
    <w:p>
      <w:pPr>
        <w:pStyle w:val="Style18"/>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借款存在折价或者溢价的，按照实际利率法确定每一会计期间应摊销的折价或者溢价金额，调整每期 利息金额。</w:t>
      </w:r>
    </w:p>
    <w:p>
      <w:pPr>
        <w:pStyle w:val="Style32"/>
        <w:keepNext/>
        <w:keepLines/>
        <w:widowControl w:val="0"/>
        <w:shd w:val="clear" w:color="auto" w:fill="auto"/>
        <w:tabs>
          <w:tab w:pos="493" w:val="left"/>
        </w:tabs>
        <w:bidi w:val="0"/>
        <w:spacing w:before="0" w:after="200" w:line="326"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w:t>
        <w:tab/>
        <w:t>使用权资产</w:t>
      </w:r>
      <w:bookmarkEnd w:id="1001"/>
      <w:bookmarkEnd w:id="998"/>
      <w:bookmarkEnd w:id="999"/>
    </w:p>
    <w:p>
      <w:pPr>
        <w:pStyle w:val="Style18"/>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本公司对使用权资产按照成本进行初始计量，该成本包括：</w:t>
      </w:r>
    </w:p>
    <w:p>
      <w:pPr>
        <w:pStyle w:val="Style18"/>
        <w:keepNext w:val="0"/>
        <w:keepLines w:val="0"/>
        <w:widowControl w:val="0"/>
        <w:numPr>
          <w:ilvl w:val="0"/>
          <w:numId w:val="47"/>
        </w:numPr>
        <w:shd w:val="clear" w:color="auto" w:fill="auto"/>
        <w:tabs>
          <w:tab w:pos="675" w:val="left"/>
        </w:tabs>
        <w:bidi w:val="0"/>
        <w:spacing w:before="0" w:after="0" w:line="326" w:lineRule="auto"/>
        <w:ind w:left="0" w:right="0" w:firstLine="360"/>
        <w:jc w:val="both"/>
      </w:pPr>
      <w:bookmarkStart w:id="1002" w:name="bookmark1002"/>
      <w:bookmarkEnd w:id="1002"/>
      <w:r>
        <w:rPr>
          <w:color w:val="000000"/>
          <w:spacing w:val="0"/>
          <w:w w:val="100"/>
          <w:position w:val="0"/>
        </w:rPr>
        <w:t>租赁负债的初始计量金额；</w:t>
      </w:r>
    </w:p>
    <w:p>
      <w:pPr>
        <w:pStyle w:val="Style18"/>
        <w:keepNext w:val="0"/>
        <w:keepLines w:val="0"/>
        <w:widowControl w:val="0"/>
        <w:numPr>
          <w:ilvl w:val="0"/>
          <w:numId w:val="47"/>
        </w:numPr>
        <w:shd w:val="clear" w:color="auto" w:fill="auto"/>
        <w:bidi w:val="0"/>
        <w:spacing w:before="0" w:after="80" w:line="326" w:lineRule="auto"/>
        <w:ind w:left="0" w:right="0" w:firstLine="360"/>
        <w:jc w:val="both"/>
      </w:pPr>
      <w:bookmarkStart w:id="1003" w:name="bookmark1003"/>
      <w:bookmarkEnd w:id="1003"/>
      <w:r>
        <w:rPr>
          <w:rFonts w:ascii="Times New Roman" w:eastAsia="Times New Roman" w:hAnsi="Times New Roman" w:cs="Times New Roman"/>
          <w:color w:val="000000"/>
          <w:spacing w:val="0"/>
          <w:w w:val="100"/>
          <w:position w:val="0"/>
        </w:rPr>
        <w:t xml:space="preserve"> </w:t>
      </w:r>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numPr>
          <w:ilvl w:val="0"/>
          <w:numId w:val="47"/>
        </w:numPr>
        <w:shd w:val="clear" w:color="auto" w:fill="auto"/>
        <w:tabs>
          <w:tab w:pos="674" w:val="left"/>
        </w:tabs>
        <w:bidi w:val="0"/>
        <w:spacing w:before="0" w:after="0" w:line="316" w:lineRule="exact"/>
        <w:ind w:left="0" w:right="0" w:firstLine="340"/>
        <w:jc w:val="both"/>
      </w:pPr>
      <w:bookmarkStart w:id="1004" w:name="bookmark1004"/>
      <w:bookmarkEnd w:id="1004"/>
      <w:r>
        <w:rPr>
          <w:color w:val="000000"/>
          <w:spacing w:val="0"/>
          <w:w w:val="100"/>
          <w:position w:val="0"/>
        </w:rPr>
        <w:t>本公司发生的初始直接费用；</w:t>
      </w:r>
    </w:p>
    <w:p>
      <w:pPr>
        <w:pStyle w:val="Style18"/>
        <w:keepNext w:val="0"/>
        <w:keepLines w:val="0"/>
        <w:widowControl w:val="0"/>
        <w:numPr>
          <w:ilvl w:val="0"/>
          <w:numId w:val="47"/>
        </w:numPr>
        <w:shd w:val="clear" w:color="auto" w:fill="auto"/>
        <w:tabs>
          <w:tab w:pos="670" w:val="left"/>
        </w:tabs>
        <w:bidi w:val="0"/>
        <w:spacing w:before="0" w:after="0" w:line="316" w:lineRule="exact"/>
        <w:ind w:left="0" w:right="0" w:firstLine="340"/>
        <w:jc w:val="both"/>
      </w:pPr>
      <w:bookmarkStart w:id="1005" w:name="bookmark1005"/>
      <w:bookmarkEnd w:id="1005"/>
      <w:r>
        <w:rPr>
          <w:color w:val="000000"/>
          <w:spacing w:val="0"/>
          <w:w w:val="100"/>
          <w:position w:val="0"/>
        </w:rPr>
        <w:t>本公司为拆卸及移除租赁资产、复原租赁资产所在场地或将租赁资产恢复至租赁条款约定状态预计将 发生的成本（不包括为生产存货而发生的成本）。</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在租赁期开始日后，本公司采用成本模式对使用权资产进行后续计量。</w:t>
      </w:r>
    </w:p>
    <w:p>
      <w:pPr>
        <w:pStyle w:val="Style18"/>
        <w:keepNext w:val="0"/>
        <w:keepLines w:val="0"/>
        <w:widowControl w:val="0"/>
        <w:shd w:val="clear" w:color="auto" w:fill="auto"/>
        <w:bidi w:val="0"/>
        <w:spacing w:before="0" w:after="300" w:line="316" w:lineRule="exact"/>
        <w:ind w:left="0" w:right="0" w:firstLine="440"/>
        <w:jc w:val="both"/>
      </w:pPr>
      <w:r>
        <w:rPr>
          <w:color w:val="000000"/>
          <w:spacing w:val="0"/>
          <w:w w:val="100"/>
          <w:position w:val="0"/>
        </w:rPr>
        <w:t>能够合理确定租赁期届满时取得租赁资产所有权的，本公司在租赁资产剩余使用寿命内计提折旧。无 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32"/>
        <w:keepNext/>
        <w:keepLines/>
        <w:widowControl w:val="0"/>
        <w:shd w:val="clear" w:color="auto" w:fill="auto"/>
        <w:bidi w:val="0"/>
        <w:spacing w:before="0" w:after="300" w:line="312" w:lineRule="exact"/>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006"/>
      <w:bookmarkEnd w:id="1007"/>
      <w:bookmarkEnd w:id="1009"/>
    </w:p>
    <w:p>
      <w:pPr>
        <w:pStyle w:val="Style37"/>
        <w:keepNext/>
        <w:keepLines/>
        <w:widowControl w:val="0"/>
        <w:shd w:val="clear" w:color="auto" w:fill="auto"/>
        <w:bidi w:val="0"/>
        <w:spacing w:before="0" w:after="300" w:line="312" w:lineRule="exact"/>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10"/>
      <w:bookmarkEnd w:id="1011"/>
      <w:bookmarkEnd w:id="1013"/>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无形资产是指本公司拥有或者控制的没有实物形态的可辨认非货币性资产，包括软件、专利权及非专 利技术等。</w:t>
      </w:r>
    </w:p>
    <w:p>
      <w:pPr>
        <w:pStyle w:val="Style18"/>
        <w:keepNext w:val="0"/>
        <w:keepLines w:val="0"/>
        <w:widowControl w:val="0"/>
        <w:numPr>
          <w:ilvl w:val="0"/>
          <w:numId w:val="49"/>
        </w:numPr>
        <w:shd w:val="clear" w:color="auto" w:fill="auto"/>
        <w:tabs>
          <w:tab w:pos="710" w:val="left"/>
        </w:tabs>
        <w:bidi w:val="0"/>
        <w:spacing w:before="0" w:after="0" w:line="312" w:lineRule="exact"/>
        <w:ind w:left="0" w:right="0" w:firstLine="380"/>
        <w:jc w:val="both"/>
      </w:pPr>
      <w:bookmarkStart w:id="1014" w:name="bookmark1014"/>
      <w:bookmarkEnd w:id="1014"/>
      <w:r>
        <w:rPr>
          <w:b/>
          <w:bCs/>
          <w:color w:val="000000"/>
          <w:spacing w:val="0"/>
          <w:w w:val="100"/>
          <w:position w:val="0"/>
        </w:rPr>
        <w:t>无形资产的初始计量</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18"/>
        <w:keepNext w:val="0"/>
        <w:keepLines w:val="0"/>
        <w:widowControl w:val="0"/>
        <w:numPr>
          <w:ilvl w:val="0"/>
          <w:numId w:val="49"/>
        </w:numPr>
        <w:shd w:val="clear" w:color="auto" w:fill="auto"/>
        <w:tabs>
          <w:tab w:pos="719" w:val="left"/>
        </w:tabs>
        <w:bidi w:val="0"/>
        <w:spacing w:before="0" w:after="0" w:line="312" w:lineRule="exact"/>
        <w:ind w:left="0" w:right="0" w:firstLine="380"/>
        <w:jc w:val="both"/>
      </w:pPr>
      <w:bookmarkStart w:id="1015" w:name="bookmark1015"/>
      <w:bookmarkEnd w:id="1015"/>
      <w:r>
        <w:rPr>
          <w:b/>
          <w:bCs/>
          <w:color w:val="000000"/>
          <w:spacing w:val="0"/>
          <w:w w:val="100"/>
          <w:position w:val="0"/>
        </w:rPr>
        <w:t>无形资产的后续计量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本公司在取得无形资产时分析判断其使用寿命，划分为使用寿命有限和使用寿命不确定的无形资产。</w:t>
      </w:r>
    </w:p>
    <w:p>
      <w:pPr>
        <w:pStyle w:val="Style18"/>
        <w:keepNext w:val="0"/>
        <w:keepLines w:val="0"/>
        <w:widowControl w:val="0"/>
        <w:shd w:val="clear" w:color="auto" w:fill="auto"/>
        <w:bidi w:val="0"/>
        <w:spacing w:before="0" w:after="0" w:line="312" w:lineRule="exact"/>
        <w:ind w:left="0" w:right="0" w:firstLine="34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2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center"/>
        <w:tblLayout w:type="fixed"/>
      </w:tblPr>
      <w:tblGrid>
        <w:gridCol w:w="3226"/>
        <w:gridCol w:w="2150"/>
        <w:gridCol w:w="430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预期受益期限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预期受益期限</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预期受益期限</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每期末，对使用寿命有限的无形资产的使用寿命及摊销方法进行复核，如与原先估计数存在差异的，</w:t>
      </w:r>
    </w:p>
    <w:p>
      <w:pPr>
        <w:widowControl w:val="0"/>
        <w:spacing w:after="59" w:line="1" w:lineRule="exact"/>
      </w:pPr>
    </w:p>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进行相应的调整。</w:t>
      </w:r>
    </w:p>
    <w:p>
      <w:pPr>
        <w:pStyle w:val="Style18"/>
        <w:keepNext w:val="0"/>
        <w:keepLines w:val="0"/>
        <w:widowControl w:val="0"/>
        <w:shd w:val="clear" w:color="auto" w:fill="auto"/>
        <w:bidi w:val="0"/>
        <w:spacing w:before="0" w:after="60" w:line="240" w:lineRule="auto"/>
        <w:ind w:left="0" w:right="0" w:firstLine="380"/>
        <w:jc w:val="both"/>
      </w:pPr>
      <w:r>
        <w:rPr>
          <w:color w:val="000000"/>
          <w:spacing w:val="0"/>
          <w:w w:val="100"/>
          <w:position w:val="0"/>
        </w:rPr>
        <w:t>经复核，本期期末无形资产的使用寿命及摊销方法与以前估计未有不同。</w:t>
      </w:r>
    </w:p>
    <w:p>
      <w:pPr>
        <w:pStyle w:val="Style18"/>
        <w:keepNext w:val="0"/>
        <w:keepLines w:val="0"/>
        <w:widowControl w:val="0"/>
        <w:shd w:val="clear" w:color="auto" w:fill="auto"/>
        <w:bidi w:val="0"/>
        <w:spacing w:before="0" w:after="60" w:line="240" w:lineRule="auto"/>
        <w:ind w:left="0" w:right="0" w:firstLine="34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）使用寿命不确定的无形资产</w:t>
      </w:r>
    </w:p>
    <w:p>
      <w:pPr>
        <w:pStyle w:val="Style18"/>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 xml:space="preserve">无法预见无形资产为企业带来经济利益期限的，视为使用寿命不确定的无形资产。对于使用寿命不确 </w:t>
      </w:r>
      <w:r>
        <w:rPr>
          <w:color w:val="000000"/>
          <w:spacing w:val="0"/>
          <w:w w:val="100"/>
          <w:position w:val="0"/>
        </w:rPr>
        <w:t>定的无形资产，在持有期间内不摊销，每期末对无形资产的寿命进行复核。如果期末重新复核后仍为不确 定的，在每个会计期间继续进行减值测试。</w:t>
      </w:r>
    </w:p>
    <w:p>
      <w:pPr>
        <w:pStyle w:val="Style37"/>
        <w:keepNext/>
        <w:keepLines/>
        <w:widowControl w:val="0"/>
        <w:shd w:val="clear" w:color="auto" w:fill="auto"/>
        <w:bidi w:val="0"/>
        <w:spacing w:before="0" w:after="280" w:line="313" w:lineRule="exact"/>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18"/>
      <w:bookmarkEnd w:id="1019"/>
      <w:bookmarkEnd w:id="1021"/>
    </w:p>
    <w:p>
      <w:pPr>
        <w:pStyle w:val="Style37"/>
        <w:keepNext/>
        <w:keepLines/>
        <w:widowControl w:val="0"/>
        <w:numPr>
          <w:ilvl w:val="0"/>
          <w:numId w:val="51"/>
        </w:numPr>
        <w:shd w:val="clear" w:color="auto" w:fill="auto"/>
        <w:tabs>
          <w:tab w:pos="645" w:val="left"/>
        </w:tabs>
        <w:bidi w:val="0"/>
        <w:spacing w:before="0" w:after="0" w:line="322" w:lineRule="exact"/>
        <w:ind w:left="0" w:right="0" w:firstLine="320"/>
        <w:jc w:val="both"/>
      </w:pPr>
      <w:bookmarkStart w:id="1018" w:name="bookmark1018"/>
      <w:bookmarkStart w:id="1019" w:name="bookmark1019"/>
      <w:bookmarkStart w:id="1022" w:name="bookmark1022"/>
      <w:bookmarkEnd w:id="1022"/>
      <w:r>
        <w:rPr>
          <w:color w:val="000000"/>
          <w:spacing w:val="0"/>
          <w:w w:val="100"/>
          <w:position w:val="0"/>
        </w:rPr>
        <w:t>划分公司内部研究开发项目的研究阶段和开发阶段具体标准</w:t>
      </w:r>
      <w:bookmarkEnd w:id="1018"/>
      <w:bookmarkEnd w:id="1019"/>
    </w:p>
    <w:p>
      <w:pPr>
        <w:pStyle w:val="Style18"/>
        <w:keepNext w:val="0"/>
        <w:keepLines w:val="0"/>
        <w:widowControl w:val="0"/>
        <w:shd w:val="clear" w:color="auto" w:fill="auto"/>
        <w:bidi w:val="0"/>
        <w:spacing w:before="0" w:after="0" w:line="322" w:lineRule="exact"/>
        <w:ind w:left="0" w:right="0" w:firstLine="320"/>
        <w:jc w:val="both"/>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0" w:line="322" w:lineRule="exact"/>
        <w:ind w:left="0" w:right="0" w:firstLine="32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8"/>
        <w:keepNext w:val="0"/>
        <w:keepLines w:val="0"/>
        <w:widowControl w:val="0"/>
        <w:shd w:val="clear" w:color="auto" w:fill="auto"/>
        <w:bidi w:val="0"/>
        <w:spacing w:before="0" w:after="80" w:line="322" w:lineRule="exact"/>
        <w:ind w:left="0" w:right="0" w:firstLine="320"/>
        <w:jc w:val="both"/>
      </w:pPr>
      <w:r>
        <w:rPr>
          <w:color w:val="000000"/>
          <w:spacing w:val="0"/>
          <w:w w:val="100"/>
          <w:position w:val="0"/>
        </w:rPr>
        <w:t>内部研究开发项目研究阶段的支出，在发生时计入当期损益。</w:t>
      </w:r>
    </w:p>
    <w:p>
      <w:pPr>
        <w:pStyle w:val="Style18"/>
        <w:keepNext w:val="0"/>
        <w:keepLines w:val="0"/>
        <w:widowControl w:val="0"/>
        <w:numPr>
          <w:ilvl w:val="0"/>
          <w:numId w:val="51"/>
        </w:numPr>
        <w:shd w:val="clear" w:color="auto" w:fill="auto"/>
        <w:tabs>
          <w:tab w:pos="664" w:val="left"/>
        </w:tabs>
        <w:bidi w:val="0"/>
        <w:spacing w:before="0" w:after="0" w:line="336" w:lineRule="auto"/>
        <w:ind w:left="0" w:right="0" w:firstLine="320"/>
        <w:jc w:val="both"/>
      </w:pPr>
      <w:bookmarkStart w:id="1023" w:name="bookmark1023"/>
      <w:bookmarkEnd w:id="1023"/>
      <w:r>
        <w:rPr>
          <w:b/>
          <w:bCs/>
          <w:color w:val="000000"/>
          <w:spacing w:val="0"/>
          <w:w w:val="100"/>
          <w:position w:val="0"/>
        </w:rPr>
        <w:t>开发阶段支出符合资本化的具体标准</w:t>
      </w:r>
    </w:p>
    <w:p>
      <w:pPr>
        <w:pStyle w:val="Style18"/>
        <w:keepNext w:val="0"/>
        <w:keepLines w:val="0"/>
        <w:widowControl w:val="0"/>
        <w:shd w:val="clear" w:color="auto" w:fill="auto"/>
        <w:bidi w:val="0"/>
        <w:spacing w:before="0" w:after="0" w:line="322" w:lineRule="exact"/>
        <w:ind w:left="0" w:right="0" w:firstLine="320"/>
        <w:jc w:val="both"/>
      </w:pPr>
      <w:r>
        <w:rPr>
          <w:color w:val="000000"/>
          <w:spacing w:val="0"/>
          <w:w w:val="100"/>
          <w:position w:val="0"/>
        </w:rPr>
        <w:t>内部研究开发项目开发阶段的支出，同时满足下列条件时确认为无形资产：</w:t>
      </w:r>
    </w:p>
    <w:p>
      <w:pPr>
        <w:pStyle w:val="Style18"/>
        <w:keepNext w:val="0"/>
        <w:keepLines w:val="0"/>
        <w:widowControl w:val="0"/>
        <w:shd w:val="clear" w:color="auto" w:fill="auto"/>
        <w:tabs>
          <w:tab w:pos="808" w:val="left"/>
        </w:tabs>
        <w:bidi w:val="0"/>
        <w:spacing w:before="0" w:after="0" w:line="322" w:lineRule="exact"/>
        <w:ind w:left="0" w:right="0" w:firstLine="32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18"/>
        <w:keepNext w:val="0"/>
        <w:keepLines w:val="0"/>
        <w:widowControl w:val="0"/>
        <w:shd w:val="clear" w:color="auto" w:fill="auto"/>
        <w:tabs>
          <w:tab w:pos="808" w:val="left"/>
        </w:tabs>
        <w:bidi w:val="0"/>
        <w:spacing w:before="0" w:after="0" w:line="322" w:lineRule="exact"/>
        <w:ind w:left="0" w:right="0" w:firstLine="32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18"/>
        <w:keepNext w:val="0"/>
        <w:keepLines w:val="0"/>
        <w:widowControl w:val="0"/>
        <w:shd w:val="clear" w:color="auto" w:fill="auto"/>
        <w:bidi w:val="0"/>
        <w:spacing w:before="0" w:after="0" w:line="322" w:lineRule="exact"/>
        <w:ind w:left="0" w:right="0" w:firstLine="32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 无形资产产生经济利益的方式，包括能够证明运用该无形资产生产的产品存在市场或无形资产自 身存在市场，无形资产将在内部使用的，能够证明其有用性；</w:t>
      </w:r>
    </w:p>
    <w:p>
      <w:pPr>
        <w:pStyle w:val="Style18"/>
        <w:keepNext w:val="0"/>
        <w:keepLines w:val="0"/>
        <w:widowControl w:val="0"/>
        <w:shd w:val="clear" w:color="auto" w:fill="auto"/>
        <w:tabs>
          <w:tab w:pos="896" w:val="left"/>
        </w:tabs>
        <w:bidi w:val="0"/>
        <w:spacing w:before="0" w:after="0" w:line="313" w:lineRule="exact"/>
        <w:ind w:left="0" w:right="0" w:firstLine="32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 形资产；</w:t>
      </w:r>
    </w:p>
    <w:p>
      <w:pPr>
        <w:pStyle w:val="Style18"/>
        <w:keepNext w:val="0"/>
        <w:keepLines w:val="0"/>
        <w:widowControl w:val="0"/>
        <w:shd w:val="clear" w:color="auto" w:fill="auto"/>
        <w:tabs>
          <w:tab w:pos="808" w:val="left"/>
        </w:tabs>
        <w:bidi w:val="0"/>
        <w:spacing w:before="0" w:after="0" w:line="313" w:lineRule="exact"/>
        <w:ind w:left="0" w:right="0" w:firstLine="32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内部研究开发支出的资本化时点：研发项目经过前期市场调研和项目可行性论证，报经公司批准立项 后发生的开发费用计入开发支出，予以转资本化。</w:t>
      </w:r>
    </w:p>
    <w:p>
      <w:pPr>
        <w:pStyle w:val="Style1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2"/>
        <w:keepNext/>
        <w:keepLines/>
        <w:widowControl w:val="0"/>
        <w:shd w:val="clear" w:color="auto" w:fill="auto"/>
        <w:bidi w:val="0"/>
        <w:spacing w:before="0" w:after="200" w:line="326" w:lineRule="auto"/>
        <w:ind w:left="0" w:right="0" w:firstLine="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1029"/>
      <w:bookmarkEnd w:id="1030"/>
      <w:bookmarkEnd w:id="1032"/>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w:t>
      </w:r>
      <w:r>
        <w:rPr>
          <w:color w:val="000000"/>
          <w:spacing w:val="0"/>
          <w:w w:val="100"/>
          <w:position w:val="0"/>
        </w:rPr>
        <w:t>关资产组或者资产组组合的可收回金额低于其账面价值的，确认商誉的减值损失。</w:t>
      </w:r>
    </w:p>
    <w:p>
      <w:pPr>
        <w:pStyle w:val="Style32"/>
        <w:keepNext/>
        <w:keepLines/>
        <w:widowControl w:val="0"/>
        <w:shd w:val="clear" w:color="auto" w:fill="auto"/>
        <w:tabs>
          <w:tab w:pos="483" w:val="left"/>
        </w:tabs>
        <w:bidi w:val="0"/>
        <w:spacing w:before="0" w:after="280" w:line="326"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1033"/>
      <w:bookmarkEnd w:id="1034"/>
      <w:bookmarkEnd w:id="1036"/>
    </w:p>
    <w:p>
      <w:pPr>
        <w:pStyle w:val="Style32"/>
        <w:keepNext/>
        <w:keepLines/>
        <w:widowControl w:val="0"/>
        <w:numPr>
          <w:ilvl w:val="0"/>
          <w:numId w:val="53"/>
        </w:numPr>
        <w:shd w:val="clear" w:color="auto" w:fill="auto"/>
        <w:tabs>
          <w:tab w:pos="654" w:val="left"/>
        </w:tabs>
        <w:bidi w:val="0"/>
        <w:spacing w:before="0" w:after="0" w:line="331" w:lineRule="auto"/>
        <w:ind w:left="0" w:right="0" w:firstLine="320"/>
        <w:jc w:val="both"/>
      </w:pPr>
      <w:bookmarkStart w:id="1033" w:name="bookmark1033"/>
      <w:bookmarkStart w:id="1034" w:name="bookmark1034"/>
      <w:bookmarkStart w:id="1037" w:name="bookmark1037"/>
      <w:bookmarkEnd w:id="1037"/>
      <w:r>
        <w:rPr>
          <w:color w:val="000000"/>
          <w:spacing w:val="0"/>
          <w:w w:val="100"/>
          <w:position w:val="0"/>
        </w:rPr>
        <w:t>摊销方法</w:t>
      </w:r>
      <w:bookmarkEnd w:id="1033"/>
      <w:bookmarkEnd w:id="1034"/>
    </w:p>
    <w:p>
      <w:pPr>
        <w:pStyle w:val="Style18"/>
        <w:keepNext w:val="0"/>
        <w:keepLines w:val="0"/>
        <w:widowControl w:val="0"/>
        <w:shd w:val="clear" w:color="auto" w:fill="auto"/>
        <w:bidi w:val="0"/>
        <w:spacing w:before="0" w:after="80" w:line="317" w:lineRule="exact"/>
        <w:ind w:left="0" w:right="0" w:firstLine="32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 期待摊费用在受益期内按直线法分期摊销。</w:t>
      </w:r>
    </w:p>
    <w:p>
      <w:pPr>
        <w:pStyle w:val="Style18"/>
        <w:keepNext w:val="0"/>
        <w:keepLines w:val="0"/>
        <w:widowControl w:val="0"/>
        <w:numPr>
          <w:ilvl w:val="0"/>
          <w:numId w:val="53"/>
        </w:numPr>
        <w:shd w:val="clear" w:color="auto" w:fill="auto"/>
        <w:tabs>
          <w:tab w:pos="664" w:val="left"/>
        </w:tabs>
        <w:bidi w:val="0"/>
        <w:spacing w:before="0" w:after="0" w:line="331" w:lineRule="auto"/>
        <w:ind w:left="0" w:right="0" w:firstLine="320"/>
        <w:jc w:val="both"/>
      </w:pPr>
      <w:bookmarkStart w:id="1038" w:name="bookmark1038"/>
      <w:bookmarkEnd w:id="1038"/>
      <w:r>
        <w:rPr>
          <w:b/>
          <w:bCs/>
          <w:color w:val="000000"/>
          <w:spacing w:val="0"/>
          <w:w w:val="100"/>
          <w:position w:val="0"/>
        </w:rPr>
        <w:t>摊销年限</w:t>
      </w:r>
    </w:p>
    <w:p>
      <w:pPr>
        <w:pStyle w:val="Style18"/>
        <w:keepNext w:val="0"/>
        <w:keepLines w:val="0"/>
        <w:widowControl w:val="0"/>
        <w:shd w:val="clear" w:color="auto" w:fill="auto"/>
        <w:bidi w:val="0"/>
        <w:spacing w:before="0" w:after="380" w:line="317" w:lineRule="exact"/>
        <w:ind w:left="0" w:right="0" w:firstLine="320"/>
        <w:jc w:val="both"/>
      </w:pPr>
      <w:r>
        <w:rPr>
          <w:color w:val="000000"/>
          <w:spacing w:val="0"/>
          <w:w w:val="100"/>
          <w:position w:val="0"/>
        </w:rPr>
        <w:t>按预期受益期限进行摊销。</w:t>
      </w:r>
    </w:p>
    <w:p>
      <w:pPr>
        <w:pStyle w:val="Style32"/>
        <w:keepNext/>
        <w:keepLines/>
        <w:widowControl w:val="0"/>
        <w:shd w:val="clear" w:color="auto" w:fill="auto"/>
        <w:tabs>
          <w:tab w:pos="483" w:val="left"/>
        </w:tabs>
        <w:bidi w:val="0"/>
        <w:spacing w:before="0" w:after="200" w:line="326"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1039"/>
      <w:bookmarkEnd w:id="1040"/>
      <w:bookmarkEnd w:id="1042"/>
    </w:p>
    <w:p>
      <w:pPr>
        <w:pStyle w:val="Style1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本公司将已收或应收客户对价而应向客户转让商品的义务部分确认为合同负债。</w:t>
      </w:r>
    </w:p>
    <w:p>
      <w:pPr>
        <w:pStyle w:val="Style32"/>
        <w:keepNext/>
        <w:keepLines/>
        <w:widowControl w:val="0"/>
        <w:shd w:val="clear" w:color="auto" w:fill="auto"/>
        <w:tabs>
          <w:tab w:pos="483" w:val="left"/>
        </w:tabs>
        <w:bidi w:val="0"/>
        <w:spacing w:before="0" w:after="200" w:line="326"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1043"/>
      <w:bookmarkEnd w:id="1044"/>
      <w:bookmarkEnd w:id="1046"/>
    </w:p>
    <w:p>
      <w:pPr>
        <w:pStyle w:val="Style37"/>
        <w:keepNext/>
        <w:keepLines/>
        <w:widowControl w:val="0"/>
        <w:shd w:val="clear" w:color="auto" w:fill="auto"/>
        <w:tabs>
          <w:tab w:pos="493" w:val="left"/>
        </w:tabs>
        <w:bidi w:val="0"/>
        <w:spacing w:before="0" w:after="280" w:line="313" w:lineRule="exact"/>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47"/>
      <w:bookmarkEnd w:id="1048"/>
      <w:bookmarkEnd w:id="1050"/>
    </w:p>
    <w:p>
      <w:pPr>
        <w:pStyle w:val="Style1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37"/>
        <w:keepNext/>
        <w:keepLines/>
        <w:widowControl w:val="0"/>
        <w:shd w:val="clear" w:color="auto" w:fill="auto"/>
        <w:tabs>
          <w:tab w:pos="493" w:val="left"/>
        </w:tabs>
        <w:bidi w:val="0"/>
        <w:spacing w:before="0" w:after="280" w:line="313" w:lineRule="exact"/>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51"/>
      <w:bookmarkEnd w:id="1052"/>
      <w:bookmarkEnd w:id="1054"/>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本公司的离职后福利计划全部为设定提存计划。</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保险等；除了社会基本养老保险、失业保险之外，</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日之后退休的员工可以自原参加本公司设立 的年金计划。在职工为本公司提供服务的会计期间，将根据设定提存计划计算的应缴存金额确认为负债， 并计入当期损益或相关资产成本。</w:t>
      </w:r>
    </w:p>
    <w:p>
      <w:pPr>
        <w:pStyle w:val="Style18"/>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本公司按照国家规定的标准和年金计划定期缴付上述款项后，不再有其他的支付义务。</w:t>
      </w:r>
    </w:p>
    <w:p>
      <w:pPr>
        <w:pStyle w:val="Style37"/>
        <w:keepNext/>
        <w:keepLines/>
        <w:widowControl w:val="0"/>
        <w:shd w:val="clear" w:color="auto" w:fill="auto"/>
        <w:tabs>
          <w:tab w:pos="493" w:val="left"/>
        </w:tabs>
        <w:bidi w:val="0"/>
        <w:spacing w:before="0" w:after="280" w:line="313" w:lineRule="exact"/>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55"/>
      <w:bookmarkEnd w:id="1056"/>
      <w:bookmarkEnd w:id="1058"/>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18"/>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7"/>
        <w:keepNext/>
        <w:keepLines/>
        <w:widowControl w:val="0"/>
        <w:shd w:val="clear" w:color="auto" w:fill="auto"/>
        <w:bidi w:val="0"/>
        <w:spacing w:before="0" w:after="280" w:line="312" w:lineRule="exact"/>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59"/>
      <w:bookmarkEnd w:id="1060"/>
      <w:bookmarkEnd w:id="1062"/>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其他长期职工福利是指除短期薪酬、离职后福利、辞退福利之外的其他所有职工福利。</w:t>
      </w:r>
    </w:p>
    <w:p>
      <w:pPr>
        <w:pStyle w:val="Style1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确认为负债，并计入当期损益或相关资产成本；除上述情形外的其他长期职工福利，在资产负债表日使用 预期累计福利单位法进行精算，将设定受益计划产生的福利义务归属于职工提供服务的期间，并计入当期 损益或相关资产成本。</w:t>
      </w:r>
    </w:p>
    <w:p>
      <w:pPr>
        <w:pStyle w:val="Style32"/>
        <w:keepNext/>
        <w:keepLines/>
        <w:widowControl w:val="0"/>
        <w:shd w:val="clear" w:color="auto" w:fill="auto"/>
        <w:tabs>
          <w:tab w:pos="483" w:val="left"/>
        </w:tabs>
        <w:bidi w:val="0"/>
        <w:spacing w:before="0" w:after="280" w:line="312" w:lineRule="exact"/>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6</w:t>
      </w:r>
      <w:r>
        <w:rPr>
          <w:color w:val="000000"/>
          <w:spacing w:val="0"/>
          <w:w w:val="100"/>
          <w:position w:val="0"/>
        </w:rPr>
        <w:t>、</w:t>
        <w:tab/>
        <w:t>租赁负债</w:t>
      </w:r>
      <w:bookmarkEnd w:id="1063"/>
      <w:bookmarkEnd w:id="1064"/>
      <w:bookmarkEnd w:id="1066"/>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18"/>
        <w:keepNext w:val="0"/>
        <w:keepLines w:val="0"/>
        <w:widowControl w:val="0"/>
        <w:numPr>
          <w:ilvl w:val="0"/>
          <w:numId w:val="55"/>
        </w:numPr>
        <w:shd w:val="clear" w:color="auto" w:fill="auto"/>
        <w:tabs>
          <w:tab w:pos="413" w:val="left"/>
        </w:tabs>
        <w:bidi w:val="0"/>
        <w:spacing w:before="0" w:after="0" w:line="313" w:lineRule="exact"/>
        <w:ind w:left="0" w:right="0" w:firstLine="0"/>
        <w:jc w:val="left"/>
      </w:pPr>
      <w:bookmarkStart w:id="1067" w:name="bookmark1067"/>
      <w:bookmarkEnd w:id="1067"/>
      <w:r>
        <w:rPr>
          <w:color w:val="000000"/>
          <w:spacing w:val="0"/>
          <w:w w:val="100"/>
          <w:position w:val="0"/>
        </w:rPr>
        <w:t>扣除租赁激励相关金额后的固定付款额及实质固定付款额；</w:t>
      </w:r>
    </w:p>
    <w:p>
      <w:pPr>
        <w:pStyle w:val="Style18"/>
        <w:keepNext w:val="0"/>
        <w:keepLines w:val="0"/>
        <w:widowControl w:val="0"/>
        <w:numPr>
          <w:ilvl w:val="0"/>
          <w:numId w:val="55"/>
        </w:numPr>
        <w:shd w:val="clear" w:color="auto" w:fill="auto"/>
        <w:tabs>
          <w:tab w:pos="413" w:val="left"/>
        </w:tabs>
        <w:bidi w:val="0"/>
        <w:spacing w:before="0" w:after="0" w:line="313" w:lineRule="exact"/>
        <w:ind w:left="0" w:right="0" w:firstLine="0"/>
        <w:jc w:val="left"/>
      </w:pPr>
      <w:bookmarkStart w:id="1068" w:name="bookmark1068"/>
      <w:bookmarkEnd w:id="1068"/>
      <w:r>
        <w:rPr>
          <w:color w:val="000000"/>
          <w:spacing w:val="0"/>
          <w:w w:val="100"/>
          <w:position w:val="0"/>
        </w:rPr>
        <w:t>取决于指数或比率的可变租赁付款额；</w:t>
      </w:r>
    </w:p>
    <w:p>
      <w:pPr>
        <w:pStyle w:val="Style18"/>
        <w:keepNext w:val="0"/>
        <w:keepLines w:val="0"/>
        <w:widowControl w:val="0"/>
        <w:numPr>
          <w:ilvl w:val="0"/>
          <w:numId w:val="55"/>
        </w:numPr>
        <w:shd w:val="clear" w:color="auto" w:fill="auto"/>
        <w:tabs>
          <w:tab w:pos="413" w:val="left"/>
        </w:tabs>
        <w:bidi w:val="0"/>
        <w:spacing w:before="0" w:after="0" w:line="313" w:lineRule="exact"/>
        <w:ind w:left="0" w:right="0" w:firstLine="0"/>
        <w:jc w:val="left"/>
      </w:pPr>
      <w:bookmarkStart w:id="1069" w:name="bookmark1069"/>
      <w:bookmarkEnd w:id="1069"/>
      <w:r>
        <w:rPr>
          <w:color w:val="000000"/>
          <w:spacing w:val="0"/>
          <w:w w:val="100"/>
          <w:position w:val="0"/>
        </w:rPr>
        <w:t>在本公司合理确定将行使该选择权的情况下，租赁付款额包括购买选择权的行权价格；</w:t>
      </w:r>
    </w:p>
    <w:p>
      <w:pPr>
        <w:pStyle w:val="Style18"/>
        <w:keepNext w:val="0"/>
        <w:keepLines w:val="0"/>
        <w:widowControl w:val="0"/>
        <w:numPr>
          <w:ilvl w:val="0"/>
          <w:numId w:val="55"/>
        </w:numPr>
        <w:shd w:val="clear" w:color="auto" w:fill="auto"/>
        <w:tabs>
          <w:tab w:pos="413" w:val="left"/>
        </w:tabs>
        <w:bidi w:val="0"/>
        <w:spacing w:before="0" w:after="0" w:line="313" w:lineRule="exact"/>
        <w:ind w:left="380" w:right="0" w:hanging="380"/>
        <w:jc w:val="both"/>
      </w:pPr>
      <w:bookmarkStart w:id="1070" w:name="bookmark1070"/>
      <w:bookmarkEnd w:id="1070"/>
      <w:r>
        <w:rPr>
          <w:color w:val="000000"/>
          <w:spacing w:val="0"/>
          <w:w w:val="100"/>
          <w:position w:val="0"/>
        </w:rPr>
        <w:t>在租赁期反映出本公司将行使终止租赁选择权的情况下，租赁付款额包括行使终止租赁选择权需支付 的款项；</w:t>
      </w:r>
    </w:p>
    <w:p>
      <w:pPr>
        <w:pStyle w:val="Style18"/>
        <w:keepNext w:val="0"/>
        <w:keepLines w:val="0"/>
        <w:widowControl w:val="0"/>
        <w:numPr>
          <w:ilvl w:val="0"/>
          <w:numId w:val="55"/>
        </w:numPr>
        <w:shd w:val="clear" w:color="auto" w:fill="auto"/>
        <w:tabs>
          <w:tab w:pos="413" w:val="left"/>
        </w:tabs>
        <w:bidi w:val="0"/>
        <w:spacing w:before="0" w:after="0" w:line="313" w:lineRule="exact"/>
        <w:ind w:left="0" w:right="0" w:firstLine="0"/>
        <w:jc w:val="left"/>
      </w:pPr>
      <w:bookmarkStart w:id="1071" w:name="bookmark1071"/>
      <w:bookmarkEnd w:id="1071"/>
      <w:r>
        <w:rPr>
          <w:color w:val="000000"/>
          <w:spacing w:val="0"/>
          <w:w w:val="100"/>
          <w:position w:val="0"/>
        </w:rPr>
        <w:t>根据本公司提供的担保余值预计应支付的款项。</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本公司按照固定的折现率计算租赁负债在租赁期内各期间的利息费用，并计入当期损益或相关资产成 本。</w:t>
      </w:r>
    </w:p>
    <w:p>
      <w:pPr>
        <w:pStyle w:val="Style18"/>
        <w:keepNext w:val="0"/>
        <w:keepLines w:val="0"/>
        <w:widowControl w:val="0"/>
        <w:shd w:val="clear" w:color="auto" w:fill="auto"/>
        <w:bidi w:val="0"/>
        <w:spacing w:before="0" w:after="280" w:line="313" w:lineRule="exact"/>
        <w:ind w:left="0" w:right="0" w:firstLine="380"/>
        <w:jc w:val="left"/>
      </w:pPr>
      <w:r>
        <w:rPr>
          <w:color w:val="000000"/>
          <w:spacing w:val="0"/>
          <w:w w:val="100"/>
          <w:position w:val="0"/>
        </w:rPr>
        <w:t>未纳入租赁负债计量的可变租赁付款额应当在实际发生时计入当期损益或相关资产成本。</w:t>
      </w:r>
    </w:p>
    <w:p>
      <w:pPr>
        <w:pStyle w:val="Style32"/>
        <w:keepNext/>
        <w:keepLines/>
        <w:widowControl w:val="0"/>
        <w:shd w:val="clear" w:color="auto" w:fill="auto"/>
        <w:tabs>
          <w:tab w:pos="483" w:val="left"/>
        </w:tabs>
        <w:bidi w:val="0"/>
        <w:spacing w:before="0" w:line="312" w:lineRule="exact"/>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2</w:t>
      </w:r>
      <w:bookmarkEnd w:id="1074"/>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1072"/>
      <w:bookmarkEnd w:id="1073"/>
      <w:bookmarkEnd w:id="1075"/>
    </w:p>
    <w:p>
      <w:pPr>
        <w:pStyle w:val="Style32"/>
        <w:keepNext/>
        <w:keepLines/>
        <w:widowControl w:val="0"/>
        <w:numPr>
          <w:ilvl w:val="0"/>
          <w:numId w:val="57"/>
        </w:numPr>
        <w:shd w:val="clear" w:color="auto" w:fill="auto"/>
        <w:tabs>
          <w:tab w:pos="714" w:val="left"/>
        </w:tabs>
        <w:bidi w:val="0"/>
        <w:spacing w:before="0" w:after="0" w:line="326" w:lineRule="auto"/>
        <w:ind w:left="0" w:right="0" w:firstLine="380"/>
        <w:jc w:val="both"/>
      </w:pPr>
      <w:bookmarkStart w:id="1072" w:name="bookmark1072"/>
      <w:bookmarkStart w:id="1073" w:name="bookmark1073"/>
      <w:bookmarkStart w:id="1076" w:name="bookmark1076"/>
      <w:bookmarkEnd w:id="1076"/>
      <w:r>
        <w:rPr>
          <w:color w:val="000000"/>
          <w:spacing w:val="0"/>
          <w:w w:val="100"/>
          <w:position w:val="0"/>
        </w:rPr>
        <w:t>预计负债的确认标准</w:t>
      </w:r>
      <w:bookmarkEnd w:id="1072"/>
      <w:bookmarkEnd w:id="1073"/>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与或有事项相关的义务同时满足下列条件时，本公司确认为预计负债：</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该义务是本公司承担的现时义务；</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履行该义务很可能导致经济利益流出本公司；</w:t>
      </w:r>
    </w:p>
    <w:p>
      <w:pPr>
        <w:pStyle w:val="Style18"/>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该义务的金额能够可靠地计量。</w:t>
      </w:r>
    </w:p>
    <w:p>
      <w:pPr>
        <w:pStyle w:val="Style18"/>
        <w:keepNext w:val="0"/>
        <w:keepLines w:val="0"/>
        <w:widowControl w:val="0"/>
        <w:numPr>
          <w:ilvl w:val="0"/>
          <w:numId w:val="57"/>
        </w:numPr>
        <w:shd w:val="clear" w:color="auto" w:fill="auto"/>
        <w:tabs>
          <w:tab w:pos="724" w:val="left"/>
        </w:tabs>
        <w:bidi w:val="0"/>
        <w:spacing w:before="0" w:after="0" w:line="326" w:lineRule="auto"/>
        <w:ind w:left="0" w:right="0" w:firstLine="380"/>
        <w:jc w:val="both"/>
      </w:pPr>
      <w:bookmarkStart w:id="1077" w:name="bookmark1077"/>
      <w:bookmarkEnd w:id="1077"/>
      <w:r>
        <w:rPr>
          <w:b/>
          <w:bCs/>
          <w:color w:val="000000"/>
          <w:spacing w:val="0"/>
          <w:w w:val="100"/>
          <w:position w:val="0"/>
        </w:rPr>
        <w:t>预计负债的计量方法</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本公司预计负债按履行相关现时义务所需的支出的最佳估计数进行初始计量。</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最佳估计数分别以下情况处理：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18"/>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2"/>
        <w:keepNext/>
        <w:keepLines/>
        <w:widowControl w:val="0"/>
        <w:shd w:val="clear" w:color="auto" w:fill="auto"/>
        <w:tabs>
          <w:tab w:pos="493" w:val="left"/>
        </w:tabs>
        <w:bidi w:val="0"/>
        <w:spacing w:before="0" w:after="300" w:line="312" w:lineRule="exact"/>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8</w:t>
      </w:r>
      <w:r>
        <w:rPr>
          <w:color w:val="000000"/>
          <w:spacing w:val="0"/>
          <w:w w:val="100"/>
          <w:position w:val="0"/>
        </w:rPr>
        <w:t>、</w:t>
        <w:tab/>
        <w:t>股份支付</w:t>
      </w:r>
      <w:bookmarkEnd w:id="1078"/>
      <w:bookmarkEnd w:id="1079"/>
      <w:bookmarkEnd w:id="1081"/>
    </w:p>
    <w:p>
      <w:pPr>
        <w:pStyle w:val="Style32"/>
        <w:keepNext/>
        <w:keepLines/>
        <w:widowControl w:val="0"/>
        <w:numPr>
          <w:ilvl w:val="0"/>
          <w:numId w:val="59"/>
        </w:numPr>
        <w:shd w:val="clear" w:color="auto" w:fill="auto"/>
        <w:tabs>
          <w:tab w:pos="710" w:val="left"/>
        </w:tabs>
        <w:bidi w:val="0"/>
        <w:spacing w:before="0" w:after="0" w:line="312" w:lineRule="exact"/>
        <w:ind w:left="0" w:right="0" w:firstLine="380"/>
        <w:jc w:val="left"/>
      </w:pPr>
      <w:bookmarkStart w:id="1078" w:name="bookmark1078"/>
      <w:bookmarkStart w:id="1079" w:name="bookmark1079"/>
      <w:bookmarkStart w:id="1082" w:name="bookmark1082"/>
      <w:bookmarkEnd w:id="1082"/>
      <w:r>
        <w:rPr>
          <w:color w:val="000000"/>
          <w:spacing w:val="0"/>
          <w:w w:val="100"/>
          <w:position w:val="0"/>
        </w:rPr>
        <w:t>股份支付的种类</w:t>
      </w:r>
      <w:bookmarkEnd w:id="1078"/>
      <w:bookmarkEnd w:id="1079"/>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本公司的股份支付分为以权益结算的股份支付和以现金结算的股份支付。</w:t>
      </w:r>
    </w:p>
    <w:p>
      <w:pPr>
        <w:pStyle w:val="Style18"/>
        <w:keepNext w:val="0"/>
        <w:keepLines w:val="0"/>
        <w:widowControl w:val="0"/>
        <w:numPr>
          <w:ilvl w:val="0"/>
          <w:numId w:val="59"/>
        </w:numPr>
        <w:shd w:val="clear" w:color="auto" w:fill="auto"/>
        <w:tabs>
          <w:tab w:pos="719" w:val="left"/>
        </w:tabs>
        <w:bidi w:val="0"/>
        <w:spacing w:before="0" w:after="0" w:line="312" w:lineRule="exact"/>
        <w:ind w:left="0" w:right="0" w:firstLine="380"/>
        <w:jc w:val="both"/>
      </w:pPr>
      <w:bookmarkStart w:id="1083" w:name="bookmark1083"/>
      <w:bookmarkEnd w:id="1083"/>
      <w:r>
        <w:rPr>
          <w:b/>
          <w:bCs/>
          <w:color w:val="000000"/>
          <w:spacing w:val="0"/>
          <w:w w:val="100"/>
          <w:position w:val="0"/>
        </w:rPr>
        <w:t>权益工具公允价值的确定方法</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 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18"/>
        <w:keepNext w:val="0"/>
        <w:keepLines w:val="0"/>
        <w:widowControl w:val="0"/>
        <w:numPr>
          <w:ilvl w:val="0"/>
          <w:numId w:val="59"/>
        </w:numPr>
        <w:shd w:val="clear" w:color="auto" w:fill="auto"/>
        <w:tabs>
          <w:tab w:pos="719" w:val="left"/>
        </w:tabs>
        <w:bidi w:val="0"/>
        <w:spacing w:before="0" w:after="0" w:line="312" w:lineRule="exact"/>
        <w:ind w:left="0" w:right="0" w:firstLine="380"/>
        <w:jc w:val="both"/>
      </w:pPr>
      <w:bookmarkStart w:id="1084" w:name="bookmark1084"/>
      <w:bookmarkEnd w:id="1084"/>
      <w:r>
        <w:rPr>
          <w:b/>
          <w:bCs/>
          <w:color w:val="000000"/>
          <w:spacing w:val="0"/>
          <w:w w:val="100"/>
          <w:position w:val="0"/>
        </w:rPr>
        <w:t>确定可行权权益工具最佳估计的依据</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18"/>
        <w:keepNext w:val="0"/>
        <w:keepLines w:val="0"/>
        <w:widowControl w:val="0"/>
        <w:numPr>
          <w:ilvl w:val="0"/>
          <w:numId w:val="59"/>
        </w:numPr>
        <w:shd w:val="clear" w:color="auto" w:fill="auto"/>
        <w:tabs>
          <w:tab w:pos="719" w:val="left"/>
        </w:tabs>
        <w:bidi w:val="0"/>
        <w:spacing w:before="0" w:after="0" w:line="312" w:lineRule="exact"/>
        <w:ind w:left="0" w:right="0" w:firstLine="380"/>
        <w:jc w:val="both"/>
      </w:pPr>
      <w:bookmarkStart w:id="1085" w:name="bookmark1085"/>
      <w:bookmarkEnd w:id="1085"/>
      <w:r>
        <w:rPr>
          <w:b/>
          <w:bCs/>
          <w:color w:val="000000"/>
          <w:spacing w:val="0"/>
          <w:w w:val="100"/>
          <w:position w:val="0"/>
        </w:rPr>
        <w:t>会计处理方法</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18"/>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2"/>
        <w:keepNext/>
        <w:keepLines/>
        <w:widowControl w:val="0"/>
        <w:shd w:val="clear" w:color="auto" w:fill="auto"/>
        <w:tabs>
          <w:tab w:pos="493" w:val="left"/>
        </w:tabs>
        <w:bidi w:val="0"/>
        <w:spacing w:before="0" w:after="400" w:line="312" w:lineRule="exact"/>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86"/>
      <w:bookmarkEnd w:id="1087"/>
      <w:bookmarkEnd w:id="108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本公司的收入主要来源于如下业务类型：</w:t>
      </w:r>
    </w:p>
    <w:p>
      <w:pPr>
        <w:pStyle w:val="Style18"/>
        <w:keepNext w:val="0"/>
        <w:keepLines w:val="0"/>
        <w:widowControl w:val="0"/>
        <w:shd w:val="clear" w:color="auto" w:fill="auto"/>
        <w:bidi w:val="0"/>
        <w:spacing w:before="0" w:after="0" w:line="314" w:lineRule="exact"/>
        <w:ind w:left="0" w:right="0" w:firstLine="380"/>
        <w:jc w:val="both"/>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）通信设备制造与软件开发产品销售收入；</w:t>
      </w:r>
    </w:p>
    <w:p>
      <w:pPr>
        <w:pStyle w:val="Style18"/>
        <w:keepNext w:val="0"/>
        <w:keepLines w:val="0"/>
        <w:widowControl w:val="0"/>
        <w:shd w:val="clear" w:color="auto" w:fill="auto"/>
        <w:bidi w:val="0"/>
        <w:spacing w:before="0" w:after="0" w:line="314" w:lineRule="exact"/>
        <w:ind w:left="0" w:right="0" w:firstLine="86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2</w:t>
      </w:r>
      <w:r>
        <w:rPr>
          <w:color w:val="000000"/>
          <w:spacing w:val="0"/>
          <w:w w:val="100"/>
          <w:position w:val="0"/>
        </w:rPr>
        <w:t>）提供信息系统集成及信息技术服务收入。</w:t>
      </w:r>
    </w:p>
    <w:p>
      <w:pPr>
        <w:pStyle w:val="Style18"/>
        <w:keepNext w:val="0"/>
        <w:keepLines w:val="0"/>
        <w:widowControl w:val="0"/>
        <w:numPr>
          <w:ilvl w:val="0"/>
          <w:numId w:val="61"/>
        </w:numPr>
        <w:shd w:val="clear" w:color="auto" w:fill="auto"/>
        <w:bidi w:val="0"/>
        <w:spacing w:before="0" w:after="0" w:line="314" w:lineRule="exact"/>
        <w:ind w:left="0" w:right="0" w:firstLine="380"/>
        <w:jc w:val="both"/>
      </w:pPr>
      <w:bookmarkStart w:id="1092" w:name="bookmark1092"/>
      <w:bookmarkEnd w:id="1092"/>
      <w:r>
        <w:rPr>
          <w:b/>
          <w:bCs/>
          <w:color w:val="000000"/>
          <w:spacing w:val="0"/>
          <w:w w:val="100"/>
          <w:position w:val="0"/>
        </w:rPr>
        <w:t>收入确认的一般原则</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履约义务，是指合同中本公司向客户转让可明确区分商品或服务的承诺。</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取得相关商品控制权，是指能够主导该商品的使用并从中获得几乎全部的经济利益。</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 xml:space="preserve">本公司在合同开始日即对合同进行评估，识别该合同所包含的各单项履约义务，并确定各单项履约义 务是在某一时段内履行，还是某一时点履行。满足下列条件之一的，属于在某一时间段内履行的履约义务， </w:t>
      </w:r>
      <w:r>
        <w:rPr>
          <w:color w:val="000000"/>
          <w:spacing w:val="0"/>
          <w:w w:val="100"/>
          <w:position w:val="0"/>
        </w:rPr>
        <w:t>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 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 可替代用途，且本公司在整个合同期间内有权就累计至今已完成的履约部分收取款项。否则，本公司在客 户取得相关商品或服务控制权的时点确认收入。</w:t>
      </w:r>
    </w:p>
    <w:p>
      <w:pPr>
        <w:pStyle w:val="Style18"/>
        <w:keepNext w:val="0"/>
        <w:keepLines w:val="0"/>
        <w:widowControl w:val="0"/>
        <w:shd w:val="clear" w:color="auto" w:fill="auto"/>
        <w:bidi w:val="0"/>
        <w:spacing w:before="0" w:after="80" w:line="312" w:lineRule="exact"/>
        <w:ind w:left="0" w:right="0" w:firstLine="420"/>
        <w:jc w:val="left"/>
      </w:pPr>
      <w:r>
        <w:rPr>
          <w:color w:val="000000"/>
          <w:spacing w:val="0"/>
          <w:w w:val="100"/>
          <w:position w:val="0"/>
        </w:rPr>
        <w:t>对于在某一时段内履行的履约义务，本公司根据商品和劳务的性质，采用投入法确定恰当的履约进度。 产出法是根据已转移给客户的商品对于客户的价值确定履约进度（投入法是根据公司为履行履约义务的投 入确定履约进度）。当履约进度不能合理确定时，公司已经发生的成本预计能够得到补偿的，按照已经发 生的成本金额确认收入，直到履约进度能够合理确定为止。</w:t>
      </w:r>
    </w:p>
    <w:p>
      <w:pPr>
        <w:pStyle w:val="Style18"/>
        <w:keepNext w:val="0"/>
        <w:keepLines w:val="0"/>
        <w:widowControl w:val="0"/>
        <w:numPr>
          <w:ilvl w:val="0"/>
          <w:numId w:val="61"/>
        </w:numPr>
        <w:shd w:val="clear" w:color="auto" w:fill="auto"/>
        <w:bidi w:val="0"/>
        <w:spacing w:before="0" w:after="0" w:line="326" w:lineRule="auto"/>
        <w:ind w:left="0" w:right="0" w:firstLine="380"/>
        <w:jc w:val="both"/>
      </w:pPr>
      <w:bookmarkStart w:id="1093" w:name="bookmark1093"/>
      <w:bookmarkEnd w:id="1093"/>
      <w:r>
        <w:rPr>
          <w:b/>
          <w:bCs/>
          <w:color w:val="000000"/>
          <w:spacing w:val="0"/>
          <w:w w:val="100"/>
          <w:position w:val="0"/>
        </w:rPr>
        <w:t>收入确认的具体方法</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公司有两大业务板块，一是通信设备制造与软件开发产品销售，二是提供信息系统集成及信息技术服 务。依据该公司自身的经营模式和结算方式，各类业务销售收入确认的具体方法披露如下：</w:t>
      </w:r>
    </w:p>
    <w:p>
      <w:pPr>
        <w:pStyle w:val="Style18"/>
        <w:keepNext w:val="0"/>
        <w:keepLines w:val="0"/>
        <w:widowControl w:val="0"/>
        <w:shd w:val="clear" w:color="auto" w:fill="auto"/>
        <w:tabs>
          <w:tab w:pos="901" w:val="left"/>
        </w:tabs>
        <w:bidi w:val="0"/>
        <w:spacing w:before="0" w:after="0" w:line="312" w:lineRule="exact"/>
        <w:ind w:left="0" w:right="0" w:firstLine="42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w:t>
        <w:tab/>
        <w:t>通信设备制造与软件开发产品销售业务</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公司通信设备制造与软件开发产品销售业务属于在某一时点履行的履约义务，销售收入在公司将产品 运送至合同约定交货地点并由客户接受、已收取价款或取得收款权利且相关的经济利益很可能流入时确 认。</w:t>
      </w:r>
    </w:p>
    <w:p>
      <w:pPr>
        <w:pStyle w:val="Style18"/>
        <w:keepNext w:val="0"/>
        <w:keepLines w:val="0"/>
        <w:widowControl w:val="0"/>
        <w:shd w:val="clear" w:color="auto" w:fill="auto"/>
        <w:tabs>
          <w:tab w:pos="861" w:val="left"/>
        </w:tabs>
        <w:bidi w:val="0"/>
        <w:spacing w:before="0" w:after="0" w:line="312" w:lineRule="exact"/>
        <w:ind w:left="0" w:right="0" w:firstLine="380"/>
        <w:jc w:val="left"/>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w:t>
        <w:tab/>
        <w:t>提供信息系统集成及信息技术服务</w:t>
      </w:r>
    </w:p>
    <w:p>
      <w:pPr>
        <w:pStyle w:val="Style18"/>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公司提供信息系统集成及信息技术服务属于在某一时段内履行的履约义务，根据已发生成本占预计总 成本的比例确定提供服务的履约进度，并按履约进度确认收入。履约进度不能合理确定时，公司已经发生 的成本预计能够得到补偿的，按照已经发生的成本金额确认收入，直到履约进度能够合理确定为止。</w:t>
      </w:r>
    </w:p>
    <w:p>
      <w:pPr>
        <w:pStyle w:val="Style32"/>
        <w:keepNext/>
        <w:keepLines/>
        <w:widowControl w:val="0"/>
        <w:shd w:val="clear" w:color="auto" w:fill="auto"/>
        <w:bidi w:val="0"/>
        <w:spacing w:before="0" w:after="300" w:line="326"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96"/>
      <w:bookmarkEnd w:id="1097"/>
      <w:bookmarkEnd w:id="1099"/>
    </w:p>
    <w:p>
      <w:pPr>
        <w:pStyle w:val="Style18"/>
        <w:keepNext w:val="0"/>
        <w:keepLines w:val="0"/>
        <w:widowControl w:val="0"/>
        <w:numPr>
          <w:ilvl w:val="0"/>
          <w:numId w:val="63"/>
        </w:numPr>
        <w:shd w:val="clear" w:color="auto" w:fill="auto"/>
        <w:tabs>
          <w:tab w:pos="702" w:val="left"/>
        </w:tabs>
        <w:bidi w:val="0"/>
        <w:spacing w:before="0" w:after="0" w:line="326" w:lineRule="auto"/>
        <w:ind w:left="0" w:right="0" w:firstLine="380"/>
        <w:jc w:val="both"/>
      </w:pPr>
      <w:bookmarkStart w:id="1100" w:name="bookmark1100"/>
      <w:bookmarkEnd w:id="1100"/>
      <w:r>
        <w:rPr>
          <w:b/>
          <w:bCs/>
          <w:color w:val="000000"/>
          <w:spacing w:val="0"/>
          <w:w w:val="100"/>
          <w:position w:val="0"/>
        </w:rPr>
        <w:t>类型</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18"/>
        <w:keepNext w:val="0"/>
        <w:keepLines w:val="0"/>
        <w:widowControl w:val="0"/>
        <w:shd w:val="clear" w:color="auto" w:fill="auto"/>
        <w:bidi w:val="0"/>
        <w:spacing w:before="0" w:after="80" w:line="311" w:lineRule="exact"/>
        <w:ind w:left="0" w:right="0" w:firstLine="42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8"/>
        <w:keepNext w:val="0"/>
        <w:keepLines w:val="0"/>
        <w:widowControl w:val="0"/>
        <w:numPr>
          <w:ilvl w:val="0"/>
          <w:numId w:val="63"/>
        </w:numPr>
        <w:shd w:val="clear" w:color="auto" w:fill="auto"/>
        <w:tabs>
          <w:tab w:pos="712" w:val="left"/>
        </w:tabs>
        <w:bidi w:val="0"/>
        <w:spacing w:before="0" w:after="0" w:line="326" w:lineRule="auto"/>
        <w:ind w:left="0" w:right="0" w:firstLine="380"/>
        <w:jc w:val="left"/>
      </w:pPr>
      <w:bookmarkStart w:id="1101" w:name="bookmark1101"/>
      <w:bookmarkEnd w:id="1101"/>
      <w:r>
        <w:rPr>
          <w:b/>
          <w:bCs/>
          <w:color w:val="000000"/>
          <w:spacing w:val="0"/>
          <w:w w:val="100"/>
          <w:position w:val="0"/>
        </w:rPr>
        <w:t>政府补助的确认</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18"/>
        <w:keepNext w:val="0"/>
        <w:keepLines w:val="0"/>
        <w:widowControl w:val="0"/>
        <w:shd w:val="clear" w:color="auto" w:fill="auto"/>
        <w:bidi w:val="0"/>
        <w:spacing w:before="0" w:after="80" w:line="311" w:lineRule="exact"/>
        <w:ind w:left="0" w:right="0" w:firstLine="42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18"/>
        <w:keepNext w:val="0"/>
        <w:keepLines w:val="0"/>
        <w:widowControl w:val="0"/>
        <w:numPr>
          <w:ilvl w:val="0"/>
          <w:numId w:val="63"/>
        </w:numPr>
        <w:shd w:val="clear" w:color="auto" w:fill="auto"/>
        <w:tabs>
          <w:tab w:pos="712" w:val="left"/>
        </w:tabs>
        <w:bidi w:val="0"/>
        <w:spacing w:before="0" w:after="0" w:line="326" w:lineRule="auto"/>
        <w:ind w:left="0" w:right="0" w:firstLine="380"/>
        <w:jc w:val="left"/>
      </w:pPr>
      <w:bookmarkStart w:id="1102" w:name="bookmark1102"/>
      <w:bookmarkEnd w:id="1102"/>
      <w:r>
        <w:rPr>
          <w:b/>
          <w:bCs/>
          <w:color w:val="000000"/>
          <w:spacing w:val="0"/>
          <w:w w:val="100"/>
          <w:position w:val="0"/>
        </w:rPr>
        <w:t>会计处理方法</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与资产相关的政府补助，确认为递延收益，按照所建造或购买的资产使用年限内按照合理、系统的方 法分期计入损益；</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与收益相关的政府补助，用于补偿企业以后期间的相关费用或损失的，确认为递延收益，在确认相关 费用或损失的期间计入当期损益；用于补偿企业已发生的相关费用或损失的，取得时直接计入当期损益。</w:t>
      </w:r>
    </w:p>
    <w:p>
      <w:pPr>
        <w:pStyle w:val="Style1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与企业日常活动相关的政府补助计入其他收益；与企业日常活动无关的政府补助计入营业外收支。</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18"/>
        <w:keepNext w:val="0"/>
        <w:keepLines w:val="0"/>
        <w:widowControl w:val="0"/>
        <w:shd w:val="clear" w:color="auto" w:fill="auto"/>
        <w:bidi w:val="0"/>
        <w:spacing w:before="0" w:after="280" w:line="311" w:lineRule="exact"/>
        <w:ind w:left="0" w:right="0" w:firstLine="420"/>
        <w:jc w:val="both"/>
      </w:pPr>
      <w:r>
        <w:rPr>
          <w:color w:val="000000"/>
          <w:spacing w:val="0"/>
          <w:w w:val="100"/>
          <w:position w:val="0"/>
        </w:rPr>
        <w:t xml:space="preserve">已确认的政府补助需要返还时，初始确认时冲减相关资产账面价值的，调整资产账面价值；存在相关 递延收益余额的，冲减相关递延收益账面余额，超出部分计入当期损益；不存在相关递延收益的，直接计 </w:t>
      </w:r>
      <w:r>
        <w:rPr>
          <w:color w:val="000000"/>
          <w:spacing w:val="0"/>
          <w:w w:val="100"/>
          <w:position w:val="0"/>
        </w:rPr>
        <w:t>入当期损益。</w:t>
      </w:r>
    </w:p>
    <w:p>
      <w:pPr>
        <w:pStyle w:val="Style32"/>
        <w:keepNext/>
        <w:keepLines/>
        <w:widowControl w:val="0"/>
        <w:shd w:val="clear" w:color="auto" w:fill="auto"/>
        <w:tabs>
          <w:tab w:pos="500" w:val="left"/>
        </w:tabs>
        <w:bidi w:val="0"/>
        <w:spacing w:before="0" w:after="280" w:line="316" w:lineRule="exact"/>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3"/>
      <w:bookmarkEnd w:id="1104"/>
      <w:bookmarkEnd w:id="1106"/>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18"/>
        <w:keepNext w:val="0"/>
        <w:keepLines w:val="0"/>
        <w:widowControl w:val="0"/>
        <w:numPr>
          <w:ilvl w:val="0"/>
          <w:numId w:val="65"/>
        </w:numPr>
        <w:shd w:val="clear" w:color="auto" w:fill="auto"/>
        <w:tabs>
          <w:tab w:pos="710" w:val="left"/>
        </w:tabs>
        <w:bidi w:val="0"/>
        <w:spacing w:before="0" w:after="0" w:line="316" w:lineRule="exact"/>
        <w:ind w:left="0" w:right="0" w:firstLine="380"/>
        <w:jc w:val="both"/>
      </w:pPr>
      <w:bookmarkStart w:id="1107" w:name="bookmark1107"/>
      <w:bookmarkEnd w:id="1107"/>
      <w:r>
        <w:rPr>
          <w:b/>
          <w:bCs/>
          <w:color w:val="000000"/>
          <w:spacing w:val="0"/>
          <w:w w:val="100"/>
          <w:position w:val="0"/>
        </w:rPr>
        <w:t>确认递延所得税资产的依据</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 不影响会计利润也不影响应纳税所得额或可抵扣亏损。</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18"/>
        <w:keepNext w:val="0"/>
        <w:keepLines w:val="0"/>
        <w:widowControl w:val="0"/>
        <w:numPr>
          <w:ilvl w:val="0"/>
          <w:numId w:val="65"/>
        </w:numPr>
        <w:shd w:val="clear" w:color="auto" w:fill="auto"/>
        <w:tabs>
          <w:tab w:pos="719" w:val="left"/>
        </w:tabs>
        <w:bidi w:val="0"/>
        <w:spacing w:before="0" w:after="0" w:line="316" w:lineRule="exact"/>
        <w:ind w:left="0" w:right="0" w:firstLine="380"/>
        <w:jc w:val="both"/>
      </w:pPr>
      <w:bookmarkStart w:id="1108" w:name="bookmark1108"/>
      <w:bookmarkEnd w:id="1108"/>
      <w:r>
        <w:rPr>
          <w:b/>
          <w:bCs/>
          <w:color w:val="000000"/>
          <w:spacing w:val="0"/>
          <w:w w:val="100"/>
          <w:position w:val="0"/>
        </w:rPr>
        <w:t>确认递延所得税负债的依据</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公司将当期与以前期间应交未交的应纳税暂时性差异确认为递延所得税负债。但不包括：</w:t>
      </w:r>
    </w:p>
    <w:p>
      <w:pPr>
        <w:pStyle w:val="Style18"/>
        <w:keepNext w:val="0"/>
        <w:keepLines w:val="0"/>
        <w:widowControl w:val="0"/>
        <w:shd w:val="clear" w:color="auto" w:fill="auto"/>
        <w:tabs>
          <w:tab w:pos="890" w:val="left"/>
        </w:tabs>
        <w:bidi w:val="0"/>
        <w:spacing w:before="0" w:after="0" w:line="316" w:lineRule="exact"/>
        <w:ind w:left="0" w:right="0" w:firstLine="38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18"/>
        <w:keepNext w:val="0"/>
        <w:keepLines w:val="0"/>
        <w:widowControl w:val="0"/>
        <w:shd w:val="clear" w:color="auto" w:fill="auto"/>
        <w:tabs>
          <w:tab w:pos="1021" w:val="left"/>
        </w:tabs>
        <w:bidi w:val="0"/>
        <w:spacing w:before="0" w:after="0" w:line="316" w:lineRule="exact"/>
        <w:ind w:left="0" w:right="0" w:firstLine="42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 得额（或可抵扣亏损）所形成的暂时性差异；</w:t>
      </w:r>
    </w:p>
    <w:p>
      <w:pPr>
        <w:pStyle w:val="Style18"/>
        <w:keepNext w:val="0"/>
        <w:keepLines w:val="0"/>
        <w:widowControl w:val="0"/>
        <w:shd w:val="clear" w:color="auto" w:fill="auto"/>
        <w:tabs>
          <w:tab w:pos="1016" w:val="left"/>
        </w:tabs>
        <w:bidi w:val="0"/>
        <w:spacing w:before="0" w:after="0" w:line="316" w:lineRule="exact"/>
        <w:ind w:left="0" w:right="0" w:firstLine="42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18"/>
        <w:keepNext w:val="0"/>
        <w:keepLines w:val="0"/>
        <w:widowControl w:val="0"/>
        <w:numPr>
          <w:ilvl w:val="0"/>
          <w:numId w:val="65"/>
        </w:numPr>
        <w:shd w:val="clear" w:color="auto" w:fill="auto"/>
        <w:tabs>
          <w:tab w:pos="759" w:val="left"/>
        </w:tabs>
        <w:bidi w:val="0"/>
        <w:spacing w:before="0" w:after="0" w:line="316" w:lineRule="exact"/>
        <w:ind w:left="0" w:right="0" w:firstLine="420"/>
        <w:jc w:val="both"/>
      </w:pPr>
      <w:bookmarkStart w:id="1112" w:name="bookmark1112"/>
      <w:bookmarkEnd w:id="1112"/>
      <w:r>
        <w:rPr>
          <w:b/>
          <w:bCs/>
          <w:color w:val="000000"/>
          <w:spacing w:val="0"/>
          <w:w w:val="100"/>
          <w:position w:val="0"/>
        </w:rPr>
        <w:t>同时满足下列条件时，将递延所得税资产及递延所得税负债以抵销后的净额列示</w:t>
      </w:r>
    </w:p>
    <w:p>
      <w:pPr>
        <w:pStyle w:val="Style18"/>
        <w:keepNext w:val="0"/>
        <w:keepLines w:val="0"/>
        <w:widowControl w:val="0"/>
        <w:shd w:val="clear" w:color="auto" w:fill="auto"/>
        <w:tabs>
          <w:tab w:pos="908" w:val="left"/>
        </w:tabs>
        <w:bidi w:val="0"/>
        <w:spacing w:before="0" w:after="0" w:line="316" w:lineRule="exact"/>
        <w:ind w:left="0" w:right="0" w:firstLine="42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18"/>
        <w:keepNext w:val="0"/>
        <w:keepLines w:val="0"/>
        <w:widowControl w:val="0"/>
        <w:shd w:val="clear" w:color="auto" w:fill="auto"/>
        <w:tabs>
          <w:tab w:pos="1021" w:val="left"/>
        </w:tabs>
        <w:bidi w:val="0"/>
        <w:spacing w:before="0" w:after="380" w:line="316" w:lineRule="exact"/>
        <w:ind w:left="0" w:right="0" w:firstLine="42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32"/>
        <w:keepNext/>
        <w:keepLines/>
        <w:widowControl w:val="0"/>
        <w:shd w:val="clear" w:color="auto" w:fill="auto"/>
        <w:tabs>
          <w:tab w:pos="500" w:val="left"/>
        </w:tabs>
        <w:bidi w:val="0"/>
        <w:spacing w:before="0" w:after="200" w:line="331"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15"/>
      <w:bookmarkEnd w:id="1116"/>
      <w:bookmarkEnd w:id="1118"/>
    </w:p>
    <w:p>
      <w:pPr>
        <w:pStyle w:val="Style37"/>
        <w:keepNext/>
        <w:keepLines/>
        <w:widowControl w:val="0"/>
        <w:shd w:val="clear" w:color="auto" w:fill="auto"/>
        <w:bidi w:val="0"/>
        <w:spacing w:before="0" w:after="280" w:line="316" w:lineRule="exact"/>
        <w:ind w:left="0" w:right="0" w:firstLine="0"/>
        <w:jc w:val="left"/>
      </w:pPr>
      <w:bookmarkStart w:id="1119" w:name="bookmark1119"/>
      <w:bookmarkStart w:id="1120" w:name="bookmark1120"/>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19"/>
      <w:bookmarkEnd w:id="1120"/>
      <w:bookmarkEnd w:id="1121"/>
    </w:p>
    <w:p>
      <w:pPr>
        <w:pStyle w:val="Style37"/>
        <w:keepNext/>
        <w:keepLines/>
        <w:widowControl w:val="0"/>
        <w:numPr>
          <w:ilvl w:val="0"/>
          <w:numId w:val="67"/>
        </w:numPr>
        <w:shd w:val="clear" w:color="auto" w:fill="auto"/>
        <w:tabs>
          <w:tab w:pos="710" w:val="left"/>
        </w:tabs>
        <w:bidi w:val="0"/>
        <w:spacing w:before="0" w:after="0" w:line="316" w:lineRule="exact"/>
        <w:ind w:left="0" w:right="0" w:firstLine="380"/>
        <w:jc w:val="both"/>
      </w:pPr>
      <w:bookmarkStart w:id="1119" w:name="bookmark1119"/>
      <w:bookmarkStart w:id="1120" w:name="bookmark1120"/>
      <w:bookmarkStart w:id="1122" w:name="bookmark1122"/>
      <w:bookmarkEnd w:id="1122"/>
      <w:r>
        <w:rPr>
          <w:color w:val="000000"/>
          <w:spacing w:val="0"/>
          <w:w w:val="100"/>
          <w:position w:val="0"/>
        </w:rPr>
        <w:t>本公司作为承租人的会计处理</w:t>
      </w:r>
      <w:bookmarkEnd w:id="1119"/>
      <w:bookmarkEnd w:id="1120"/>
    </w:p>
    <w:p>
      <w:pPr>
        <w:pStyle w:val="Style18"/>
        <w:keepNext w:val="0"/>
        <w:keepLines w:val="0"/>
        <w:widowControl w:val="0"/>
        <w:shd w:val="clear" w:color="auto" w:fill="auto"/>
        <w:bidi w:val="0"/>
        <w:spacing w:before="0" w:after="0" w:line="318" w:lineRule="exact"/>
        <w:ind w:left="0" w:right="0" w:firstLine="420"/>
        <w:jc w:val="both"/>
      </w:pPr>
      <w:r>
        <w:rPr>
          <w:color w:val="000000"/>
          <w:spacing w:val="0"/>
          <w:w w:val="100"/>
          <w:position w:val="0"/>
        </w:rPr>
        <w:t>在租赁期开始日，除应用简化处理的短期租赁和低价值资产租赁外，本公司对租赁确认使用权资产和 租赁负债。</w:t>
      </w:r>
    </w:p>
    <w:p>
      <w:pPr>
        <w:pStyle w:val="Style18"/>
        <w:keepNext w:val="0"/>
        <w:keepLines w:val="0"/>
        <w:widowControl w:val="0"/>
        <w:shd w:val="clear" w:color="auto" w:fill="auto"/>
        <w:tabs>
          <w:tab w:pos="908" w:val="left"/>
        </w:tabs>
        <w:bidi w:val="0"/>
        <w:spacing w:before="0" w:after="0" w:line="318" w:lineRule="exact"/>
        <w:ind w:left="0" w:right="0" w:firstLine="42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w:t>
        <w:tab/>
        <w:t>短期租赁和低价值资产租赁</w:t>
      </w:r>
    </w:p>
    <w:p>
      <w:pPr>
        <w:pStyle w:val="Style18"/>
        <w:keepNext w:val="0"/>
        <w:keepLines w:val="0"/>
        <w:widowControl w:val="0"/>
        <w:shd w:val="clear" w:color="auto" w:fill="auto"/>
        <w:bidi w:val="0"/>
        <w:spacing w:before="0" w:after="0" w:line="318" w:lineRule="exact"/>
        <w:ind w:left="0" w:right="0" w:firstLine="42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个月的租赁。低价值资产租赁是指单项租赁资产为 全新资产时价值较低的租赁。</w:t>
      </w:r>
    </w:p>
    <w:p>
      <w:pPr>
        <w:pStyle w:val="Style18"/>
        <w:keepNext w:val="0"/>
        <w:keepLines w:val="0"/>
        <w:widowControl w:val="0"/>
        <w:shd w:val="clear" w:color="auto" w:fill="auto"/>
        <w:bidi w:val="0"/>
        <w:spacing w:before="0" w:after="0" w:line="318" w:lineRule="exact"/>
        <w:ind w:left="0" w:right="0" w:firstLine="420"/>
        <w:jc w:val="both"/>
      </w:pPr>
      <w:r>
        <w:rPr>
          <w:color w:val="000000"/>
          <w:spacing w:val="0"/>
          <w:w w:val="100"/>
          <w:position w:val="0"/>
        </w:rPr>
        <w:t>本公司对以下短期租赁和低价值资产租赁不确认使用权资产和租赁负债，相关租赁付款额在租赁期内 各个期间按照直线法或其他系统合理的方法计入相关资产成本或当期损益</w:t>
      </w:r>
    </w:p>
    <w:p>
      <w:pPr>
        <w:pStyle w:val="Style18"/>
        <w:keepNext w:val="0"/>
        <w:keepLines w:val="0"/>
        <w:widowControl w:val="0"/>
        <w:shd w:val="clear" w:color="auto" w:fill="auto"/>
        <w:bidi w:val="0"/>
        <w:spacing w:before="0" w:after="0" w:line="318" w:lineRule="exact"/>
        <w:ind w:left="0" w:right="0" w:firstLine="42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 使用权资产和租赁负债的会计政策详见本附注五、</w:t>
      </w:r>
      <w:r>
        <w:rPr>
          <w:rFonts w:ascii="Times New Roman" w:eastAsia="Times New Roman" w:hAnsi="Times New Roman" w:cs="Times New Roman"/>
          <w:color w:val="000000"/>
          <w:spacing w:val="0"/>
          <w:w w:val="100"/>
          <w:position w:val="0"/>
        </w:rPr>
        <w:t>20</w:t>
      </w:r>
      <w:r>
        <w:rPr>
          <w:color w:val="000000"/>
          <w:spacing w:val="0"/>
          <w:w w:val="100"/>
          <w:position w:val="0"/>
        </w:rPr>
        <w:t>和</w:t>
      </w:r>
      <w:r>
        <w:rPr>
          <w:rFonts w:ascii="Times New Roman" w:eastAsia="Times New Roman" w:hAnsi="Times New Roman" w:cs="Times New Roman"/>
          <w:color w:val="000000"/>
          <w:spacing w:val="0"/>
          <w:w w:val="100"/>
          <w:position w:val="0"/>
        </w:rPr>
        <w:t>26</w:t>
      </w:r>
      <w:r>
        <w:rPr>
          <w:color w:val="000000"/>
          <w:spacing w:val="0"/>
          <w:w w:val="100"/>
          <w:position w:val="0"/>
        </w:rPr>
        <w:t>。</w:t>
      </w:r>
    </w:p>
    <w:p>
      <w:pPr>
        <w:pStyle w:val="Style18"/>
        <w:keepNext w:val="0"/>
        <w:keepLines w:val="0"/>
        <w:widowControl w:val="0"/>
        <w:numPr>
          <w:ilvl w:val="0"/>
          <w:numId w:val="67"/>
        </w:numPr>
        <w:shd w:val="clear" w:color="auto" w:fill="auto"/>
        <w:tabs>
          <w:tab w:pos="699" w:val="left"/>
        </w:tabs>
        <w:bidi w:val="0"/>
        <w:spacing w:before="0" w:after="0" w:line="318" w:lineRule="exact"/>
        <w:ind w:left="0" w:right="0" w:firstLine="360"/>
        <w:jc w:val="both"/>
      </w:pPr>
      <w:bookmarkStart w:id="1125" w:name="bookmark1125"/>
      <w:bookmarkEnd w:id="1125"/>
      <w:r>
        <w:rPr>
          <w:b/>
          <w:bCs/>
          <w:color w:val="000000"/>
          <w:spacing w:val="0"/>
          <w:w w:val="100"/>
          <w:position w:val="0"/>
        </w:rPr>
        <w:t>本公司作为出租人的会计处理</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）租赁的分类</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 xml:space="preserve">本公司在租赁开始日将租赁分为融资租赁和经营租赁。融资租赁是指实质上转移了与租赁资产所有权 有关的几乎全部风险和报酬的租赁，其所有权最终可能转移，也可能不转移。经营租赁是指除融资租赁以 </w:t>
      </w:r>
      <w:r>
        <w:rPr>
          <w:color w:val="000000"/>
          <w:spacing w:val="0"/>
          <w:w w:val="100"/>
          <w:position w:val="0"/>
        </w:rPr>
        <w:t>外的其他租赁。</w:t>
      </w:r>
    </w:p>
    <w:p>
      <w:pPr>
        <w:pStyle w:val="Style1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本公司在租赁期内各个期间采用直线法或其他系统合理的方法，将经营租赁的租赁收款额确认为租金 收入；发生的与经营租赁有关的初始直接费用资本化，在租赁期内按照与租金收入确认相同的基础进行分 摊，分期计入当期损益；取得的与经营租赁有关的未计入租赁收款额的可变租赁付款额，在实际发生时计 入当期损益。</w:t>
      </w:r>
    </w:p>
    <w:p>
      <w:pPr>
        <w:pStyle w:val="Style37"/>
        <w:keepNext/>
        <w:keepLines/>
        <w:widowControl w:val="0"/>
        <w:shd w:val="clear" w:color="auto" w:fill="auto"/>
        <w:bidi w:val="0"/>
        <w:spacing w:before="0" w:after="280" w:line="314" w:lineRule="exact"/>
        <w:ind w:left="0" w:right="0" w:firstLine="0"/>
        <w:jc w:val="left"/>
      </w:pPr>
      <w:bookmarkStart w:id="1126" w:name="bookmark1126"/>
      <w:bookmarkStart w:id="1127" w:name="bookmark1127"/>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26"/>
      <w:bookmarkEnd w:id="1127"/>
      <w:bookmarkEnd w:id="1128"/>
    </w:p>
    <w:p>
      <w:pPr>
        <w:pStyle w:val="Style18"/>
        <w:keepNext w:val="0"/>
        <w:keepLines w:val="0"/>
        <w:widowControl w:val="0"/>
        <w:shd w:val="clear" w:color="auto" w:fill="auto"/>
        <w:bidi w:val="0"/>
        <w:spacing w:before="0" w:after="80" w:line="314" w:lineRule="exact"/>
        <w:ind w:left="0" w:right="0" w:firstLine="360"/>
        <w:jc w:val="left"/>
      </w:pPr>
      <w:r>
        <w:rPr>
          <w:color w:val="000000"/>
          <w:spacing w:val="0"/>
          <w:w w:val="100"/>
          <w:position w:val="0"/>
        </w:rPr>
        <w:t>一项租赁存在下列一种或多种情形的，本公司通常分类为融资租赁：</w:t>
      </w:r>
    </w:p>
    <w:p>
      <w:pPr>
        <w:pStyle w:val="Style18"/>
        <w:keepNext w:val="0"/>
        <w:keepLines w:val="0"/>
        <w:widowControl w:val="0"/>
        <w:shd w:val="clear" w:color="auto" w:fill="auto"/>
        <w:tabs>
          <w:tab w:pos="813" w:val="left"/>
        </w:tabs>
        <w:bidi w:val="0"/>
        <w:spacing w:before="0" w:after="0" w:line="329" w:lineRule="auto"/>
        <w:ind w:left="0" w:right="0" w:firstLine="440"/>
        <w:jc w:val="left"/>
      </w:pPr>
      <w:bookmarkStart w:id="1129" w:name="bookmark1129"/>
      <w:r>
        <w:rPr>
          <w:rFonts w:ascii="Times New Roman" w:eastAsia="Times New Roman" w:hAnsi="Times New Roman" w:cs="Times New Roman"/>
          <w:color w:val="000000"/>
          <w:spacing w:val="0"/>
          <w:w w:val="100"/>
          <w:position w:val="0"/>
        </w:rPr>
        <w:t>1</w:t>
      </w:r>
      <w:bookmarkEnd w:id="1129"/>
      <w:r>
        <w:rPr>
          <w:color w:val="000000"/>
          <w:spacing w:val="0"/>
          <w:w w:val="100"/>
          <w:position w:val="0"/>
        </w:rPr>
        <w:t>）</w:t>
        <w:tab/>
        <w:t>在租赁期届满时，租赁资产的所有权转移给承租人。</w:t>
      </w:r>
    </w:p>
    <w:p>
      <w:pPr>
        <w:pStyle w:val="Style18"/>
        <w:keepNext w:val="0"/>
        <w:keepLines w:val="0"/>
        <w:widowControl w:val="0"/>
        <w:shd w:val="clear" w:color="auto" w:fill="auto"/>
        <w:bidi w:val="0"/>
        <w:spacing w:before="0" w:after="80" w:line="314" w:lineRule="exact"/>
        <w:ind w:left="0" w:right="0" w:firstLine="440"/>
        <w:jc w:val="both"/>
      </w:pPr>
      <w:bookmarkStart w:id="1130" w:name="bookmark1130"/>
      <w:r>
        <w:rPr>
          <w:rFonts w:ascii="Times New Roman" w:eastAsia="Times New Roman" w:hAnsi="Times New Roman" w:cs="Times New Roman"/>
          <w:color w:val="000000"/>
          <w:spacing w:val="0"/>
          <w:w w:val="100"/>
          <w:position w:val="0"/>
        </w:rPr>
        <w:t>2</w:t>
      </w:r>
      <w:bookmarkEnd w:id="1130"/>
      <w:r>
        <w:rPr>
          <w:color w:val="000000"/>
          <w:spacing w:val="0"/>
          <w:w w:val="100"/>
          <w:position w:val="0"/>
        </w:rPr>
        <w:t>） 承租人有购买租赁资产的选择权，所订立的购买价款与预计行使选择权时租赁资产的公允价值相 比足够低，因而在租赁开始日就可以合理确定承租人将行使该选择权。</w:t>
      </w:r>
    </w:p>
    <w:p>
      <w:pPr>
        <w:pStyle w:val="Style18"/>
        <w:keepNext w:val="0"/>
        <w:keepLines w:val="0"/>
        <w:widowControl w:val="0"/>
        <w:shd w:val="clear" w:color="auto" w:fill="auto"/>
        <w:tabs>
          <w:tab w:pos="832" w:val="left"/>
        </w:tabs>
        <w:bidi w:val="0"/>
        <w:spacing w:before="0" w:after="0" w:line="329" w:lineRule="auto"/>
        <w:ind w:left="0" w:right="0" w:firstLine="440"/>
        <w:jc w:val="left"/>
      </w:pPr>
      <w:bookmarkStart w:id="1131" w:name="bookmark1131"/>
      <w:r>
        <w:rPr>
          <w:rFonts w:ascii="Times New Roman" w:eastAsia="Times New Roman" w:hAnsi="Times New Roman" w:cs="Times New Roman"/>
          <w:color w:val="000000"/>
          <w:spacing w:val="0"/>
          <w:w w:val="100"/>
          <w:position w:val="0"/>
        </w:rPr>
        <w:t>3</w:t>
      </w:r>
      <w:bookmarkEnd w:id="1131"/>
      <w:r>
        <w:rPr>
          <w:color w:val="000000"/>
          <w:spacing w:val="0"/>
          <w:w w:val="100"/>
          <w:position w:val="0"/>
        </w:rPr>
        <w:t>）</w:t>
        <w:tab/>
        <w:t>资产的所有权虽然不转移，但租赁期占租赁资产使用寿命的大部分。</w:t>
      </w:r>
    </w:p>
    <w:p>
      <w:pPr>
        <w:pStyle w:val="Style18"/>
        <w:keepNext w:val="0"/>
        <w:keepLines w:val="0"/>
        <w:widowControl w:val="0"/>
        <w:shd w:val="clear" w:color="auto" w:fill="auto"/>
        <w:tabs>
          <w:tab w:pos="832" w:val="left"/>
        </w:tabs>
        <w:bidi w:val="0"/>
        <w:spacing w:before="0" w:after="0" w:line="329" w:lineRule="auto"/>
        <w:ind w:left="0" w:right="0" w:firstLine="440"/>
        <w:jc w:val="left"/>
      </w:pPr>
      <w:bookmarkStart w:id="1132" w:name="bookmark1132"/>
      <w:r>
        <w:rPr>
          <w:rFonts w:ascii="Times New Roman" w:eastAsia="Times New Roman" w:hAnsi="Times New Roman" w:cs="Times New Roman"/>
          <w:color w:val="000000"/>
          <w:spacing w:val="0"/>
          <w:w w:val="100"/>
          <w:position w:val="0"/>
        </w:rPr>
        <w:t>4</w:t>
      </w:r>
      <w:bookmarkEnd w:id="1132"/>
      <w:r>
        <w:rPr>
          <w:color w:val="000000"/>
          <w:spacing w:val="0"/>
          <w:w w:val="100"/>
          <w:position w:val="0"/>
        </w:rPr>
        <w:t>）</w:t>
        <w:tab/>
        <w:t>在租赁开始日，租赁收款额的现值几乎相当于租赁资产的公允价值。</w:t>
      </w:r>
    </w:p>
    <w:p>
      <w:pPr>
        <w:pStyle w:val="Style18"/>
        <w:keepNext w:val="0"/>
        <w:keepLines w:val="0"/>
        <w:widowControl w:val="0"/>
        <w:shd w:val="clear" w:color="auto" w:fill="auto"/>
        <w:tabs>
          <w:tab w:pos="832" w:val="left"/>
        </w:tabs>
        <w:bidi w:val="0"/>
        <w:spacing w:before="0" w:after="0" w:line="329" w:lineRule="auto"/>
        <w:ind w:left="0" w:right="0" w:firstLine="440"/>
        <w:jc w:val="left"/>
      </w:pPr>
      <w:bookmarkStart w:id="1133" w:name="bookmark1133"/>
      <w:r>
        <w:rPr>
          <w:rFonts w:ascii="Times New Roman" w:eastAsia="Times New Roman" w:hAnsi="Times New Roman" w:cs="Times New Roman"/>
          <w:color w:val="000000"/>
          <w:spacing w:val="0"/>
          <w:w w:val="100"/>
          <w:position w:val="0"/>
        </w:rPr>
        <w:t>5</w:t>
      </w:r>
      <w:bookmarkEnd w:id="1133"/>
      <w:r>
        <w:rPr>
          <w:color w:val="000000"/>
          <w:spacing w:val="0"/>
          <w:w w:val="100"/>
          <w:position w:val="0"/>
        </w:rPr>
        <w:t>）</w:t>
        <w:tab/>
        <w:t>租赁资产性质特殊，如果不作较大改造，只有承租人才能使用。</w:t>
      </w:r>
    </w:p>
    <w:p>
      <w:pPr>
        <w:pStyle w:val="Style18"/>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一项租赁存在下列一项或多项迹象的，本公司也可能分类为融资租赁：</w:t>
      </w:r>
    </w:p>
    <w:p>
      <w:pPr>
        <w:pStyle w:val="Style18"/>
        <w:keepNext w:val="0"/>
        <w:keepLines w:val="0"/>
        <w:widowControl w:val="0"/>
        <w:shd w:val="clear" w:color="auto" w:fill="auto"/>
        <w:tabs>
          <w:tab w:pos="813" w:val="left"/>
        </w:tabs>
        <w:bidi w:val="0"/>
        <w:spacing w:before="0" w:after="0" w:line="329" w:lineRule="auto"/>
        <w:ind w:left="0" w:right="0" w:firstLine="440"/>
        <w:jc w:val="left"/>
      </w:pPr>
      <w:bookmarkStart w:id="1134" w:name="bookmark1134"/>
      <w:r>
        <w:rPr>
          <w:rFonts w:ascii="Times New Roman" w:eastAsia="Times New Roman" w:hAnsi="Times New Roman" w:cs="Times New Roman"/>
          <w:color w:val="000000"/>
          <w:spacing w:val="0"/>
          <w:w w:val="100"/>
          <w:position w:val="0"/>
        </w:rPr>
        <w:t>1</w:t>
      </w:r>
      <w:bookmarkEnd w:id="1134"/>
      <w:r>
        <w:rPr>
          <w:color w:val="000000"/>
          <w:spacing w:val="0"/>
          <w:w w:val="100"/>
          <w:position w:val="0"/>
        </w:rPr>
        <w:t>）</w:t>
        <w:tab/>
        <w:t>若承租人撤销租赁，撤销租赁对出租人造成的损失由承租人承担。</w:t>
      </w:r>
    </w:p>
    <w:p>
      <w:pPr>
        <w:pStyle w:val="Style18"/>
        <w:keepNext w:val="0"/>
        <w:keepLines w:val="0"/>
        <w:widowControl w:val="0"/>
        <w:shd w:val="clear" w:color="auto" w:fill="auto"/>
        <w:tabs>
          <w:tab w:pos="832" w:val="left"/>
        </w:tabs>
        <w:bidi w:val="0"/>
        <w:spacing w:before="0" w:after="0" w:line="329" w:lineRule="auto"/>
        <w:ind w:left="0" w:right="0" w:firstLine="440"/>
        <w:jc w:val="left"/>
      </w:pPr>
      <w:bookmarkStart w:id="1135" w:name="bookmark1135"/>
      <w:r>
        <w:rPr>
          <w:rFonts w:ascii="Times New Roman" w:eastAsia="Times New Roman" w:hAnsi="Times New Roman" w:cs="Times New Roman"/>
          <w:color w:val="000000"/>
          <w:spacing w:val="0"/>
          <w:w w:val="100"/>
          <w:position w:val="0"/>
        </w:rPr>
        <w:t>2</w:t>
      </w:r>
      <w:bookmarkEnd w:id="1135"/>
      <w:r>
        <w:rPr>
          <w:color w:val="000000"/>
          <w:spacing w:val="0"/>
          <w:w w:val="100"/>
          <w:position w:val="0"/>
        </w:rPr>
        <w:t>）</w:t>
        <w:tab/>
        <w:t>资产余值的公允价值波动所产生的利得或损失归属于承租人。</w:t>
      </w:r>
    </w:p>
    <w:p>
      <w:pPr>
        <w:pStyle w:val="Style18"/>
        <w:keepNext w:val="0"/>
        <w:keepLines w:val="0"/>
        <w:widowControl w:val="0"/>
        <w:shd w:val="clear" w:color="auto" w:fill="auto"/>
        <w:tabs>
          <w:tab w:pos="832" w:val="left"/>
        </w:tabs>
        <w:bidi w:val="0"/>
        <w:spacing w:before="0" w:after="0" w:line="329" w:lineRule="auto"/>
        <w:ind w:left="0" w:right="0" w:firstLine="440"/>
        <w:jc w:val="left"/>
      </w:pPr>
      <w:bookmarkStart w:id="1136" w:name="bookmark1136"/>
      <w:r>
        <w:rPr>
          <w:rFonts w:ascii="Times New Roman" w:eastAsia="Times New Roman" w:hAnsi="Times New Roman" w:cs="Times New Roman"/>
          <w:color w:val="000000"/>
          <w:spacing w:val="0"/>
          <w:w w:val="100"/>
          <w:position w:val="0"/>
        </w:rPr>
        <w:t>3</w:t>
      </w:r>
      <w:bookmarkEnd w:id="1136"/>
      <w:r>
        <w:rPr>
          <w:color w:val="000000"/>
          <w:spacing w:val="0"/>
          <w:w w:val="100"/>
          <w:position w:val="0"/>
        </w:rPr>
        <w:t>）</w:t>
        <w:tab/>
        <w:t>承租人有能力以远低于市场水平的租金继续租赁至下一期间。</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）对融资租赁的会计处理</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在租赁期开始日，本公司对融资租赁确认应收融资租赁款，并终止确认融资租赁资产。</w:t>
      </w:r>
    </w:p>
    <w:p>
      <w:pPr>
        <w:pStyle w:val="Style18"/>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应收融资租赁款初始计量时，以未担保余值和租赁期开始日尚未收到的租赁收款额按照租赁内含利率 折现的现值之和作为应收融资租赁款的入账价值。租赁收款额包括：</w:t>
      </w:r>
    </w:p>
    <w:p>
      <w:pPr>
        <w:pStyle w:val="Style18"/>
        <w:keepNext w:val="0"/>
        <w:keepLines w:val="0"/>
        <w:widowControl w:val="0"/>
        <w:shd w:val="clear" w:color="auto" w:fill="auto"/>
        <w:tabs>
          <w:tab w:pos="813" w:val="left"/>
        </w:tabs>
        <w:bidi w:val="0"/>
        <w:spacing w:before="0" w:after="0" w:line="329" w:lineRule="auto"/>
        <w:ind w:left="0" w:right="0" w:firstLine="440"/>
        <w:jc w:val="left"/>
      </w:pPr>
      <w:bookmarkStart w:id="1137" w:name="bookmark1137"/>
      <w:r>
        <w:rPr>
          <w:rFonts w:ascii="Times New Roman" w:eastAsia="Times New Roman" w:hAnsi="Times New Roman" w:cs="Times New Roman"/>
          <w:color w:val="000000"/>
          <w:spacing w:val="0"/>
          <w:w w:val="100"/>
          <w:position w:val="0"/>
        </w:rPr>
        <w:t>1</w:t>
      </w:r>
      <w:bookmarkEnd w:id="1137"/>
      <w:r>
        <w:rPr>
          <w:color w:val="000000"/>
          <w:spacing w:val="0"/>
          <w:w w:val="100"/>
          <w:position w:val="0"/>
        </w:rPr>
        <w:t>）</w:t>
        <w:tab/>
        <w:t>扣除租赁激励相关金额后的固定付款额及实质固定付款额；</w:t>
      </w:r>
    </w:p>
    <w:p>
      <w:pPr>
        <w:pStyle w:val="Style18"/>
        <w:keepNext w:val="0"/>
        <w:keepLines w:val="0"/>
        <w:widowControl w:val="0"/>
        <w:shd w:val="clear" w:color="auto" w:fill="auto"/>
        <w:tabs>
          <w:tab w:pos="832" w:val="left"/>
        </w:tabs>
        <w:bidi w:val="0"/>
        <w:spacing w:before="0" w:after="0" w:line="341" w:lineRule="auto"/>
        <w:ind w:left="0" w:right="0" w:firstLine="440"/>
        <w:jc w:val="left"/>
      </w:pPr>
      <w:bookmarkStart w:id="1138" w:name="bookmark1138"/>
      <w:r>
        <w:rPr>
          <w:rFonts w:ascii="Times New Roman" w:eastAsia="Times New Roman" w:hAnsi="Times New Roman" w:cs="Times New Roman"/>
          <w:color w:val="000000"/>
          <w:spacing w:val="0"/>
          <w:w w:val="100"/>
          <w:position w:val="0"/>
        </w:rPr>
        <w:t>2</w:t>
      </w:r>
      <w:bookmarkEnd w:id="1138"/>
      <w:r>
        <w:rPr>
          <w:color w:val="000000"/>
          <w:spacing w:val="0"/>
          <w:w w:val="100"/>
          <w:position w:val="0"/>
        </w:rPr>
        <w:t>）</w:t>
        <w:tab/>
        <w:t>取决于指数或比率的可变租赁付款额；</w:t>
      </w:r>
    </w:p>
    <w:p>
      <w:pPr>
        <w:pStyle w:val="Style18"/>
        <w:keepNext w:val="0"/>
        <w:keepLines w:val="0"/>
        <w:widowControl w:val="0"/>
        <w:shd w:val="clear" w:color="auto" w:fill="auto"/>
        <w:tabs>
          <w:tab w:pos="832" w:val="left"/>
        </w:tabs>
        <w:bidi w:val="0"/>
        <w:spacing w:before="0" w:after="0" w:line="341" w:lineRule="auto"/>
        <w:ind w:left="0" w:right="0" w:firstLine="440"/>
        <w:jc w:val="left"/>
      </w:pPr>
      <w:bookmarkStart w:id="1139" w:name="bookmark1139"/>
      <w:r>
        <w:rPr>
          <w:rFonts w:ascii="Times New Roman" w:eastAsia="Times New Roman" w:hAnsi="Times New Roman" w:cs="Times New Roman"/>
          <w:color w:val="000000"/>
          <w:spacing w:val="0"/>
          <w:w w:val="100"/>
          <w:position w:val="0"/>
        </w:rPr>
        <w:t>3</w:t>
      </w:r>
      <w:bookmarkEnd w:id="1139"/>
      <w:r>
        <w:rPr>
          <w:color w:val="000000"/>
          <w:spacing w:val="0"/>
          <w:w w:val="100"/>
          <w:position w:val="0"/>
        </w:rPr>
        <w:t>）</w:t>
        <w:tab/>
        <w:t>合理确定承租人将行使购买选择权的情况下，租赁收款额包括购买选择权的行权价格；</w:t>
      </w:r>
    </w:p>
    <w:p>
      <w:pPr>
        <w:pStyle w:val="Style18"/>
        <w:keepNext w:val="0"/>
        <w:keepLines w:val="0"/>
        <w:widowControl w:val="0"/>
        <w:shd w:val="clear" w:color="auto" w:fill="auto"/>
        <w:bidi w:val="0"/>
        <w:spacing w:before="0" w:after="0" w:line="326" w:lineRule="exact"/>
        <w:ind w:left="0" w:right="0" w:firstLine="440"/>
        <w:jc w:val="both"/>
      </w:pPr>
      <w:bookmarkStart w:id="1140" w:name="bookmark1140"/>
      <w:r>
        <w:rPr>
          <w:rFonts w:ascii="Times New Roman" w:eastAsia="Times New Roman" w:hAnsi="Times New Roman" w:cs="Times New Roman"/>
          <w:color w:val="000000"/>
          <w:spacing w:val="0"/>
          <w:w w:val="100"/>
          <w:position w:val="0"/>
        </w:rPr>
        <w:t>4</w:t>
      </w:r>
      <w:bookmarkEnd w:id="1140"/>
      <w:r>
        <w:rPr>
          <w:color w:val="000000"/>
          <w:spacing w:val="0"/>
          <w:w w:val="100"/>
          <w:position w:val="0"/>
        </w:rPr>
        <w:t>） 租赁期反映出承租人将行使终止租赁选择权的情况下，租赁收款额包括承租人行使终止租赁选择 权需支付的款项；</w:t>
      </w:r>
    </w:p>
    <w:p>
      <w:pPr>
        <w:pStyle w:val="Style18"/>
        <w:keepNext w:val="0"/>
        <w:keepLines w:val="0"/>
        <w:widowControl w:val="0"/>
        <w:shd w:val="clear" w:color="auto" w:fill="auto"/>
        <w:tabs>
          <w:tab w:pos="814" w:val="left"/>
        </w:tabs>
        <w:bidi w:val="0"/>
        <w:spacing w:before="0" w:after="0" w:line="322" w:lineRule="exact"/>
        <w:ind w:left="0" w:right="0" w:firstLine="440"/>
        <w:jc w:val="both"/>
      </w:pPr>
      <w:bookmarkStart w:id="1141" w:name="bookmark1141"/>
      <w:r>
        <w:rPr>
          <w:rFonts w:ascii="Times New Roman" w:eastAsia="Times New Roman" w:hAnsi="Times New Roman" w:cs="Times New Roman"/>
          <w:color w:val="000000"/>
          <w:spacing w:val="0"/>
          <w:w w:val="100"/>
          <w:position w:val="0"/>
        </w:rPr>
        <w:t>5</w:t>
      </w:r>
      <w:bookmarkEnd w:id="1141"/>
      <w:r>
        <w:rPr>
          <w:color w:val="000000"/>
          <w:spacing w:val="0"/>
          <w:w w:val="100"/>
          <w:position w:val="0"/>
        </w:rPr>
        <w:t>）</w:t>
        <w:tab/>
        <w:t>由承租人、与承租人有关的一方以及有经济能力履行担保义务的独立第三方向出租人提供的担保 余值。</w:t>
      </w:r>
    </w:p>
    <w:p>
      <w:pPr>
        <w:pStyle w:val="Style1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本公司按照固定的租赁内含利率计算并确认租赁期内各个期间的利息收入，所取得的未纳入租赁投资净额 计量的可变租赁付款额在实际发生时计入当期损益。</w:t>
      </w:r>
    </w:p>
    <w:p>
      <w:pPr>
        <w:pStyle w:val="Style32"/>
        <w:keepNext/>
        <w:keepLines/>
        <w:widowControl w:val="0"/>
        <w:shd w:val="clear" w:color="auto" w:fill="auto"/>
        <w:bidi w:val="0"/>
        <w:spacing w:before="0" w:after="200" w:line="329"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1142"/>
      <w:bookmarkEnd w:id="1143"/>
      <w:bookmarkEnd w:id="1145"/>
    </w:p>
    <w:p>
      <w:pPr>
        <w:pStyle w:val="Style37"/>
        <w:keepNext/>
        <w:keepLines/>
        <w:widowControl w:val="0"/>
        <w:shd w:val="clear" w:color="auto" w:fill="auto"/>
        <w:bidi w:val="0"/>
        <w:spacing w:before="0" w:after="360" w:line="314" w:lineRule="exact"/>
        <w:ind w:left="0" w:right="0" w:firstLine="0"/>
        <w:jc w:val="both"/>
      </w:pPr>
      <w:bookmarkStart w:id="1146" w:name="bookmark1146"/>
      <w:bookmarkStart w:id="1147" w:name="bookmark1147"/>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46"/>
      <w:bookmarkEnd w:id="1147"/>
      <w:bookmarkEnd w:id="114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390"/>
        <w:gridCol w:w="2693"/>
        <w:gridCol w:w="15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 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年度第七届董事会 第十六次会议批准。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年发布的《企业会计准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②</w:t>
            </w:r>
          </w:p>
        </w:tc>
      </w:tr>
    </w:tbl>
    <w:p>
      <w:pPr>
        <w:widowControl w:val="0"/>
        <w:spacing w:line="1" w:lineRule="exact"/>
      </w:pPr>
    </w:p>
    <w:tbl>
      <w:tblPr>
        <w:tblOverlap w:val="never"/>
        <w:jc w:val="center"/>
        <w:tblLayout w:type="fixed"/>
      </w:tblPr>
      <w:tblGrid>
        <w:gridCol w:w="5390"/>
        <w:gridCol w:w="2693"/>
        <w:gridCol w:w="1502"/>
      </w:tblGrid>
      <w:tr>
        <w:trPr>
          <w:trHeight w:val="7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年发布的《企业会计 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③</w:t>
            </w:r>
          </w:p>
        </w:tc>
      </w:tr>
    </w:tbl>
    <w:p>
      <w:pPr>
        <w:pStyle w:val="Style18"/>
        <w:keepNext w:val="0"/>
        <w:keepLines w:val="0"/>
        <w:widowControl w:val="0"/>
        <w:numPr>
          <w:ilvl w:val="0"/>
          <w:numId w:val="69"/>
        </w:numPr>
        <w:shd w:val="clear" w:color="auto" w:fill="auto"/>
        <w:bidi w:val="0"/>
        <w:spacing w:before="0" w:after="0" w:line="316" w:lineRule="exact"/>
        <w:ind w:left="0" w:right="0" w:firstLine="360"/>
        <w:jc w:val="left"/>
      </w:pPr>
      <w:bookmarkStart w:id="1149" w:name="bookmark1149"/>
      <w:bookmarkEnd w:id="1149"/>
      <w:r>
        <w:rPr>
          <w:b/>
          <w:bCs/>
          <w:color w:val="000000"/>
          <w:spacing w:val="0"/>
          <w:w w:val="100"/>
          <w:position w:val="0"/>
        </w:rPr>
        <w:t>执行新租赁准则对本公司的影响</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号一租赁》，变更后的会计 政策详见附注四、重要会计政策、会计估计。</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在首次执行日，本公司选择不重新评估此前已存在的合同是否为租赁或是否包含租赁，并将此方法一 致应用于所有合同，因此仅对上述在原租赁准则下识别为租赁的合同采用本准则衔接规定。</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对于首次执行日前的经营租赁，承租人在首次执行日应当根据剩余租赁付款额按首次执行日承租人增 量借款利率折现的现值计量租赁负债，并根据每项租赁选择按照与租赁负债相等的金额计量使用权资产， 并根据预付租金进行必要调整。</w:t>
      </w:r>
    </w:p>
    <w:p>
      <w:pPr>
        <w:pStyle w:val="Style18"/>
        <w:keepNext w:val="0"/>
        <w:keepLines w:val="0"/>
        <w:widowControl w:val="0"/>
        <w:shd w:val="clear" w:color="auto" w:fill="auto"/>
        <w:bidi w:val="0"/>
        <w:spacing w:before="0" w:after="60" w:line="316" w:lineRule="exact"/>
        <w:ind w:left="0" w:right="0" w:firstLine="420"/>
        <w:jc w:val="both"/>
      </w:pPr>
      <w:r>
        <w:rPr>
          <w:color w:val="000000"/>
          <w:spacing w:val="0"/>
          <w:w w:val="100"/>
          <w:position w:val="0"/>
        </w:rPr>
        <w:t>本公司对低价值资产租赁的会计政策为不确认使用权资产和租赁负债。根据新租赁准则的衔接规定， 本公司在首次执行日前的低价值资产租赁，自首次执行日起按照新租赁准则进行会计处理，不对低价值资 产租赁进行追溯调整。</w:t>
      </w:r>
    </w:p>
    <w:p>
      <w:pPr>
        <w:pStyle w:val="Style26"/>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执行新租赁准则对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日财务报表相关项目的影响列示如下:</w:t>
      </w:r>
    </w:p>
    <w:tbl>
      <w:tblPr>
        <w:tblOverlap w:val="never"/>
        <w:jc w:val="left"/>
        <w:tblLayout w:type="fixed"/>
      </w:tblPr>
      <w:tblGrid>
        <w:gridCol w:w="2131"/>
        <w:gridCol w:w="1819"/>
        <w:gridCol w:w="2294"/>
        <w:gridCol w:w="213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6,966,256.38</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8,982,087.33</w:t>
            </w:r>
          </w:p>
        </w:tc>
      </w:tr>
    </w:tbl>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日确认租赁负债</w:t>
      </w:r>
      <w:r>
        <w:rPr>
          <w:rFonts w:ascii="Times New Roman" w:eastAsia="Times New Roman" w:hAnsi="Times New Roman" w:cs="Times New Roman"/>
          <w:color w:val="000000"/>
          <w:spacing w:val="0"/>
          <w:w w:val="100"/>
          <w:position w:val="0"/>
        </w:rPr>
        <w:t>8,982,087.33</w:t>
      </w:r>
      <w:r>
        <w:rPr>
          <w:color w:val="000000"/>
          <w:spacing w:val="0"/>
          <w:w w:val="100"/>
          <w:position w:val="0"/>
        </w:rPr>
        <w:t>元、一年内到期非流动负债</w:t>
      </w:r>
      <w:r>
        <w:rPr>
          <w:rFonts w:ascii="Times New Roman" w:eastAsia="Times New Roman" w:hAnsi="Times New Roman" w:cs="Times New Roman"/>
          <w:color w:val="000000"/>
          <w:spacing w:val="0"/>
          <w:w w:val="100"/>
          <w:position w:val="0"/>
        </w:rPr>
        <w:t>6,966,256.38</w:t>
      </w:r>
      <w:r>
        <w:rPr>
          <w:color w:val="000000"/>
          <w:spacing w:val="0"/>
          <w:w w:val="100"/>
          <w:position w:val="0"/>
        </w:rPr>
        <w:t>元、使用权 资产</w:t>
      </w:r>
      <w:r>
        <w:rPr>
          <w:rFonts w:ascii="Times New Roman" w:eastAsia="Times New Roman" w:hAnsi="Times New Roman" w:cs="Times New Roman"/>
          <w:color w:val="000000"/>
          <w:spacing w:val="0"/>
          <w:w w:val="100"/>
          <w:position w:val="0"/>
        </w:rPr>
        <w:t>15,948,343.71</w:t>
      </w:r>
      <w:r>
        <w:rPr>
          <w:color w:val="000000"/>
          <w:spacing w:val="0"/>
          <w:w w:val="100"/>
          <w:position w:val="0"/>
        </w:rPr>
        <w:t>元。对于首次执行日前的经营租赁，本公司采用首次执行日增量借款利率折现后的现值 计量租赁负债，该等增量借款利率的加权平均值为</w:t>
      </w:r>
      <w:r>
        <w:rPr>
          <w:rFonts w:ascii="Times New Roman" w:eastAsia="Times New Roman" w:hAnsi="Times New Roman" w:cs="Times New Roman"/>
          <w:color w:val="000000"/>
          <w:spacing w:val="0"/>
          <w:w w:val="100"/>
          <w:position w:val="0"/>
        </w:rPr>
        <w:t>4.50%</w:t>
      </w:r>
      <w:r>
        <w:rPr>
          <w:color w:val="000000"/>
          <w:spacing w:val="0"/>
          <w:w w:val="100"/>
          <w:position w:val="0"/>
        </w:rPr>
        <w:t>。</w:t>
      </w:r>
    </w:p>
    <w:p>
      <w:pPr>
        <w:pStyle w:val="Style18"/>
        <w:keepNext w:val="0"/>
        <w:keepLines w:val="0"/>
        <w:widowControl w:val="0"/>
        <w:numPr>
          <w:ilvl w:val="0"/>
          <w:numId w:val="69"/>
        </w:numPr>
        <w:shd w:val="clear" w:color="auto" w:fill="auto"/>
        <w:tabs>
          <w:tab w:pos="762" w:val="left"/>
        </w:tabs>
        <w:bidi w:val="0"/>
        <w:spacing w:before="0" w:after="0" w:line="315" w:lineRule="exact"/>
        <w:ind w:left="0" w:right="0" w:firstLine="360"/>
        <w:jc w:val="left"/>
      </w:pPr>
      <w:bookmarkStart w:id="1150" w:name="bookmark1150"/>
      <w:bookmarkEnd w:id="1150"/>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号对本公司的影响</w:t>
      </w:r>
    </w:p>
    <w:p>
      <w:pPr>
        <w:pStyle w:val="Style18"/>
        <w:keepNext w:val="0"/>
        <w:keepLines w:val="0"/>
        <w:widowControl w:val="0"/>
        <w:shd w:val="clear" w:color="auto" w:fill="auto"/>
        <w:bidi w:val="0"/>
        <w:spacing w:before="0" w:after="0" w:line="315" w:lineRule="exact"/>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日起施行（以下简称</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号对本报告期内财务报表无重大影响。</w:t>
      </w:r>
    </w:p>
    <w:p>
      <w:pPr>
        <w:pStyle w:val="Style18"/>
        <w:keepNext w:val="0"/>
        <w:keepLines w:val="0"/>
        <w:widowControl w:val="0"/>
        <w:numPr>
          <w:ilvl w:val="0"/>
          <w:numId w:val="69"/>
        </w:numPr>
        <w:shd w:val="clear" w:color="auto" w:fill="auto"/>
        <w:tabs>
          <w:tab w:pos="762" w:val="left"/>
        </w:tabs>
        <w:bidi w:val="0"/>
        <w:spacing w:before="0" w:after="0" w:line="315" w:lineRule="exact"/>
        <w:ind w:left="0" w:right="0" w:firstLine="360"/>
        <w:jc w:val="left"/>
      </w:pPr>
      <w:bookmarkStart w:id="1151" w:name="bookmark1151"/>
      <w:bookmarkEnd w:id="1151"/>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15</w:t>
      </w:r>
      <w:r>
        <w:rPr>
          <w:b/>
          <w:bCs/>
          <w:color w:val="000000"/>
          <w:spacing w:val="0"/>
          <w:w w:val="100"/>
          <w:position w:val="0"/>
        </w:rPr>
        <w:t>号对本公司的影响</w:t>
      </w:r>
    </w:p>
    <w:p>
      <w:pPr>
        <w:pStyle w:val="Style18"/>
        <w:keepNext w:val="0"/>
        <w:keepLines w:val="0"/>
        <w:widowControl w:val="0"/>
        <w:shd w:val="clear" w:color="auto" w:fill="auto"/>
        <w:bidi w:val="0"/>
        <w:spacing w:before="0" w:after="0" w:line="315" w:lineRule="exact"/>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解释 </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），于发布之日起实施。解释</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号对通过内部结算中心、财务公司等对母公司及成员单位资金实行 集中统一管理的列报进行了规范。</w:t>
      </w:r>
    </w:p>
    <w:p>
      <w:pPr>
        <w:pStyle w:val="Style18"/>
        <w:keepNext w:val="0"/>
        <w:keepLines w:val="0"/>
        <w:widowControl w:val="0"/>
        <w:shd w:val="clear" w:color="auto" w:fill="auto"/>
        <w:bidi w:val="0"/>
        <w:spacing w:before="0" w:after="280" w:line="315" w:lineRule="exact"/>
        <w:ind w:left="0" w:right="0" w:firstLine="36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rPr>
        <w:t>15</w:t>
      </w:r>
      <w:r>
        <w:rPr>
          <w:color w:val="000000"/>
          <w:spacing w:val="0"/>
          <w:w w:val="100"/>
          <w:position w:val="0"/>
        </w:rPr>
        <w:t>号，执行解释</w:t>
      </w:r>
      <w:r>
        <w:rPr>
          <w:rFonts w:ascii="Times New Roman" w:eastAsia="Times New Roman" w:hAnsi="Times New Roman" w:cs="Times New Roman"/>
          <w:color w:val="000000"/>
          <w:spacing w:val="0"/>
          <w:w w:val="100"/>
          <w:position w:val="0"/>
        </w:rPr>
        <w:t>15</w:t>
      </w:r>
      <w:r>
        <w:rPr>
          <w:color w:val="000000"/>
          <w:spacing w:val="0"/>
          <w:w w:val="100"/>
          <w:position w:val="0"/>
        </w:rPr>
        <w:t>号对可比期间财务报表无重大影响。</w:t>
      </w:r>
    </w:p>
    <w:p>
      <w:pPr>
        <w:pStyle w:val="Style37"/>
        <w:keepNext/>
        <w:keepLines/>
        <w:widowControl w:val="0"/>
        <w:shd w:val="clear" w:color="auto" w:fill="auto"/>
        <w:tabs>
          <w:tab w:pos="493" w:val="left"/>
        </w:tabs>
        <w:bidi w:val="0"/>
        <w:spacing w:before="0" w:after="400" w:line="315" w:lineRule="exact"/>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52"/>
      <w:bookmarkEnd w:id="1153"/>
      <w:bookmarkEnd w:id="1155"/>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400" w:line="315" w:lineRule="exact"/>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56"/>
      <w:bookmarkEnd w:id="1157"/>
      <w:bookmarkEnd w:id="115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2266"/>
        <w:gridCol w:w="1987"/>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1,985,273,734.86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1,985,273,734.86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471,161,025.89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471,161,025.89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1,274,671,255.83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1,274,671,255.83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55,695,454.55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55,695,454.55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74,872,967.47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74,872,967.47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475,493,509.36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475,493,509.36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117,586,640.09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91,911,739.06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91,911,739.06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4,546,666,327.11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4,546,666,327.11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58,447,728.96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58,447,728.96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2266"/>
        <w:gridCol w:w="1987"/>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316,104,932.94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316,104,932.94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170,793,598.92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170,793,598.92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103,387,327.35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103,387,327.35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109,216,443.89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109,216,443.89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9,728,625.75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9,728,625.75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1,933,780,622.11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1,949,728,965.82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6,480,446,949.22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6,496,395,292.93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179,363,275.28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179,363,275.28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1,051,262,663.46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1,051,262,663.46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313,991,222.20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313,991,222.20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47,606,845.43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47,606,845.43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69,953,983.82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69,953,983.82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2266"/>
        <w:gridCol w:w="1987"/>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42,741,054.87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42,741,054.87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1,732,920,688.02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1,739,886,944.40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38,658,305.74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1,762,596,906.43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1,778,545,250.14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2,601,802,469.28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2,601,802,469.28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57,036,561.38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57,036,561.38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1,209,822,966.91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1,209,822,966.91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4,707,198,263.56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4,707,198,263.56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10,651,779.23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10,651,779.23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2266"/>
        <w:gridCol w:w="1987"/>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4,717,850,042.79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4,717,850,042.79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6,480,446,949.22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6,496,395,292.93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9" w:line="1" w:lineRule="exact"/>
      </w:pP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号一租赁》，变更后的会计 政策详见附注四、重要会计政策、会计估计。</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在首次执行日，本公司选择不重新评估此前已存在的合同是否为租赁或是否包含租赁，并将此方法一 致应用于所有合同，因此仅对上述在原租赁准则下识别为租赁的合同采用本准则衔接规定。</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对于首次执行日前的经营租赁，承租人在首次执行日应当根据剩余租赁付款额按首次执行日承租人增 量借款利率折现的现值计量租赁负债，并根据每项租赁选择按照与租赁负债相等的金额计量使用权资产， 并根据预付租金进行必要调整。</w:t>
      </w:r>
    </w:p>
    <w:p>
      <w:pPr>
        <w:pStyle w:val="Style18"/>
        <w:keepNext w:val="0"/>
        <w:keepLines w:val="0"/>
        <w:widowControl w:val="0"/>
        <w:shd w:val="clear" w:color="auto" w:fill="auto"/>
        <w:bidi w:val="0"/>
        <w:spacing w:before="0" w:after="40" w:line="316" w:lineRule="exact"/>
        <w:ind w:left="0" w:right="0" w:firstLine="440"/>
        <w:jc w:val="both"/>
      </w:pPr>
      <w:r>
        <w:rPr>
          <w:color w:val="000000"/>
          <w:spacing w:val="0"/>
          <w:w w:val="100"/>
          <w:position w:val="0"/>
        </w:rPr>
        <w:t>本公司对低价值资产租赁的会计政策为不确认使用权资产和租赁负债。根据新租赁准则的衔接规定， 本公司在首次执行日前的低价值资产租赁，自首次执行日起按照新租赁准则进行会计处理，不对低价值资 产租赁进行追溯调整。</w:t>
      </w:r>
    </w:p>
    <w:p>
      <w:pPr>
        <w:pStyle w:val="Style26"/>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执行新租赁准则对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日财务报表相关项目的影响列示如下:</w:t>
      </w:r>
    </w:p>
    <w:tbl>
      <w:tblPr>
        <w:tblOverlap w:val="never"/>
        <w:jc w:val="left"/>
        <w:tblLayout w:type="fixed"/>
      </w:tblPr>
      <w:tblGrid>
        <w:gridCol w:w="1992"/>
        <w:gridCol w:w="1958"/>
        <w:gridCol w:w="2294"/>
        <w:gridCol w:w="213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15,948,343.71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6,966,256.38</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8,982,087.33</w:t>
            </w:r>
          </w:p>
        </w:tc>
      </w:tr>
    </w:tbl>
    <w:p>
      <w:pPr>
        <w:pStyle w:val="Style1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日确认租赁负债</w:t>
      </w:r>
      <w:r>
        <w:rPr>
          <w:rFonts w:ascii="Times New Roman" w:eastAsia="Times New Roman" w:hAnsi="Times New Roman" w:cs="Times New Roman"/>
          <w:color w:val="000000"/>
          <w:spacing w:val="0"/>
          <w:w w:val="100"/>
          <w:position w:val="0"/>
        </w:rPr>
        <w:t>8,982,087.33</w:t>
      </w:r>
      <w:r>
        <w:rPr>
          <w:color w:val="000000"/>
          <w:spacing w:val="0"/>
          <w:w w:val="100"/>
          <w:position w:val="0"/>
        </w:rPr>
        <w:t>元、一年内到期非流动负债</w:t>
      </w:r>
      <w:r>
        <w:rPr>
          <w:rFonts w:ascii="Times New Roman" w:eastAsia="Times New Roman" w:hAnsi="Times New Roman" w:cs="Times New Roman"/>
          <w:color w:val="000000"/>
          <w:spacing w:val="0"/>
          <w:w w:val="100"/>
          <w:position w:val="0"/>
        </w:rPr>
        <w:t>6,966,256.38</w:t>
      </w:r>
      <w:r>
        <w:rPr>
          <w:color w:val="000000"/>
          <w:spacing w:val="0"/>
          <w:w w:val="100"/>
          <w:position w:val="0"/>
        </w:rPr>
        <w:t>元、使用权 资产</w:t>
      </w:r>
      <w:r>
        <w:rPr>
          <w:rFonts w:ascii="Times New Roman" w:eastAsia="Times New Roman" w:hAnsi="Times New Roman" w:cs="Times New Roman"/>
          <w:color w:val="000000"/>
          <w:spacing w:val="0"/>
          <w:w w:val="100"/>
          <w:position w:val="0"/>
        </w:rPr>
        <w:t>15,948,343.71</w:t>
      </w:r>
      <w:r>
        <w:rPr>
          <w:color w:val="000000"/>
          <w:spacing w:val="0"/>
          <w:w w:val="100"/>
          <w:position w:val="0"/>
        </w:rPr>
        <w:t>元。对于首次执行日前的经营租赁，本公司采用首次执行日增量借款利率折现后的现值 计量租赁负债，该等增量借款利率的加权平均值为</w:t>
      </w:r>
      <w:r>
        <w:rPr>
          <w:rFonts w:ascii="Times New Roman" w:eastAsia="Times New Roman" w:hAnsi="Times New Roman" w:cs="Times New Roman"/>
          <w:color w:val="000000"/>
          <w:spacing w:val="0"/>
          <w:w w:val="100"/>
          <w:position w:val="0"/>
        </w:rPr>
        <w:t>4.50%</w:t>
      </w:r>
      <w:r>
        <w:rPr>
          <w:color w:val="000000"/>
          <w:spacing w:val="0"/>
          <w:w w:val="100"/>
          <w:position w:val="0"/>
        </w:rPr>
        <w:t>。</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2266"/>
        <w:gridCol w:w="2126"/>
        <w:gridCol w:w="1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67,489,149.28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67,489,149.28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8,690,480.00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8,690,480.00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280,261,320.79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280,261,320.79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9,544,128.10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9,544,128.10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90,922,644.98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90,922,644.98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2266"/>
        <w:gridCol w:w="2126"/>
        <w:gridCol w:w="1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35,282,073.75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35,282,073.75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1,345,920.20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1,345,920.20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493,535,717.10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493,535,717.10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3,429,474,639.77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3,426,474,639.77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144,605,697.91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144,605,697.91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4,366,296.16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4,366,296.16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32,962,015.80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32,962,015.80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58,182,971.28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58,182,971.28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40,168,717.22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40,168,717.22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3,708,394,279.97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3,709,760,576.13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1,366,296.16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4,201,929,997.07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4,203,296,293.23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1,366,296.16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3,859,700.00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3,859,700.00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404,423,361.44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404,423,361.44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2266"/>
        <w:gridCol w:w="2126"/>
        <w:gridCol w:w="1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41,702,769.60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41,702,769.60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2,944,273.86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2,944,273.86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6,982,774.62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6,982,774.62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10,778,258.50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10,778,258.50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1,259,461.90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1,259,461.90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5,391,066.84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5,391,066.84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476,082,204.86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477,341,666.76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1,259,461.90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3,106,834.26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3,106,834.26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10,948,697.91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10,948,697.91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10,948,697.91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14,055,532.17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3,106,834.26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487,030,902.77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491,397,198.93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4,366,296.16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2,662,430,356.78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2,662,430,356.78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57,036,561.38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57,036,561.38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408"/>
        <w:gridCol w:w="2266"/>
        <w:gridCol w:w="2126"/>
        <w:gridCol w:w="1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156,895,910.15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153,895,910.15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3,714,899,094.30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3,711,899,094.30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4,201,929,997.07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4,203,296,293.23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1,259,461.90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9" w:line="1" w:lineRule="exact"/>
      </w:pPr>
    </w:p>
    <w:p>
      <w:pPr>
        <w:pStyle w:val="Style18"/>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会计政策变更调整</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 变更后的会计政策详见附注五。</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在首次执行日，本公司选择不重新评估此前已存在的合同是否为租赁或是否包含租赁，并将此方法一 致应用于所有合同，因此仅对上述在原租赁准则下识别为租赁的合同采用本准则衔接规定。</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对于首次执行日前的经营租赁，承租人在首次执行日应当根据剩余租赁付款额按首次执行日承租人增 量借款利率折现的现值计量租赁负债，并根据每项租赁选择按照与租赁负债相等的金额计量使用权资产， 并根据预付租金进行必要调整。</w:t>
      </w:r>
    </w:p>
    <w:p>
      <w:pPr>
        <w:pStyle w:val="Style18"/>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本公司对低价值资产租赁的会计政策为不确认使用权资产和租赁负债。根据新租赁准则的衔接规定， 本公司在首次执行日前的低价值资产租赁，自首次执行日起按照新租赁准则进行会计处理，不对低价值资 产租赁进行追溯调整。</w:t>
      </w:r>
    </w:p>
    <w:p>
      <w:pPr>
        <w:pStyle w:val="Style26"/>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执行新租赁准则对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日财务报表相关项目的影响列示如下:</w:t>
      </w:r>
    </w:p>
    <w:tbl>
      <w:tblPr>
        <w:tblOverlap w:val="never"/>
        <w:jc w:val="center"/>
        <w:tblLayout w:type="fixed"/>
      </w:tblPr>
      <w:tblGrid>
        <w:gridCol w:w="1939"/>
        <w:gridCol w:w="1771"/>
        <w:gridCol w:w="1450"/>
        <w:gridCol w:w="1450"/>
        <w:gridCol w:w="1450"/>
        <w:gridCol w:w="1613"/>
      </w:tblGrid>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4,366,296.16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4,366,296.16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4,366,296.16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1,259,461.90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1,259,461.90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1,259,461.90</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3,106,834.26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3,106,834.26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3,106,834.26</w:t>
            </w:r>
          </w:p>
        </w:tc>
      </w:tr>
    </w:tbl>
    <w:p>
      <w:pPr>
        <w:pStyle w:val="Style26"/>
        <w:keepNext w:val="0"/>
        <w:keepLines w:val="0"/>
        <w:widowControl w:val="0"/>
        <w:shd w:val="clear" w:color="auto" w:fill="auto"/>
        <w:bidi w:val="0"/>
        <w:spacing w:before="0" w:after="0" w:line="317" w:lineRule="exact"/>
        <w:ind w:left="0" w:right="0" w:firstLine="0"/>
        <w:jc w:val="distribute"/>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日确认租赁负债人民币</w:t>
      </w:r>
      <w:r>
        <w:rPr>
          <w:rFonts w:ascii="Times New Roman" w:eastAsia="Times New Roman" w:hAnsi="Times New Roman" w:cs="Times New Roman"/>
          <w:color w:val="000000"/>
          <w:spacing w:val="0"/>
          <w:w w:val="100"/>
          <w:position w:val="0"/>
          <w:sz w:val="20"/>
          <w:szCs w:val="20"/>
        </w:rPr>
        <w:t>3,106,834.26</w:t>
      </w:r>
      <w:r>
        <w:rPr>
          <w:color w:val="000000"/>
          <w:spacing w:val="0"/>
          <w:w w:val="100"/>
          <w:position w:val="0"/>
          <w:sz w:val="20"/>
          <w:szCs w:val="20"/>
        </w:rPr>
        <w:t>元、一年内到期非流动负债</w:t>
      </w:r>
      <w:r>
        <w:rPr>
          <w:rFonts w:ascii="Times New Roman" w:eastAsia="Times New Roman" w:hAnsi="Times New Roman" w:cs="Times New Roman"/>
          <w:color w:val="000000"/>
          <w:spacing w:val="0"/>
          <w:w w:val="100"/>
          <w:position w:val="0"/>
          <w:sz w:val="20"/>
          <w:szCs w:val="20"/>
        </w:rPr>
        <w:t>1,259,461.9</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 使用权资产人民币</w:t>
      </w:r>
      <w:r>
        <w:rPr>
          <w:rFonts w:ascii="Times New Roman" w:eastAsia="Times New Roman" w:hAnsi="Times New Roman" w:cs="Times New Roman"/>
          <w:color w:val="000000"/>
          <w:spacing w:val="0"/>
          <w:w w:val="100"/>
          <w:position w:val="0"/>
          <w:sz w:val="20"/>
          <w:szCs w:val="20"/>
        </w:rPr>
        <w:t>4,366,296.16</w:t>
      </w:r>
      <w:r>
        <w:rPr>
          <w:color w:val="000000"/>
          <w:spacing w:val="0"/>
          <w:w w:val="100"/>
          <w:position w:val="0"/>
          <w:sz w:val="20"/>
          <w:szCs w:val="20"/>
        </w:rPr>
        <w:t>元。对于首次执行日前的经营租赁，本公司采用首次执行日增量借款利率折 现后的现值计量租赁负债，该等增量借款利率的加权平均值为</w:t>
      </w:r>
      <w:r>
        <w:rPr>
          <w:rFonts w:ascii="Times New Roman" w:eastAsia="Times New Roman" w:hAnsi="Times New Roman" w:cs="Times New Roman"/>
          <w:color w:val="000000"/>
          <w:spacing w:val="0"/>
          <w:w w:val="100"/>
          <w:position w:val="0"/>
          <w:sz w:val="20"/>
          <w:szCs w:val="20"/>
        </w:rPr>
        <w:t>4.50%</w:t>
      </w:r>
      <w:r>
        <w:rPr>
          <w:color w:val="000000"/>
          <w:spacing w:val="0"/>
          <w:w w:val="100"/>
          <w:position w:val="0"/>
          <w:sz w:val="20"/>
          <w:szCs w:val="20"/>
        </w:rPr>
        <w:t>。</w:t>
      </w:r>
    </w:p>
    <w:p>
      <w:pPr>
        <w:pStyle w:val="Style18"/>
        <w:keepNext w:val="0"/>
        <w:keepLines w:val="0"/>
        <w:widowControl w:val="0"/>
        <w:shd w:val="clear" w:color="auto" w:fill="auto"/>
        <w:bidi w:val="0"/>
        <w:spacing w:before="0" w:after="280" w:line="317"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本期处置控制子公司中电科（天津）网络信息安全有限公司部分股权，丧失控制权，对其仍有重大 影响，改按权益法核算，追溯调整影响上期年初未分配利润</w:t>
      </w:r>
      <w:r>
        <w:rPr>
          <w:rFonts w:ascii="Times New Roman" w:eastAsia="Times New Roman" w:hAnsi="Times New Roman" w:cs="Times New Roman"/>
          <w:color w:val="000000"/>
          <w:spacing w:val="0"/>
          <w:w w:val="100"/>
          <w:position w:val="0"/>
        </w:rPr>
        <w:t>-3,000,000.00</w:t>
      </w:r>
      <w:r>
        <w:rPr>
          <w:color w:val="000000"/>
          <w:spacing w:val="0"/>
          <w:w w:val="100"/>
          <w:position w:val="0"/>
        </w:rPr>
        <w:t>元。</w:t>
      </w:r>
    </w:p>
    <w:p>
      <w:pPr>
        <w:pStyle w:val="Style37"/>
        <w:keepNext/>
        <w:keepLines/>
        <w:widowControl w:val="0"/>
        <w:shd w:val="clear" w:color="auto" w:fill="auto"/>
        <w:bidi w:val="0"/>
        <w:spacing w:before="0" w:after="400" w:line="317" w:lineRule="exact"/>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60"/>
      <w:bookmarkEnd w:id="1161"/>
      <w:bookmarkEnd w:id="116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六</w:t>
      </w:r>
      <w:bookmarkEnd w:id="1166"/>
      <w:r>
        <w:rPr>
          <w:color w:val="000000"/>
          <w:spacing w:val="0"/>
          <w:w w:val="100"/>
          <w:position w:val="0"/>
        </w:rPr>
        <w:t>、税项</w:t>
      </w:r>
      <w:bookmarkEnd w:id="1164"/>
      <w:bookmarkEnd w:id="1165"/>
      <w:bookmarkEnd w:id="1167"/>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1168" w:name="bookmark116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168"/>
    </w:p>
    <w:tbl>
      <w:tblPr>
        <w:tblOverlap w:val="never"/>
        <w:jc w:val="center"/>
        <w:tblLayout w:type="fixed"/>
      </w:tblPr>
      <w:tblGrid>
        <w:gridCol w:w="3192"/>
        <w:gridCol w:w="4186"/>
        <w:gridCol w:w="22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应纳税额按应纳税销售额乘以适用税 率扣除当期允许抵扣的进项税后的余额计算</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（简易 征收）</w:t>
            </w:r>
          </w:p>
        </w:tc>
      </w:tr>
    </w:tbl>
    <w:p>
      <w:pPr>
        <w:widowControl w:val="0"/>
        <w:spacing w:line="1" w:lineRule="exact"/>
      </w:pPr>
    </w:p>
    <w:tbl>
      <w:tblPr>
        <w:tblOverlap w:val="never"/>
        <w:jc w:val="center"/>
        <w:tblLayout w:type="fixed"/>
      </w:tblPr>
      <w:tblGrid>
        <w:gridCol w:w="3192"/>
        <w:gridCol w:w="4186"/>
        <w:gridCol w:w="22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79" w:line="1" w:lineRule="exact"/>
      </w:pPr>
    </w:p>
    <w:p>
      <w:pPr>
        <w:pStyle w:val="Style32"/>
        <w:keepNext/>
        <w:keepLines/>
        <w:widowControl w:val="0"/>
        <w:shd w:val="clear" w:color="auto" w:fill="auto"/>
        <w:bidi w:val="0"/>
        <w:spacing w:before="0" w:after="280" w:line="313" w:lineRule="exact"/>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69"/>
      <w:bookmarkEnd w:id="1170"/>
      <w:bookmarkEnd w:id="1171"/>
    </w:p>
    <w:p>
      <w:pPr>
        <w:pStyle w:val="Style18"/>
        <w:keepNext w:val="0"/>
        <w:keepLines w:val="0"/>
        <w:widowControl w:val="0"/>
        <w:numPr>
          <w:ilvl w:val="0"/>
          <w:numId w:val="71"/>
        </w:numPr>
        <w:shd w:val="clear" w:color="auto" w:fill="auto"/>
        <w:tabs>
          <w:tab w:pos="746" w:val="left"/>
        </w:tabs>
        <w:bidi w:val="0"/>
        <w:spacing w:before="0" w:after="0" w:line="313" w:lineRule="exact"/>
        <w:ind w:left="0" w:right="0" w:firstLine="440"/>
        <w:jc w:val="both"/>
      </w:pPr>
      <w:bookmarkStart w:id="1172" w:name="bookmark1172"/>
      <w:bookmarkEnd w:id="1172"/>
      <w:r>
        <w:rPr>
          <w:color w:val="000000"/>
          <w:spacing w:val="0"/>
          <w:w w:val="100"/>
          <w:position w:val="0"/>
        </w:rPr>
        <w:t>本公司经四川省高新技术企业认定管理机构认定为高新技术企业，于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日重新取得 </w:t>
      </w:r>
      <w:r>
        <w:rPr>
          <w:rFonts w:ascii="Times New Roman" w:eastAsia="Times New Roman" w:hAnsi="Times New Roman" w:cs="Times New Roman"/>
          <w:color w:val="000000"/>
          <w:spacing w:val="0"/>
          <w:w w:val="100"/>
          <w:position w:val="0"/>
        </w:rPr>
        <w:t>“GR202051003716”</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年，本年度享受国家高新技术企业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18"/>
        <w:keepNext w:val="0"/>
        <w:keepLines w:val="0"/>
        <w:widowControl w:val="0"/>
        <w:numPr>
          <w:ilvl w:val="0"/>
          <w:numId w:val="71"/>
        </w:numPr>
        <w:shd w:val="clear" w:color="auto" w:fill="auto"/>
        <w:tabs>
          <w:tab w:pos="742" w:val="left"/>
        </w:tabs>
        <w:bidi w:val="0"/>
        <w:spacing w:before="0" w:after="0" w:line="313" w:lineRule="exact"/>
        <w:ind w:left="0" w:right="0" w:firstLine="440"/>
        <w:jc w:val="both"/>
      </w:pPr>
      <w:bookmarkStart w:id="1173" w:name="bookmark1173"/>
      <w:bookmarkEnd w:id="1173"/>
      <w:r>
        <w:rPr>
          <w:color w:val="000000"/>
          <w:spacing w:val="0"/>
          <w:w w:val="100"/>
          <w:position w:val="0"/>
        </w:rPr>
        <w:t>本公司下属子公司成都卫士通信息安全技术有限公司经四川省高新技术企业认定管理机构认定为高 新技术企业，于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日重新取得</w:t>
      </w:r>
      <w:r>
        <w:rPr>
          <w:rFonts w:ascii="Times New Roman" w:eastAsia="Times New Roman" w:hAnsi="Times New Roman" w:cs="Times New Roman"/>
          <w:color w:val="000000"/>
          <w:spacing w:val="0"/>
          <w:w w:val="100"/>
          <w:position w:val="0"/>
        </w:rPr>
        <w:t>“GR202051002486”</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 受国家高新技术企业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18"/>
        <w:keepNext w:val="0"/>
        <w:keepLines w:val="0"/>
        <w:widowControl w:val="0"/>
        <w:numPr>
          <w:ilvl w:val="0"/>
          <w:numId w:val="71"/>
        </w:numPr>
        <w:shd w:val="clear" w:color="auto" w:fill="auto"/>
        <w:tabs>
          <w:tab w:pos="742" w:val="left"/>
        </w:tabs>
        <w:bidi w:val="0"/>
        <w:spacing w:before="0" w:after="0" w:line="313" w:lineRule="exact"/>
        <w:ind w:left="0" w:right="0" w:firstLine="440"/>
        <w:jc w:val="both"/>
      </w:pPr>
      <w:bookmarkStart w:id="1174" w:name="bookmark1174"/>
      <w:bookmarkEnd w:id="1174"/>
      <w:r>
        <w:rPr>
          <w:color w:val="000000"/>
          <w:spacing w:val="0"/>
          <w:w w:val="100"/>
          <w:position w:val="0"/>
        </w:rPr>
        <w:t>本公司下属子公司成都三零瑞通移动通信有限公司经四川省高新技术企业认定管理机构认定为高新 技术企业，于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重新取得</w:t>
      </w:r>
      <w:r>
        <w:rPr>
          <w:rFonts w:ascii="Times New Roman" w:eastAsia="Times New Roman" w:hAnsi="Times New Roman" w:cs="Times New Roman"/>
          <w:color w:val="000000"/>
          <w:spacing w:val="0"/>
          <w:w w:val="100"/>
          <w:position w:val="0"/>
        </w:rPr>
        <w:t>“GR202051001434”</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年，本年度享受国家 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18"/>
        <w:keepNext w:val="0"/>
        <w:keepLines w:val="0"/>
        <w:widowControl w:val="0"/>
        <w:numPr>
          <w:ilvl w:val="0"/>
          <w:numId w:val="71"/>
        </w:numPr>
        <w:shd w:val="clear" w:color="auto" w:fill="auto"/>
        <w:tabs>
          <w:tab w:pos="742" w:val="left"/>
        </w:tabs>
        <w:bidi w:val="0"/>
        <w:spacing w:before="0" w:after="0" w:line="313" w:lineRule="exact"/>
        <w:ind w:left="0" w:right="0" w:firstLine="440"/>
        <w:jc w:val="both"/>
      </w:pPr>
      <w:bookmarkStart w:id="1175" w:name="bookmark1175"/>
      <w:bookmarkEnd w:id="1175"/>
      <w:r>
        <w:rPr>
          <w:color w:val="000000"/>
          <w:spacing w:val="0"/>
          <w:w w:val="100"/>
          <w:position w:val="0"/>
        </w:rPr>
        <w:t>本公司下属子公司成都三零嘉微电子有限公司经四川省高新技术企业认定管理机构认定为高新技术 企业，于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重新取得</w:t>
      </w:r>
      <w:r>
        <w:rPr>
          <w:rFonts w:ascii="Times New Roman" w:eastAsia="Times New Roman" w:hAnsi="Times New Roman" w:cs="Times New Roman"/>
          <w:color w:val="000000"/>
          <w:spacing w:val="0"/>
          <w:w w:val="100"/>
          <w:position w:val="0"/>
        </w:rPr>
        <w:t>“GR202051000796”</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年，本年度享受国家高新 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18"/>
        <w:keepNext w:val="0"/>
        <w:keepLines w:val="0"/>
        <w:widowControl w:val="0"/>
        <w:numPr>
          <w:ilvl w:val="0"/>
          <w:numId w:val="71"/>
        </w:numPr>
        <w:shd w:val="clear" w:color="auto" w:fill="auto"/>
        <w:tabs>
          <w:tab w:pos="746" w:val="left"/>
        </w:tabs>
        <w:bidi w:val="0"/>
        <w:spacing w:before="0" w:line="313" w:lineRule="exact"/>
        <w:ind w:left="0" w:right="0" w:firstLine="440"/>
        <w:jc w:val="both"/>
      </w:pPr>
      <w:bookmarkStart w:id="1176" w:name="bookmark1176"/>
      <w:bookmarkEnd w:id="1176"/>
      <w:r>
        <w:rPr>
          <w:color w:val="000000"/>
          <w:spacing w:val="0"/>
          <w:w w:val="100"/>
          <w:position w:val="0"/>
        </w:rPr>
        <w:t>本公司下属子公司中电科（北京）网络信息安全有限公司经北京市高新技术企业认定管理机构认定 为高新技术企业，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日重新取得</w:t>
      </w:r>
      <w:r>
        <w:rPr>
          <w:rFonts w:ascii="Times New Roman" w:eastAsia="Times New Roman" w:hAnsi="Times New Roman" w:cs="Times New Roman"/>
          <w:color w:val="000000"/>
          <w:spacing w:val="0"/>
          <w:w w:val="100"/>
          <w:position w:val="0"/>
        </w:rPr>
        <w:t>“GR201911007042”</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 受国家高新技术企业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360" w:line="326"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号《财政部、国家税务总局关于软件产品增值税政策的通知》文件，本公司及下属 其他子公司销售软件产品享受增值税即征即退政策。</w:t>
      </w:r>
    </w:p>
    <w:p>
      <w:pPr>
        <w:pStyle w:val="Style24"/>
        <w:keepNext/>
        <w:keepLines/>
        <w:widowControl w:val="0"/>
        <w:shd w:val="clear" w:color="auto" w:fill="auto"/>
        <w:bidi w:val="0"/>
        <w:spacing w:before="0" w:after="28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七</w:t>
      </w:r>
      <w:bookmarkEnd w:id="1179"/>
      <w:r>
        <w:rPr>
          <w:color w:val="000000"/>
          <w:spacing w:val="0"/>
          <w:w w:val="100"/>
          <w:position w:val="0"/>
        </w:rPr>
        <w:t>、合并财务报表项目注释</w:t>
      </w:r>
      <w:bookmarkEnd w:id="1177"/>
      <w:bookmarkEnd w:id="1178"/>
      <w:bookmarkEnd w:id="1180"/>
    </w:p>
    <w:p>
      <w:pPr>
        <w:pStyle w:val="Style32"/>
        <w:keepNext/>
        <w:keepLines/>
        <w:widowControl w:val="0"/>
        <w:shd w:val="clear" w:color="auto" w:fill="auto"/>
        <w:bidi w:val="0"/>
        <w:spacing w:before="0" w:after="360" w:line="313" w:lineRule="exact"/>
        <w:ind w:left="0" w:right="0" w:firstLine="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81"/>
      <w:bookmarkEnd w:id="1182"/>
      <w:bookmarkEnd w:id="11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24,091.48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27,970.81</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2,642,327,302.51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1,960,389,219.42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15,828,268.02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24,856,544.63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2,658,179,662.01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1,985,273,734.86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日，本公司受限制的货币资金明细如下:</w:t>
      </w:r>
    </w:p>
    <w:tbl>
      <w:tblPr>
        <w:tblOverlap w:val="never"/>
        <w:jc w:val="left"/>
        <w:tblLayout w:type="fixed"/>
      </w:tblPr>
      <w:tblGrid>
        <w:gridCol w:w="2846"/>
        <w:gridCol w:w="2842"/>
        <w:gridCol w:w="285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9,360,212.32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银行保函存出保证金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15,828,268.02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15,496,332.31</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15,828,268.02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24,856,544.63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84"/>
      <w:bookmarkEnd w:id="1185"/>
      <w:bookmarkEnd w:id="1186"/>
    </w:p>
    <w:p>
      <w:pPr>
        <w:pStyle w:val="Style37"/>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87"/>
      <w:bookmarkEnd w:id="1188"/>
      <w:bookmarkEnd w:id="11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18,325,557.87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33,035,544.89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388,199,972.20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438,125,481.00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406,525,530.07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471,161,025.89</w:t>
            </w:r>
          </w:p>
        </w:tc>
      </w:tr>
    </w:tbl>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406,684,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158,758.</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406,525,5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471,161,0</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471,161,0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其中：无风险银行承 兑票据组合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18,325,55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关联企业商业承兑 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385,183,</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385,183,5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336,603,3</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336,603,3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其他商业承兑票据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3,175,17</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158,758.</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3,016,417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101,522,1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406,684,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158,758.</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406,525,5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471,161,0</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471,161,0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0.00</w:t>
      </w:r>
    </w:p>
    <w:p>
      <w:pPr>
        <w:widowControl w:val="0"/>
        <w:spacing w:after="11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无风险银行承兑票据组合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18,325,557.87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18,325,557.87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确定该组合依据的说明：</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出票人具有较高的信用评级，历史上未发生票据违约，信用损失风险极低，在短期内履行其支付合同现金流量义务的能力很 强</w:t>
      </w:r>
    </w:p>
    <w:p>
      <w:pPr>
        <w:pStyle w:val="Style28"/>
        <w:keepNext w:val="0"/>
        <w:keepLines w:val="0"/>
        <w:widowControl w:val="0"/>
        <w:shd w:val="clear" w:color="auto" w:fill="auto"/>
        <w:bidi w:val="0"/>
        <w:spacing w:before="0" w:after="140" w:line="312" w:lineRule="exact"/>
        <w:ind w:left="0" w:right="0" w:firstLine="0"/>
        <w:jc w:val="both"/>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0.00</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关联企业商业承兑票据组合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385,183,555.00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385,183,555.00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出票人为电科集团及其下属企业，历史上未发生票据违约，信用损失风险极低。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3,175,176.00</w:t>
      </w:r>
      <w:r>
        <w:rPr>
          <w:color w:val="000000"/>
          <w:spacing w:val="0"/>
          <w:w w:val="100"/>
          <w:position w:val="0"/>
        </w:rPr>
        <w:t>元</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其他商业承兑票据组合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3,175,176.00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3,175,176.00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158,758.80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出票人为非电科集团及其下属企业。</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2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0"/>
      <w:bookmarkEnd w:id="1191"/>
      <w:bookmarkEnd w:id="119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1277"/>
        <w:gridCol w:w="1133"/>
        <w:gridCol w:w="1277"/>
        <w:gridCol w:w="710"/>
        <w:gridCol w:w="830"/>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其中：其他商业承兑票据组合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3,175,176.00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158,758.80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3,016,417.20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3,175,176.00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158,758.80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3,016,417.20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color w:val="000000"/>
          <w:spacing w:val="0"/>
          <w:w w:val="100"/>
          <w:position w:val="0"/>
        </w:rPr>
        <w:t>、应收账款</w:t>
      </w:r>
      <w:bookmarkEnd w:id="1193"/>
      <w:bookmarkEnd w:id="1194"/>
      <w:bookmarkEnd w:id="1196"/>
    </w:p>
    <w:p>
      <w:pPr>
        <w:pStyle w:val="Style37"/>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7"/>
      <w:bookmarkEnd w:id="1198"/>
      <w:bookmarkEnd w:id="119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69,800,3</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44,595,15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44,595,15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255,704,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793,605,4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1,572,516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297,844,8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1,274,671,2</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255,704,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793,605,4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1,572,516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297,844,8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1,274,671,2</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55.83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1,119,110</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007.15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793,610,2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1,617,111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342,440,0</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1,274,671,2</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69,800,306.79</w:t>
      </w:r>
      <w:r>
        <w:rPr>
          <w:color w:val="000000"/>
          <w:spacing w:val="0"/>
          <w:w w:val="100"/>
          <w:position w:val="0"/>
        </w:rPr>
        <w:t>元</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1"/>
        <w:gridCol w:w="1843"/>
        <w:gridCol w:w="1699"/>
        <w:gridCol w:w="1138"/>
        <w:gridCol w:w="12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国创科视科技股份有限公司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30,866,313.64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30,866,313.64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扬州殷盛电子科技股份有限公司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21,718,747.69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21,718,747.69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陕西国城数据科技有限公司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杭州长江汽车有限公司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湖南鑫华龙安全系统集成有限公司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内蒙古汇晟云网络科技有限公司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949,000.00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944,198.00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北京嘉创智联科技有限公司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404,405.12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404,405.12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郑州英创电子技术有限公司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243,310.00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243,310.00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山西清华网络系统工程公司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213,110.00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213,110.00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rFonts w:ascii="Times New Roman" w:eastAsia="Times New Roman" w:hAnsi="Times New Roman" w:cs="Times New Roman"/>
                <w:color w:val="000000"/>
                <w:spacing w:val="0"/>
                <w:w w:val="100"/>
                <w:position w:val="0"/>
                <w:sz w:val="18"/>
                <w:szCs w:val="18"/>
              </w:rPr>
              <w:t>DZ</w:t>
            </w:r>
            <w:r>
              <w:rPr>
                <w:color w:val="000000"/>
                <w:spacing w:val="0"/>
                <w:w w:val="100"/>
                <w:position w:val="0"/>
              </w:rPr>
              <w:t>网巴中管理中心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北京天地迅达信息技术开发中心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北京星华岳科技发展有限公司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128,100.00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中国地震局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114,229.00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114,229.00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云南官房电子科技有限公司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101,820.00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101,820.00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3691"/>
        <w:gridCol w:w="1843"/>
        <w:gridCol w:w="1699"/>
        <w:gridCol w:w="1138"/>
        <w:gridCol w:w="1214"/>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442,232.65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69,800,306.79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69,795,504.79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1,049,309,920.33</w:t>
      </w:r>
      <w:r>
        <w:rPr>
          <w:color w:val="000000"/>
          <w:spacing w:val="0"/>
          <w:w w:val="100"/>
          <w:position w:val="0"/>
        </w:rPr>
        <w:t>元</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548,158,656.59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23,080,141.21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157,666,098.89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21,368,442.78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119,892,562.36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35,123,967.14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51,338,820.88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25,198,114.82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83,582,449.69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62,262,504.49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88,671,331.92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88,671,331.92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1,049,309,920.33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255,704,502.36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本公司对在单项工具层面能以合理成本评估预期信用损失的充分证据的应收账款单独确定其信用损 失。</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1531"/>
        <w:gridCol w:w="5069"/>
        <w:gridCol w:w="307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7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本公司根据以往的历史经验对应收款项预期信用损失计提比例作 出合理估计，参考应收款项的账龄进行信用风险组合分类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按账龄与整个存续期预期信用损失率 对照表计提</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548,158,656.59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157,666,098.89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121,912,562.36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291,372,909.28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51,338,820.88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149,229,836.31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90,804,252.09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1,119,110,227.12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r>
        <w:br w:type="page"/>
      </w:r>
    </w:p>
    <w:p>
      <w:pPr>
        <w:pStyle w:val="Style37"/>
        <w:keepNext/>
        <w:keepLines/>
        <w:widowControl w:val="0"/>
        <w:shd w:val="clear" w:color="auto" w:fill="auto"/>
        <w:bidi w:val="0"/>
        <w:spacing w:before="0" w:after="400" w:line="240" w:lineRule="auto"/>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0"/>
      <w:bookmarkEnd w:id="1201"/>
      <w:bookmarkEnd w:id="120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277"/>
        <w:gridCol w:w="1277"/>
        <w:gridCol w:w="1133"/>
        <w:gridCol w:w="1133"/>
        <w:gridCol w:w="571"/>
        <w:gridCol w:w="12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单项计提预期信用损失的应收账款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44,595,153.98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25,200,350.81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69,795,504.79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297,844,873.82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-37,912,948.17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4,227,423.29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255,704,502.36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342,440,027.80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-12,712,597.36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4,227,423.29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325,500,007.15</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3"/>
      <w:bookmarkEnd w:id="1204"/>
      <w:bookmarkEnd w:id="120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4,325,423.29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850"/>
        <w:gridCol w:w="1099"/>
        <w:gridCol w:w="1450"/>
        <w:gridCol w:w="2131"/>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 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40" w:right="0" w:hanging="140"/>
              <w:jc w:val="left"/>
            </w:pPr>
            <w:r>
              <w:rPr>
                <w:color w:val="000000"/>
                <w:spacing w:val="0"/>
                <w:w w:val="100"/>
                <w:position w:val="0"/>
              </w:rPr>
              <w:t>款项是否由关 联交易产生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重庆广建装饰股份有限公司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2,110,248.67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已诉讼，对方破产 清算，终本执行。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总经理办公会批准核销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西安新奇迹系统集成技术有限公司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总经理办公会批准核销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四川川煤华荣能源股份有限公司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498,350.00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根据法院判决书 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总经理办公会批准核销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昆明信通力合计算机系统工程有限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总经理办公会批准核销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湖北鄂能物资有限责任公司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总经理办公会批准核销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重庆能创科技有限公司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总经理办公会批准核销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250,724.62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总经理办公会批准核销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4,325,423.29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7"/>
      <w:bookmarkEnd w:id="1208"/>
      <w:bookmarkEnd w:id="121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3000"/>
        <w:gridCol w:w="20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248,454,390.85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13,768,649.76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33,333,799.73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1,363,098.61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30,866,313.64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30,866,313.64</w:t>
            </w:r>
          </w:p>
        </w:tc>
      </w:tr>
    </w:tbl>
    <w:p>
      <w:pPr>
        <w:widowControl w:val="0"/>
        <w:spacing w:line="1" w:lineRule="exact"/>
      </w:pPr>
      <w:r>
        <w:br w:type="page"/>
      </w:r>
    </w:p>
    <w:tbl>
      <w:tblPr>
        <w:tblOverlap w:val="never"/>
        <w:jc w:val="center"/>
        <w:tblLayout w:type="fixed"/>
      </w:tblPr>
      <w:tblGrid>
        <w:gridCol w:w="1987"/>
        <w:gridCol w:w="2530"/>
        <w:gridCol w:w="3000"/>
        <w:gridCol w:w="2064"/>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21,718,747.69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21,718,747.69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20,198,982.12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5,701,349.75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354,572,234.03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4</w:t>
      </w:r>
      <w:bookmarkEnd w:id="1213"/>
      <w:r>
        <w:rPr>
          <w:color w:val="000000"/>
          <w:spacing w:val="0"/>
          <w:w w:val="100"/>
          <w:position w:val="0"/>
        </w:rPr>
        <w:t>、预付款项</w:t>
      </w:r>
      <w:bookmarkEnd w:id="1211"/>
      <w:bookmarkEnd w:id="1212"/>
      <w:bookmarkEnd w:id="1214"/>
    </w:p>
    <w:p>
      <w:pPr>
        <w:pStyle w:val="Style37"/>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5"/>
      <w:bookmarkEnd w:id="1216"/>
      <w:bookmarkEnd w:id="121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41,353,250.18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35,689,814.70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2,252,670.10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15,022,745.45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9,711,818.14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4,936,550.34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4,099,591.35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58,254,288.76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55,695,454.55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2578"/>
        <w:gridCol w:w="2362"/>
        <w:gridCol w:w="2362"/>
        <w:gridCol w:w="2371"/>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未及时结算原因</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9,169,402.25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2,006,312.00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11,175,714.25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218" w:name="bookmark1218"/>
      <w:bookmarkStart w:id="1219" w:name="bookmark1219"/>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18"/>
      <w:bookmarkEnd w:id="1219"/>
      <w:bookmarkEnd w:id="1220"/>
    </w:p>
    <w:tbl>
      <w:tblPr>
        <w:tblOverlap w:val="never"/>
        <w:jc w:val="center"/>
        <w:tblLayout w:type="fixed"/>
      </w:tblPr>
      <w:tblGrid>
        <w:gridCol w:w="2059"/>
        <w:gridCol w:w="1987"/>
        <w:gridCol w:w="2203"/>
        <w:gridCol w:w="1296"/>
        <w:gridCol w:w="212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占预付款项合计的比例（％）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9,169,402.25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5,813,960.00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5,292,232.50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4,467,661.56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2,426,180.00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27,169,436.31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5</w:t>
      </w:r>
      <w:bookmarkEnd w:id="1223"/>
      <w:r>
        <w:rPr>
          <w:color w:val="000000"/>
          <w:spacing w:val="0"/>
          <w:w w:val="100"/>
          <w:position w:val="0"/>
        </w:rPr>
        <w:t>、其他应收款</w:t>
      </w:r>
      <w:bookmarkEnd w:id="1221"/>
      <w:bookmarkEnd w:id="1222"/>
      <w:bookmarkEnd w:id="12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79,819,910.11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74,872,967.47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79,819,910.11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74,872,967.47</w:t>
            </w:r>
          </w:p>
        </w:tc>
      </w:tr>
    </w:tbl>
    <w:p>
      <w:pPr>
        <w:spacing w:lineRule="exact" w:line="1"/>
        <w:rPr>
          <w:sz w:val="2"/>
          <w:szCs w:val="2"/>
        </w:rPr>
      </w:pPr>
      <w:r>
        <w:br w:type="page"/>
      </w:r>
    </w:p>
    <w:p>
      <w:pPr>
        <w:pStyle w:val="Style37"/>
        <w:keepNext/>
        <w:keepLines/>
        <w:widowControl w:val="0"/>
        <w:shd w:val="clear" w:color="auto" w:fill="auto"/>
        <w:bidi w:val="0"/>
        <w:spacing w:before="0" w:after="340" w:line="240" w:lineRule="auto"/>
        <w:ind w:left="0" w:right="0" w:firstLine="0"/>
        <w:jc w:val="left"/>
      </w:pPr>
      <w:bookmarkStart w:id="1225" w:name="bookmark1225"/>
      <w:bookmarkStart w:id="1226" w:name="bookmark1226"/>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25"/>
      <w:bookmarkEnd w:id="1226"/>
      <w:bookmarkEnd w:id="1227"/>
    </w:p>
    <w:p>
      <w:pPr>
        <w:pStyle w:val="Style61"/>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28"/>
      <w:bookmarkEnd w:id="1229"/>
      <w:bookmarkEnd w:id="12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84,178,642.69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80,328,230.38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6,135,846.58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4,864,932.97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30,400,769.35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10,051,308.84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1,210,147.64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1,393,356.87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121,925,406.26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96,637,829.06</w:t>
            </w:r>
          </w:p>
        </w:tc>
      </w:tr>
    </w:tbl>
    <w:p>
      <w:pPr>
        <w:widowControl w:val="0"/>
        <w:spacing w:after="339" w:line="1" w:lineRule="exact"/>
      </w:pPr>
    </w:p>
    <w:p>
      <w:pPr>
        <w:pStyle w:val="Style61"/>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31"/>
      <w:bookmarkEnd w:id="1232"/>
      <w:bookmarkEnd w:id="123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296"/>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2,059,158.41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19,242,113.82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463,589.36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21,764,861.59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-1,585,674.46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125,039.54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834,529.26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12,479,446.28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7,566,220.00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20,880,195.54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362,508.90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382,508.90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-42,052.08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1,182,973.67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33,245,182.48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7,677,340.00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42,105,496.15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34,446,409.66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32,853,388.95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13,795,854.84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40,829,752.81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22,932,918.38</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12,035,692.39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5,861,142.04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121,925,406.26</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color w:val="000000"/>
          <w:spacing w:val="0"/>
          <w:w w:val="100"/>
          <w:position w:val="0"/>
        </w:rPr>
        <w:t>）本期计提、收回或转回的坏账准备情况</w:t>
      </w:r>
      <w:bookmarkEnd w:id="1234"/>
      <w:bookmarkEnd w:id="1235"/>
      <w:bookmarkEnd w:id="123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25"/>
        <w:gridCol w:w="1133"/>
        <w:gridCol w:w="1133"/>
        <w:gridCol w:w="994"/>
        <w:gridCol w:w="994"/>
        <w:gridCol w:w="994"/>
        <w:gridCol w:w="12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单项计提预期信用损失的其他应收款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463,589.36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7,566,220.00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237,469.36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7,677,340.00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21,301,272.23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13,313,975.54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145,039.54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-42,052.08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34,428,156.15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21,764,861.59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20,880,195.54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382,508.90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-42,052.08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42,105,496.15</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color w:val="000000"/>
          <w:spacing w:val="0"/>
          <w:w w:val="100"/>
          <w:position w:val="0"/>
        </w:rPr>
        <w:t>）本期实际核销的其他应收款情况</w:t>
      </w:r>
      <w:bookmarkEnd w:id="1238"/>
      <w:bookmarkEnd w:id="1239"/>
      <w:bookmarkEnd w:id="124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400,382.90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5</w:t>
      </w:r>
      <w:bookmarkEnd w:id="1244"/>
      <w:r>
        <w:rPr>
          <w:color w:val="000000"/>
          <w:spacing w:val="0"/>
          <w:w w:val="100"/>
          <w:position w:val="0"/>
        </w:rPr>
        <w:t>）按欠款方归集的期末余额前五名的其他应收款情况</w:t>
      </w:r>
      <w:bookmarkEnd w:id="1242"/>
      <w:bookmarkEnd w:id="1243"/>
      <w:bookmarkEnd w:id="12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7,566,220.00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7,566,220.00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5,688,940.00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568,894.00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5,024,000.00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3,849,582.00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3,079,665.60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3,406,000.00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175,650.00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25,534,742.00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11,892,829.60</w:t>
            </w:r>
          </w:p>
        </w:tc>
      </w:tr>
    </w:tbl>
    <w:p>
      <w:pPr>
        <w:widowControl w:val="0"/>
        <w:spacing w:after="319" w:line="1" w:lineRule="exact"/>
      </w:pPr>
    </w:p>
    <w:p>
      <w:pPr>
        <w:pStyle w:val="Style32"/>
        <w:keepNext/>
        <w:keepLines/>
        <w:widowControl w:val="0"/>
        <w:shd w:val="clear" w:color="auto" w:fill="auto"/>
        <w:bidi w:val="0"/>
        <w:spacing w:before="0" w:after="22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6</w:t>
      </w:r>
      <w:bookmarkEnd w:id="1248"/>
      <w:r>
        <w:rPr>
          <w:color w:val="000000"/>
          <w:spacing w:val="0"/>
          <w:w w:val="100"/>
          <w:position w:val="0"/>
        </w:rPr>
        <w:t>、存货</w:t>
      </w:r>
      <w:bookmarkEnd w:id="1246"/>
      <w:bookmarkEnd w:id="1247"/>
      <w:bookmarkEnd w:id="1249"/>
    </w:p>
    <w:p>
      <w:pPr>
        <w:pStyle w:val="Style28"/>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公司是否需要遵守房地产行业的披露要求 否</w:t>
      </w:r>
      <w:r>
        <w:br w:type="page"/>
      </w:r>
    </w:p>
    <w:p>
      <w:pPr>
        <w:pStyle w:val="Style37"/>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0"/>
      <w:bookmarkEnd w:id="1251"/>
      <w:bookmarkEnd w:id="125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217,171,537.32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17,482,409.77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199,689,127.55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94,793,230.41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10,775,330.67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84,017,899.74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181,378,356.07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7,595,569.99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173,782,786.08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137,887,755.66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285,254.28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137,602,501.38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32,755,487.25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8,428,058.71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24,327,428.54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49,043,041.86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5,220,449.29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43,822,592.57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132,742.75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196,242.49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580,919,855.77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38,099,222.40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542,820,633.37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200,395,697.07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9,088,594.19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191,307,102.88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41,285,700.41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13,562,826.06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27,722,874.35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20,959,358.60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4,403,338.70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16,556,019.90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1,991,150.40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1,991,150.40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1,053,643,679.57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85,168,086.93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968,475,592.64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505,266,476.49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29,772,967.13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475,493,509.36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3"/>
      <w:bookmarkEnd w:id="1254"/>
      <w:bookmarkEnd w:id="125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10,775,330.67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10,905,721.76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4,198,642.66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17,482,409.77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285,254.28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8,889,778.01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1,579,462.30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7,595,569.99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5,220,449.29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3,302,982.49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8,428,058.71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9,088,594.19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32,421,031.50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3,410,403.29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38,099,222.40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4,403,338.70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12,074,517.06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2,915,029.70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13,562,826.06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29,772,967.13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67,594,030.82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12,198,911.02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85,168,086.93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7</w:t>
      </w:r>
      <w:bookmarkEnd w:id="1258"/>
      <w:r>
        <w:rPr>
          <w:color w:val="000000"/>
          <w:spacing w:val="0"/>
          <w:w w:val="100"/>
          <w:position w:val="0"/>
        </w:rPr>
        <w:t>、合同资产</w:t>
      </w:r>
      <w:bookmarkEnd w:id="1256"/>
      <w:bookmarkEnd w:id="1257"/>
      <w:bookmarkEnd w:id="125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38,007,987.42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1,554,237.30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36,453,750.12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6,942,513.00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283,895.92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6,658,617.08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4,146,090.00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169,543.51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3,976,546.49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3,840,600.00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157,051.30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3,683,548.70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6"/>
        <w:gridCol w:w="1195"/>
        <w:gridCol w:w="1330"/>
        <w:gridCol w:w="1195"/>
        <w:gridCol w:w="1195"/>
        <w:gridCol w:w="1200"/>
        <w:gridCol w:w="133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3,537,188.88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34,657,834.28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1,450,988.45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33,206,845.83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123,538,853.94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5,952,213.85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91,283,024.70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3,766,527.60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87,516,497.10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123,538,853.94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5,952,213.85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283,895.92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169,543.51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157,051.30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150,811.12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-4,501,225.40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-2,185,686.25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8</w:t>
      </w:r>
      <w:bookmarkEnd w:id="1262"/>
      <w:r>
        <w:rPr>
          <w:color w:val="000000"/>
          <w:spacing w:val="0"/>
          <w:w w:val="100"/>
          <w:position w:val="0"/>
        </w:rPr>
        <w:t>、其他流动资产</w:t>
      </w:r>
      <w:bookmarkEnd w:id="1260"/>
      <w:bookmarkEnd w:id="1261"/>
      <w:bookmarkEnd w:id="12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73,826,734.37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91,697,010.73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641,510.29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214,728.33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74,468,244.66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91,911,739.06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9</w:t>
      </w:r>
      <w:bookmarkEnd w:id="1266"/>
      <w:r>
        <w:rPr>
          <w:color w:val="000000"/>
          <w:spacing w:val="0"/>
          <w:w w:val="100"/>
          <w:position w:val="0"/>
        </w:rPr>
        <w:t>、长期股权投资</w:t>
      </w:r>
      <w:bookmarkEnd w:id="1264"/>
      <w:bookmarkEnd w:id="1265"/>
      <w:bookmarkEnd w:id="12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38"/>
        <w:gridCol w:w="854"/>
        <w:gridCol w:w="706"/>
        <w:gridCol w:w="850"/>
        <w:gridCol w:w="994"/>
        <w:gridCol w:w="710"/>
        <w:gridCol w:w="706"/>
        <w:gridCol w:w="854"/>
        <w:gridCol w:w="706"/>
        <w:gridCol w:w="466"/>
        <w:gridCol w:w="797"/>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合收益</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成都摩宝网 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20,894,22</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-1,612,855.1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19,281,36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成都市数字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32,166,25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38"/>
        <w:gridCol w:w="854"/>
        <w:gridCol w:w="706"/>
        <w:gridCol w:w="850"/>
        <w:gridCol w:w="994"/>
        <w:gridCol w:w="710"/>
        <w:gridCol w:w="706"/>
        <w:gridCol w:w="854"/>
        <w:gridCol w:w="706"/>
        <w:gridCol w:w="466"/>
        <w:gridCol w:w="797"/>
        <w:gridCol w:w="806"/>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城市运营管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工业信息安</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全（四川）创</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新中心有限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7,391,370.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-3,141,727.0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12,277,64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中电科（天 津）网络信息 安全有限公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58,447,72</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-2,750,462.2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87,725,26</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58,447,72</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-2,750,462.2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87,725,26</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公司第七届董事会第二十二次会议审议通过了《关于公开挂牌转让控股子公司中电科（天津）网络信 息安全有限公司</w:t>
      </w:r>
      <w:r>
        <w:rPr>
          <w:rFonts w:ascii="Times New Roman" w:eastAsia="Times New Roman" w:hAnsi="Times New Roman" w:cs="Times New Roman"/>
          <w:color w:val="000000"/>
          <w:spacing w:val="0"/>
          <w:w w:val="100"/>
          <w:position w:val="0"/>
        </w:rPr>
        <w:t>35%</w:t>
      </w:r>
      <w:r>
        <w:rPr>
          <w:color w:val="000000"/>
          <w:spacing w:val="0"/>
          <w:w w:val="100"/>
          <w:position w:val="0"/>
        </w:rPr>
        <w:t>股权的议案》，同意公司在北京产权交易所公开挂牌转让持有的中电科（天津）网络 信息安全有限公司（以下简称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天津网安</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股权。公司于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月完成股权交易，转让价格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,800.00 </w:t>
      </w:r>
      <w:r>
        <w:rPr>
          <w:color w:val="000000"/>
          <w:spacing w:val="0"/>
          <w:w w:val="100"/>
          <w:position w:val="0"/>
        </w:rPr>
        <w:t>万元，转让完成后，公司持有天津网安</w:t>
      </w:r>
      <w:r>
        <w:rPr>
          <w:rFonts w:ascii="Times New Roman" w:eastAsia="Times New Roman" w:hAnsi="Times New Roman" w:cs="Times New Roman"/>
          <w:color w:val="000000"/>
          <w:spacing w:val="0"/>
          <w:w w:val="100"/>
          <w:position w:val="0"/>
        </w:rPr>
        <w:t>30%</w:t>
      </w:r>
      <w:r>
        <w:rPr>
          <w:color w:val="000000"/>
          <w:spacing w:val="0"/>
          <w:w w:val="100"/>
          <w:position w:val="0"/>
        </w:rPr>
        <w:t>股权。</w:t>
      </w:r>
    </w:p>
    <w:p>
      <w:pPr>
        <w:pStyle w:val="Style32"/>
        <w:keepNext/>
        <w:keepLines/>
        <w:widowControl w:val="0"/>
        <w:shd w:val="clear" w:color="auto" w:fill="auto"/>
        <w:bidi w:val="0"/>
        <w:spacing w:before="0" w:after="320" w:line="326"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68"/>
      <w:bookmarkEnd w:id="1269"/>
      <w:bookmarkEnd w:id="1271"/>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四川兴政信息技术有限公司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3,206,014.19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深圳市虹安信息安全技术有限公司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3,206,014.19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710"/>
        <w:gridCol w:w="989"/>
        <w:gridCol w:w="1138"/>
        <w:gridCol w:w="1133"/>
        <w:gridCol w:w="1824"/>
        <w:gridCol w:w="13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 股利收 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益转入留存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指定为以公允价值计</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量且其变动计入其他 综合收益的原因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四川兴政信息技术有限公司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1,206,014.19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深圳市虹安信息安全技术有限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18"/>
        <w:keepNext w:val="0"/>
        <w:keepLines w:val="0"/>
        <w:widowControl w:val="0"/>
        <w:shd w:val="clear" w:color="auto" w:fill="auto"/>
        <w:bidi w:val="0"/>
        <w:spacing w:before="0" w:after="100" w:line="298" w:lineRule="exact"/>
        <w:ind w:left="0" w:right="0" w:firstLine="440"/>
        <w:jc w:val="both"/>
      </w:pPr>
      <w:r>
        <w:rPr>
          <w:color w:val="000000"/>
          <w:spacing w:val="0"/>
          <w:w w:val="100"/>
          <w:position w:val="0"/>
        </w:rPr>
        <w:t>本期处置对深圳市虹安信息安全技术有限公司投资，处置价格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 xml:space="preserve">元，累计计入其他综合收益损失 </w:t>
      </w:r>
      <w:r>
        <w:rPr>
          <w:rFonts w:ascii="Times New Roman" w:eastAsia="Times New Roman" w:hAnsi="Times New Roman" w:cs="Times New Roman"/>
          <w:color w:val="000000"/>
          <w:spacing w:val="0"/>
          <w:w w:val="100"/>
          <w:position w:val="0"/>
        </w:rPr>
        <w:t>799,999.00</w:t>
      </w:r>
      <w:r>
        <w:rPr>
          <w:color w:val="000000"/>
          <w:spacing w:val="0"/>
          <w:w w:val="100"/>
          <w:position w:val="0"/>
        </w:rPr>
        <w:t>元转入留存收益。</w:t>
      </w:r>
      <w:r>
        <w:br w:type="page"/>
      </w:r>
    </w:p>
    <w:p>
      <w:pPr>
        <w:pStyle w:val="Style32"/>
        <w:keepNext/>
        <w:keepLines/>
        <w:widowControl w:val="0"/>
        <w:shd w:val="clear" w:color="auto" w:fill="auto"/>
        <w:bidi w:val="0"/>
        <w:spacing w:before="0" w:after="40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72"/>
      <w:bookmarkEnd w:id="1273"/>
      <w:bookmarkEnd w:id="127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306,569,718.55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316,104,932.94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306,569,718.55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316,104,932.94</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76"/>
      <w:bookmarkEnd w:id="1277"/>
      <w:bookmarkEnd w:id="127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65"/>
        <w:gridCol w:w="1416"/>
        <w:gridCol w:w="1277"/>
        <w:gridCol w:w="1214"/>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268,849,005.31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78,262,516.79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13,576,668.30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161,755,703.95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7,101,185.27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529,545,079.62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5,525,797.64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48,061.95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15,053,289.53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5,345,032.72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26,071,181.84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5,525,797.64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48,061.95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15,053,289.53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5,345,032.72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26,071,181.84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1,893,571.27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1,382,212.00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5,873,181.35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9,148,964.62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1,893,571.27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1,382,212.00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3,676,487.67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6,952,270.94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2,196,693.68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2,196,693.68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274,374,802.95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76,417,007.47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12,293,456.30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170,935,812.13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12,446,217.99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546,467,296.84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69,340,109.64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28,888,191.37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12,562,964.68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96,656,228.89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5,992,652.10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213,440,146.68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9,903,464.71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7,164,751.45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154,812.40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14,050,259.65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3,528,971.00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34,802,259.21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9,903,464.71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7,164,751.45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154,812.40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14,050,259.65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3,528,971.00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34,802,259.21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1,893,571.27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1,340,745.50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5,110,510.83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8,344,827.60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1,893,571.27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1,340,745.50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3,470,450.12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6,704,766.89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1,640,060.71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1,640,060.71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79,243,574.35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34,159,371.55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11,377,031.58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105,595,977.71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9,521,623.10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239,897,578.29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5"/>
        <w:gridCol w:w="1416"/>
        <w:gridCol w:w="1277"/>
        <w:gridCol w:w="1214"/>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195,131,228.60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42,257,635.92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916,424.72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65,339,834.42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2,924,594.89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306,569,718.55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199,508,895.67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49,374,325.42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1,013,703.62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65,099,475.06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1,108,533.17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316,104,932.94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79"/>
      <w:bookmarkEnd w:id="1280"/>
      <w:bookmarkEnd w:id="128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1,115,933,080.69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1,163,097,398.37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1,115,933,080.69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1,163,097,398.37</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3"/>
      <w:bookmarkEnd w:id="1284"/>
      <w:bookmarkEnd w:id="12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16"/>
        <w:gridCol w:w="1133"/>
        <w:gridCol w:w="1416"/>
        <w:gridCol w:w="1421"/>
        <w:gridCol w:w="830"/>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北京网安生产、研发及办 公环境建设项目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47,164,317.68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1,115,933,080.69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47,164,317.68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1,115,933,080.69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86"/>
      <w:bookmarkEnd w:id="1287"/>
      <w:bookmarkEnd w:id="128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706"/>
        <w:gridCol w:w="710"/>
        <w:gridCol w:w="710"/>
        <w:gridCol w:w="850"/>
        <w:gridCol w:w="710"/>
        <w:gridCol w:w="706"/>
        <w:gridCol w:w="850"/>
        <w:gridCol w:w="571"/>
        <w:gridCol w:w="706"/>
        <w:gridCol w:w="854"/>
        <w:gridCol w:w="706"/>
        <w:gridCol w:w="504"/>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本期转入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固定资产</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工程累计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投入占预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算比例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其中：本</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期利息资</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北京网安生 产、研发及 办公环境建 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1,342,68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1,163,09</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募股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1,342,68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1,163,09</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7,398.37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89"/>
      <w:bookmarkEnd w:id="1290"/>
      <w:bookmarkEnd w:id="129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83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北京网安生产、研发及办公环境建设项目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47,164,317.68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预计可收回金额低于其账面价值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47,164,317.68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本年在建工程计提减值准备</w:t>
      </w:r>
      <w:r>
        <w:rPr>
          <w:rFonts w:ascii="Times New Roman" w:eastAsia="Times New Roman" w:hAnsi="Times New Roman" w:cs="Times New Roman"/>
          <w:color w:val="000000"/>
          <w:spacing w:val="0"/>
          <w:w w:val="100"/>
          <w:position w:val="0"/>
        </w:rPr>
        <w:t>47,164,317.68</w:t>
      </w:r>
      <w:r>
        <w:rPr>
          <w:color w:val="000000"/>
          <w:spacing w:val="0"/>
          <w:w w:val="100"/>
          <w:position w:val="0"/>
        </w:rPr>
        <w:t>元，详见附注（十四）、承诺及或有事项</w:t>
      </w:r>
      <w:r>
        <w:rPr>
          <w:rFonts w:ascii="Times New Roman" w:eastAsia="Times New Roman" w:hAnsi="Times New Roman" w:cs="Times New Roman"/>
          <w:color w:val="000000"/>
          <w:spacing w:val="0"/>
          <w:w w:val="100"/>
          <w:position w:val="0"/>
        </w:rPr>
        <w:t>2</w:t>
      </w:r>
      <w:r>
        <w:rPr>
          <w:color w:val="000000"/>
          <w:spacing w:val="0"/>
          <w:w w:val="100"/>
          <w:position w:val="0"/>
        </w:rPr>
        <w:t>、或有事项</w:t>
      </w:r>
    </w:p>
    <w:p>
      <w:pPr>
        <w:pStyle w:val="Style32"/>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293"/>
      <w:bookmarkEnd w:id="1294"/>
      <w:bookmarkEnd w:id="129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15,948,343.71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15,948,343.71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8,052,185.01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8,052,185.01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8,052,185.01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8,052,185.01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1,103,328.03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1,103,328.03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tabs>
                <w:tab w:pos="1188" w:val="left"/>
              </w:tabs>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1,103,328.03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1,103,328.03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22,897,200.69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22,897,200.69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8,836,914.13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8,836,914.13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8,836,914.13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8,836,914.13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735,552.00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735,552.00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8,101,362.13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8,101,362.13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14,795,838.56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14,795,838.56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15,948,343.71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15,948,343.71</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97"/>
      <w:bookmarkEnd w:id="1298"/>
      <w:bookmarkEnd w:id="1300"/>
    </w:p>
    <w:p>
      <w:pPr>
        <w:pStyle w:val="Style37"/>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1"/>
      <w:bookmarkEnd w:id="1302"/>
      <w:bookmarkEnd w:id="13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133"/>
        <w:gridCol w:w="1238"/>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87,675,158.14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105,350,709.84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105,547,396.58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298,573,264.56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3,316,075.48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77,887,344.99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2,409,791.42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83,613,211.89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2,409,791.42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2,409,791.42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3,316,075.48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77,887,344.99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81,203,420.47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90,991,233.62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183,238,054.83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107,957,188.00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382,186,476.45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25,822,526.58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29,787,294.85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72,169,844.21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127,779,665.64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11,888,805.70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37,714,684.17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15,710,504.96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65,313,994.83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11,888,805.70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37,714,684.17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15,710,504.96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65,313,994.83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37,711,332.28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67,501,979.02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87,880,349.17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193,093,660.47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5,407,453.51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5,407,453.51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5,407,453.51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5,407,453.51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5,407,453.51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5,407,453.51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53,279,901.34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110,328,622.30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20,076,838.83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183,685,362.47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61,852,631.56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75,563,414.99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33,377,552.37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170,793,598.92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60.94%</w:t>
      </w:r>
      <w:r>
        <w:rPr>
          <w:color w:val="000000"/>
          <w:spacing w:val="0"/>
          <w:w w:val="100"/>
          <w:position w:val="0"/>
        </w:rPr>
        <w:t>。</w:t>
      </w:r>
      <w:r>
        <w:br w:type="page"/>
      </w:r>
    </w:p>
    <w:p>
      <w:pPr>
        <w:pStyle w:val="Style32"/>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304"/>
      <w:bookmarkEnd w:id="1305"/>
      <w:bookmarkEnd w:id="130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1272"/>
        <w:gridCol w:w="1277"/>
        <w:gridCol w:w="566"/>
        <w:gridCol w:w="283"/>
        <w:gridCol w:w="1138"/>
        <w:gridCol w:w="706"/>
        <w:gridCol w:w="288"/>
        <w:gridCol w:w="12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确认为无形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转入当</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跨网跨域综合服务平台信任系统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16,764,680.49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11,937,530.66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28,702,211.15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密码基础服务平台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10,407,268.72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17,311,721.48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27,718,990.20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安全服务运营平台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3,359,717.96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7,602,234.14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10,961,952.10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第四代纵向加密认证装置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2,649,163.34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2,950,252.55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5,599,415.89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卫士云盘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609,989.66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4,037,124.65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4,647,114.31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安全网关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2,141,296.70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2,141,296.70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新一代</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16,043,432.14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2,069,085.46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18,112,517.60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统一认证平台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13,388,970.10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1,351,145.15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14,740,115.25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出口型</w:t>
            </w:r>
            <w:r>
              <w:rPr>
                <w:rFonts w:ascii="Times New Roman" w:eastAsia="Times New Roman" w:hAnsi="Times New Roman" w:cs="Times New Roman"/>
                <w:color w:val="000000"/>
                <w:spacing w:val="0"/>
                <w:w w:val="100"/>
                <w:position w:val="0"/>
                <w:sz w:val="18"/>
                <w:szCs w:val="18"/>
              </w:rPr>
              <w:t>HSM</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10,368,544.70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1,039,153.54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11,407,698.24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综合监管系统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9,279,588.85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9,279,588.85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卫士通密级标志生成与管理系统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XC</w:t>
            </w:r>
            <w:r>
              <w:rPr>
                <w:color w:val="000000"/>
                <w:spacing w:val="0"/>
                <w:w w:val="100"/>
                <w:position w:val="0"/>
              </w:rPr>
              <w:t>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7,677,148.79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945,261.37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8,622,410.16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卫士通网络安全管理系统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6,321,735.37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753,874.00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7,075,609.37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产品项目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5,465,265.91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2,132,318.29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7,597,584.20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授权管理服务系统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1,051,821.32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1,051,821.32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无线接入安全系统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1,752,152.77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1,752,152.77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视频监控终端</w:t>
            </w:r>
            <w:r>
              <w:rPr>
                <w:rFonts w:ascii="Times New Roman" w:eastAsia="Times New Roman" w:hAnsi="Times New Roman" w:cs="Times New Roman"/>
                <w:color w:val="000000"/>
                <w:spacing w:val="0"/>
                <w:w w:val="100"/>
                <w:position w:val="0"/>
                <w:sz w:val="18"/>
                <w:szCs w:val="18"/>
              </w:rPr>
              <w:t>MM</w:t>
            </w:r>
            <w:r>
              <w:rPr>
                <w:color w:val="000000"/>
                <w:spacing w:val="0"/>
                <w:w w:val="100"/>
                <w:position w:val="0"/>
              </w:rPr>
              <w:t>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1,563,922.71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1,563,922.71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103,387,327.35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57,587,073.47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81,203,420.47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79,770,980.35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内部研究开发支出的资本化时点：研发项目经过前期市场调研和项目可行性论证，报经公司批准立项 后发生的开发费用计入开发支出，予以资本化。</w:t>
      </w:r>
    </w:p>
    <w:p>
      <w:pPr>
        <w:pStyle w:val="Style32"/>
        <w:keepNext/>
        <w:keepLines/>
        <w:widowControl w:val="0"/>
        <w:shd w:val="clear" w:color="auto" w:fill="auto"/>
        <w:bidi w:val="0"/>
        <w:spacing w:before="0" w:after="200" w:line="331" w:lineRule="auto"/>
        <w:ind w:left="0" w:right="0" w:firstLine="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308"/>
      <w:bookmarkEnd w:id="1309"/>
      <w:bookmarkEnd w:id="1310"/>
    </w:p>
    <w:p>
      <w:pPr>
        <w:pStyle w:val="Style37"/>
        <w:keepNext/>
        <w:keepLines/>
        <w:widowControl w:val="0"/>
        <w:shd w:val="clear" w:color="auto" w:fill="auto"/>
        <w:bidi w:val="0"/>
        <w:spacing w:before="0" w:line="317" w:lineRule="exact"/>
        <w:ind w:left="0" w:right="0" w:firstLine="0"/>
        <w:jc w:val="left"/>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1"/>
      <w:bookmarkEnd w:id="1312"/>
      <w:bookmarkEnd w:id="131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850"/>
        <w:gridCol w:w="1560"/>
        <w:gridCol w:w="706"/>
        <w:gridCol w:w="1277"/>
        <w:gridCol w:w="974"/>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14"/>
      <w:bookmarkEnd w:id="1315"/>
      <w:bookmarkEnd w:id="131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842"/>
        <w:gridCol w:w="1272"/>
        <w:gridCol w:w="1421"/>
        <w:gridCol w:w="706"/>
        <w:gridCol w:w="1138"/>
        <w:gridCol w:w="830"/>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317"/>
      <w:bookmarkEnd w:id="1318"/>
      <w:bookmarkEnd w:id="132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4,327.94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7,109,355.87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848,153.59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6,265,530.22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4,327.94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7,109,355.87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848,153.59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6,265,530.22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1"/>
      <w:bookmarkEnd w:id="1322"/>
      <w:bookmarkEnd w:id="1324"/>
    </w:p>
    <w:p>
      <w:pPr>
        <w:pStyle w:val="Style37"/>
        <w:keepNext/>
        <w:keepLines/>
        <w:widowControl w:val="0"/>
        <w:shd w:val="clear" w:color="auto" w:fill="auto"/>
        <w:bidi w:val="0"/>
        <w:spacing w:before="0" w:after="400" w:line="240" w:lineRule="auto"/>
        <w:ind w:left="0" w:right="0" w:firstLine="0"/>
        <w:jc w:val="left"/>
      </w:pPr>
      <w:bookmarkStart w:id="1325" w:name="bookmark1325"/>
      <w:bookmarkStart w:id="1326" w:name="bookmark1326"/>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25"/>
      <w:bookmarkEnd w:id="1326"/>
      <w:bookmarkEnd w:id="132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509,270,647.82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76,390,597.18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399,742,515.19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59,961,377.27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30,832,623.05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4,624,893.46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38,150,992.46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5,722,648.87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269,131,371.12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40,369,925.08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256,511,036.49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38,476,655.48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59,672,536.72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8,950,880.51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33,705,081.81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5,055,762.27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234,804.47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13,594,412.80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2,039,161.92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882,736,395.98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132,410,678.82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728,109,625.95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109,216,443.89</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328"/>
      <w:bookmarkEnd w:id="1329"/>
      <w:bookmarkEnd w:id="133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132,410,678.82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109,216,443.89</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331"/>
      <w:bookmarkEnd w:id="1332"/>
      <w:bookmarkEnd w:id="133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8,707,417.28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8,707,417.28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9,728,625.75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9,728,625.75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8,707,417.28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8,707,417.28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9,728,625.75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9,728,625.75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335"/>
      <w:bookmarkEnd w:id="1336"/>
      <w:bookmarkEnd w:id="133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168,700,358.31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75,720,550.00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46,152,251.40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103,642,725.28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214,852,609.71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179,363,275.28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339"/>
      <w:bookmarkEnd w:id="1340"/>
      <w:bookmarkEnd w:id="1342"/>
    </w:p>
    <w:p>
      <w:pPr>
        <w:pStyle w:val="Style37"/>
        <w:keepNext/>
        <w:keepLines/>
        <w:widowControl w:val="0"/>
        <w:shd w:val="clear" w:color="auto" w:fill="auto"/>
        <w:bidi w:val="0"/>
        <w:spacing w:before="0" w:after="400" w:line="240" w:lineRule="auto"/>
        <w:ind w:left="0" w:right="0" w:firstLine="0"/>
        <w:jc w:val="left"/>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43"/>
      <w:bookmarkEnd w:id="1344"/>
      <w:bookmarkEnd w:id="13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684,208,726.15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810,994,068.11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180,005,457.86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125,544,882.88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56,396,911.00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40,515,080.97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85,974,434.40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74,208,631.50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1,006,585,529.41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1,051,262,663.46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6"/>
      <w:bookmarkEnd w:id="1347"/>
      <w:bookmarkEnd w:id="13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71,996,341.18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21,471,200.00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15,161,075.19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9,128,108.96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8,768,812.28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126,525,537.61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349"/>
      <w:bookmarkEnd w:id="1350"/>
      <w:bookmarkEnd w:id="13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48,984,820.48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2,763,492.96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19,166,939.64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19,123,641.64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17,393,607.66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16,814,159.29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16,814,159.29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12,679,887.02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3,849,661.46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547,397,187.69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271,440,266.85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662,436,601.78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313,991,222.20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353"/>
      <w:bookmarkEnd w:id="1354"/>
      <w:bookmarkEnd w:id="1356"/>
    </w:p>
    <w:p>
      <w:pPr>
        <w:pStyle w:val="Style37"/>
        <w:keepNext/>
        <w:keepLines/>
        <w:widowControl w:val="0"/>
        <w:shd w:val="clear" w:color="auto" w:fill="auto"/>
        <w:bidi w:val="0"/>
        <w:spacing w:before="0" w:after="400" w:line="240" w:lineRule="auto"/>
        <w:ind w:left="0" w:right="0" w:firstLine="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7"/>
      <w:bookmarkEnd w:id="1358"/>
      <w:bookmarkEnd w:id="135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421"/>
        <w:gridCol w:w="1915"/>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7,612,184.04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606,018,317.64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606,100,361.22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7,530,140.46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39,994,661.39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35,487,498.18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75,403,847.57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78,312.00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1,150,886.72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1,150,886.72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47,606,845.43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642,656,702.54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682,655,095.51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7,608,452.46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60"/>
      <w:bookmarkEnd w:id="1361"/>
      <w:bookmarkEnd w:id="136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421"/>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217,960.29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451,683,676.76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451,901,637.05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52,499,640.87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52,499,640.87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41,781.80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19,393,443.15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19,385,848.95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49,376.00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41,781.80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18,128,048.07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18,121,281.82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48,548.05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480,330.33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479,578.58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785,064.75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784,988.55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667,891.57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43,796,040.05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42,890,188.18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1,573,743.44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6,684,550.38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3,602,109.80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4,396,305.82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5,890,354.36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4,435,993.00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4,435,993.00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30,607,414.01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30,590,747.35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16,666.66</w:t>
            </w:r>
          </w:p>
        </w:tc>
      </w:tr>
    </w:tbl>
    <w:p>
      <w:pPr>
        <w:widowControl w:val="0"/>
        <w:spacing w:line="1" w:lineRule="exact"/>
      </w:pPr>
      <w:r>
        <w:br w:type="page"/>
      </w:r>
    </w:p>
    <w:tbl>
      <w:tblPr>
        <w:tblOverlap w:val="never"/>
        <w:jc w:val="center"/>
        <w:tblLayout w:type="fixed"/>
      </w:tblPr>
      <w:tblGrid>
        <w:gridCol w:w="2414"/>
        <w:gridCol w:w="1421"/>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7,612,184.04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606,018,317.64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606,100,361.22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7,530,140.46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63"/>
      <w:bookmarkEnd w:id="1364"/>
      <w:bookmarkEnd w:id="136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39,994,661.39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31,575,462.53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71,495,649.14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74,474.78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1,219,438.73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1,217,091.91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2,692,596.92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2,691,106.52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39,994,661.39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35,487,498.18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75,403,847.57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78,312.00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367"/>
      <w:bookmarkEnd w:id="1368"/>
      <w:bookmarkEnd w:id="137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15,296,884.01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51,216,721.32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23,457,673.97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10,796,066.91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1,954,183.50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1,170,541.31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1,070,754.51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3,585,170.49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2,560,836.07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272,755.76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624,647.72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42,817,076.42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69,953,983.82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371"/>
      <w:bookmarkEnd w:id="1372"/>
      <w:bookmarkEnd w:id="137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29,376,334.40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28,001,642.96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29,376,334.40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28,001,642.96</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5"/>
      <w:bookmarkEnd w:id="1376"/>
      <w:bookmarkEnd w:id="1377"/>
    </w:p>
    <w:p>
      <w:pPr>
        <w:pStyle w:val="Style61"/>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78"/>
      <w:bookmarkEnd w:id="1379"/>
      <w:bookmarkEnd w:id="138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暂收待付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6,713,153.87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9,820,989.95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3,638,023.92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2,432,341.41</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应付单位款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16,981,601.38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15,177,285.12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应付个人款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2,043,555.23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571,026.48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29,376,334.40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28,001,642.96</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81"/>
      <w:bookmarkEnd w:id="1382"/>
      <w:bookmarkEnd w:id="138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676,243.30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3,831,467.30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384"/>
      <w:bookmarkEnd w:id="1385"/>
      <w:bookmarkEnd w:id="138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7,529,148.18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7,529,148.18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88"/>
      <w:bookmarkEnd w:id="1389"/>
      <w:bookmarkEnd w:id="139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12,955,724.40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42,741,054.87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12,955,724.40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42,741,054.87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392"/>
      <w:bookmarkEnd w:id="1393"/>
      <w:bookmarkEnd w:id="139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14,846,053.98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16,968,822.49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-822,720.85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-1,020,478.78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-7,529,148.18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-6,966,256.38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6,494,184.95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8,982,087.33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396"/>
      <w:bookmarkEnd w:id="1397"/>
      <w:bookmarkEnd w:id="139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23,767,000.00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25,218,870.66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28,224,347.75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详见明细</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23,767,000.00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25,218,870.66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28,224,347.75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994"/>
        <w:gridCol w:w="994"/>
        <w:gridCol w:w="850"/>
        <w:gridCol w:w="850"/>
        <w:gridCol w:w="917"/>
        <w:gridCol w:w="1008"/>
        <w:gridCol w:w="1248"/>
        <w:gridCol w:w="102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营业外收</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成本费用</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综合安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申威</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生态产品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测绘自主可控专项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关键密码技术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密码 应用项目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年省科技重大专 项：第五代移动通信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安全产品研发及 产业化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10,062,558.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2,310,558.81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基于国产密码的高安 全等级防护技术与芯 片研究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四川省科学技术厅</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-Embedded-SE </w:t>
            </w:r>
            <w:r>
              <w:rPr>
                <w:color w:val="000000"/>
                <w:spacing w:val="0"/>
                <w:w w:val="100"/>
                <w:position w:val="0"/>
              </w:rPr>
              <w:t>安全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核心研发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第五代移动通信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安全产品研发及产业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成都高新技术产业开 发区经济运行与安全 生产监管局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网络安全关键技术研 究及示范系统构建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1,158,900.0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1,340,900.00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Embedded-SE </w:t>
            </w:r>
            <w:r>
              <w:rPr>
                <w:color w:val="000000"/>
                <w:spacing w:val="0"/>
                <w:w w:val="100"/>
                <w:position w:val="0"/>
              </w:rPr>
              <w:t>安全核 心研发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基于物联网应用的网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footnotePr>
            <w:pos w:val="pageBottom"/>
            <w:numFmt w:val="decimal"/>
            <w:numRestart w:val="continuous"/>
          </w:footnotePr>
          <w:pgSz w:w="11900" w:h="16840"/>
          <w:pgMar w:top="1388" w:right="1053" w:bottom="1383" w:left="1049" w:header="0" w:footer="3" w:gutter="0"/>
          <w:cols w:space="720"/>
          <w:noEndnote/>
          <w:rtlGutter w:val="0"/>
          <w:docGrid w:linePitch="360"/>
        </w:sectPr>
      </w:pPr>
    </w:p>
    <w:p>
      <w:pPr>
        <w:widowControl w:val="0"/>
        <w:spacing w:after="339" w:line="1" w:lineRule="exact"/>
      </w:pPr>
    </w:p>
    <w:tbl>
      <w:tblPr>
        <w:tblOverlap w:val="never"/>
        <w:jc w:val="center"/>
        <w:tblLayout w:type="fixed"/>
      </w:tblPr>
      <w:tblGrid>
        <w:gridCol w:w="1704"/>
        <w:gridCol w:w="994"/>
        <w:gridCol w:w="994"/>
        <w:gridCol w:w="850"/>
        <w:gridCol w:w="850"/>
        <w:gridCol w:w="917"/>
        <w:gridCol w:w="1008"/>
        <w:gridCol w:w="1248"/>
        <w:gridCol w:w="1022"/>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络安全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芯片研发 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应用于保密手机的低 功耗</w:t>
            </w:r>
            <w:r>
              <w:rPr>
                <w:rFonts w:ascii="Times New Roman" w:eastAsia="Times New Roman" w:hAnsi="Times New Roman" w:cs="Times New Roman"/>
                <w:color w:val="000000"/>
                <w:spacing w:val="0"/>
                <w:w w:val="100"/>
                <w:position w:val="0"/>
                <w:sz w:val="18"/>
                <w:szCs w:val="18"/>
              </w:rPr>
              <w:t>MicroSD</w:t>
            </w:r>
            <w:r>
              <w:rPr>
                <w:color w:val="000000"/>
                <w:spacing w:val="0"/>
                <w:w w:val="100"/>
                <w:position w:val="0"/>
              </w:rPr>
              <w:t>安全芯 片研究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应用于移动智能终端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网络空间信息基础设</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施安全服务基础技术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应用于移动终端的安 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芯片研发及产 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高安全等级移动终端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关键技术研究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337,350.00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电子记事本研制及应</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用验证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研发费用税前加计扣 除减免额奖励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支持企业开发创新产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623,500.00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4,137,409.6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3,885,538.94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本期其他变动系转移支付给项目合作开发单位。</w:t>
      </w:r>
    </w:p>
    <w:p>
      <w:pPr>
        <w:pStyle w:val="Style32"/>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400"/>
      <w:bookmarkEnd w:id="1401"/>
      <w:bookmarkEnd w:id="140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7,958,575.00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7,958,575.00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846,294,603.00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日为授予日向限制性股票长期激励计划</w:t>
      </w:r>
      <w:r>
        <w:rPr>
          <w:rFonts w:ascii="Times New Roman" w:eastAsia="Times New Roman" w:hAnsi="Times New Roman" w:cs="Times New Roman"/>
          <w:color w:val="000000"/>
          <w:spacing w:val="0"/>
          <w:w w:val="100"/>
          <w:position w:val="0"/>
        </w:rPr>
        <w:t>2020</w:t>
      </w:r>
      <w:r>
        <w:rPr>
          <w:color w:val="000000"/>
          <w:spacing w:val="0"/>
          <w:w w:val="100"/>
          <w:position w:val="0"/>
        </w:rPr>
        <w:t>年首期激励对象授予限制性股票，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日向首期激励对象授予限制性股票</w:t>
      </w:r>
      <w:r>
        <w:rPr>
          <w:rFonts w:ascii="Times New Roman" w:eastAsia="Times New Roman" w:hAnsi="Times New Roman" w:cs="Times New Roman"/>
          <w:color w:val="000000"/>
          <w:spacing w:val="0"/>
          <w:w w:val="100"/>
          <w:position w:val="0"/>
        </w:rPr>
        <w:t>7,958,575</w:t>
      </w:r>
      <w:r>
        <w:rPr>
          <w:color w:val="000000"/>
          <w:spacing w:val="0"/>
          <w:w w:val="100"/>
          <w:position w:val="0"/>
        </w:rPr>
        <w:t>股，上市日期为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日，公司股本 增加至</w:t>
      </w:r>
      <w:r>
        <w:rPr>
          <w:rFonts w:ascii="Times New Roman" w:eastAsia="Times New Roman" w:hAnsi="Times New Roman" w:cs="Times New Roman"/>
          <w:color w:val="000000"/>
          <w:spacing w:val="0"/>
          <w:w w:val="100"/>
          <w:position w:val="0"/>
        </w:rPr>
        <w:t>846,294,603</w:t>
      </w:r>
      <w:r>
        <w:rPr>
          <w:color w:val="000000"/>
          <w:spacing w:val="0"/>
          <w:w w:val="100"/>
          <w:position w:val="0"/>
        </w:rPr>
        <w:t>股。以上增资已经大华会计师事务所（特殊普通合伙）审验，并于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月出具大华 验字</w:t>
      </w:r>
      <w:r>
        <w:rPr>
          <w:rFonts w:ascii="Times New Roman" w:eastAsia="Times New Roman" w:hAnsi="Times New Roman" w:cs="Times New Roman"/>
          <w:color w:val="000000"/>
          <w:spacing w:val="0"/>
          <w:w w:val="100"/>
          <w:position w:val="0"/>
        </w:rPr>
        <w:t>[2021]000027</w:t>
      </w:r>
      <w:r>
        <w:rPr>
          <w:color w:val="000000"/>
          <w:spacing w:val="0"/>
          <w:w w:val="100"/>
          <w:position w:val="0"/>
        </w:rPr>
        <w:t>号验资报告。</w:t>
      </w:r>
    </w:p>
    <w:p>
      <w:pPr>
        <w:pStyle w:val="Style32"/>
        <w:keepNext/>
        <w:keepLines/>
        <w:widowControl w:val="0"/>
        <w:shd w:val="clear" w:color="auto" w:fill="auto"/>
        <w:bidi w:val="0"/>
        <w:spacing w:before="0" w:after="180" w:line="312" w:lineRule="exact"/>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403"/>
      <w:bookmarkEnd w:id="1404"/>
      <w:bookmarkEnd w:id="1406"/>
      <w:r>
        <w:br w:type="page"/>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2,543,349,217.45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82,928,351.50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2,626,277,568.95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58,453,251.83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13,622,412.80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72,075,664.63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2,601,802,469.28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96,550,764.30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2,698,353,233.58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59" w:line="1" w:lineRule="exact"/>
      </w:pPr>
    </w:p>
    <w:p>
      <w:pPr>
        <w:pStyle w:val="Style18"/>
        <w:keepNext w:val="0"/>
        <w:keepLines w:val="0"/>
        <w:widowControl w:val="0"/>
        <w:shd w:val="clear" w:color="auto" w:fill="auto"/>
        <w:tabs>
          <w:tab w:pos="786" w:val="left"/>
        </w:tabs>
        <w:bidi w:val="0"/>
        <w:spacing w:before="0" w:after="0" w:line="315" w:lineRule="exact"/>
        <w:ind w:left="0" w:right="0" w:firstLine="440"/>
        <w:jc w:val="both"/>
      </w:pPr>
      <w:bookmarkStart w:id="1407" w:name="bookmark1407"/>
      <w:r>
        <w:rPr>
          <w:rFonts w:ascii="Times New Roman" w:eastAsia="Times New Roman" w:hAnsi="Times New Roman" w:cs="Times New Roman"/>
          <w:color w:val="000000"/>
          <w:spacing w:val="0"/>
          <w:w w:val="100"/>
          <w:position w:val="0"/>
        </w:rPr>
        <w:t>1</w:t>
      </w:r>
      <w:bookmarkEnd w:id="1407"/>
      <w:r>
        <w:rPr>
          <w:color w:val="000000"/>
          <w:spacing w:val="0"/>
          <w:w w:val="100"/>
          <w:position w:val="0"/>
        </w:rPr>
        <w:t>、</w:t>
        <w:tab/>
        <w:t>本公司以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日为授予日向限制性股票长期激励计划</w:t>
      </w:r>
      <w:r>
        <w:rPr>
          <w:rFonts w:ascii="Times New Roman" w:eastAsia="Times New Roman" w:hAnsi="Times New Roman" w:cs="Times New Roman"/>
          <w:color w:val="000000"/>
          <w:spacing w:val="0"/>
          <w:w w:val="100"/>
          <w:position w:val="0"/>
        </w:rPr>
        <w:t>2020</w:t>
      </w:r>
      <w:r>
        <w:rPr>
          <w:color w:val="000000"/>
          <w:spacing w:val="0"/>
          <w:w w:val="100"/>
          <w:position w:val="0"/>
        </w:rPr>
        <w:t>年首期激励对象授予限制性股 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日向首期激励对象授予限制性股票</w:t>
      </w:r>
      <w:r>
        <w:rPr>
          <w:rFonts w:ascii="Times New Roman" w:eastAsia="Times New Roman" w:hAnsi="Times New Roman" w:cs="Times New Roman"/>
          <w:color w:val="000000"/>
          <w:spacing w:val="0"/>
          <w:w w:val="100"/>
          <w:position w:val="0"/>
        </w:rPr>
        <w:t>7,958,575</w:t>
      </w:r>
      <w:r>
        <w:rPr>
          <w:color w:val="000000"/>
          <w:spacing w:val="0"/>
          <w:w w:val="100"/>
          <w:position w:val="0"/>
        </w:rPr>
        <w:t>股，授予价格每股</w:t>
      </w:r>
      <w:r>
        <w:rPr>
          <w:rFonts w:ascii="Times New Roman" w:eastAsia="Times New Roman" w:hAnsi="Times New Roman" w:cs="Times New Roman"/>
          <w:color w:val="000000"/>
          <w:spacing w:val="0"/>
          <w:w w:val="100"/>
          <w:position w:val="0"/>
        </w:rPr>
        <w:t>11.42</w:t>
      </w:r>
      <w:r>
        <w:rPr>
          <w:color w:val="000000"/>
          <w:spacing w:val="0"/>
          <w:w w:val="100"/>
          <w:position w:val="0"/>
        </w:rPr>
        <w:t>元，形成资本 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82,928,351.50</w:t>
      </w:r>
      <w:r>
        <w:rPr>
          <w:color w:val="000000"/>
          <w:spacing w:val="0"/>
          <w:w w:val="100"/>
          <w:position w:val="0"/>
        </w:rPr>
        <w:t>元。</w:t>
      </w:r>
    </w:p>
    <w:p>
      <w:pPr>
        <w:pStyle w:val="Style18"/>
        <w:keepNext w:val="0"/>
        <w:keepLines w:val="0"/>
        <w:widowControl w:val="0"/>
        <w:shd w:val="clear" w:color="auto" w:fill="auto"/>
        <w:tabs>
          <w:tab w:pos="680" w:val="left"/>
        </w:tabs>
        <w:bidi w:val="0"/>
        <w:spacing w:before="0" w:after="380" w:line="315" w:lineRule="exact"/>
        <w:ind w:left="0" w:right="0" w:firstLine="440"/>
        <w:jc w:val="both"/>
      </w:pPr>
      <w:bookmarkStart w:id="1408" w:name="bookmark1408"/>
      <w:r>
        <w:rPr>
          <w:rFonts w:ascii="Times New Roman" w:eastAsia="Times New Roman" w:hAnsi="Times New Roman" w:cs="Times New Roman"/>
          <w:color w:val="000000"/>
          <w:spacing w:val="0"/>
          <w:w w:val="100"/>
          <w:position w:val="0"/>
        </w:rPr>
        <w:t>2</w:t>
      </w:r>
      <w:bookmarkEnd w:id="1408"/>
      <w:r>
        <w:rPr>
          <w:color w:val="000000"/>
          <w:spacing w:val="0"/>
          <w:w w:val="100"/>
          <w:position w:val="0"/>
        </w:rPr>
        <w:t>、</w:t>
        <w:tab/>
        <w:t>本期摊销股权激励成本，形成其他资本公积</w:t>
      </w:r>
      <w:r>
        <w:rPr>
          <w:rFonts w:ascii="Times New Roman" w:eastAsia="Times New Roman" w:hAnsi="Times New Roman" w:cs="Times New Roman"/>
          <w:color w:val="000000"/>
          <w:spacing w:val="0"/>
          <w:w w:val="100"/>
          <w:position w:val="0"/>
        </w:rPr>
        <w:t>13,594,412.80</w:t>
      </w:r>
      <w:r>
        <w:rPr>
          <w:color w:val="000000"/>
          <w:spacing w:val="0"/>
          <w:w w:val="100"/>
          <w:position w:val="0"/>
        </w:rPr>
        <w:t>元，按权益法核算联营企业工业信息安全 （四川）创新中心有限公司其他权益变动形成资本公积</w:t>
      </w:r>
      <w:r>
        <w:rPr>
          <w:rFonts w:ascii="Times New Roman" w:eastAsia="Times New Roman" w:hAnsi="Times New Roman" w:cs="Times New Roman"/>
          <w:color w:val="000000"/>
          <w:spacing w:val="0"/>
          <w:w w:val="100"/>
          <w:position w:val="0"/>
        </w:rPr>
        <w:t>28,000.00</w:t>
      </w:r>
      <w:r>
        <w:rPr>
          <w:color w:val="000000"/>
          <w:spacing w:val="0"/>
          <w:w w:val="100"/>
          <w:position w:val="0"/>
        </w:rPr>
        <w:t>元。</w:t>
      </w:r>
    </w:p>
    <w:p>
      <w:pPr>
        <w:pStyle w:val="Style32"/>
        <w:keepNext/>
        <w:keepLines/>
        <w:widowControl w:val="0"/>
        <w:shd w:val="clear" w:color="auto" w:fill="auto"/>
        <w:bidi w:val="0"/>
        <w:spacing w:before="0" w:after="320" w:line="329"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409"/>
      <w:bookmarkEnd w:id="1410"/>
      <w:bookmarkEnd w:id="1412"/>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3,334,640.00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3,334,640.00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59" w:line="1" w:lineRule="exact"/>
      </w:pPr>
    </w:p>
    <w:p>
      <w:pPr>
        <w:pStyle w:val="Style18"/>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本期由于员工离职或调离本公司，回购限制性股票</w:t>
      </w:r>
      <w:r>
        <w:rPr>
          <w:rFonts w:ascii="Times New Roman" w:eastAsia="Times New Roman" w:hAnsi="Times New Roman" w:cs="Times New Roman"/>
          <w:color w:val="000000"/>
          <w:spacing w:val="0"/>
          <w:w w:val="100"/>
          <w:position w:val="0"/>
        </w:rPr>
        <w:t>292,000</w:t>
      </w:r>
      <w:r>
        <w:rPr>
          <w:color w:val="000000"/>
          <w:spacing w:val="0"/>
          <w:w w:val="100"/>
          <w:position w:val="0"/>
        </w:rPr>
        <w:t>股，增加库存股</w:t>
      </w:r>
      <w:r>
        <w:rPr>
          <w:rFonts w:ascii="Times New Roman" w:eastAsia="Times New Roman" w:hAnsi="Times New Roman" w:cs="Times New Roman"/>
          <w:color w:val="000000"/>
          <w:spacing w:val="0"/>
          <w:w w:val="100"/>
          <w:position w:val="0"/>
        </w:rPr>
        <w:t>3,334,640</w:t>
      </w:r>
      <w:r>
        <w:rPr>
          <w:color w:val="000000"/>
          <w:spacing w:val="0"/>
          <w:w w:val="100"/>
          <w:position w:val="0"/>
        </w:rPr>
        <w:t>元，当期回购股份 占已发行限制性股票的</w:t>
      </w:r>
      <w:r>
        <w:rPr>
          <w:rFonts w:ascii="Times New Roman" w:eastAsia="Times New Roman" w:hAnsi="Times New Roman" w:cs="Times New Roman"/>
          <w:color w:val="000000"/>
          <w:spacing w:val="0"/>
          <w:w w:val="100"/>
          <w:position w:val="0"/>
        </w:rPr>
        <w:t>3.67%</w:t>
      </w:r>
      <w:r>
        <w:rPr>
          <w:color w:val="000000"/>
          <w:spacing w:val="0"/>
          <w:w w:val="100"/>
          <w:position w:val="0"/>
        </w:rPr>
        <w:t>，累计库存股占已发行限制性股票的</w:t>
      </w:r>
      <w:r>
        <w:rPr>
          <w:rFonts w:ascii="Times New Roman" w:eastAsia="Times New Roman" w:hAnsi="Times New Roman" w:cs="Times New Roman"/>
          <w:color w:val="000000"/>
          <w:spacing w:val="0"/>
          <w:w w:val="100"/>
          <w:position w:val="0"/>
        </w:rPr>
        <w:t>3.67%</w:t>
      </w:r>
      <w:r>
        <w:rPr>
          <w:color w:val="000000"/>
          <w:spacing w:val="0"/>
          <w:w w:val="100"/>
          <w:position w:val="0"/>
        </w:rPr>
        <w:t>。</w:t>
      </w:r>
    </w:p>
    <w:p>
      <w:pPr>
        <w:pStyle w:val="Style32"/>
        <w:keepNext/>
        <w:keepLines/>
        <w:widowControl w:val="0"/>
        <w:shd w:val="clear" w:color="auto" w:fill="auto"/>
        <w:bidi w:val="0"/>
        <w:spacing w:before="0" w:after="320" w:line="322"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413"/>
      <w:bookmarkEnd w:id="1414"/>
      <w:bookmarkEnd w:id="1416"/>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205,777.2</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205,777.2</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205,777.2</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59" w:line="1" w:lineRule="exact"/>
      </w:pPr>
    </w:p>
    <w:p>
      <w:pPr>
        <w:pStyle w:val="Style18"/>
        <w:keepNext w:val="0"/>
        <w:keepLines w:val="0"/>
        <w:widowControl w:val="0"/>
        <w:shd w:val="clear" w:color="auto" w:fill="auto"/>
        <w:bidi w:val="0"/>
        <w:spacing w:before="0" w:after="180" w:line="298" w:lineRule="exact"/>
        <w:ind w:left="0" w:right="0" w:firstLine="440"/>
        <w:jc w:val="both"/>
      </w:pPr>
      <w:r>
        <w:rPr>
          <w:color w:val="000000"/>
          <w:spacing w:val="0"/>
          <w:w w:val="100"/>
          <w:position w:val="0"/>
        </w:rPr>
        <w:t>本期处置对深圳市虹安信息安全技术有限公司投资，处置价格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 xml:space="preserve">元，累计计入其他综合收益损失 </w:t>
      </w:r>
      <w:r>
        <w:rPr>
          <w:rFonts w:ascii="Times New Roman" w:eastAsia="Times New Roman" w:hAnsi="Times New Roman" w:cs="Times New Roman"/>
          <w:color w:val="000000"/>
          <w:spacing w:val="0"/>
          <w:w w:val="100"/>
          <w:position w:val="0"/>
        </w:rPr>
        <w:t>799,999.00</w:t>
      </w:r>
      <w:r>
        <w:rPr>
          <w:color w:val="000000"/>
          <w:spacing w:val="0"/>
          <w:w w:val="100"/>
          <w:position w:val="0"/>
        </w:rPr>
        <w:t>元转入留存收益。</w:t>
      </w:r>
      <w:r>
        <w:br w:type="page"/>
      </w:r>
    </w:p>
    <w:p>
      <w:pPr>
        <w:pStyle w:val="Style32"/>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417"/>
      <w:bookmarkEnd w:id="1418"/>
      <w:bookmarkEnd w:id="14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57,036,561.38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58,068,500.01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57,036,561.38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1,031,938.63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58,068,500.01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本期增加为按照本年实现净利润的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,031,938.63</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421"/>
      <w:bookmarkEnd w:id="1422"/>
      <w:bookmarkEnd w:id="14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1,209,822,966.91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1,065,739,548.74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1,209,822,966.91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1,065,739,548.74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238,048,110.30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161,408,158.18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1,031,938.63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16,925,892.06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15,928,378.53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1,429,113,247.52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1,209,822,966.91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40" w:line="240" w:lineRule="auto"/>
        <w:ind w:left="0" w:right="0" w:firstLine="0"/>
        <w:jc w:val="left"/>
      </w:pPr>
      <w:bookmarkStart w:id="1425" w:name="bookmark1425"/>
      <w:r>
        <w:rPr>
          <w:rFonts w:ascii="Times New Roman" w:eastAsia="Times New Roman" w:hAnsi="Times New Roman" w:cs="Times New Roman"/>
          <w:color w:val="000000"/>
          <w:spacing w:val="0"/>
          <w:w w:val="100"/>
          <w:position w:val="0"/>
          <w:sz w:val="18"/>
          <w:szCs w:val="18"/>
        </w:rPr>
        <w:t>1</w:t>
      </w:r>
      <w:bookmarkEnd w:id="14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426" w:name="bookmark1426"/>
      <w:r>
        <w:rPr>
          <w:rFonts w:ascii="Times New Roman" w:eastAsia="Times New Roman" w:hAnsi="Times New Roman" w:cs="Times New Roman"/>
          <w:color w:val="000000"/>
          <w:spacing w:val="0"/>
          <w:w w:val="100"/>
          <w:position w:val="0"/>
          <w:sz w:val="18"/>
          <w:szCs w:val="18"/>
        </w:rPr>
        <w:t>2</w:t>
      </w:r>
      <w:bookmarkEnd w:id="14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427" w:name="bookmark1427"/>
      <w:r>
        <w:rPr>
          <w:rFonts w:ascii="Times New Roman" w:eastAsia="Times New Roman" w:hAnsi="Times New Roman" w:cs="Times New Roman"/>
          <w:color w:val="000000"/>
          <w:spacing w:val="0"/>
          <w:w w:val="100"/>
          <w:position w:val="0"/>
          <w:sz w:val="18"/>
          <w:szCs w:val="18"/>
        </w:rPr>
        <w:t>3</w:t>
      </w:r>
      <w:bookmarkEnd w:id="14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428" w:name="bookmark1428"/>
      <w:r>
        <w:rPr>
          <w:rFonts w:ascii="Times New Roman" w:eastAsia="Times New Roman" w:hAnsi="Times New Roman" w:cs="Times New Roman"/>
          <w:color w:val="000000"/>
          <w:spacing w:val="0"/>
          <w:w w:val="100"/>
          <w:position w:val="0"/>
          <w:sz w:val="18"/>
          <w:szCs w:val="18"/>
        </w:rPr>
        <w:t>4</w:t>
      </w:r>
      <w:bookmarkEnd w:id="14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429" w:name="bookmark1429"/>
      <w:r>
        <w:rPr>
          <w:rFonts w:ascii="Times New Roman" w:eastAsia="Times New Roman" w:hAnsi="Times New Roman" w:cs="Times New Roman"/>
          <w:color w:val="000000"/>
          <w:spacing w:val="0"/>
          <w:w w:val="100"/>
          <w:position w:val="0"/>
          <w:sz w:val="18"/>
          <w:szCs w:val="18"/>
        </w:rPr>
        <w:t>5</w:t>
      </w:r>
      <w:bookmarkEnd w:id="14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430"/>
      <w:bookmarkEnd w:id="1431"/>
      <w:bookmarkEnd w:id="143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2,788,451,723.74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1,731,326,558.94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2,382,701,243.79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1,538,049,066.18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516,260.83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1,003,698.69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2,788,967,984.57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1,731,326,558.94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1,538,049,066.18</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安全芯片与模块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503,663,001.78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503,663,001.78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安全整机与系统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727,024,363.06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727,024,363.06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安全集成与服务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1,558,280,619.73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1,558,280,619.73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984,759,243.61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984,759,243.61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926,478,518.14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926,478,518.14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308,068,429.89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308,068,429.89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218,063,552.84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218,063,552.84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205,010,939.66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205,010,939.66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79,306,281.80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79,306,281.80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67,281,018.63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67,281,018.63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2,723,579,354.21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2,723,579,354.21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65,388,630.36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65,388,630.36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2,788,967,984.57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2,788,967,984.57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2,478,000,000.00</w:t>
      </w:r>
      <w:r>
        <w:rPr>
          <w:color w:val="000000"/>
          <w:spacing w:val="0"/>
          <w:w w:val="100"/>
          <w:position w:val="0"/>
        </w:rPr>
        <w:t>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434"/>
      <w:bookmarkEnd w:id="1435"/>
      <w:bookmarkEnd w:id="143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4,205,184.92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9,088,354.60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3,004,847.60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6,495,380.84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2,263,184.86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2,094,090.74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35,944.50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34,616.76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2,442,907.13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2,220,694.80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12,012,552.33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19,960,139.99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税金及附加的其他说明：其他系防洪工程维护费及外地工程项目个人所得税等。</w:t>
      </w:r>
    </w:p>
    <w:p>
      <w:pPr>
        <w:pStyle w:val="Style3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438"/>
      <w:bookmarkEnd w:id="1439"/>
      <w:bookmarkEnd w:id="144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246,093,653.86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211,525,855.53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18,400,202.25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16,589,752.58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17,703,549.87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9,722,795.43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9,271,996.42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5,651,966.89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7,991,841.47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11,522,206.36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6,155,591.24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5,879,550.57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4,653,687.51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3,066,355.98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4,603,239.05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2,588,621.99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3,394,579.28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广告与业务宣传费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1,831,406.98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2,675,835.56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1,804,943.90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1,413,239.90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1,801,823.56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1,659,653.55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362,134.17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427,771.41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5,709,947.77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5,041,871.36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333,315,307.54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274,228,766.90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442"/>
      <w:bookmarkEnd w:id="1443"/>
      <w:bookmarkEnd w:id="14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114,103,897.71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101,680,239.80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10,256,522.60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13,470,348.68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8,911,366.10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11,973,491.68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7,778,521.60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7,942,939.01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3,783,267.56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3,124,063.48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2,583,149.55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1,983,948.02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2,450,855.87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2,449,924.47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党建工作经费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2,162,773.74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1,545,598.40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1,929,537.39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1,712,563.14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1,429,498.69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1,715,918.65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1,280,362.28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1,200,285.91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557,461.13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640,799.63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233,773.57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4,762,451.73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54,747.11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80,431.04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7,830,018.29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6,586,698.92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168,469,816.67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157,745,639.08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446"/>
      <w:bookmarkEnd w:id="1447"/>
      <w:bookmarkEnd w:id="144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178,605,098.49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177,064,255.41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52,798,972.60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27,371,854.56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14,230,541.66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14,464,880.28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10,133,540.54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2,073,318.10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7,909,955.96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6,644,866.65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5,359,747.44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3,780,131.38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3,931,594.67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3,324,916.21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4,014,831.53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1,059,163.14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663,737.46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9,160,473.60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专利及软件费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513,527.59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402,199.23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431,732.11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300,921.77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282,629.83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344,065.98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82,211.60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68,624.83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12,945.30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3,585,191.56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1,904,343.92</w:t>
            </w:r>
          </w:p>
        </w:tc>
      </w:tr>
    </w:tbl>
    <w:p>
      <w:pPr>
        <w:sectPr>
          <w:footnotePr>
            <w:pos w:val="pageBottom"/>
            <w:numFmt w:val="decimal"/>
            <w:numRestart w:val="continuous"/>
          </w:footnotePr>
          <w:pgSz w:w="11900" w:h="16840"/>
          <w:pgMar w:top="1383" w:right="1115" w:bottom="1604" w:left="1070"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282,925,506.16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247,594,767.24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450"/>
      <w:bookmarkEnd w:id="1451"/>
      <w:bookmarkEnd w:id="145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937,200.62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90,820.81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12,356,740.81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25,861,994.10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546,373.52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509,053.33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-11,351,080.78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-25,262,119.96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454"/>
      <w:bookmarkEnd w:id="1455"/>
      <w:bookmarkEnd w:id="145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与日常经营活动相关的政府补助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2,725,532.30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17,548,630.64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18,891,469.23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30,914,604.88</w:t>
            </w:r>
          </w:p>
        </w:tc>
      </w:tr>
      <w:tr>
        <w:trPr>
          <w:trHeight w:val="5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21,617,001.53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48,463,235.52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458"/>
      <w:bookmarkEnd w:id="1459"/>
      <w:bookmarkEnd w:id="146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-2,750,462.21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11,170,023.03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60,998,280.23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69,617,841.05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928" w:val="left"/>
        </w:tabs>
        <w:bidi w:val="0"/>
        <w:spacing w:before="0" w:after="80" w:line="240" w:lineRule="auto"/>
        <w:ind w:left="0" w:right="0" w:firstLine="440"/>
        <w:jc w:val="both"/>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w:t>
        <w:tab/>
        <w:t>交易性金融资产持有期间的投资收益系本期购买结构性存款利息收入。</w:t>
      </w:r>
    </w:p>
    <w:p>
      <w:pPr>
        <w:pStyle w:val="Style18"/>
        <w:keepNext w:val="0"/>
        <w:keepLines w:val="0"/>
        <w:widowControl w:val="0"/>
        <w:shd w:val="clear" w:color="auto" w:fill="auto"/>
        <w:tabs>
          <w:tab w:pos="488" w:val="left"/>
        </w:tabs>
        <w:bidi w:val="0"/>
        <w:spacing w:before="0" w:after="380" w:line="240" w:lineRule="auto"/>
        <w:ind w:left="0" w:right="0" w:firstLine="440"/>
        <w:jc w:val="both"/>
      </w:pPr>
      <w:bookmarkStart w:id="1463" w:name="bookmark1463"/>
      <w:r>
        <w:rPr>
          <w:color w:val="000000"/>
          <w:spacing w:val="0"/>
          <w:w w:val="100"/>
          <w:position w:val="0"/>
        </w:rPr>
        <w:t>（</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月处置子公司天津网安</w:t>
      </w:r>
      <w:r>
        <w:rPr>
          <w:rFonts w:ascii="Times New Roman" w:eastAsia="Times New Roman" w:hAnsi="Times New Roman" w:cs="Times New Roman"/>
          <w:color w:val="000000"/>
          <w:spacing w:val="0"/>
          <w:w w:val="100"/>
          <w:position w:val="0"/>
        </w:rPr>
        <w:t>35%</w:t>
      </w:r>
      <w:r>
        <w:rPr>
          <w:color w:val="000000"/>
          <w:spacing w:val="0"/>
          <w:w w:val="100"/>
          <w:position w:val="0"/>
        </w:rPr>
        <w:t>股权，处置时持股比例</w:t>
      </w:r>
      <w:r>
        <w:rPr>
          <w:rFonts w:ascii="Times New Roman" w:eastAsia="Times New Roman" w:hAnsi="Times New Roman" w:cs="Times New Roman"/>
          <w:color w:val="000000"/>
          <w:spacing w:val="0"/>
          <w:w w:val="100"/>
          <w:position w:val="0"/>
        </w:rPr>
        <w:t>65%</w:t>
      </w:r>
      <w:r>
        <w:rPr>
          <w:color w:val="000000"/>
          <w:spacing w:val="0"/>
          <w:w w:val="100"/>
          <w:position w:val="0"/>
        </w:rPr>
        <w:t xml:space="preserve">计算享有天津网安净资 </w:t>
      </w:r>
      <w:r>
        <w:rPr>
          <w:rStyle w:val="CharStyle22"/>
          <w:sz w:val="20"/>
          <w:szCs w:val="20"/>
        </w:rPr>
        <w:t>产</w:t>
      </w:r>
      <w:r>
        <w:rPr>
          <w:rStyle w:val="CharStyle22"/>
          <w:rFonts w:ascii="Times New Roman" w:eastAsia="Times New Roman" w:hAnsi="Times New Roman" w:cs="Times New Roman"/>
          <w:sz w:val="20"/>
          <w:szCs w:val="20"/>
        </w:rPr>
        <w:t>-8,998,280.23</w:t>
      </w:r>
      <w:r>
        <w:rPr>
          <w:rStyle w:val="CharStyle22"/>
          <w:sz w:val="20"/>
          <w:szCs w:val="20"/>
        </w:rPr>
        <w:t>元，收到补价</w:t>
      </w:r>
      <w:r>
        <w:rPr>
          <w:rStyle w:val="CharStyle22"/>
          <w:rFonts w:ascii="Times New Roman" w:eastAsia="Times New Roman" w:hAnsi="Times New Roman" w:cs="Times New Roman"/>
          <w:sz w:val="20"/>
          <w:szCs w:val="20"/>
        </w:rPr>
        <w:t>28,000,000.00</w:t>
      </w:r>
      <w:r>
        <w:rPr>
          <w:rStyle w:val="CharStyle22"/>
          <w:sz w:val="20"/>
          <w:szCs w:val="20"/>
        </w:rPr>
        <w:t>元，剩余</w:t>
      </w:r>
      <w:r>
        <w:rPr>
          <w:rStyle w:val="CharStyle22"/>
          <w:rFonts w:ascii="Times New Roman" w:eastAsia="Times New Roman" w:hAnsi="Times New Roman" w:cs="Times New Roman"/>
          <w:sz w:val="20"/>
          <w:szCs w:val="20"/>
        </w:rPr>
        <w:t>30%</w:t>
      </w:r>
      <w:r>
        <w:rPr>
          <w:rStyle w:val="CharStyle22"/>
          <w:sz w:val="20"/>
          <w:szCs w:val="20"/>
        </w:rPr>
        <w:t>股权公允价值为</w:t>
      </w:r>
      <w:r>
        <w:rPr>
          <w:rStyle w:val="CharStyle22"/>
          <w:rFonts w:ascii="Times New Roman" w:eastAsia="Times New Roman" w:hAnsi="Times New Roman" w:cs="Times New Roman"/>
          <w:sz w:val="20"/>
          <w:szCs w:val="20"/>
        </w:rPr>
        <w:t>24,000,000.00</w:t>
      </w:r>
      <w:r>
        <w:rPr>
          <w:rStyle w:val="CharStyle22"/>
          <w:sz w:val="20"/>
          <w:szCs w:val="20"/>
        </w:rPr>
        <w:t>元</w:t>
      </w:r>
      <w:r>
        <w:rPr>
          <w:rStyle w:val="CharStyle22"/>
          <w:sz w:val="20"/>
          <w:szCs w:val="20"/>
        </w:rPr>
        <w:t>，</w:t>
      </w:r>
      <w:r>
        <w:rPr>
          <w:rStyle w:val="CharStyle22"/>
          <w:sz w:val="20"/>
          <w:szCs w:val="20"/>
        </w:rPr>
        <w:t>确认该笔股权转 让投资收益</w:t>
      </w:r>
      <w:r>
        <w:rPr>
          <w:rStyle w:val="CharStyle22"/>
          <w:rFonts w:ascii="Times New Roman" w:eastAsia="Times New Roman" w:hAnsi="Times New Roman" w:cs="Times New Roman"/>
          <w:sz w:val="20"/>
          <w:szCs w:val="20"/>
        </w:rPr>
        <w:t>60,998,280.23</w:t>
      </w:r>
      <w:r>
        <w:rPr>
          <w:rStyle w:val="CharStyle22"/>
          <w:sz w:val="20"/>
          <w:szCs w:val="20"/>
        </w:rPr>
        <w:t>元。</w:t>
      </w:r>
    </w:p>
    <w:p>
      <w:pPr>
        <w:pStyle w:val="Style32"/>
        <w:keepNext/>
        <w:keepLines/>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441" w:right="1102" w:bottom="2003" w:left="1107" w:header="0" w:footer="3" w:gutter="0"/>
          <w:cols w:space="720"/>
          <w:noEndnote/>
          <w:rtlGutter w:val="0"/>
          <w:docGrid w:linePitch="360"/>
        </w:sectPr>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464"/>
      <w:bookmarkEnd w:id="1465"/>
      <w:bookmarkEnd w:id="146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-20,941,691.39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-5,888,803.23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12,712,597.36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-34,306,137.09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-8,387,852.83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-40,194,940.32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468"/>
      <w:bookmarkEnd w:id="1469"/>
      <w:bookmarkEnd w:id="14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549"/>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-67,594,030.82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-13,987,134.81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-47,164,317.68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-5,407,453.51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2,185,686.25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-117,980,115.76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-14,624,046.67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472"/>
      <w:bookmarkEnd w:id="1473"/>
      <w:bookmarkEnd w:id="147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476"/>
      <w:bookmarkEnd w:id="1477"/>
      <w:bookmarkEnd w:id="14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160"/>
        <w:gridCol w:w="263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4,632,100.00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975,206.00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92,235.09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1,344,982.72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1,344,982.72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6,069,317.81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1,155,568.74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6,069,317.81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33"/>
        <w:gridCol w:w="566"/>
        <w:gridCol w:w="1838"/>
        <w:gridCol w:w="854"/>
        <w:gridCol w:w="710"/>
        <w:gridCol w:w="1066"/>
        <w:gridCol w:w="1061"/>
        <w:gridCol w:w="107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影响当年</w:t>
            </w:r>
          </w:p>
          <w:p>
            <w:pPr>
              <w:pStyle w:val="Style21"/>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研发费用税前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加计扣除减免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成都高新技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术产业开发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因研究开发、技术更新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3,653,500.00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footnotePr>
            <w:pos w:val="pageBottom"/>
            <w:numFmt w:val="decimal"/>
            <w:numRestart w:val="continuous"/>
          </w:footnotePr>
          <w:pgSz w:w="11900" w:h="16840"/>
          <w:pgMar w:top="1441" w:right="1189" w:bottom="1441" w:left="1112" w:header="0" w:footer="3" w:gutter="0"/>
          <w:cols w:space="720"/>
          <w:noEndnote/>
          <w:rtlGutter w:val="0"/>
          <w:docGrid w:linePitch="360"/>
        </w:sectPr>
      </w:pPr>
    </w:p>
    <w:p>
      <w:pPr>
        <w:widowControl w:val="0"/>
        <w:spacing w:after="539" w:line="1" w:lineRule="exact"/>
      </w:pPr>
    </w:p>
    <w:tbl>
      <w:tblPr>
        <w:tblOverlap w:val="never"/>
        <w:jc w:val="center"/>
        <w:tblLayout w:type="fixed"/>
      </w:tblPr>
      <w:tblGrid>
        <w:gridCol w:w="1282"/>
        <w:gridCol w:w="1133"/>
        <w:gridCol w:w="566"/>
        <w:gridCol w:w="1843"/>
        <w:gridCol w:w="850"/>
        <w:gridCol w:w="710"/>
        <w:gridCol w:w="1066"/>
        <w:gridCol w:w="1061"/>
        <w:gridCol w:w="1075"/>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区科技和人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才工作局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中关村科技园 区丰台管理委 员会企业扶持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中关村丰台 科技园管委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成都市财政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年中央特 困企业专项补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成都高新技术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产业开发区经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济运行局火炬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计划拨款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成都高新技 术产业开发 区经济运行</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成都市财政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32,860.00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成都高新技 术产业开发 区科技和人 才工作局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21,420.00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天津市商务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局、成都市知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识产权服务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 及改造等获得的补助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20,926.00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480"/>
      <w:bookmarkEnd w:id="1481"/>
      <w:bookmarkEnd w:id="1483"/>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160"/>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42,227.31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157,597.45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157,597.45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199,824.76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199,824.76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484"/>
      <w:bookmarkEnd w:id="1485"/>
      <w:bookmarkEnd w:id="1487"/>
    </w:p>
    <w:p>
      <w:pPr>
        <w:pStyle w:val="Style37"/>
        <w:keepNext/>
        <w:keepLines/>
        <w:widowControl w:val="0"/>
        <w:shd w:val="clear" w:color="auto" w:fill="auto"/>
        <w:bidi w:val="0"/>
        <w:spacing w:before="0" w:after="36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88"/>
      <w:bookmarkEnd w:id="1489"/>
      <w:bookmarkEnd w:id="1490"/>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27,534,956.97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22,498,461.07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-23,194,234.93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-18,111,208.46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4,340,722.04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4,387,252.61</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91"/>
      <w:bookmarkEnd w:id="1492"/>
      <w:bookmarkEnd w:id="149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674"/>
        <w:gridCol w:w="39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243,005,690.75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36,450,853.61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184,028.54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-7,918,191.17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1,387,701.71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2,396,914.00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666,776.49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其他（所得税研发费用加计扣除）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-28,827,141.72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4,340,722.04</w:t>
            </w:r>
          </w:p>
        </w:tc>
      </w:tr>
    </w:tbl>
    <w:p>
      <w:pPr>
        <w:widowControl w:val="0"/>
        <w:spacing w:after="319" w:line="1" w:lineRule="exact"/>
      </w:pPr>
    </w:p>
    <w:p>
      <w:pPr>
        <w:pStyle w:val="Style32"/>
        <w:keepNext/>
        <w:keepLines/>
        <w:widowControl w:val="0"/>
        <w:shd w:val="clear" w:color="auto" w:fill="auto"/>
        <w:tabs>
          <w:tab w:pos="483" w:val="left"/>
        </w:tabs>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5</w:t>
      </w:r>
      <w:bookmarkEnd w:id="1496"/>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494"/>
      <w:bookmarkEnd w:id="1495"/>
      <w:bookmarkEnd w:id="149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、其他综合收益。</w:t>
      </w:r>
    </w:p>
    <w:p>
      <w:pPr>
        <w:pStyle w:val="Style32"/>
        <w:keepNext/>
        <w:keepLines/>
        <w:widowControl w:val="0"/>
        <w:shd w:val="clear" w:color="auto" w:fill="auto"/>
        <w:tabs>
          <w:tab w:pos="483" w:val="left"/>
        </w:tabs>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5</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498"/>
      <w:bookmarkEnd w:id="1499"/>
      <w:bookmarkEnd w:id="1501"/>
    </w:p>
    <w:p>
      <w:pPr>
        <w:pStyle w:val="Style37"/>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02"/>
      <w:bookmarkEnd w:id="1503"/>
      <w:bookmarkEnd w:id="15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14,257,761.64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14,717,662.90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利息收入（含理财利息）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12,356,740.81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25,861,994.10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银行票据保证金解冻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9,360,212.32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560,106.77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15,322,222.27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8,573,485.63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51,296,937.04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49,713,249.40</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05"/>
      <w:bookmarkEnd w:id="1506"/>
      <w:bookmarkEnd w:id="150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101,303,008.09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115,170,610.36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2,461,520.57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27,432,075.74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331,935.71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13,795,816.57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546,373.52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509,053.33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10,701,661.51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29,488,478.29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115,344,499.40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186,396,034.29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508"/>
      <w:bookmarkEnd w:id="1509"/>
      <w:bookmarkEnd w:id="151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10,994,506.40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25,745,056.34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10,994,506.40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25,745,056.34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512"/>
      <w:bookmarkEnd w:id="1513"/>
      <w:bookmarkEnd w:id="1515"/>
    </w:p>
    <w:p>
      <w:pPr>
        <w:pStyle w:val="Style37"/>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16"/>
      <w:bookmarkEnd w:id="1517"/>
      <w:bookmarkEnd w:id="151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6101"/>
        <w:gridCol w:w="1982"/>
        <w:gridCol w:w="14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238,664,968.71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162,450,627.69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126,367,968.59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54,818,986.99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34,802,259.21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34,704,166.39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8,836,914.13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65,313,994.83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36,907,617.51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848,153.59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211,112.40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-11,740.00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-20,004.78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459,286.51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90,820.81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-69,617,841.05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bl>
    <w:p>
      <w:pPr>
        <w:spacing w:lineRule="exact" w:line="1"/>
        <w:rPr>
          <w:sz w:val="2"/>
          <w:szCs w:val="2"/>
        </w:rPr>
      </w:pPr>
      <w:r>
        <w:br w:type="page"/>
      </w:r>
    </w:p>
    <w:tbl>
      <w:tblPr>
        <w:tblOverlap w:val="never"/>
        <w:jc w:val="center"/>
        <w:tblLayout w:type="fixed"/>
      </w:tblPr>
      <w:tblGrid>
        <w:gridCol w:w="6101"/>
        <w:gridCol w:w="1982"/>
        <w:gridCol w:w="14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-23,194,234.93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-18,111,208.46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-560,576,114.18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-196,960,508.59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571,032,211.61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173,538,837.15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274,384,376.40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381,322,495.58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13,594,412.80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680,866,348.44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628,289,103.29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2,642,351,393.99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1,960,417,190.23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1,960,417,190.23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1,487,924,230.17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681,934,203.76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472,492,960.06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519"/>
      <w:bookmarkEnd w:id="1520"/>
      <w:bookmarkEnd w:id="15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其中：天津网安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748,127.98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其中：天津网安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748,127.98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27,251,872.02</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522"/>
      <w:bookmarkEnd w:id="1523"/>
      <w:bookmarkEnd w:id="15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2,642,351,393.99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1,960,417,190.23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2,642,327,302.51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1,960,389,219.42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2,642,351,393.99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1,960,417,190.23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526"/>
      <w:bookmarkEnd w:id="1527"/>
      <w:bookmarkEnd w:id="152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15,828,268.02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银行保函存出保证金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1,115,933,080.69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因涉诉使用受限</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1,131,761,348.71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530"/>
      <w:bookmarkEnd w:id="1531"/>
      <w:bookmarkEnd w:id="1533"/>
    </w:p>
    <w:p>
      <w:pPr>
        <w:pStyle w:val="Style37"/>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34"/>
      <w:bookmarkEnd w:id="1535"/>
      <w:bookmarkEnd w:id="15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3,988,500.00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5,440,370.66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938,661.64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938,661.64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978,600.00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5,905,761.64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7,357,632.30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37"/>
      <w:bookmarkEnd w:id="1538"/>
      <w:bookmarkEnd w:id="153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八</w:t>
      </w:r>
      <w:bookmarkEnd w:id="1542"/>
      <w:r>
        <w:rPr>
          <w:color w:val="000000"/>
          <w:spacing w:val="0"/>
          <w:w w:val="100"/>
          <w:position w:val="0"/>
        </w:rPr>
        <w:t>、合并范围的变更</w:t>
      </w:r>
      <w:bookmarkEnd w:id="1540"/>
      <w:bookmarkEnd w:id="1541"/>
      <w:bookmarkEnd w:id="1543"/>
    </w:p>
    <w:p>
      <w:pPr>
        <w:pStyle w:val="Style32"/>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44"/>
      <w:bookmarkEnd w:id="1545"/>
      <w:bookmarkEnd w:id="154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97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时点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处置价</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款与处</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置投资</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对应的 合并财 务报表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按照公 允价值 重新计 量剩余 股权产 生的利</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丧失控 制权之 日剩余 股权公 允价值 的确定</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与原子 公司股 权投资 相关的 其他综 合收益</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层面享 有该子 公司净 资产份 额的差</w:t>
            </w:r>
          </w:p>
          <w:p>
            <w:pPr>
              <w:pStyle w:val="Style21"/>
              <w:keepNext w:val="0"/>
              <w:keepLines w:val="0"/>
              <w:widowControl w:val="0"/>
              <w:shd w:val="clear" w:color="auto" w:fill="auto"/>
              <w:bidi w:val="0"/>
              <w:spacing w:before="0" w:after="0" w:line="312" w:lineRule="exact"/>
              <w:ind w:left="0" w:right="0" w:firstLine="28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得或损 失</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方法及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主要假</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设</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转入投</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的金额</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天津网 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股权转 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《企业 国有资 产交易 凭证》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32,845,2</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交易价 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40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九</w:t>
      </w:r>
      <w:bookmarkEnd w:id="1549"/>
      <w:r>
        <w:rPr>
          <w:color w:val="000000"/>
          <w:spacing w:val="0"/>
          <w:w w:val="100"/>
          <w:position w:val="0"/>
        </w:rPr>
        <w:t>、在其他主体中的权益</w:t>
      </w:r>
      <w:bookmarkEnd w:id="1547"/>
      <w:bookmarkEnd w:id="1548"/>
      <w:bookmarkEnd w:id="1550"/>
    </w:p>
    <w:p>
      <w:pPr>
        <w:pStyle w:val="Style32"/>
        <w:keepNext/>
        <w:keepLines/>
        <w:widowControl w:val="0"/>
        <w:shd w:val="clear" w:color="auto" w:fill="auto"/>
        <w:bidi w:val="0"/>
        <w:spacing w:before="0" w:after="340" w:line="240" w:lineRule="auto"/>
        <w:ind w:left="0" w:right="0" w:firstLine="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51"/>
      <w:bookmarkEnd w:id="1552"/>
      <w:bookmarkEnd w:id="1553"/>
    </w:p>
    <w:p>
      <w:pPr>
        <w:pStyle w:val="Style37"/>
        <w:keepNext/>
        <w:keepLines/>
        <w:widowControl w:val="0"/>
        <w:shd w:val="clear" w:color="auto" w:fill="auto"/>
        <w:bidi w:val="0"/>
        <w:spacing w:before="0" w:after="34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54"/>
      <w:bookmarkEnd w:id="1555"/>
      <w:bookmarkEnd w:id="1556"/>
    </w:p>
    <w:tbl>
      <w:tblPr>
        <w:tblOverlap w:val="never"/>
        <w:jc w:val="center"/>
        <w:tblLayout w:type="fixed"/>
      </w:tblPr>
      <w:tblGrid>
        <w:gridCol w:w="3264"/>
        <w:gridCol w:w="1421"/>
        <w:gridCol w:w="1133"/>
        <w:gridCol w:w="1133"/>
        <w:gridCol w:w="710"/>
        <w:gridCol w:w="547"/>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57"/>
      <w:bookmarkEnd w:id="1558"/>
      <w:bookmarkEnd w:id="15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138"/>
        <w:gridCol w:w="1915"/>
        <w:gridCol w:w="1906"/>
        <w:gridCol w:w="1930"/>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270,972.31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1,710,589.96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17,067,893.13</w:t>
            </w: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60"/>
      <w:bookmarkEnd w:id="1561"/>
      <w:bookmarkEnd w:id="15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4402"/>
        <w:gridCol w:w="444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72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三零嘉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564,121,</w:t>
            </w:r>
          </w:p>
        </w:tc>
      </w:tr>
      <w:tr>
        <w:trPr>
          <w:trHeight w:val="33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微</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0,221.94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6,349.42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647.91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5,930.49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753.54</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三零瑞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595,521,</w:t>
            </w:r>
          </w:p>
        </w:tc>
      </w:tr>
      <w:tr>
        <w:trPr>
          <w:trHeight w:val="346"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615.12</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54.32</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569.44</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666.80</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016.80</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693.87</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765.67</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924.56</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274.56</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三零嘉微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516,447,937.</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113,606,714.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113,606,714.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-127,898,405.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307,502,667.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86,003,475.9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86,003,475.9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118,870,112.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三零瑞通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329,388,602.</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60,509,061.5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60,509,061.5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423,494,598.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408,844,972.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8,230,932.91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8,230,932.91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203,119,789.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64"/>
      <w:bookmarkEnd w:id="1565"/>
      <w:bookmarkEnd w:id="1566"/>
    </w:p>
    <w:p>
      <w:pPr>
        <w:pStyle w:val="Style37"/>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567"/>
      <w:bookmarkEnd w:id="1568"/>
      <w:bookmarkEnd w:id="15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87,725,266.75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58,447,728.96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-2,750,462.21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-2,750,462.21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bl>
    <w:p>
      <w:pPr>
        <w:widowControl w:val="0"/>
        <w:spacing w:after="319" w:line="1" w:lineRule="exact"/>
      </w:pPr>
    </w:p>
    <w:p>
      <w:pPr>
        <w:pStyle w:val="Style24"/>
        <w:keepNext/>
        <w:keepLines/>
        <w:widowControl w:val="0"/>
        <w:shd w:val="clear" w:color="auto" w:fill="auto"/>
        <w:bidi w:val="0"/>
        <w:spacing w:before="0" w:after="280" w:line="240" w:lineRule="auto"/>
        <w:ind w:left="0" w:right="0" w:firstLine="0"/>
        <w:jc w:val="both"/>
      </w:pPr>
      <w:bookmarkStart w:id="1570" w:name="bookmark1570"/>
      <w:bookmarkStart w:id="1571" w:name="bookmark1571"/>
      <w:bookmarkStart w:id="1572" w:name="bookmark1572"/>
      <w:r>
        <w:rPr>
          <w:color w:val="000000"/>
          <w:spacing w:val="0"/>
          <w:w w:val="100"/>
          <w:position w:val="0"/>
        </w:rPr>
        <w:t>十、与金融工具相关的风险</w:t>
      </w:r>
      <w:bookmarkEnd w:id="1570"/>
      <w:bookmarkEnd w:id="1571"/>
      <w:bookmarkEnd w:id="1572"/>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本公司的主要金融工具包括</w:t>
      </w:r>
      <w:r>
        <w:rPr>
          <w:color w:val="0000CC"/>
          <w:spacing w:val="0"/>
          <w:w w:val="100"/>
          <w:position w:val="0"/>
        </w:rPr>
        <w:t>货币资金、股权投资、应收款项、应付款项</w:t>
      </w:r>
      <w:r>
        <w:rPr>
          <w:color w:val="000000"/>
          <w:spacing w:val="0"/>
          <w:w w:val="100"/>
          <w:position w:val="0"/>
        </w:rPr>
        <w:t>等。在日常活动中面临各种金 融工具的风险，主要包括信用风险、流动性风险、市场风险。与这些金融工具相关的风险，以及本公司为 降低这些风险所采取的风险管理政策如下所述：</w:t>
      </w:r>
    </w:p>
    <w:p>
      <w:pPr>
        <w:pStyle w:val="Style18"/>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 xml:space="preserve">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w:t>
      </w:r>
      <w:r>
        <w:rPr>
          <w:color w:val="000000"/>
          <w:spacing w:val="0"/>
          <w:w w:val="100"/>
          <w:position w:val="0"/>
        </w:rPr>
        <w:t>司的审计委员会。本公司通过适当的多样化投资及业务组合来分散金融工具风险，并通过制定相应的风险 管理政策减少集中于单一行业、特定地区或特定交易对手的风险。</w:t>
      </w:r>
    </w:p>
    <w:p>
      <w:pPr>
        <w:pStyle w:val="Style18"/>
        <w:keepNext w:val="0"/>
        <w:keepLines w:val="0"/>
        <w:widowControl w:val="0"/>
        <w:shd w:val="clear" w:color="auto" w:fill="auto"/>
        <w:bidi w:val="0"/>
        <w:spacing w:before="0" w:after="0" w:line="326" w:lineRule="auto"/>
        <w:ind w:left="0" w:right="0" w:firstLine="4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、信用风险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本公司其他金融资产包括货币资金及其他应收款等，这些金融资产的信用风险源自于交易对手违约， 最大信用风险敞口为资产负债表中每项金融资产的账面金额。本公司没有提供任何其他可能令本公司承受 信用风险的担保。</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18"/>
        <w:keepNext w:val="0"/>
        <w:keepLines w:val="0"/>
        <w:widowControl w:val="0"/>
        <w:shd w:val="clear" w:color="auto" w:fill="auto"/>
        <w:bidi w:val="0"/>
        <w:spacing w:before="0" w:after="60" w:line="322" w:lineRule="exact"/>
        <w:ind w:left="0" w:right="0" w:firstLine="440"/>
        <w:jc w:val="both"/>
      </w:pPr>
      <w:r>
        <w:rPr>
          <w:color w:val="000000"/>
          <w:spacing w:val="0"/>
          <w:w w:val="100"/>
          <w:position w:val="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增速、基建投资总额、国家货币政策等前瞻性信息进行调整得出预期损失率。 对于长期应收款，本公司综合考虑结算期、合同约定付款期、债务人的财务状况和债务人所处行业的经济 形势，并考虑上述前瞻性信息进行调整后对于预期信用损失进行合理评估。</w:t>
      </w:r>
    </w:p>
    <w:p>
      <w:pPr>
        <w:pStyle w:val="Style26"/>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center"/>
        <w:tblLayout w:type="fixed"/>
      </w:tblPr>
      <w:tblGrid>
        <w:gridCol w:w="3221"/>
        <w:gridCol w:w="3221"/>
        <w:gridCol w:w="3230"/>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406,684,288.87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158,758.80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1,119,110,227.12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325,500,007.15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121,925,406.26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42,105,496.15</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1,647,719,922.25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367,764,262.10</w:t>
            </w:r>
          </w:p>
        </w:tc>
      </w:tr>
    </w:tbl>
    <w:p>
      <w:pPr>
        <w:pStyle w:val="Style26"/>
        <w:keepNext w:val="0"/>
        <w:keepLines w:val="0"/>
        <w:widowControl w:val="0"/>
        <w:shd w:val="clear" w:color="auto" w:fill="auto"/>
        <w:bidi w:val="0"/>
        <w:spacing w:before="0" w:after="0" w:line="310" w:lineRule="exact"/>
        <w:ind w:left="0" w:right="0" w:firstLine="0"/>
        <w:jc w:val="distribute"/>
        <w:rPr>
          <w:sz w:val="20"/>
          <w:szCs w:val="20"/>
        </w:rPr>
      </w:pPr>
      <w:r>
        <w:rPr>
          <w:color w:val="000000"/>
          <w:spacing w:val="0"/>
          <w:w w:val="100"/>
          <w:position w:val="0"/>
          <w:sz w:val="20"/>
          <w:szCs w:val="20"/>
        </w:rPr>
        <w:t>本公司的主要客户为军队、政府机构、事业单位以及电科集团关联企业等，该等客户具有可靠及良好 的信誉，因此，本公司认为该等客户并无重大信用风险。由于本公司的客户广泛，因此没有重大的信用集 中风险。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日，本公司的前五大客户的应收账款占本公司应收账款总额</w:t>
      </w:r>
      <w:r>
        <w:rPr>
          <w:rFonts w:ascii="Times New Roman" w:eastAsia="Times New Roman" w:hAnsi="Times New Roman" w:cs="Times New Roman"/>
          <w:color w:val="000000"/>
          <w:spacing w:val="0"/>
          <w:w w:val="100"/>
          <w:position w:val="0"/>
        </w:rPr>
        <w:t>31.68% （2020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25.90%）</w:t>
      </w:r>
      <w:r>
        <w:rPr>
          <w:color w:val="000000"/>
          <w:spacing w:val="0"/>
          <w:w w:val="100"/>
          <w:position w:val="0"/>
        </w:rPr>
        <w:t>。</w:t>
      </w:r>
    </w:p>
    <w:p>
      <w:pPr>
        <w:pStyle w:val="Style18"/>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本公司投资的银行结构性存款，交易对方的信用评级须高于或与本公司相同。鉴于交易对方的信用评 级良好，本公司管理层并不预期交易对方会无法履行义务。</w:t>
      </w:r>
    </w:p>
    <w:p>
      <w:pPr>
        <w:pStyle w:val="Style18"/>
        <w:keepNext w:val="0"/>
        <w:keepLines w:val="0"/>
        <w:widowControl w:val="0"/>
        <w:shd w:val="clear" w:color="auto" w:fill="auto"/>
        <w:bidi w:val="0"/>
        <w:spacing w:before="0" w:after="0" w:line="308" w:lineRule="exact"/>
        <w:ind w:left="0" w:right="0" w:firstLine="4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、流动性风险</w:t>
      </w:r>
    </w:p>
    <w:p>
      <w:pPr>
        <w:pStyle w:val="Style18"/>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流动性风险是指本公司在履行以交付现金或其他金融资产的方式结算的义务时发生资金短缺的风险。 本公司下属成员企业各自负责其现金流量预测。公司下属财务部门基于各成员企业的现金流量预测结果， 在公司层面持续监控公司短期和长期的资金需求，以确保维持充裕的现金储备；同时持续监控是否符合借 款协议的规定，从主要金融机构以及电科集团财务公司获得提供足够备用资金的承诺，以满足短期和长期 的资金需求。</w:t>
      </w:r>
    </w:p>
    <w:p>
      <w:pPr>
        <w:pStyle w:val="Style18"/>
        <w:keepNext w:val="0"/>
        <w:keepLines w:val="0"/>
        <w:widowControl w:val="0"/>
        <w:shd w:val="clear" w:color="auto" w:fill="auto"/>
        <w:bidi w:val="0"/>
        <w:spacing w:before="0" w:after="60" w:line="308" w:lineRule="exact"/>
        <w:ind w:left="0" w:right="0" w:firstLine="4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日，本公司金融负债和表外担保项目以未折现的合同现金流量按合同剩余期限列示 </w:t>
      </w:r>
      <w:r>
        <w:rPr>
          <w:color w:val="000000"/>
          <w:spacing w:val="0"/>
          <w:w w:val="100"/>
          <w:position w:val="0"/>
        </w:rPr>
        <w:t>如下:</w:t>
      </w:r>
    </w:p>
    <w:tbl>
      <w:tblPr>
        <w:tblOverlap w:val="never"/>
        <w:jc w:val="center"/>
        <w:tblLayout w:type="fixed"/>
      </w:tblPr>
      <w:tblGrid>
        <w:gridCol w:w="1771"/>
        <w:gridCol w:w="1315"/>
        <w:gridCol w:w="1320"/>
        <w:gridCol w:w="1315"/>
        <w:gridCol w:w="1315"/>
        <w:gridCol w:w="1310"/>
        <w:gridCol w:w="1325"/>
      </w:tblGrid>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214,852,609.71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214,852,609.71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214,852,609.71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1,006,585,529.41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1,006,585,529.41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1,006,585,529.41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29,376,334.40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29,376,334.40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29,376,334.40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金融负债小计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1,250,814,473.52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1,250,814,473.52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1,250,814,473.52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8"/>
        <w:keepNext w:val="0"/>
        <w:keepLines w:val="0"/>
        <w:widowControl w:val="0"/>
        <w:shd w:val="clear" w:color="auto" w:fill="auto"/>
        <w:bidi w:val="0"/>
        <w:spacing w:before="0" w:after="100" w:line="314" w:lineRule="exact"/>
        <w:ind w:left="0" w:right="0" w:firstLine="420"/>
        <w:jc w:val="both"/>
      </w:pPr>
      <w:bookmarkStart w:id="1573" w:name="bookmark1573"/>
      <w:r>
        <w:rPr>
          <w:rFonts w:ascii="Times New Roman" w:eastAsia="Times New Roman" w:hAnsi="Times New Roman" w:cs="Times New Roman"/>
          <w:b/>
          <w:bCs/>
          <w:color w:val="000000"/>
          <w:spacing w:val="0"/>
          <w:w w:val="100"/>
          <w:position w:val="0"/>
        </w:rPr>
        <w:t>3</w:t>
      </w:r>
      <w:bookmarkEnd w:id="1573"/>
      <w:r>
        <w:rPr>
          <w:b/>
          <w:bCs/>
          <w:color w:val="000000"/>
          <w:spacing w:val="0"/>
          <w:w w:val="100"/>
          <w:position w:val="0"/>
        </w:rPr>
        <w:t>、市场风险</w:t>
      </w:r>
    </w:p>
    <w:p>
      <w:pPr>
        <w:pStyle w:val="Style18"/>
        <w:keepNext w:val="0"/>
        <w:keepLines w:val="0"/>
        <w:widowControl w:val="0"/>
        <w:shd w:val="clear" w:color="auto" w:fill="auto"/>
        <w:bidi w:val="0"/>
        <w:spacing w:before="0" w:after="0" w:line="314" w:lineRule="exact"/>
        <w:ind w:left="0" w:right="0" w:firstLine="420"/>
        <w:jc w:val="left"/>
      </w:pPr>
      <w:r>
        <w:rPr>
          <w:b/>
          <w:bCs/>
          <w:color w:val="000000"/>
          <w:spacing w:val="0"/>
          <w:w w:val="100"/>
          <w:position w:val="0"/>
        </w:rPr>
        <w:t>利率风险</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本公司的利率风险主要产生于短期借款等。浮动利率的金融负债使本公司面临现金流量利率风险，固 定利率的金融负债使本公司面临公允价值利率风险。本公司根据当时的市场环境来决定固定利率及浮动利 率合同的相对比例。</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w:t>
      </w:r>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日，本公司无长期带息债务。</w:t>
      </w:r>
    </w:p>
    <w:p>
      <w:pPr>
        <w:pStyle w:val="Style24"/>
        <w:keepNext/>
        <w:keepLines/>
        <w:widowControl w:val="0"/>
        <w:shd w:val="clear" w:color="auto" w:fill="auto"/>
        <w:bidi w:val="0"/>
        <w:spacing w:before="0" w:after="280" w:line="240" w:lineRule="auto"/>
        <w:ind w:left="0" w:right="0" w:firstLine="0"/>
        <w:jc w:val="left"/>
      </w:pPr>
      <w:bookmarkStart w:id="1574" w:name="bookmark1574"/>
      <w:bookmarkStart w:id="1575" w:name="bookmark1575"/>
      <w:bookmarkStart w:id="1576" w:name="bookmark1576"/>
      <w:r>
        <w:rPr>
          <w:color w:val="000000"/>
          <w:spacing w:val="0"/>
          <w:w w:val="100"/>
          <w:position w:val="0"/>
        </w:rPr>
        <w:t>十一、公允价值的披露</w:t>
      </w:r>
      <w:bookmarkEnd w:id="1574"/>
      <w:bookmarkEnd w:id="1575"/>
      <w:bookmarkEnd w:id="1576"/>
    </w:p>
    <w:p>
      <w:pPr>
        <w:pStyle w:val="Style32"/>
        <w:keepNext/>
        <w:keepLines/>
        <w:widowControl w:val="0"/>
        <w:shd w:val="clear" w:color="auto" w:fill="auto"/>
        <w:bidi w:val="0"/>
        <w:spacing w:before="0" w:line="314" w:lineRule="exact"/>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77"/>
      <w:bookmarkEnd w:id="1578"/>
      <w:bookmarkEnd w:id="1579"/>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16"/>
        <w:gridCol w:w="1493"/>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3,206,014.19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3,206,014.19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3,206,014.19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3,206,014.19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580"/>
      <w:bookmarkEnd w:id="1581"/>
      <w:bookmarkEnd w:id="1582"/>
    </w:p>
    <w:tbl>
      <w:tblPr>
        <w:tblOverlap w:val="never"/>
        <w:jc w:val="center"/>
        <w:tblLayout w:type="fixed"/>
      </w:tblPr>
      <w:tblGrid>
        <w:gridCol w:w="2299"/>
        <w:gridCol w:w="2453"/>
        <w:gridCol w:w="2458"/>
        <w:gridCol w:w="2462"/>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3,206,014.19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根据享有被投资企业资产净值 确定其公允价值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标的资产公允价值</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3,206,014.19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bidi w:val="0"/>
        <w:spacing w:before="0" w:after="280" w:line="317" w:lineRule="exact"/>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color w:val="000000"/>
          <w:spacing w:val="0"/>
          <w:w w:val="100"/>
          <w:position w:val="0"/>
        </w:rPr>
        <w:t>、不以公允价值计量的金融资产和金融负债的公允价值情况</w:t>
      </w:r>
      <w:bookmarkEnd w:id="1583"/>
      <w:bookmarkEnd w:id="1584"/>
      <w:bookmarkEnd w:id="1586"/>
    </w:p>
    <w:p>
      <w:pPr>
        <w:pStyle w:val="Style18"/>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不以公允价值计量的金融资产和负债主要包括：应收款项、应付款项、一年内到期的非流动负债和租 赁负债等。</w:t>
      </w:r>
      <w:r>
        <w:br w:type="page"/>
      </w:r>
    </w:p>
    <w:p>
      <w:pPr>
        <w:pStyle w:val="Style18"/>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上述不以公允价值计量的金融资产和负债的账面价值与公允价值相差很小。</w:t>
      </w:r>
    </w:p>
    <w:p>
      <w:pPr>
        <w:pStyle w:val="Style24"/>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r>
        <w:rPr>
          <w:color w:val="000000"/>
          <w:spacing w:val="0"/>
          <w:w w:val="100"/>
          <w:position w:val="0"/>
        </w:rPr>
        <w:t>十二、关联方及关联交易</w:t>
      </w:r>
      <w:bookmarkEnd w:id="1587"/>
      <w:bookmarkEnd w:id="1588"/>
      <w:bookmarkEnd w:id="1589"/>
    </w:p>
    <w:p>
      <w:pPr>
        <w:pStyle w:val="Style32"/>
        <w:keepNext/>
        <w:keepLines/>
        <w:widowControl w:val="0"/>
        <w:shd w:val="clear" w:color="auto" w:fill="auto"/>
        <w:bidi w:val="0"/>
        <w:spacing w:before="0" w:after="32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90"/>
      <w:bookmarkEnd w:id="1591"/>
      <w:bookmarkEnd w:id="1592"/>
    </w:p>
    <w:tbl>
      <w:tblPr>
        <w:tblOverlap w:val="never"/>
        <w:jc w:val="center"/>
        <w:tblLayout w:type="fixed"/>
      </w:tblPr>
      <w:tblGrid>
        <w:gridCol w:w="3691"/>
        <w:gridCol w:w="850"/>
        <w:gridCol w:w="850"/>
        <w:gridCol w:w="994"/>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本企业最终控制方是中国电子科技集团有限公司。</w:t>
      </w:r>
    </w:p>
    <w:p>
      <w:pPr>
        <w:pStyle w:val="Style32"/>
        <w:keepNext/>
        <w:keepLines/>
        <w:widowControl w:val="0"/>
        <w:shd w:val="clear" w:color="auto" w:fill="auto"/>
        <w:tabs>
          <w:tab w:pos="378" w:val="left"/>
        </w:tabs>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2</w:t>
      </w:r>
      <w:bookmarkEnd w:id="1595"/>
      <w:r>
        <w:rPr>
          <w:color w:val="000000"/>
          <w:spacing w:val="0"/>
          <w:w w:val="100"/>
          <w:position w:val="0"/>
        </w:rPr>
        <w:t>、</w:t>
        <w:tab/>
        <w:t>本企业的子公司情况</w:t>
      </w:r>
      <w:bookmarkEnd w:id="1593"/>
      <w:bookmarkEnd w:id="1594"/>
      <w:bookmarkEnd w:id="159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2"/>
        <w:keepNext/>
        <w:keepLines/>
        <w:widowControl w:val="0"/>
        <w:shd w:val="clear" w:color="auto" w:fill="auto"/>
        <w:tabs>
          <w:tab w:pos="378" w:val="left"/>
        </w:tabs>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3</w:t>
      </w:r>
      <w:bookmarkEnd w:id="1599"/>
      <w:r>
        <w:rPr>
          <w:color w:val="000000"/>
          <w:spacing w:val="0"/>
          <w:w w:val="100"/>
          <w:position w:val="0"/>
        </w:rPr>
        <w:t>、</w:t>
        <w:tab/>
        <w:t>本企业合营和联营企业情况</w:t>
      </w:r>
      <w:bookmarkEnd w:id="1597"/>
      <w:bookmarkEnd w:id="1598"/>
      <w:bookmarkEnd w:id="160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color w:val="000000"/>
          <w:spacing w:val="0"/>
          <w:w w:val="100"/>
          <w:position w:val="0"/>
        </w:rPr>
        <w:t>、其他关联方情况</w:t>
      </w:r>
      <w:bookmarkEnd w:id="1601"/>
      <w:bookmarkEnd w:id="1602"/>
      <w:bookmarkEnd w:id="160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成都深思科技有限公司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四川信息安全与通信保密杂志社有限公司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深圳市网联安瑞网络科技有限公司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四创电子股份有限公司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color w:val="000000"/>
          <w:spacing w:val="0"/>
          <w:w w:val="100"/>
          <w:position w:val="0"/>
        </w:rPr>
        <w:t>、关联交易情况</w:t>
      </w:r>
      <w:bookmarkEnd w:id="1605"/>
      <w:bookmarkEnd w:id="1606"/>
      <w:bookmarkEnd w:id="1608"/>
    </w:p>
    <w:p>
      <w:pPr>
        <w:pStyle w:val="Style37"/>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09"/>
      <w:bookmarkEnd w:id="1610"/>
      <w:bookmarkEnd w:id="161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699"/>
        <w:gridCol w:w="1277"/>
        <w:gridCol w:w="850"/>
        <w:gridCol w:w="854"/>
        <w:gridCol w:w="12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获批的交 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116,194,830.29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90,571,368.14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36,137,570.08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13,403,733.17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13,990,789.49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6,395,478.33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13,388,626.90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10,174,582.79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11,648,263.66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17,207,286.69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7,517,261.30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10,342,666.66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5,311,404.91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2,826,323.84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4,127,064.08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5,374,929.93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3,089,884.79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3,254,190.68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2,716,510.79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4,936,125.30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成都深思科技有限公司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2,087,719.15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300,884.96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1,044,331.54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1,683,155.95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深圳市网联安瑞网络科技有限公司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855,053.89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11,506,478.76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四川信息安全与通信保密杂志社有限公司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347,669.90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26,236,708.87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15,648,724.11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r>
        <w:br w:type="page"/>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24"/>
        <w:gridCol w:w="1987"/>
        <w:gridCol w:w="1416"/>
        <w:gridCol w:w="13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527,815,373.88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533,558,630.66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23,051,086.11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10,044,528.09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979,646.02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552,826.55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四创电子股份有限公司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901,592.91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686,069.88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132,566.38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深圳市网联安瑞网络科技有限公司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341,057.07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145,132.74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1,405,787.64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50,619.47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24,054,308.23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3,358,230.09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618,804.63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68,769,432.78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63,430,106.37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12"/>
      <w:bookmarkEnd w:id="1613"/>
      <w:bookmarkEnd w:id="161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25"/>
        <w:gridCol w:w="1661"/>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771,054.13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142,831.85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25"/>
        <w:gridCol w:w="1656"/>
        <w:gridCol w:w="240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6,072,961.21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993,523.85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1,036,650.24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907,475.93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615"/>
      <w:bookmarkEnd w:id="1616"/>
      <w:bookmarkEnd w:id="1618"/>
    </w:p>
    <w:p>
      <w:pPr>
        <w:pStyle w:val="Style28"/>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8,374,821.67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7,660,256.00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color w:val="000000"/>
          <w:spacing w:val="0"/>
          <w:w w:val="100"/>
          <w:position w:val="0"/>
        </w:rPr>
        <w:t>、关联方应收应付款项</w:t>
      </w:r>
      <w:bookmarkEnd w:id="1619"/>
      <w:bookmarkEnd w:id="1620"/>
      <w:bookmarkEnd w:id="1622"/>
    </w:p>
    <w:p>
      <w:pPr>
        <w:pStyle w:val="Style37"/>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23"/>
      <w:bookmarkEnd w:id="1624"/>
      <w:bookmarkEnd w:id="16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3542"/>
        <w:gridCol w:w="1277"/>
        <w:gridCol w:w="1133"/>
        <w:gridCol w:w="1421"/>
        <w:gridCol w:w="12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376,440,055.00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427,962,592.00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7,370,520.00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248,454,390.85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13,768,649.76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233,498,383.42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11,394,260.80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13,741,027.48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1,444,826.28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24,113,776.94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1,102,438.32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9,854,517.48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20,244,493.89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2,028,902.73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2,676,700.19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473,158.46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5,962,971.75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2,696,854.64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413,600.00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19,645.76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1,361,621.53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326,720.47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四创电子股份有限公司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深圳市网联安瑞网络科技有限公司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258,797.31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143,361.42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30,294,683.54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6,995,344.74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61,375,479.80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7,349,778.13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1,946,813.06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463,100.00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21,681.93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11,125,753.00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7,400,281.80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深圳市网联安瑞网络科技有限公司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2,426,180.00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3542"/>
        <w:gridCol w:w="1277"/>
        <w:gridCol w:w="1133"/>
        <w:gridCol w:w="1421"/>
        <w:gridCol w:w="121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1,350,337.72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15,731,883.34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5,731,527.30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17,569,223.27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8,264,611.64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1,010,445.00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3,368,150.00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332,355.00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591,591.51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591,591.51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916,561.51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916,561.51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456,189.58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107,473.17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340,497.32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273,997.32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530,724.20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229,409.20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26"/>
      <w:bookmarkEnd w:id="1627"/>
      <w:bookmarkEnd w:id="16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4699"/>
        <w:gridCol w:w="1277"/>
        <w:gridCol w:w="121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81,206,264.12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4,214,977.11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3,353,160.00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2,991,200.00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4,471,317.00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419,249.00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7,472,130.36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7,099,909.79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7,451,934.99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9,147,516.00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6,074,873.58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1,901,699.12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1,447,096.10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1,969,420.00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1,430,800.00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1,542,000.00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1,063,139.41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631,987.03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936,516.93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1,243,565.93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成都深思科技有限公司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447,096.37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420,117.00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8,131,757.00</w:t>
            </w:r>
          </w:p>
        </w:tc>
      </w:tr>
    </w:tbl>
    <w:p>
      <w:pPr>
        <w:spacing w:lineRule="exact" w:line="1"/>
        <w:rPr>
          <w:sz w:val="2"/>
          <w:szCs w:val="2"/>
        </w:rPr>
      </w:pPr>
      <w:r>
        <w:br w:type="page"/>
      </w:r>
    </w:p>
    <w:tbl>
      <w:tblPr>
        <w:tblOverlap w:val="never"/>
        <w:jc w:val="center"/>
        <w:tblLayout w:type="fixed"/>
      </w:tblPr>
      <w:tblGrid>
        <w:gridCol w:w="2395"/>
        <w:gridCol w:w="4699"/>
        <w:gridCol w:w="1277"/>
        <w:gridCol w:w="121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72,045.87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929,662.07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2,267,973.69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1,020,983.88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767,089.65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403,008.85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399,823.01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323,818.58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四创电子股份有限公司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25,045.92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1,047,064.62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25,045.92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30,368,354.87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59,246,092.35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346,927.47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1,226,644.13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251,302.46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1,691,030.91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676,243.30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689,602.62</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r>
        <w:rPr>
          <w:color w:val="000000"/>
          <w:spacing w:val="0"/>
          <w:w w:val="100"/>
          <w:position w:val="0"/>
        </w:rPr>
        <w:t>十三、股份支付</w:t>
      </w:r>
      <w:bookmarkEnd w:id="1629"/>
      <w:bookmarkEnd w:id="1630"/>
      <w:bookmarkEnd w:id="1631"/>
    </w:p>
    <w:p>
      <w:pPr>
        <w:pStyle w:val="Style32"/>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32"/>
      <w:bookmarkEnd w:id="1633"/>
      <w:bookmarkEnd w:id="163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35,956,236.75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35"/>
      <w:bookmarkEnd w:id="1636"/>
      <w:bookmarkEnd w:id="163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560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授予的限制性股票的公允价值基于授予日当天标的股票交易均价与授 予价格的差确定。</w:t>
            </w: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在等待期内每个资产负债表日，根据最新取得的可行权职工人数变动 等后续信息做出最佳估计，修正预计可行权的权益工具数量。在可行权</w:t>
            </w:r>
          </w:p>
        </w:tc>
      </w:tr>
    </w:tbl>
    <w:tbl>
      <w:tblPr>
        <w:tblOverlap w:val="never"/>
        <w:jc w:val="center"/>
        <w:tblLayout w:type="fixed"/>
      </w:tblPr>
      <w:tblGrid>
        <w:gridCol w:w="3974"/>
        <w:gridCol w:w="56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日，最终预计可行权权益工具的数量与实际可行权工的数量一致。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13,594,412.80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13,594,412.80</w:t>
            </w:r>
          </w:p>
        </w:tc>
      </w:tr>
    </w:tbl>
    <w:p>
      <w:pPr>
        <w:widowControl w:val="0"/>
        <w:spacing w:after="279" w:line="1" w:lineRule="exact"/>
      </w:pPr>
    </w:p>
    <w:p>
      <w:pPr>
        <w:pStyle w:val="Style32"/>
        <w:keepNext/>
        <w:keepLines/>
        <w:widowControl w:val="0"/>
        <w:shd w:val="clear" w:color="auto" w:fill="auto"/>
        <w:bidi w:val="0"/>
        <w:spacing w:before="0" w:line="316" w:lineRule="exact"/>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color w:val="000000"/>
          <w:spacing w:val="0"/>
          <w:w w:val="100"/>
          <w:position w:val="0"/>
        </w:rPr>
        <w:t>、以现金结算的股份支付情况</w:t>
      </w:r>
      <w:bookmarkEnd w:id="1638"/>
      <w:bookmarkEnd w:id="1639"/>
      <w:bookmarkEnd w:id="164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1642" w:name="bookmark1642"/>
      <w:bookmarkStart w:id="1643" w:name="bookmark1643"/>
      <w:bookmarkStart w:id="1644" w:name="bookmark1644"/>
      <w:r>
        <w:rPr>
          <w:color w:val="000000"/>
          <w:spacing w:val="0"/>
          <w:w w:val="100"/>
          <w:position w:val="0"/>
        </w:rPr>
        <w:t>十四、承诺及或有事项</w:t>
      </w:r>
      <w:bookmarkEnd w:id="1642"/>
      <w:bookmarkEnd w:id="1643"/>
      <w:bookmarkEnd w:id="1644"/>
    </w:p>
    <w:p>
      <w:pPr>
        <w:pStyle w:val="Style32"/>
        <w:keepNext/>
        <w:keepLines/>
        <w:widowControl w:val="0"/>
        <w:shd w:val="clear" w:color="auto" w:fill="auto"/>
        <w:tabs>
          <w:tab w:pos="339" w:val="left"/>
        </w:tabs>
        <w:bidi w:val="0"/>
        <w:spacing w:before="0" w:line="316" w:lineRule="exact"/>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bookmarkEnd w:id="1647"/>
      <w:r>
        <w:rPr>
          <w:color w:val="000000"/>
          <w:spacing w:val="0"/>
          <w:w w:val="100"/>
          <w:position w:val="0"/>
        </w:rPr>
        <w:t>、</w:t>
        <w:tab/>
        <w:t>重要承诺事项</w:t>
      </w:r>
      <w:bookmarkEnd w:id="1645"/>
      <w:bookmarkEnd w:id="1646"/>
      <w:bookmarkEnd w:id="164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280" w:line="316" w:lineRule="exact"/>
        <w:ind w:left="0" w:right="0" w:firstLine="380"/>
        <w:jc w:val="left"/>
      </w:pPr>
      <w:r>
        <w:rPr>
          <w:color w:val="000000"/>
          <w:spacing w:val="0"/>
          <w:w w:val="100"/>
          <w:position w:val="0"/>
        </w:rPr>
        <w:t>本公司不存在需要披露的重要承诺事项。</w:t>
      </w:r>
    </w:p>
    <w:p>
      <w:pPr>
        <w:pStyle w:val="Style32"/>
        <w:keepNext/>
        <w:keepLines/>
        <w:widowControl w:val="0"/>
        <w:shd w:val="clear" w:color="auto" w:fill="auto"/>
        <w:tabs>
          <w:tab w:pos="348" w:val="left"/>
        </w:tabs>
        <w:bidi w:val="0"/>
        <w:spacing w:before="0" w:after="280" w:line="316" w:lineRule="exact"/>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bookmarkEnd w:id="1651"/>
      <w:r>
        <w:rPr>
          <w:color w:val="000000"/>
          <w:spacing w:val="0"/>
          <w:w w:val="100"/>
          <w:position w:val="0"/>
        </w:rPr>
        <w:t>、</w:t>
        <w:tab/>
        <w:t>或有事项</w:t>
      </w:r>
      <w:bookmarkEnd w:id="1649"/>
      <w:bookmarkEnd w:id="1650"/>
      <w:bookmarkEnd w:id="1652"/>
    </w:p>
    <w:p>
      <w:pPr>
        <w:pStyle w:val="Style37"/>
        <w:keepNext/>
        <w:keepLines/>
        <w:widowControl w:val="0"/>
        <w:shd w:val="clear" w:color="auto" w:fill="auto"/>
        <w:bidi w:val="0"/>
        <w:spacing w:before="0" w:after="280" w:line="316" w:lineRule="exact"/>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53"/>
      <w:bookmarkEnd w:id="1654"/>
      <w:bookmarkEnd w:id="1655"/>
    </w:p>
    <w:p>
      <w:pPr>
        <w:pStyle w:val="Style37"/>
        <w:keepNext/>
        <w:keepLines/>
        <w:widowControl w:val="0"/>
        <w:shd w:val="clear" w:color="auto" w:fill="auto"/>
        <w:bidi w:val="0"/>
        <w:spacing w:before="0" w:after="0" w:line="314" w:lineRule="exact"/>
        <w:ind w:left="0" w:right="0" w:firstLine="380"/>
        <w:jc w:val="both"/>
      </w:pPr>
      <w:bookmarkStart w:id="1653" w:name="bookmark1653"/>
      <w:bookmarkStart w:id="1654" w:name="bookmark1654"/>
      <w:r>
        <w:rPr>
          <w:color w:val="000000"/>
          <w:spacing w:val="0"/>
          <w:w w:val="100"/>
          <w:position w:val="0"/>
        </w:rPr>
        <w:t>北京网安房产未决诉讼</w:t>
      </w:r>
      <w:bookmarkEnd w:id="1653"/>
      <w:bookmarkEnd w:id="1654"/>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年开始筹划非公开发行股票募集资金事宜，并由本公司的全资子公司中电科（北京）网 络信息安全有限公司（以下简称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北京网安</w:t>
      </w:r>
      <w:r>
        <w:rPr>
          <w:rFonts w:ascii="Times New Roman" w:eastAsia="Times New Roman" w:hAnsi="Times New Roman" w:cs="Times New Roman"/>
          <w:color w:val="000000"/>
          <w:spacing w:val="0"/>
          <w:w w:val="100"/>
          <w:position w:val="0"/>
        </w:rPr>
        <w:t>”</w:t>
      </w:r>
      <w:r>
        <w:rPr>
          <w:color w:val="000000"/>
          <w:spacing w:val="0"/>
          <w:w w:val="100"/>
          <w:position w:val="0"/>
        </w:rPr>
        <w:t>）作为投资项目实施主体，使用募集资金购买北京金丰科华房 地产开发有限公司（以下简称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金丰科华</w:t>
      </w:r>
      <w:r>
        <w:rPr>
          <w:rFonts w:ascii="Times New Roman" w:eastAsia="Times New Roman" w:hAnsi="Times New Roman" w:cs="Times New Roman"/>
          <w:color w:val="000000"/>
          <w:spacing w:val="0"/>
          <w:w w:val="100"/>
          <w:position w:val="0"/>
        </w:rPr>
        <w:t>”</w:t>
      </w:r>
      <w:r>
        <w:rPr>
          <w:color w:val="000000"/>
          <w:spacing w:val="0"/>
          <w:w w:val="100"/>
          <w:position w:val="0"/>
        </w:rPr>
        <w:t>）开发的金丰能源中心项目</w:t>
      </w:r>
      <w:r>
        <w:rPr>
          <w:rFonts w:ascii="Times New Roman" w:eastAsia="Times New Roman" w:hAnsi="Times New Roman" w:cs="Times New Roman"/>
          <w:color w:val="000000"/>
          <w:spacing w:val="0"/>
          <w:w w:val="100"/>
          <w:position w:val="0"/>
        </w:rPr>
        <w:t>5</w:t>
      </w:r>
      <w:r>
        <w:rPr>
          <w:color w:val="000000"/>
          <w:spacing w:val="0"/>
          <w:w w:val="100"/>
          <w:position w:val="0"/>
        </w:rPr>
        <w:t>号楼（以下简称</w:t>
      </w:r>
      <w:r>
        <w:rPr>
          <w:rFonts w:ascii="Times New Roman" w:eastAsia="Times New Roman" w:hAnsi="Times New Roman" w:cs="Times New Roman"/>
          <w:color w:val="000000"/>
          <w:spacing w:val="0"/>
          <w:w w:val="100"/>
          <w:position w:val="0"/>
        </w:rPr>
        <w:t>“</w:t>
      </w:r>
      <w:r>
        <w:rPr>
          <w:color w:val="000000"/>
          <w:spacing w:val="0"/>
          <w:w w:val="100"/>
          <w:position w:val="0"/>
        </w:rPr>
        <w:t>标的房产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日，北京网安与金丰科华签署《房屋买卖意向协议》，根据该协议向金丰科华支付购房意向金</w:t>
      </w:r>
      <w:r>
        <w:rPr>
          <w:rFonts w:ascii="Times New Roman" w:eastAsia="Times New Roman" w:hAnsi="Times New Roman" w:cs="Times New Roman"/>
          <w:color w:val="000000"/>
          <w:spacing w:val="0"/>
          <w:w w:val="100"/>
          <w:position w:val="0"/>
        </w:rPr>
        <w:t xml:space="preserve">0.5 </w:t>
      </w:r>
      <w:r>
        <w:rPr>
          <w:color w:val="000000"/>
          <w:spacing w:val="0"/>
          <w:w w:val="100"/>
          <w:position w:val="0"/>
        </w:rPr>
        <w:t>亿元；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日，北京网安与金丰科华签署《北京市商品房预售合同》，并在北京市住房和城乡建 设委员会网站办理了商品房预售合同网上联机备案；签订预售协议时，标的房产所属土地使用权及在建工 程已设置抵押，金丰科华取得了抵押权人出具的《抵押权人同意抵押房屋办理商品房预售许可证的证明》；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月，北京网安向金丰科华足额支付了预售合同约定的全部购房款</w:t>
      </w:r>
      <w:r>
        <w:rPr>
          <w:rFonts w:ascii="Times New Roman" w:eastAsia="Times New Roman" w:hAnsi="Times New Roman" w:cs="Times New Roman"/>
          <w:color w:val="000000"/>
          <w:spacing w:val="0"/>
          <w:w w:val="100"/>
          <w:position w:val="0"/>
        </w:rPr>
        <w:t>11.29</w:t>
      </w:r>
      <w:r>
        <w:rPr>
          <w:color w:val="000000"/>
          <w:spacing w:val="0"/>
          <w:w w:val="100"/>
          <w:position w:val="0"/>
        </w:rPr>
        <w:t>亿元，购房资金均来源 于卫士通非公开发行股票募集资金。此后北京中宏瑞德投资管理中心（有限合伙）（以下简称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北京中宏</w:t>
      </w:r>
      <w:r>
        <w:rPr>
          <w:rFonts w:ascii="Times New Roman" w:eastAsia="Times New Roman" w:hAnsi="Times New Roman" w:cs="Times New Roman"/>
          <w:color w:val="000000"/>
          <w:spacing w:val="0"/>
          <w:w w:val="100"/>
          <w:position w:val="0"/>
        </w:rPr>
        <w:t>”</w:t>
      </w:r>
      <w:r>
        <w:rPr>
          <w:color w:val="000000"/>
          <w:spacing w:val="0"/>
          <w:w w:val="100"/>
          <w:position w:val="0"/>
        </w:rPr>
        <w:t>） 基于购买债权的方式取得部分抵押债权。</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因金丰科华涉及与北京中宏的其他债务纠纷，北京中宏依据生效法律文书向北京市第二中级人民法院 申请执行，并对开发商位于北京市丰台区花乡四合庄的金丰能源中心项目</w:t>
      </w:r>
      <w:r>
        <w:rPr>
          <w:rFonts w:ascii="Times New Roman" w:eastAsia="Times New Roman" w:hAnsi="Times New Roman" w:cs="Times New Roman"/>
          <w:color w:val="000000"/>
          <w:spacing w:val="0"/>
          <w:w w:val="100"/>
          <w:position w:val="0"/>
        </w:rPr>
        <w:t>1516-15</w:t>
      </w:r>
      <w:r>
        <w:rPr>
          <w:color w:val="000000"/>
          <w:spacing w:val="0"/>
          <w:w w:val="100"/>
          <w:position w:val="0"/>
        </w:rPr>
        <w:t>地块</w:t>
      </w:r>
      <w:r>
        <w:rPr>
          <w:rFonts w:ascii="Times New Roman" w:eastAsia="Times New Roman" w:hAnsi="Times New Roman" w:cs="Times New Roman"/>
          <w:color w:val="000000"/>
          <w:spacing w:val="0"/>
          <w:w w:val="100"/>
          <w:position w:val="0"/>
        </w:rPr>
        <w:t>37,651.02m</w:t>
      </w:r>
      <w:r>
        <w:rPr>
          <w:color w:val="000000"/>
          <w:spacing w:val="0"/>
          <w:w w:val="100"/>
          <w:position w:val="0"/>
        </w:rPr>
        <w:t>，</w:t>
      </w:r>
      <w:r>
        <w:rPr>
          <w:color w:val="000000"/>
          <w:spacing w:val="0"/>
          <w:w w:val="100"/>
          <w:position w:val="0"/>
        </w:rPr>
        <w:t>的土地使 用权及地上</w:t>
      </w:r>
      <w:r>
        <w:rPr>
          <w:rFonts w:ascii="Times New Roman" w:eastAsia="Times New Roman" w:hAnsi="Times New Roman" w:cs="Times New Roman"/>
          <w:color w:val="000000"/>
          <w:spacing w:val="0"/>
          <w:w w:val="100"/>
          <w:position w:val="0"/>
        </w:rPr>
        <w:t>225,484.78m</w:t>
      </w:r>
      <w:r>
        <w:rPr>
          <w:color w:val="000000"/>
          <w:spacing w:val="0"/>
          <w:w w:val="100"/>
          <w:position w:val="0"/>
        </w:rPr>
        <w:t>，</w:t>
      </w:r>
      <w:r>
        <w:rPr>
          <w:color w:val="000000"/>
          <w:spacing w:val="0"/>
          <w:w w:val="100"/>
          <w:position w:val="0"/>
        </w:rPr>
        <w:t>在建工程采取查封措施。</w:t>
      </w:r>
    </w:p>
    <w:p>
      <w:pPr>
        <w:pStyle w:val="Style18"/>
        <w:keepNext w:val="0"/>
        <w:keepLines w:val="0"/>
        <w:widowControl w:val="0"/>
        <w:shd w:val="clear" w:color="auto" w:fill="auto"/>
        <w:bidi w:val="0"/>
        <w:spacing w:before="0" w:after="0" w:line="316" w:lineRule="exact"/>
        <w:ind w:left="0" w:right="0" w:firstLine="380"/>
        <w:jc w:val="left"/>
      </w:pPr>
      <w:r>
        <w:rPr>
          <w:color w:val="000000"/>
          <w:spacing w:val="0"/>
          <w:w w:val="100"/>
          <w:position w:val="0"/>
        </w:rPr>
        <w:t>经本公司向北京市丰台区不动产登记中心查询，目前标的房产处于查封状态。</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北京网安于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日向北京市第二中级人民法院提交了民事诉讼状，就北京网安向金丰科华购 买的北京市丰台区花乡四合庄</w:t>
      </w:r>
      <w:r>
        <w:rPr>
          <w:rFonts w:ascii="Times New Roman" w:eastAsia="Times New Roman" w:hAnsi="Times New Roman" w:cs="Times New Roman"/>
          <w:color w:val="000000"/>
          <w:spacing w:val="0"/>
          <w:w w:val="100"/>
          <w:position w:val="0"/>
        </w:rPr>
        <w:t>1516-15</w:t>
      </w:r>
      <w:r>
        <w:rPr>
          <w:color w:val="000000"/>
          <w:spacing w:val="0"/>
          <w:w w:val="100"/>
          <w:position w:val="0"/>
        </w:rPr>
        <w:t>地块上</w:t>
      </w:r>
      <w:r>
        <w:rPr>
          <w:rFonts w:ascii="Times New Roman" w:eastAsia="Times New Roman" w:hAnsi="Times New Roman" w:cs="Times New Roman"/>
          <w:color w:val="000000"/>
          <w:spacing w:val="0"/>
          <w:w w:val="100"/>
          <w:position w:val="0"/>
        </w:rPr>
        <w:t>5#</w:t>
      </w:r>
      <w:r>
        <w:rPr>
          <w:color w:val="000000"/>
          <w:spacing w:val="0"/>
          <w:w w:val="100"/>
          <w:position w:val="0"/>
        </w:rPr>
        <w:t>办公商业楼及该房屋对应土地使用权的查封事项提起执行 异议诉讼，并提交相关证据，请求北京市第二中级人民法院依法解除对丰台区花乡四合庄</w:t>
      </w:r>
      <w:r>
        <w:rPr>
          <w:rFonts w:ascii="Times New Roman" w:eastAsia="Times New Roman" w:hAnsi="Times New Roman" w:cs="Times New Roman"/>
          <w:color w:val="000000"/>
          <w:spacing w:val="0"/>
          <w:w w:val="100"/>
          <w:position w:val="0"/>
        </w:rPr>
        <w:t>1516-15</w:t>
      </w:r>
      <w:r>
        <w:rPr>
          <w:color w:val="000000"/>
          <w:spacing w:val="0"/>
          <w:w w:val="100"/>
          <w:position w:val="0"/>
        </w:rPr>
        <w:t>地块上</w:t>
      </w:r>
      <w:r>
        <w:rPr>
          <w:rFonts w:ascii="Times New Roman" w:eastAsia="Times New Roman" w:hAnsi="Times New Roman" w:cs="Times New Roman"/>
          <w:color w:val="000000"/>
          <w:spacing w:val="0"/>
          <w:w w:val="100"/>
          <w:position w:val="0"/>
        </w:rPr>
        <w:t xml:space="preserve">5# </w:t>
      </w:r>
      <w:r>
        <w:rPr>
          <w:color w:val="000000"/>
          <w:spacing w:val="0"/>
          <w:w w:val="100"/>
          <w:position w:val="0"/>
        </w:rPr>
        <w:t>办公商业楼及该房屋对应的土地使用权的查封。北京市第二中级人民法院于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日出具《受理案件 通知书》及《诉讼费交费通知书》，受理了本案。北京网安于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日收到一审判决，驳回了北京网 安的诉讼请求。</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日，北京网安通过北京市第二中级人民法院向北京市高级人民法院提起上诉。</w:t>
      </w:r>
    </w:p>
    <w:p>
      <w:pPr>
        <w:pStyle w:val="Style18"/>
        <w:keepNext w:val="0"/>
        <w:keepLines w:val="0"/>
        <w:widowControl w:val="0"/>
        <w:shd w:val="clear" w:color="auto" w:fill="auto"/>
        <w:bidi w:val="0"/>
        <w:spacing w:before="0" w:after="280" w:line="316" w:lineRule="exact"/>
        <w:ind w:left="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月，北京市丰台区人民法院已裁定受理债权人四川华西建筑装饰工程有限公司（以下简称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 西建筑</w:t>
      </w:r>
      <w:r>
        <w:rPr>
          <w:rFonts w:ascii="Times New Roman" w:eastAsia="Times New Roman" w:hAnsi="Times New Roman" w:cs="Times New Roman"/>
          <w:color w:val="000000"/>
          <w:spacing w:val="0"/>
          <w:w w:val="100"/>
          <w:position w:val="0"/>
        </w:rPr>
        <w:t>”</w:t>
      </w:r>
      <w:r>
        <w:rPr>
          <w:color w:val="000000"/>
          <w:spacing w:val="0"/>
          <w:w w:val="100"/>
          <w:position w:val="0"/>
        </w:rPr>
        <w:t>）申请债务人金丰科华破产一案，并决定采用竞争方式确定上述案件破产管理人。</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北京市丰台区人民法院于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日通过人民法院公告网发布的破产公告，丰台区人民法院已于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日确定北京市东卫律师事务所担任金丰科华破产管理人。北京网安已在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日前向管 理人北京市东卫律师事务所申报债权，并提交有关证明材料。第一次债权人会议于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日召开，管 理人对前期开展的工作做了报告，详见卫士通公司</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020-02</w:t>
      </w:r>
      <w:r>
        <w:rPr>
          <w:rFonts w:ascii="Times New Roman" w:eastAsia="Times New Roman" w:hAnsi="Times New Roman" w:cs="Times New Roman"/>
          <w:color w:val="000000"/>
          <w:spacing w:val="0"/>
          <w:w w:val="100"/>
          <w:position w:val="0"/>
        </w:rPr>
        <w:t>0</w:t>
      </w:r>
      <w:r>
        <w:rPr>
          <w:color w:val="000000"/>
          <w:spacing w:val="0"/>
          <w:w w:val="100"/>
          <w:position w:val="0"/>
        </w:rPr>
        <w:t>号公告。第二次债权人会议于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 开，破产管理人提出了探索和推进整体化解案件的方案，并计划于第三次债权人会议进行表决，详见卫士 通公司于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日发布的《关于获悉影响公司诉讼案件重要因素暨金丰科华公司第二次债权人会议 情况的公告》（编号：</w:t>
      </w:r>
      <w:r>
        <w:rPr>
          <w:rFonts w:ascii="Times New Roman" w:eastAsia="Times New Roman" w:hAnsi="Times New Roman" w:cs="Times New Roman"/>
          <w:color w:val="000000"/>
          <w:spacing w:val="0"/>
          <w:w w:val="100"/>
          <w:position w:val="0"/>
        </w:rPr>
        <w:t>2021-003</w:t>
      </w:r>
      <w:r>
        <w:rPr>
          <w:color w:val="000000"/>
          <w:spacing w:val="0"/>
          <w:w w:val="100"/>
          <w:position w:val="0"/>
        </w:rPr>
        <w:t>号）。</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日，北京网安向北京丰台区法院及破产管理人报送了《关于北京金丰科华房地产开发有 限公司申请和解意见函》，附条件同意和解协议草案。</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年四季度，随着各方条件逐步成熟，破产管理人在债权人间就和解协议（草案）进行了沟通。经 与破产管理人确认，和解协议（草案）已在包括北京网安在内的主要债权人间达成初步一致，但（草案） 仍需要在第三次债权人会议通过表决且经破产法院裁定认可方能生效实施。截至报告日，第三次债权人会 议尚未召开。截至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日该房产账面原值</w:t>
      </w:r>
      <w:r>
        <w:rPr>
          <w:rFonts w:ascii="Times New Roman" w:eastAsia="Times New Roman" w:hAnsi="Times New Roman" w:cs="Times New Roman"/>
          <w:color w:val="000000"/>
          <w:spacing w:val="0"/>
          <w:w w:val="100"/>
          <w:position w:val="0"/>
        </w:rPr>
        <w:t>116,309.74</w:t>
      </w:r>
      <w:r>
        <w:rPr>
          <w:color w:val="000000"/>
          <w:spacing w:val="0"/>
          <w:w w:val="100"/>
          <w:position w:val="0"/>
        </w:rPr>
        <w:t>万元，列报于</w:t>
      </w:r>
      <w:r>
        <w:rPr>
          <w:rFonts w:ascii="Times New Roman" w:eastAsia="Times New Roman" w:hAnsi="Times New Roman" w:cs="Times New Roman"/>
          <w:color w:val="000000"/>
          <w:spacing w:val="0"/>
          <w:w w:val="100"/>
          <w:position w:val="0"/>
        </w:rPr>
        <w:t>“</w:t>
      </w:r>
      <w:r>
        <w:rPr>
          <w:color w:val="000000"/>
          <w:spacing w:val="0"/>
          <w:w w:val="100"/>
          <w:position w:val="0"/>
        </w:rPr>
        <w:t>在建工程</w:t>
      </w:r>
      <w:r>
        <w:rPr>
          <w:rFonts w:ascii="Times New Roman" w:eastAsia="Times New Roman" w:hAnsi="Times New Roman" w:cs="Times New Roman"/>
          <w:color w:val="000000"/>
          <w:spacing w:val="0"/>
          <w:w w:val="100"/>
          <w:position w:val="0"/>
        </w:rPr>
        <w:t>”</w:t>
      </w:r>
      <w:r>
        <w:rPr>
          <w:color w:val="000000"/>
          <w:spacing w:val="0"/>
          <w:w w:val="100"/>
          <w:position w:val="0"/>
        </w:rPr>
        <w:t>。北京网安以 和解方案（草案）能够实施为预期，并考虑增加出资预计金额的基础上对该房产进行了减值测试，计提减 值准备</w:t>
      </w:r>
      <w:r>
        <w:rPr>
          <w:rFonts w:ascii="Times New Roman" w:eastAsia="Times New Roman" w:hAnsi="Times New Roman" w:cs="Times New Roman"/>
          <w:color w:val="000000"/>
          <w:spacing w:val="0"/>
          <w:w w:val="100"/>
          <w:position w:val="0"/>
        </w:rPr>
        <w:t>4,716.43</w:t>
      </w:r>
      <w:r>
        <w:rPr>
          <w:color w:val="000000"/>
          <w:spacing w:val="0"/>
          <w:w w:val="100"/>
          <w:position w:val="0"/>
        </w:rPr>
        <w:t>万元。</w:t>
      </w:r>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除存在上述或有事项外，截至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日，本公司无其他应披露未披露的重要或有事项。</w:t>
      </w:r>
    </w:p>
    <w:p>
      <w:pPr>
        <w:pStyle w:val="Style37"/>
        <w:keepNext/>
        <w:keepLines/>
        <w:widowControl w:val="0"/>
        <w:shd w:val="clear" w:color="auto" w:fill="auto"/>
        <w:bidi w:val="0"/>
        <w:spacing w:before="0" w:line="312" w:lineRule="exact"/>
        <w:ind w:left="0" w:right="0" w:firstLine="0"/>
        <w:jc w:val="left"/>
      </w:pPr>
      <w:bookmarkStart w:id="1656" w:name="bookmark1656"/>
      <w:bookmarkStart w:id="1657" w:name="bookmark1657"/>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56"/>
      <w:bookmarkEnd w:id="1657"/>
      <w:bookmarkEnd w:id="165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4"/>
        <w:keepNext/>
        <w:keepLines/>
        <w:widowControl w:val="0"/>
        <w:shd w:val="clear" w:color="auto" w:fill="auto"/>
        <w:bidi w:val="0"/>
        <w:spacing w:before="0" w:after="300" w:line="240" w:lineRule="auto"/>
        <w:ind w:left="0" w:right="0" w:firstLine="0"/>
        <w:jc w:val="left"/>
      </w:pPr>
      <w:bookmarkStart w:id="1659" w:name="bookmark1659"/>
      <w:bookmarkStart w:id="1660" w:name="bookmark1660"/>
      <w:bookmarkStart w:id="1661" w:name="bookmark1661"/>
      <w:r>
        <w:rPr>
          <w:color w:val="000000"/>
          <w:spacing w:val="0"/>
          <w:w w:val="100"/>
          <w:position w:val="0"/>
        </w:rPr>
        <w:t>十五、资产负债表日后事项</w:t>
      </w:r>
      <w:bookmarkEnd w:id="1659"/>
      <w:bookmarkEnd w:id="1660"/>
      <w:bookmarkEnd w:id="1661"/>
    </w:p>
    <w:p>
      <w:pPr>
        <w:pStyle w:val="Style32"/>
        <w:keepNext/>
        <w:keepLines/>
        <w:widowControl w:val="0"/>
        <w:shd w:val="clear" w:color="auto" w:fill="auto"/>
        <w:bidi w:val="0"/>
        <w:spacing w:before="0" w:after="300" w:line="312" w:lineRule="exact"/>
        <w:ind w:left="0" w:right="0" w:firstLine="0"/>
        <w:jc w:val="left"/>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662"/>
      <w:bookmarkEnd w:id="1663"/>
      <w:bookmarkEnd w:id="1664"/>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截至财务报告批准报出日止，本公司无应披露未披露的重大资产负债表日后事项。</w:t>
      </w:r>
    </w:p>
    <w:p>
      <w:pPr>
        <w:pStyle w:val="Style24"/>
        <w:keepNext/>
        <w:keepLines/>
        <w:widowControl w:val="0"/>
        <w:shd w:val="clear" w:color="auto" w:fill="auto"/>
        <w:bidi w:val="0"/>
        <w:spacing w:before="0" w:after="380" w:line="240" w:lineRule="auto"/>
        <w:ind w:left="0" w:right="0" w:firstLine="0"/>
        <w:jc w:val="both"/>
      </w:pPr>
      <w:bookmarkStart w:id="1665" w:name="bookmark1665"/>
      <w:bookmarkStart w:id="1666" w:name="bookmark1666"/>
      <w:bookmarkStart w:id="1667" w:name="bookmark1667"/>
      <w:r>
        <w:rPr>
          <w:color w:val="000000"/>
          <w:spacing w:val="0"/>
          <w:w w:val="100"/>
          <w:position w:val="0"/>
        </w:rPr>
        <w:t>十六、母公司财务报表主要项目注释</w:t>
      </w:r>
      <w:bookmarkEnd w:id="1665"/>
      <w:bookmarkEnd w:id="1666"/>
      <w:bookmarkEnd w:id="1667"/>
    </w:p>
    <w:p>
      <w:pPr>
        <w:pStyle w:val="Style32"/>
        <w:keepNext/>
        <w:keepLines/>
        <w:widowControl w:val="0"/>
        <w:shd w:val="clear" w:color="auto" w:fill="auto"/>
        <w:bidi w:val="0"/>
        <w:spacing w:before="0" w:after="200" w:line="326" w:lineRule="auto"/>
        <w:ind w:left="0" w:right="0" w:firstLine="0"/>
        <w:jc w:val="both"/>
      </w:pPr>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68"/>
      <w:bookmarkEnd w:id="1669"/>
      <w:bookmarkEnd w:id="1670"/>
    </w:p>
    <w:p>
      <w:pPr>
        <w:pStyle w:val="Style37"/>
        <w:keepNext/>
        <w:keepLines/>
        <w:widowControl w:val="0"/>
        <w:shd w:val="clear" w:color="auto" w:fill="auto"/>
        <w:bidi w:val="0"/>
        <w:spacing w:before="0" w:line="312" w:lineRule="exact"/>
        <w:ind w:left="0" w:right="0" w:firstLine="0"/>
        <w:jc w:val="both"/>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71"/>
      <w:bookmarkEnd w:id="1672"/>
      <w:bookmarkEnd w:id="16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3,911,34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3,911,34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3,393,944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3,393,944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436,616,3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43,142,08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280,261,32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77,370,5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29,790,6</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47,579,88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279,584,1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43,142,08</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236,442,09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特别关联组合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389,036,</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389,036,4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43,819,22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43,819,228.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470,318,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33,701,9</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436,616,3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326,797,3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46,536,02</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280,261,32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3,911,349.21</w:t>
      </w:r>
      <w:r>
        <w:rPr>
          <w:color w:val="000000"/>
          <w:spacing w:val="0"/>
          <w:w w:val="100"/>
          <w:position w:val="0"/>
        </w:rPr>
        <w:t>元</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16"/>
        <w:gridCol w:w="1493"/>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杭州长江汽车有限公司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北京嘉创智联科技有限公司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404,405.12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404,405.12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郑州英创电子技术有限公司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243,310.00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243,310.00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山西清华网络系统工程公司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213,110.00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213,110.00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rFonts w:ascii="Times New Roman" w:eastAsia="Times New Roman" w:hAnsi="Times New Roman" w:cs="Times New Roman"/>
                <w:color w:val="000000"/>
                <w:spacing w:val="0"/>
                <w:w w:val="100"/>
                <w:position w:val="0"/>
                <w:sz w:val="18"/>
                <w:szCs w:val="18"/>
              </w:rPr>
              <w:t>DZ</w:t>
            </w:r>
            <w:r>
              <w:rPr>
                <w:color w:val="000000"/>
                <w:spacing w:val="0"/>
                <w:w w:val="100"/>
                <w:position w:val="0"/>
              </w:rPr>
              <w:t>网巴中管理中心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北京天地迅达信息技术开发中心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中国地震局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114,229.00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114,229.00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云南官房电子科技有限公司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101,820.00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101,820.00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235,436.40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235,436.40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3,911,349.21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3,911,349.21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500" w:right="0" w:firstLine="0"/>
              <w:jc w:val="left"/>
            </w:pPr>
            <w:r>
              <w:rPr>
                <w:color w:val="000000"/>
                <w:spacing w:val="0"/>
                <w:w w:val="100"/>
                <w:position w:val="0"/>
              </w:rPr>
              <w:t>账面余额</w:t>
            </w:r>
          </w:p>
        </w:tc>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77,370,513.46</w:t>
      </w:r>
      <w:r>
        <w:rPr>
          <w:color w:val="000000"/>
          <w:spacing w:val="0"/>
          <w:w w:val="100"/>
          <w:position w:val="0"/>
        </w:rPr>
        <w:t>元</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21,804,700.44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1,027,858.56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15,523,282.83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1,657,367.40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13,269,092.25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3,882,605.27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5,012,513.64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2,485,286.80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4,975,881.73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3,952,469.78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16,785,042.57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16,785,042.57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77,370,513.46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29,790,630.38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389,036,457.76</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特别关联组合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389,036,457.76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389,036,457.76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342,062,016.87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82,358,449.88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15,213,066.53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30,684,787.15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5,012,513.64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7,089,207.02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18,583,066.49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470,318,320.43</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74"/>
      <w:bookmarkEnd w:id="1675"/>
      <w:bookmarkEnd w:id="167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1277"/>
        <w:gridCol w:w="1277"/>
        <w:gridCol w:w="994"/>
        <w:gridCol w:w="989"/>
        <w:gridCol w:w="691"/>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单项计提预期信用损失的应收账款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3,393,944.09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517,405.12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3,911,349.21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43,142,085.19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-12,757,010.81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594,444.00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29,790,630.38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46,536,029.28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-12,239,605.69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594,444.00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33,701,979.59</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77"/>
      <w:bookmarkEnd w:id="1678"/>
      <w:bookmarkEnd w:id="168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692,444.00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965"/>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tbl>
      <w:tblPr>
        <w:tblOverlap w:val="never"/>
        <w:jc w:val="center"/>
        <w:tblLayout w:type="fixed"/>
      </w:tblPr>
      <w:tblGrid>
        <w:gridCol w:w="2275"/>
        <w:gridCol w:w="965"/>
        <w:gridCol w:w="1550"/>
        <w:gridCol w:w="1555"/>
        <w:gridCol w:w="1613"/>
        <w:gridCol w:w="162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黄冈市华兴公交有限公司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诉讼调解减少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重庆能创科技有限公司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昆明信通力合计算机系统工 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湖北鄂能物资有限责任公司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北京嘉创智联科技有限公司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诉讼调解减少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692,444.00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81"/>
      <w:bookmarkEnd w:id="1682"/>
      <w:bookmarkEnd w:id="168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3010"/>
        <w:gridCol w:w="1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221,961,428.82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47.19%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12,391,327.15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163,477,837.80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10,133,061.43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14,205,006.40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5,322,684.39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13,320,280.00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1,422,160.38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6,600,817.06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311,157.97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419,565,370.08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89.20%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both"/>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85"/>
      <w:bookmarkEnd w:id="1686"/>
      <w:bookmarkEnd w:id="168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26,380,499.03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20,922,644.98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96,380,499.03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90,922,644.98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688"/>
      <w:bookmarkEnd w:id="1689"/>
      <w:bookmarkEnd w:id="1690"/>
    </w:p>
    <w:p>
      <w:pPr>
        <w:pStyle w:val="Style61"/>
        <w:keepNext/>
        <w:keepLines/>
        <w:widowControl w:val="0"/>
        <w:shd w:val="clear" w:color="auto" w:fill="auto"/>
        <w:bidi w:val="0"/>
        <w:spacing w:before="0" w:line="240" w:lineRule="auto"/>
        <w:ind w:left="0" w:right="0" w:firstLine="0"/>
        <w:jc w:val="both"/>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91"/>
      <w:bookmarkEnd w:id="1692"/>
      <w:bookmarkEnd w:id="169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r>
    </w:tbl>
    <w:p>
      <w:pPr>
        <w:spacing w:lineRule="exact" w:line="1"/>
        <w:rPr>
          <w:sz w:val="2"/>
          <w:szCs w:val="2"/>
        </w:rPr>
      </w:pPr>
      <w:r>
        <w:br w:type="page"/>
      </w:r>
    </w:p>
    <w:p>
      <w:pPr>
        <w:pStyle w:val="Style61"/>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694"/>
      <w:bookmarkEnd w:id="1695"/>
      <w:bookmarkEnd w:id="169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64"/>
        <w:gridCol w:w="1277"/>
        <w:gridCol w:w="1205"/>
        <w:gridCol w:w="1349"/>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是否发生减值及其判断依据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3</w:t>
      </w:r>
      <w:bookmarkEnd w:id="1699"/>
      <w:r>
        <w:rPr>
          <w:color w:val="000000"/>
          <w:spacing w:val="0"/>
          <w:w w:val="100"/>
          <w:position w:val="0"/>
        </w:rPr>
        <w:t>）坏账准备计提情况</w:t>
      </w:r>
      <w:bookmarkEnd w:id="1697"/>
      <w:bookmarkEnd w:id="1698"/>
      <w:bookmarkEnd w:id="170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01"/>
      <w:bookmarkEnd w:id="1702"/>
      <w:bookmarkEnd w:id="1703"/>
    </w:p>
    <w:p>
      <w:pPr>
        <w:pStyle w:val="Style61"/>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04"/>
      <w:bookmarkEnd w:id="1705"/>
      <w:bookmarkEnd w:id="170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1,516,948.00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1,991,586.00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2,676,179.19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2,007,638.35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31,491,508.01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23,365,544.87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49,625.40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35,690,335.20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27,414,394.62</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07"/>
      <w:bookmarkEnd w:id="1708"/>
      <w:bookmarkEnd w:id="170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296"/>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108,617.92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5,958,542.36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424,589.36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6,491,749.64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-1,255.38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-85,247.59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3,275,803.48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3,190,555.89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237,469.36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257,469.36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22,114.95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9,215,601.22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9,309,836.17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39" w:line="1" w:lineRule="exact"/>
      </w:pP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13,137,677.34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482,195.80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2,902,289.26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19,168,172.80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15,027,583.57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3,245,569.23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895,020.00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35,690,335.20</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3</w:t>
      </w:r>
      <w:bookmarkEnd w:id="1712"/>
      <w:r>
        <w:rPr>
          <w:color w:val="000000"/>
          <w:spacing w:val="0"/>
          <w:w w:val="100"/>
          <w:position w:val="0"/>
        </w:rPr>
        <w:t>）本期计提、收回或转回的坏账准备情况</w:t>
      </w:r>
      <w:bookmarkEnd w:id="1710"/>
      <w:bookmarkEnd w:id="1711"/>
      <w:bookmarkEnd w:id="171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08"/>
        <w:gridCol w:w="1133"/>
        <w:gridCol w:w="1133"/>
        <w:gridCol w:w="994"/>
        <w:gridCol w:w="1133"/>
        <w:gridCol w:w="710"/>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按单项计提坏账准备的其他应收款项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按信用风险特征组合计提坏账准备的其他 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6,067,160.28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3,190,555.89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9,237,716.17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6,491,749.64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3,190,555.89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257,469.36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9,309,836.17</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4</w:t>
      </w:r>
      <w:bookmarkEnd w:id="1716"/>
      <w:r>
        <w:rPr>
          <w:color w:val="000000"/>
          <w:spacing w:val="0"/>
          <w:w w:val="100"/>
          <w:position w:val="0"/>
        </w:rPr>
        <w:t>）本期实际核销的其他应收款情况</w:t>
      </w:r>
      <w:bookmarkEnd w:id="1714"/>
      <w:bookmarkEnd w:id="1715"/>
      <w:bookmarkEnd w:id="171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262,469.36</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color w:val="000000"/>
          <w:spacing w:val="0"/>
          <w:w w:val="100"/>
          <w:position w:val="0"/>
        </w:rPr>
        <w:t>）按欠款方归集的期末余额前五名的其他应收款情况</w:t>
      </w:r>
      <w:bookmarkEnd w:id="1718"/>
      <w:bookmarkEnd w:id="1719"/>
      <w:bookmarkEnd w:id="172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998"/>
        <w:gridCol w:w="1277"/>
        <w:gridCol w:w="1133"/>
        <w:gridCol w:w="2549"/>
        <w:gridCol w:w="2002"/>
        <w:gridCol w:w="162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占其他应收款期末余额 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17,569,223.27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8,264,611.64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13,076,125.23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年内 </w:t>
            </w:r>
            <w:r>
              <w:rPr>
                <w:rFonts w:ascii="Times New Roman" w:eastAsia="Times New Roman" w:hAnsi="Times New Roman" w:cs="Times New Roman"/>
                <w:color w:val="000000"/>
                <w:spacing w:val="0"/>
                <w:w w:val="100"/>
                <w:position w:val="0"/>
                <w:sz w:val="18"/>
                <w:szCs w:val="18"/>
              </w:rPr>
              <w:t>9,842,624.70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3,233,500.53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2,327,592.19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277"/>
        <w:gridCol w:w="1133"/>
        <w:gridCol w:w="2549"/>
        <w:gridCol w:w="2002"/>
        <w:gridCol w:w="162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642,629.75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34,225,570.44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8,874,611.64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3</w:t>
      </w:r>
      <w:bookmarkEnd w:id="1724"/>
      <w:r>
        <w:rPr>
          <w:color w:val="000000"/>
          <w:spacing w:val="0"/>
          <w:w w:val="100"/>
          <w:position w:val="0"/>
        </w:rPr>
        <w:t>、长期股权投资</w:t>
      </w:r>
      <w:bookmarkEnd w:id="1722"/>
      <w:bookmarkEnd w:id="1723"/>
      <w:bookmarkEnd w:id="172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3,367,301,910.81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3,367,301,910.81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3,368,026,910.81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3,368,026,910.81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63,725,266.75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63,725,266.75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58,447,728.96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58,447,728.96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3,431,027,177.56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3,431,027,177.56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3,426,474,639.77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3,426,474,639.77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26"/>
      <w:bookmarkEnd w:id="1727"/>
      <w:bookmarkEnd w:id="172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75"/>
        <w:gridCol w:w="1416"/>
        <w:gridCol w:w="1133"/>
        <w:gridCol w:w="710"/>
        <w:gridCol w:w="850"/>
        <w:gridCol w:w="763"/>
        <w:gridCol w:w="1214"/>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成都卫士通信息安全技术有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中电科（北京）网络信息安 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2,762,650,518.93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2,762,650,518.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成都三零瑞通移动通信有限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176,349,991.73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176,349,991.73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三零嘉微电子有限公司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337,801,400.15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337,801,400.15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卫士通（上海）网络安全技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中电科（天津）网络信息安 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3,368,026,910.81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3,367,301,910.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29"/>
      <w:bookmarkEnd w:id="1730"/>
      <w:bookmarkEnd w:id="173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6384"/>
        <w:gridCol w:w="797"/>
        <w:gridCol w:w="8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成都摩宝 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20,894,22</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-1,612,85</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19,281,36</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成都市数</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字城市运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营管理有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30,162,13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2,004,119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32,166,25</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工业信息 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 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 中心有限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7,391,370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-3,141,72</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12,277,64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中电科</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 网络信息 安全有限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58,447,72</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-2,750,46</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63,725,26</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58,447,72</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-2,750,46</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63,725,26</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4</w:t>
      </w:r>
      <w:bookmarkEnd w:id="1734"/>
      <w:r>
        <w:rPr>
          <w:color w:val="000000"/>
          <w:spacing w:val="0"/>
          <w:w w:val="100"/>
          <w:position w:val="0"/>
        </w:rPr>
        <w:t>、营业收入和营业成本</w:t>
      </w:r>
      <w:bookmarkEnd w:id="1732"/>
      <w:bookmarkEnd w:id="1733"/>
      <w:bookmarkEnd w:id="17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368,919,696.68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138,738,971.60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256,012,691.37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114,949,079.82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3,439,702.64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369,120,692.03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138,738,971.60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259,452,394.01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114,949,079.82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126,000,000.00</w:t>
      </w:r>
      <w:r>
        <w:rPr>
          <w:color w:val="000000"/>
          <w:spacing w:val="0"/>
          <w:w w:val="100"/>
          <w:position w:val="0"/>
        </w:rPr>
        <w:t>元。</w:t>
      </w:r>
      <w:r>
        <w:br w:type="page"/>
      </w:r>
    </w:p>
    <w:p>
      <w:pPr>
        <w:pStyle w:val="Style32"/>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w:t>
      </w:r>
      <w:bookmarkEnd w:id="1738"/>
      <w:r>
        <w:rPr>
          <w:color w:val="000000"/>
          <w:spacing w:val="0"/>
          <w:w w:val="100"/>
          <w:position w:val="0"/>
        </w:rPr>
        <w:t>、投资收益</w:t>
      </w:r>
      <w:bookmarkEnd w:id="1736"/>
      <w:bookmarkEnd w:id="1737"/>
      <w:bookmarkEnd w:id="17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1421"/>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-2,750,462.21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21,949,127.96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70,651,036.55</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r>
        <w:rPr>
          <w:color w:val="000000"/>
          <w:spacing w:val="0"/>
          <w:w w:val="100"/>
          <w:position w:val="0"/>
        </w:rPr>
        <w:t>十七、补充资料</w:t>
      </w:r>
      <w:bookmarkEnd w:id="1740"/>
      <w:bookmarkEnd w:id="1741"/>
      <w:bookmarkEnd w:id="1742"/>
    </w:p>
    <w:p>
      <w:pPr>
        <w:pStyle w:val="Style32"/>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43"/>
      <w:bookmarkEnd w:id="1744"/>
      <w:bookmarkEnd w:id="174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46"/>
        <w:gridCol w:w="1421"/>
        <w:gridCol w:w="29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50,007.78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6,800,975.38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11,170,023.03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1,187,385.27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60,998,280.23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主要系转让天津网安股权确认的投 资收益</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12,031,000.75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17,211.73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68,158,459.21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8"/>
        <w:keepNext w:val="0"/>
        <w:keepLines w:val="0"/>
        <w:widowControl w:val="0"/>
        <w:shd w:val="clear" w:color="auto" w:fill="auto"/>
        <w:bidi w:val="0"/>
        <w:spacing w:before="0" w:after="1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46"/>
      <w:bookmarkEnd w:id="1747"/>
      <w:bookmarkEnd w:id="1748"/>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0.2813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0.2007</w:t>
            </w:r>
          </w:p>
        </w:tc>
      </w:tr>
    </w:tbl>
    <w:p>
      <w:pPr>
        <w:widowControl w:val="0"/>
        <w:spacing w:after="279" w:line="1" w:lineRule="exact"/>
      </w:pPr>
    </w:p>
    <w:p>
      <w:pPr>
        <w:pStyle w:val="Style32"/>
        <w:keepNext/>
        <w:keepLines/>
        <w:widowControl w:val="0"/>
        <w:shd w:val="clear" w:color="auto" w:fill="auto"/>
        <w:bidi w:val="0"/>
        <w:spacing w:before="0" w:after="280" w:line="326" w:lineRule="exact"/>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3</w:t>
      </w:r>
      <w:bookmarkEnd w:id="1751"/>
      <w:r>
        <w:rPr>
          <w:color w:val="000000"/>
          <w:spacing w:val="0"/>
          <w:w w:val="100"/>
          <w:position w:val="0"/>
        </w:rPr>
        <w:t>、境内外会计准则下会计数据差异</w:t>
      </w:r>
      <w:bookmarkEnd w:id="1749"/>
      <w:bookmarkEnd w:id="1750"/>
      <w:bookmarkEnd w:id="1752"/>
    </w:p>
    <w:p>
      <w:pPr>
        <w:pStyle w:val="Style37"/>
        <w:keepNext/>
        <w:keepLines/>
        <w:widowControl w:val="0"/>
        <w:shd w:val="clear" w:color="auto" w:fill="auto"/>
        <w:tabs>
          <w:tab w:pos="493" w:val="left"/>
        </w:tabs>
        <w:bidi w:val="0"/>
        <w:spacing w:before="0" w:line="326" w:lineRule="exact"/>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53"/>
      <w:bookmarkEnd w:id="1754"/>
      <w:bookmarkEnd w:id="1756"/>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26" w:lineRule="exact"/>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57"/>
      <w:bookmarkEnd w:id="1758"/>
      <w:bookmarkEnd w:id="1760"/>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326" w:lineRule="exact"/>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761"/>
      <w:bookmarkEnd w:id="1762"/>
      <w:bookmarkEnd w:id="1764"/>
    </w:p>
    <w:sectPr>
      <w:footnotePr>
        <w:pos w:val="pageBottom"/>
        <w:numFmt w:val="decimal"/>
        <w:numRestart w:val="continuous"/>
      </w:footnotePr>
      <w:pgSz w:w="11900" w:h="16840"/>
      <w:pgMar w:top="1383" w:right="1069" w:bottom="1470" w:left="10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 (3)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Body text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62">
    <w:name w:val="Heading #5_"/>
    <w:basedOn w:val="DefaultParagraphFont"/>
    <w:link w:val="Style61"/>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10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before="430" w:after="8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6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18">
    <w:name w:val="Body text (3)"/>
    <w:basedOn w:val="Normal"/>
    <w:link w:val="CharStyle19"/>
    <w:pPr>
      <w:widowControl w:val="0"/>
      <w:shd w:val="clear" w:color="auto" w:fill="auto"/>
      <w:spacing w:after="12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Other"/>
    <w:basedOn w:val="Normal"/>
    <w:link w:val="CharStyle22"/>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8">
    <w:name w:val="Body text"/>
    <w:basedOn w:val="Normal"/>
    <w:link w:val="CharStyle29"/>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Heading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Heading #5"/>
    <w:basedOn w:val="Normal"/>
    <w:link w:val="CharStyle62"/>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成都卫士通信息产业股份有限公司2021年年度报告全文</dc:title>
  <dc:subject/>
  <dc:creator>成都卫士通信息产业股份有限公司</dc:creator>
  <cp:keywords/>
</cp:coreProperties>
</file>