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成都卫士通信息产业股份有限公司</w:t>
      </w:r>
    </w:p>
    <w:p>
      <w:pPr>
        <w:pStyle w:val="Style2"/>
        <w:keepNext w:val="0"/>
        <w:keepLines w:val="0"/>
        <w:widowControl w:val="0"/>
        <w:shd w:val="clear" w:color="auto" w:fill="auto"/>
        <w:bidi w:val="0"/>
        <w:spacing w:before="0" w:after="60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3699" w:right="1097" w:bottom="3699" w:left="1102"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60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3"/>
        <w:keepNext w:val="0"/>
        <w:keepLines w:val="0"/>
        <w:widowControl w:val="0"/>
        <w:shd w:val="clear" w:color="auto" w:fill="auto"/>
        <w:bidi w:val="0"/>
        <w:spacing w:before="0" w:line="643" w:lineRule="exact"/>
        <w:ind w:left="0" w:right="0"/>
        <w:jc w:val="both"/>
      </w:pPr>
      <w:r>
        <w:rPr>
          <w:color w:val="000000"/>
          <w:spacing w:val="0"/>
          <w:w w:val="100"/>
          <w:position w:val="0"/>
        </w:rPr>
        <w:t>公司负责人卿昱、主管会计工作负责人刘志惠及会计机构负责人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周天文声明：保证本年度报告中财务报告的真实、准确、完整。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ind w:left="0" w:right="0"/>
        <w:jc w:val="both"/>
      </w:pPr>
      <w:r>
        <w:rPr>
          <w:color w:val="000000"/>
          <w:spacing w:val="0"/>
          <w:w w:val="100"/>
          <w:position w:val="0"/>
        </w:rPr>
        <w:t>大华会计师事务所（特殊普通合伙）为本公司出具了带强调事项段的无保 留意见审计报告，本公司董事会、监事会对相关事项已有详细说明，请投资者 注意阅读。</w:t>
      </w:r>
    </w:p>
    <w:p>
      <w:pPr>
        <w:pStyle w:val="Style13"/>
        <w:keepNext w:val="0"/>
        <w:keepLines w:val="0"/>
        <w:widowControl w:val="0"/>
        <w:shd w:val="clear" w:color="auto" w:fill="auto"/>
        <w:bidi w:val="0"/>
        <w:spacing w:before="0"/>
        <w:ind w:left="0" w:right="0"/>
        <w:jc w:val="both"/>
      </w:pPr>
      <w:r>
        <w:rPr>
          <w:color w:val="000000"/>
          <w:spacing w:val="0"/>
          <w:w w:val="100"/>
          <w:position w:val="0"/>
        </w:rPr>
        <w:t>年度报告中所设定的经营计划和经营目标，为公司的内部管理控制指标， 不代表公司盈利预测，能否实现取决于宏观经济环境、市场情况、行业发展状 况与公司管理团队的努力等多种因素，存在很大的不确定性，请投资者注意投 资风险。</w:t>
      </w:r>
    </w:p>
    <w:p>
      <w:pPr>
        <w:pStyle w:val="Style13"/>
        <w:keepNext w:val="0"/>
        <w:keepLines w:val="0"/>
        <w:widowControl w:val="0"/>
        <w:shd w:val="clear" w:color="auto" w:fill="auto"/>
        <w:bidi w:val="0"/>
        <w:spacing w:before="0" w:line="648" w:lineRule="exact"/>
        <w:ind w:left="0" w:right="0"/>
        <w:jc w:val="both"/>
      </w:pPr>
      <w:r>
        <w:rPr>
          <w:color w:val="000000"/>
          <w:spacing w:val="0"/>
          <w:w w:val="100"/>
          <w:position w:val="0"/>
        </w:rPr>
        <w:t>公司已在本报告</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中详细描述公司经营中可 能存在的风险和应对措施，敬请投资者关注相关内容。</w:t>
      </w:r>
    </w:p>
    <w:p>
      <w:pPr>
        <w:pStyle w:val="Style13"/>
        <w:keepNext w:val="0"/>
        <w:keepLines w:val="0"/>
        <w:widowControl w:val="0"/>
        <w:shd w:val="clear" w:color="auto" w:fill="auto"/>
        <w:bidi w:val="0"/>
        <w:spacing w:before="0" w:line="64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6"/>
          <w:szCs w:val="26"/>
        </w:rPr>
        <w:t>846,294,603</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6"/>
          <w:szCs w:val="26"/>
        </w:rPr>
        <w:t>0.2</w:t>
      </w:r>
      <w:r>
        <w:rPr>
          <w:color w:val="000000"/>
          <w:spacing w:val="0"/>
          <w:w w:val="100"/>
          <w:position w:val="0"/>
        </w:rPr>
        <w:t>元（含税），送红股</w:t>
      </w:r>
      <w:r>
        <w:rPr>
          <w:rFonts w:ascii="Times New Roman" w:eastAsia="Times New Roman" w:hAnsi="Times New Roman" w:cs="Times New Roman"/>
          <w:color w:val="000000"/>
          <w:spacing w:val="0"/>
          <w:w w:val="100"/>
          <w:position w:val="0"/>
          <w:sz w:val="26"/>
          <w:szCs w:val="26"/>
        </w:rPr>
        <w:t>0</w:t>
      </w:r>
      <w:r>
        <w:rPr>
          <w:color w:val="000000"/>
          <w:spacing w:val="0"/>
          <w:w w:val="100"/>
          <w:position w:val="0"/>
        </w:rPr>
        <w:t>股（含税），不以公积 金转增股本。</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9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270"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43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487"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491"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495"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536"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61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622"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6"/>
        <w:keepNext w:val="0"/>
        <w:keepLines w:val="0"/>
        <w:widowControl w:val="0"/>
        <w:shd w:val="clear" w:color="auto" w:fill="auto"/>
        <w:tabs>
          <w:tab w:leader="dot" w:pos="9614" w:val="right"/>
        </w:tabs>
        <w:bidi w:val="0"/>
        <w:spacing w:before="0" w:line="240" w:lineRule="auto"/>
        <w:ind w:left="0" w:right="0" w:firstLine="0"/>
        <w:jc w:val="left"/>
      </w:pPr>
      <w:hyperlink w:anchor="bookmark1628"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174</w:t>
        </w:r>
      </w:hyperlink>
      <w:r>
        <w:br w:type="page"/>
      </w:r>
      <w:r>
        <w:fldChar w:fldCharType="end"/>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公司、本公司、卫士通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控股股东、中国网安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西南通信研究所（中国电子科技集团公司第三十研究所）</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中电科财务公司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实际控制人、中国电科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成都卫士通信息产业股份有限公司股东大会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成都卫士通信息产业股份有限公司董事会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0"/>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62"/>
        <w:gridCol w:w="2155"/>
        <w:gridCol w:w="218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002268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 Information Industry Inc.</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we stone. c om.cn</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westone_dm1@ </w:t>
            </w:r>
            <w:r>
              <w:rPr>
                <w:rFonts w:ascii="Times New Roman" w:eastAsia="Times New Roman" w:hAnsi="Times New Roman" w:cs="Times New Roman"/>
                <w:color w:val="000000"/>
                <w:spacing w:val="0"/>
                <w:w w:val="100"/>
                <w:position w:val="0"/>
                <w:sz w:val="18"/>
                <w:szCs w:val="18"/>
              </w:rPr>
              <w:t>163.com</w:t>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舒梅</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028-62386169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028-62386030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westone_dm1@ </w:t>
            </w:r>
            <w:r>
              <w:rPr>
                <w:rFonts w:ascii="Times New Roman" w:eastAsia="Times New Roman" w:hAnsi="Times New Roman" w:cs="Times New Roman"/>
                <w:color w:val="000000"/>
                <w:spacing w:val="0"/>
                <w:w w:val="100"/>
                <w:position w:val="0"/>
                <w:sz w:val="18"/>
                <w:szCs w:val="18"/>
              </w:rPr>
              <w:t>163.com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westone_zd@ </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63.com</w:t>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spacing w:lineRule="exact" w:line="1"/>
        <w:rPr>
          <w:sz w:val="2"/>
          <w:szCs w:val="2"/>
        </w:rPr>
      </w:pPr>
      <w:r>
        <w:br w:type="page"/>
      </w:r>
    </w:p>
    <w:p>
      <w:pPr>
        <w:pStyle w:val="Style20"/>
        <w:keepNext/>
        <w:keepLines/>
        <w:widowControl w:val="0"/>
        <w:shd w:val="clear" w:color="auto" w:fill="auto"/>
        <w:bidi w:val="0"/>
        <w:spacing w:before="0" w:after="320" w:line="240" w:lineRule="auto"/>
        <w:ind w:left="0" w:right="0" w:firstLine="0"/>
        <w:jc w:val="both"/>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552"/>
        <w:gridCol w:w="603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9151010070927392XM</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年公司控股股东由西南通信研究所（中国电子科技集团公司第三十研究 所）变更为中国电子科技网络信息安全有限公司，实际控制人未发生变更， 仍为中国电子科技集团有限公司。</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钟平修、曹云华</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5"/>
        <w:gridCol w:w="2400"/>
        <w:gridCol w:w="2165"/>
        <w:gridCol w:w="262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李金虎、贾鹏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日到督导事项完毕</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追溯调整或重述原因</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会计政策变更</w:t>
      </w:r>
    </w:p>
    <w:tbl>
      <w:tblPr>
        <w:tblOverlap w:val="never"/>
        <w:jc w:val="center"/>
        <w:tblLayout w:type="fixed"/>
      </w:tblPr>
      <w:tblGrid>
        <w:gridCol w:w="2376"/>
        <w:gridCol w:w="1200"/>
        <w:gridCol w:w="1200"/>
        <w:gridCol w:w="1200"/>
        <w:gridCol w:w="1205"/>
        <w:gridCol w:w="1200"/>
        <w:gridCol w:w="1210"/>
      </w:tblGrid>
      <w:tr>
        <w:trPr>
          <w:trHeight w:val="72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2,383,704,942.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2,103,759,987.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2,103,759,987.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1,930,998,380.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1,930,998,380.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161,408,158.18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155,765,488.34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155,765,488.34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120,204,513.73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120,204,513.73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147,191,217.80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120,905,436.58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120,905,436.58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100,816,597.78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100,816,597.78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经营活动产生的现金流量净 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628,289,103.29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-97,886,037.33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-97,886,037. 33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32,868,957.49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32,868,957.49</w:t>
            </w:r>
          </w:p>
        </w:tc>
      </w:tr>
    </w:tbl>
    <w:tbl>
      <w:tblPr>
        <w:tblOverlap w:val="never"/>
        <w:jc w:val="center"/>
        <w:tblLayout w:type="fixed"/>
      </w:tblPr>
      <w:tblGrid>
        <w:gridCol w:w="2376"/>
        <w:gridCol w:w="1200"/>
        <w:gridCol w:w="1200"/>
        <w:gridCol w:w="1200"/>
        <w:gridCol w:w="1205"/>
        <w:gridCol w:w="1200"/>
        <w:gridCol w:w="12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0.1434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上升</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个百</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本年末比上年</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末增减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9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38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6,480,446,949.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5,956,625,043.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5,956,625,043.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6,220,278,883.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6,220,278,883.</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4,707,198263.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4,550,793,991.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4,550,793,991.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4,406,885,517.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4,406,885,517.</w:t>
            </w:r>
          </w:p>
        </w:tc>
      </w:tr>
      <w:tr>
        <w:trPr>
          <w:trHeight w:val="34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产（元）</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会计政策变更的原因及会计差错更正的情况</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年执行新收入准则调整资产负债表项目，不影响损益。</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360" w:line="331" w:lineRule="exact"/>
        <w:ind w:left="0" w:right="0" w:firstLine="0"/>
        <w:jc w:val="left"/>
        <w:rPr>
          <w:sz w:val="18"/>
          <w:szCs w:val="18"/>
        </w:rPr>
      </w:pPr>
      <w:r>
        <w:rPr>
          <w:color w:val="000000"/>
          <w:spacing w:val="0"/>
          <w:w w:val="100"/>
          <w:position w:val="0"/>
          <w:sz w:val="18"/>
          <w:szCs w:val="18"/>
        </w:rPr>
        <w:t>口</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0"/>
        <w:keepNext/>
        <w:keepLines/>
        <w:widowControl w:val="0"/>
        <w:shd w:val="clear" w:color="auto" w:fill="auto"/>
        <w:tabs>
          <w:tab w:pos="522"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0"/>
        <w:keepNext/>
        <w:keepLines/>
        <w:widowControl w:val="0"/>
        <w:shd w:val="clear" w:color="auto" w:fill="auto"/>
        <w:tabs>
          <w:tab w:pos="404"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4"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59,030,952.58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374,170,653.71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546,628,201.07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1,403,875,135.12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-135,858,021.11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3,388,615.60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38,641,530.97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255,236,032.72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-136,082,000.00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3,240,907.97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38,089,188.21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241,943,121.62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-424,884,301.47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21,417,813.80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22257,304.88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1,009,498286.08</w:t>
            </w:r>
          </w:p>
        </w:tc>
      </w:tr>
    </w:tbl>
    <w:p>
      <w:pPr>
        <w:pStyle w:val="Style24"/>
        <w:keepNext w:val="0"/>
        <w:keepLines w:val="0"/>
        <w:widowControl w:val="0"/>
        <w:shd w:val="clear" w:color="auto" w:fill="auto"/>
        <w:bidi w:val="0"/>
        <w:spacing w:before="0" w:after="360" w:line="33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2"/>
        <w:gridCol w:w="1526"/>
        <w:gridCol w:w="1526"/>
        <w:gridCol w:w="17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-31,986.54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16,976,479.74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44226251.84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23,349,900.42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145,898.54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-750,995.95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-253,690.98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2,573,118.45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6,419,760.06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3,446,246.51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364,064.23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2,126,399.66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230,060.44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14,216,940.38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34,860,051.76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19,387,915.95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20" w:line="326" w:lineRule="exact"/>
        <w:ind w:left="0" w:right="0" w:firstLine="0"/>
        <w:jc w:val="both"/>
        <w:sectPr>
          <w:headerReference w:type="default" r:id="rId7"/>
          <w:footerReference w:type="default" r:id="rId8"/>
          <w:footnotePr>
            <w:pos w:val="pageBottom"/>
            <w:numFmt w:val="decimal"/>
            <w:numRestart w:val="continuous"/>
          </w:footnotePr>
          <w:pgSz w:w="11900" w:h="16840"/>
          <w:pgMar w:top="1376" w:right="1120" w:bottom="1525" w:left="107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1"/>
        <w:keepNext/>
        <w:keepLines/>
        <w:widowControl w:val="0"/>
        <w:shd w:val="clear" w:color="auto" w:fill="auto"/>
        <w:bidi w:val="0"/>
        <w:spacing w:before="520" w:after="50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0"/>
        <w:keepNext/>
        <w:keepLines/>
        <w:widowControl w:val="0"/>
        <w:shd w:val="clear" w:color="auto" w:fill="auto"/>
        <w:bidi w:val="0"/>
        <w:spacing w:before="0" w:after="380" w:line="314" w:lineRule="exact"/>
        <w:ind w:left="0" w:right="0" w:firstLine="0"/>
        <w:jc w:val="both"/>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
        <w:keepNext w:val="0"/>
        <w:keepLines w:val="0"/>
        <w:widowControl w:val="0"/>
        <w:shd w:val="clear" w:color="auto" w:fill="auto"/>
        <w:bidi w:val="0"/>
        <w:spacing w:before="0" w:after="0" w:line="314" w:lineRule="exact"/>
        <w:ind w:left="0" w:right="0" w:firstLine="360"/>
        <w:jc w:val="both"/>
        <w:rPr>
          <w:sz w:val="24"/>
          <w:szCs w:val="24"/>
        </w:rPr>
      </w:pPr>
      <w:r>
        <w:rPr>
          <w:b/>
          <w:bCs/>
          <w:color w:val="000000"/>
          <w:spacing w:val="0"/>
          <w:w w:val="100"/>
          <w:position w:val="0"/>
          <w:sz w:val="24"/>
          <w:szCs w:val="24"/>
        </w:rPr>
        <w:t>（一）公司主要业务</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卫士通公司一直致力于网络安全领域相关产品的开发及技术研究。经过</w:t>
      </w:r>
      <w:r>
        <w:rPr>
          <w:rFonts w:ascii="Times New Roman" w:eastAsia="Times New Roman" w:hAnsi="Times New Roman" w:cs="Times New Roman"/>
          <w:color w:val="000000"/>
          <w:spacing w:val="0"/>
          <w:w w:val="100"/>
          <w:position w:val="0"/>
        </w:rPr>
        <w:t>20</w:t>
      </w:r>
      <w:r>
        <w:rPr>
          <w:color w:val="000000"/>
          <w:spacing w:val="0"/>
          <w:w w:val="100"/>
          <w:position w:val="0"/>
        </w:rPr>
        <w:t>余年的耕耘，业务范围已覆 盖安全产品、安全服务和安全集成三大板块。</w:t>
      </w:r>
    </w:p>
    <w:p>
      <w:pPr>
        <w:pStyle w:val="Style34"/>
        <w:keepNext w:val="0"/>
        <w:keepLines w:val="0"/>
        <w:widowControl w:val="0"/>
        <w:shd w:val="clear" w:color="auto" w:fill="auto"/>
        <w:tabs>
          <w:tab w:pos="747" w:val="left"/>
        </w:tabs>
        <w:bidi w:val="0"/>
        <w:spacing w:before="0" w:after="0" w:line="314" w:lineRule="exact"/>
        <w:ind w:left="0" w:right="0"/>
        <w:jc w:val="both"/>
      </w:pPr>
      <w:bookmarkStart w:id="59" w:name="bookmark59"/>
      <w:r>
        <w:rPr>
          <w:rFonts w:ascii="Times New Roman" w:eastAsia="Times New Roman" w:hAnsi="Times New Roman" w:cs="Times New Roman"/>
          <w:color w:val="000000"/>
          <w:spacing w:val="0"/>
          <w:w w:val="100"/>
          <w:position w:val="0"/>
        </w:rPr>
        <w:t>1</w:t>
      </w:r>
      <w:bookmarkEnd w:id="59"/>
      <w:r>
        <w:rPr>
          <w:color w:val="000000"/>
          <w:spacing w:val="0"/>
          <w:w w:val="100"/>
          <w:position w:val="0"/>
        </w:rPr>
        <w:t>、</w:t>
        <w:tab/>
        <w:t>安全产品。公司长期为党政、央企、金融、能源等客户提供密码基础产品、通用安全产品、行业 应用产品和新兴技术领域产品。</w:t>
      </w:r>
    </w:p>
    <w:p>
      <w:pPr>
        <w:pStyle w:val="Style34"/>
        <w:keepNext w:val="0"/>
        <w:keepLines w:val="0"/>
        <w:widowControl w:val="0"/>
        <w:shd w:val="clear" w:color="auto" w:fill="auto"/>
        <w:tabs>
          <w:tab w:pos="978" w:val="left"/>
        </w:tabs>
        <w:bidi w:val="0"/>
        <w:spacing w:before="0" w:after="0" w:line="314" w:lineRule="exact"/>
        <w:ind w:left="0" w:right="0"/>
        <w:jc w:val="both"/>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rPr>
        <w:t>1</w:t>
      </w:r>
      <w:r>
        <w:rPr>
          <w:color w:val="000000"/>
          <w:spacing w:val="0"/>
          <w:w w:val="100"/>
          <w:position w:val="0"/>
        </w:rPr>
        <w:t>）</w:t>
        <w:tab/>
        <w:t>密码基础产品。密码基础产品是公司一直以来的核心产品，公司提供全系列、全产业链的密码 产品，包括密码模块、密码机和基础设施。密码模块有智能密码钥匙和商用</w:t>
      </w:r>
      <w:r>
        <w:rPr>
          <w:rFonts w:ascii="Times New Roman" w:eastAsia="Times New Roman" w:hAnsi="Times New Roman" w:cs="Times New Roman"/>
          <w:color w:val="000000"/>
          <w:spacing w:val="0"/>
          <w:w w:val="100"/>
          <w:position w:val="0"/>
        </w:rPr>
        <w:t>PCI-E</w:t>
      </w:r>
      <w:r>
        <w:rPr>
          <w:color w:val="000000"/>
          <w:spacing w:val="0"/>
          <w:w w:val="100"/>
          <w:position w:val="0"/>
        </w:rPr>
        <w:t>密码卡；密码机有服务 器密码机、签名验签服务器；基础设施有密钥管理系统、数据证书认证系统。</w:t>
      </w:r>
    </w:p>
    <w:p>
      <w:pPr>
        <w:pStyle w:val="Style34"/>
        <w:keepNext w:val="0"/>
        <w:keepLines w:val="0"/>
        <w:widowControl w:val="0"/>
        <w:shd w:val="clear" w:color="auto" w:fill="auto"/>
        <w:tabs>
          <w:tab w:pos="978" w:val="left"/>
        </w:tabs>
        <w:bidi w:val="0"/>
        <w:spacing w:before="0" w:after="0" w:line="314" w:lineRule="exact"/>
        <w:ind w:left="0" w:right="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rPr>
        <w:t>2</w:t>
      </w:r>
      <w:r>
        <w:rPr>
          <w:color w:val="000000"/>
          <w:spacing w:val="0"/>
          <w:w w:val="100"/>
          <w:position w:val="0"/>
        </w:rPr>
        <w:t>）</w:t>
        <w:tab/>
        <w:t>通用安全产品。包括安全管理、安全应用、环境安全、区域边界安全、通信网络安全与终端安 全六个细分类。安全管理类含安全运行监管系统、设备统一管理中心、中华卫士高级威胁监测分析系统等 产品。安全应用含橙讯安全即时通信、</w:t>
      </w:r>
      <w:r>
        <w:rPr>
          <w:rFonts w:ascii="Times New Roman" w:eastAsia="Times New Roman" w:hAnsi="Times New Roman" w:cs="Times New Roman"/>
          <w:color w:val="000000"/>
          <w:spacing w:val="0"/>
          <w:w w:val="100"/>
          <w:position w:val="0"/>
        </w:rPr>
        <w:t>TDE</w:t>
      </w:r>
      <w:r>
        <w:rPr>
          <w:color w:val="000000"/>
          <w:spacing w:val="0"/>
          <w:w w:val="100"/>
          <w:position w:val="0"/>
        </w:rPr>
        <w:t>数据库安全产品、卫士通导入导出安全管控系统、卫士通电子 文档安全管理系统、卫士云盘。环境安全类含安全视频监控系统等。区域边界安全类含中华卫士网络防火 墙、卫士通安全网关、中华卫士网络安全隔离与信息单向导入系统、中华卫士安全隔离与交换系统。通信 网络安全类含</w:t>
      </w:r>
      <w:r>
        <w:rPr>
          <w:rFonts w:ascii="Times New Roman" w:eastAsia="Times New Roman" w:hAnsi="Times New Roman" w:cs="Times New Roman"/>
          <w:color w:val="000000"/>
          <w:spacing w:val="0"/>
          <w:w w:val="100"/>
          <w:position w:val="0"/>
        </w:rPr>
        <w:t>IPSec VPN</w:t>
      </w:r>
      <w:r>
        <w:rPr>
          <w:color w:val="000000"/>
          <w:spacing w:val="0"/>
          <w:w w:val="100"/>
          <w:position w:val="0"/>
        </w:rPr>
        <w:t>安全网关、</w:t>
      </w:r>
      <w:r>
        <w:rPr>
          <w:rFonts w:ascii="Times New Roman" w:eastAsia="Times New Roman" w:hAnsi="Times New Roman" w:cs="Times New Roman"/>
          <w:color w:val="000000"/>
          <w:spacing w:val="0"/>
          <w:w w:val="100"/>
          <w:position w:val="0"/>
        </w:rPr>
        <w:t>SSL VPN</w:t>
      </w:r>
      <w:r>
        <w:rPr>
          <w:color w:val="000000"/>
          <w:spacing w:val="0"/>
          <w:w w:val="100"/>
          <w:position w:val="0"/>
        </w:rPr>
        <w:t>安全网关、中华卫士交换机。终端安全类含主机监控与审计 系统、终端安全管理系统与终端安全登录系统。</w:t>
      </w:r>
    </w:p>
    <w:p>
      <w:pPr>
        <w:pStyle w:val="Style34"/>
        <w:keepNext w:val="0"/>
        <w:keepLines w:val="0"/>
        <w:widowControl w:val="0"/>
        <w:shd w:val="clear" w:color="auto" w:fill="auto"/>
        <w:tabs>
          <w:tab w:pos="978" w:val="left"/>
        </w:tabs>
        <w:bidi w:val="0"/>
        <w:spacing w:before="0" w:after="0" w:line="314" w:lineRule="exact"/>
        <w:ind w:left="0" w:right="0"/>
        <w:jc w:val="both"/>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rPr>
        <w:t>3</w:t>
      </w:r>
      <w:r>
        <w:rPr>
          <w:color w:val="000000"/>
          <w:spacing w:val="0"/>
          <w:w w:val="100"/>
          <w:position w:val="0"/>
        </w:rPr>
        <w:t>）</w:t>
        <w:tab/>
        <w:t>行业应用产品。公司的行业应用产品覆盖电子政务、公检法、金融、能源等重点行业，具备行 业特色。主要包含信任服务设施、电子公文安全交换系统、统一身份认证系统、涉案财物集中管理信息平 台、检察机关大数据智能分析系统、青少年帮扶教育平台、青少年违法犯罪分析平台、金融数据密码机、 金融</w:t>
      </w:r>
      <w:r>
        <w:rPr>
          <w:rFonts w:ascii="Times New Roman" w:eastAsia="Times New Roman" w:hAnsi="Times New Roman" w:cs="Times New Roman"/>
          <w:color w:val="000000"/>
          <w:spacing w:val="0"/>
          <w:w w:val="100"/>
          <w:position w:val="0"/>
        </w:rPr>
        <w:t>IC</w:t>
      </w:r>
      <w:r>
        <w:rPr>
          <w:color w:val="000000"/>
          <w:spacing w:val="0"/>
          <w:w w:val="100"/>
          <w:position w:val="0"/>
        </w:rPr>
        <w:t>卡密钥管理系统、统一密码服务系统、电力系统专用纵向加密认证装置等产品。</w:t>
      </w:r>
    </w:p>
    <w:p>
      <w:pPr>
        <w:pStyle w:val="Style34"/>
        <w:keepNext w:val="0"/>
        <w:keepLines w:val="0"/>
        <w:widowControl w:val="0"/>
        <w:shd w:val="clear" w:color="auto" w:fill="auto"/>
        <w:tabs>
          <w:tab w:pos="978" w:val="left"/>
        </w:tabs>
        <w:bidi w:val="0"/>
        <w:spacing w:before="0" w:after="0" w:line="314" w:lineRule="exact"/>
        <w:ind w:left="0" w:right="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rPr>
        <w:t>4</w:t>
      </w:r>
      <w:r>
        <w:rPr>
          <w:color w:val="000000"/>
          <w:spacing w:val="0"/>
          <w:w w:val="100"/>
          <w:position w:val="0"/>
        </w:rPr>
        <w:t>）</w:t>
        <w:tab/>
        <w:t>新兴技术领域产品。主要包括云计算与移动办公两大分类。有云服务器密码机、云密码资源池 管理平台、数据脱敏系统、安全移动办公系统、移动安全会议系统、安全无纸化会议系统、墨水屏安全记 事本等产品。</w:t>
      </w:r>
    </w:p>
    <w:p>
      <w:pPr>
        <w:pStyle w:val="Style34"/>
        <w:keepNext w:val="0"/>
        <w:keepLines w:val="0"/>
        <w:widowControl w:val="0"/>
        <w:shd w:val="clear" w:color="auto" w:fill="auto"/>
        <w:tabs>
          <w:tab w:pos="747" w:val="left"/>
        </w:tabs>
        <w:bidi w:val="0"/>
        <w:spacing w:before="0" w:after="0" w:line="314" w:lineRule="exact"/>
        <w:ind w:left="0" w:right="0"/>
        <w:jc w:val="both"/>
      </w:pPr>
      <w:bookmarkStart w:id="64" w:name="bookmark64"/>
      <w:r>
        <w:rPr>
          <w:rFonts w:ascii="Times New Roman" w:eastAsia="Times New Roman" w:hAnsi="Times New Roman" w:cs="Times New Roman"/>
          <w:color w:val="000000"/>
          <w:spacing w:val="0"/>
          <w:w w:val="100"/>
          <w:position w:val="0"/>
        </w:rPr>
        <w:t>2</w:t>
      </w:r>
      <w:bookmarkEnd w:id="64"/>
      <w:r>
        <w:rPr>
          <w:color w:val="000000"/>
          <w:spacing w:val="0"/>
          <w:w w:val="100"/>
          <w:position w:val="0"/>
        </w:rPr>
        <w:t>、</w:t>
        <w:tab/>
        <w:t>安全服务。基于公司核心技术和核心产品，依托公司强大的技术支持、专家团队及高安全平台， 为用户提供安全运营服务与密码运营服务等安全能力。在安全运营服务方面，通过线上线下相结合的安全 聚合运营服务模式，打造对重要信息系统进行全天候全方位的安全监测能力，提供网络安全协同防御和应 急响应服务、集约化的安全防护和处置服务。在密码运营服务方面，通过密码服务平台将向用户提供层次 化、可定制的密码服务，并提供密评密测等服务，满足系统等保密评要求。</w:t>
      </w:r>
    </w:p>
    <w:p>
      <w:pPr>
        <w:pStyle w:val="Style34"/>
        <w:keepNext w:val="0"/>
        <w:keepLines w:val="0"/>
        <w:widowControl w:val="0"/>
        <w:shd w:val="clear" w:color="auto" w:fill="auto"/>
        <w:tabs>
          <w:tab w:pos="747" w:val="left"/>
        </w:tabs>
        <w:bidi w:val="0"/>
        <w:spacing w:before="0" w:after="0" w:line="314" w:lineRule="exact"/>
        <w:ind w:left="0" w:right="0"/>
        <w:jc w:val="both"/>
      </w:pPr>
      <w:bookmarkStart w:id="65" w:name="bookmark65"/>
      <w:r>
        <w:rPr>
          <w:rFonts w:ascii="Times New Roman" w:eastAsia="Times New Roman" w:hAnsi="Times New Roman" w:cs="Times New Roman"/>
          <w:color w:val="000000"/>
          <w:spacing w:val="0"/>
          <w:w w:val="100"/>
          <w:position w:val="0"/>
        </w:rPr>
        <w:t>3</w:t>
      </w:r>
      <w:bookmarkEnd w:id="65"/>
      <w:r>
        <w:rPr>
          <w:color w:val="000000"/>
          <w:spacing w:val="0"/>
          <w:w w:val="100"/>
          <w:position w:val="0"/>
        </w:rPr>
        <w:t>、</w:t>
        <w:tab/>
        <w:t>安全集成。公司依托雄厚的技术支持和强大的营销网络为各层次用户提供的系统集成及全生命周 期安全支持与服务，包括项目规划、整体解决方案设计、工程建设、用户培训等。</w:t>
      </w:r>
    </w:p>
    <w:p>
      <w:pPr>
        <w:pStyle w:val="Style34"/>
        <w:keepNext w:val="0"/>
        <w:keepLines w:val="0"/>
        <w:widowControl w:val="0"/>
        <w:shd w:val="clear" w:color="auto" w:fill="auto"/>
        <w:bidi w:val="0"/>
        <w:spacing w:before="0" w:after="0" w:line="314" w:lineRule="exact"/>
        <w:ind w:left="0" w:right="0"/>
        <w:jc w:val="both"/>
      </w:pPr>
      <w:r>
        <w:rPr>
          <w:b/>
          <w:bCs/>
          <w:color w:val="000000"/>
          <w:spacing w:val="0"/>
          <w:w w:val="100"/>
          <w:position w:val="0"/>
        </w:rPr>
        <w:t>（二）宏观经济形势等外部因素分析</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当今世界正经历百年未有之大变局。随着美国</w:t>
      </w:r>
      <w:r>
        <w:rPr>
          <w:rFonts w:ascii="Times New Roman" w:eastAsia="Times New Roman" w:hAnsi="Times New Roman" w:cs="Times New Roman"/>
          <w:color w:val="000000"/>
          <w:spacing w:val="0"/>
          <w:w w:val="100"/>
          <w:position w:val="0"/>
        </w:rPr>
        <w:t>“</w:t>
      </w:r>
      <w:r>
        <w:rPr>
          <w:color w:val="000000"/>
          <w:spacing w:val="0"/>
          <w:w w:val="100"/>
          <w:position w:val="0"/>
        </w:rPr>
        <w:t>美国优先</w:t>
      </w:r>
      <w:r>
        <w:rPr>
          <w:rFonts w:ascii="Times New Roman" w:eastAsia="Times New Roman" w:hAnsi="Times New Roman" w:cs="Times New Roman"/>
          <w:color w:val="000000"/>
          <w:spacing w:val="0"/>
          <w:w w:val="100"/>
          <w:position w:val="0"/>
        </w:rPr>
        <w:t>''</w:t>
      </w:r>
      <w:r>
        <w:rPr>
          <w:color w:val="000000"/>
          <w:spacing w:val="0"/>
          <w:w w:val="100"/>
          <w:position w:val="0"/>
        </w:rPr>
        <w:t>战略推进，中美贸易战向纵深发展，中美</w:t>
      </w:r>
      <w:r>
        <w:rPr>
          <w:rFonts w:ascii="Times New Roman" w:eastAsia="Times New Roman" w:hAnsi="Times New Roman" w:cs="Times New Roman"/>
          <w:color w:val="000000"/>
          <w:spacing w:val="0"/>
          <w:w w:val="100"/>
          <w:position w:val="0"/>
        </w:rPr>
        <w:t>“</w:t>
      </w:r>
      <w:r>
        <w:rPr>
          <w:color w:val="000000"/>
          <w:spacing w:val="0"/>
          <w:w w:val="100"/>
          <w:position w:val="0"/>
        </w:rPr>
        <w:t>脱 钩''、</w:t>
      </w:r>
      <w:r>
        <w:rPr>
          <w:rFonts w:ascii="Times New Roman" w:eastAsia="Times New Roman" w:hAnsi="Times New Roman" w:cs="Times New Roman"/>
          <w:color w:val="000000"/>
          <w:spacing w:val="0"/>
          <w:w w:val="100"/>
          <w:position w:val="0"/>
        </w:rPr>
        <w:t>G2</w:t>
      </w:r>
      <w:r>
        <w:rPr>
          <w:color w:val="000000"/>
          <w:spacing w:val="0"/>
          <w:w w:val="100"/>
          <w:position w:val="0"/>
        </w:rPr>
        <w:t>新格局趋势隐隐出现，国际体系和国际秩序深度调整，不确定不稳定因素明显增多。</w:t>
      </w:r>
      <w:r>
        <w:rPr>
          <w:rFonts w:ascii="Times New Roman" w:eastAsia="Times New Roman" w:hAnsi="Times New Roman" w:cs="Times New Roman"/>
          <w:color w:val="000000"/>
          <w:spacing w:val="0"/>
          <w:w w:val="100"/>
          <w:position w:val="0"/>
        </w:rPr>
        <w:t>ICT</w:t>
      </w:r>
      <w:r>
        <w:rPr>
          <w:color w:val="000000"/>
          <w:spacing w:val="0"/>
          <w:w w:val="100"/>
          <w:position w:val="0"/>
        </w:rPr>
        <w:t>供应链曾 被视作全球化的典型象征，在此轮</w:t>
      </w:r>
      <w:r>
        <w:rPr>
          <w:rFonts w:ascii="Times New Roman" w:eastAsia="Times New Roman" w:hAnsi="Times New Roman" w:cs="Times New Roman"/>
          <w:color w:val="000000"/>
          <w:spacing w:val="0"/>
          <w:w w:val="100"/>
          <w:position w:val="0"/>
        </w:rPr>
        <w:t>“</w:t>
      </w:r>
      <w:r>
        <w:rPr>
          <w:color w:val="000000"/>
          <w:spacing w:val="0"/>
          <w:w w:val="100"/>
          <w:position w:val="0"/>
        </w:rPr>
        <w:t>去全球化''的浪潮中遭到严重破坏，沦为国家博弈的政治工具。以美国 为首的国家以</w:t>
      </w:r>
      <w:r>
        <w:rPr>
          <w:rFonts w:ascii="Times New Roman" w:eastAsia="Times New Roman" w:hAnsi="Times New Roman" w:cs="Times New Roman"/>
          <w:color w:val="000000"/>
          <w:spacing w:val="0"/>
          <w:w w:val="100"/>
          <w:position w:val="0"/>
        </w:rPr>
        <w:t>ICT</w:t>
      </w:r>
      <w:r>
        <w:rPr>
          <w:color w:val="000000"/>
          <w:spacing w:val="0"/>
          <w:w w:val="100"/>
          <w:position w:val="0"/>
        </w:rPr>
        <w:t>供应链安全为由打压中国技术发展，持续通过泛化的国家安全名义加速推行在数据流通 和通信领域与中国的</w:t>
      </w:r>
      <w:r>
        <w:rPr>
          <w:rFonts w:ascii="Times New Roman" w:eastAsia="Times New Roman" w:hAnsi="Times New Roman" w:cs="Times New Roman"/>
          <w:color w:val="000000"/>
          <w:spacing w:val="0"/>
          <w:w w:val="100"/>
          <w:position w:val="0"/>
        </w:rPr>
        <w:t>“</w:t>
      </w:r>
      <w:r>
        <w:rPr>
          <w:color w:val="000000"/>
          <w:spacing w:val="0"/>
          <w:w w:val="100"/>
          <w:position w:val="0"/>
        </w:rPr>
        <w:t>脱钩</w:t>
      </w:r>
    </w:p>
    <w:p>
      <w:pPr>
        <w:pStyle w:val="Style34"/>
        <w:keepNext w:val="0"/>
        <w:keepLines w:val="0"/>
        <w:widowControl w:val="0"/>
        <w:shd w:val="clear" w:color="auto" w:fill="auto"/>
        <w:bidi w:val="0"/>
        <w:spacing w:before="0" w:after="80" w:line="314" w:lineRule="exact"/>
        <w:ind w:left="0" w:right="0"/>
        <w:jc w:val="both"/>
      </w:pPr>
      <w:r>
        <w:rPr>
          <w:color w:val="000000"/>
          <w:spacing w:val="0"/>
          <w:w w:val="100"/>
          <w:position w:val="0"/>
        </w:rPr>
        <w:t>在此背景下，我国经济面临着从高速增长向高质量发展转换、信息通信核心价值链和供应链被动的局 面。</w:t>
      </w:r>
      <w:r>
        <w:rPr>
          <w:rFonts w:ascii="Times New Roman" w:eastAsia="Times New Roman" w:hAnsi="Times New Roman" w:cs="Times New Roman"/>
          <w:color w:val="000000"/>
          <w:spacing w:val="0"/>
          <w:w w:val="100"/>
          <w:position w:val="0"/>
        </w:rPr>
        <w:t>2020</w:t>
      </w:r>
      <w:r>
        <w:rPr>
          <w:color w:val="000000"/>
          <w:spacing w:val="0"/>
          <w:w w:val="100"/>
          <w:position w:val="0"/>
        </w:rPr>
        <w:t>年年初，</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 xml:space="preserve">作为当前中国经济的重大部署的实施，为我国科技和信息产业可持续发展提供 </w:t>
      </w:r>
      <w:r>
        <w:rPr>
          <w:color w:val="000000"/>
          <w:spacing w:val="0"/>
          <w:w w:val="100"/>
          <w:position w:val="0"/>
        </w:rPr>
        <w:t>新动能。数字经济是当前中国经济发展的动力引擎，带动了国民经济快速增长，</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催生的新业态 新模式蓬勃发展。随着人类社会进入数字时代，数据提升全要素生产率的作用前所未有，成为类比土地和 能源的核心战略资源，这是现代社会经济发展的重要趋势。网络安全管理也在不断精细化，十二部门联合 发布了《网络安全审查办法》；五中全会提出了</w:t>
      </w:r>
      <w:r>
        <w:rPr>
          <w:rFonts w:ascii="Times New Roman" w:eastAsia="Times New Roman" w:hAnsi="Times New Roman" w:cs="Times New Roman"/>
          <w:color w:val="000000"/>
          <w:spacing w:val="0"/>
          <w:w w:val="100"/>
          <w:position w:val="0"/>
        </w:rPr>
        <w:t>“</w:t>
      </w:r>
      <w:r>
        <w:rPr>
          <w:color w:val="000000"/>
          <w:spacing w:val="0"/>
          <w:w w:val="100"/>
          <w:position w:val="0"/>
        </w:rPr>
        <w:t>安全发展</w:t>
      </w:r>
      <w:r>
        <w:rPr>
          <w:rFonts w:ascii="Times New Roman" w:eastAsia="Times New Roman" w:hAnsi="Times New Roman" w:cs="Times New Roman"/>
          <w:color w:val="000000"/>
          <w:spacing w:val="0"/>
          <w:w w:val="100"/>
          <w:position w:val="0"/>
        </w:rPr>
        <w:t>''</w:t>
      </w:r>
      <w:r>
        <w:rPr>
          <w:color w:val="000000"/>
          <w:spacing w:val="0"/>
          <w:w w:val="100"/>
          <w:position w:val="0"/>
        </w:rPr>
        <w:t>将贯穿各领域和全过程；在</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月先后召 开的中央政治局会、中央经济工作会两次会议上，重点强调了</w:t>
      </w:r>
      <w:r>
        <w:rPr>
          <w:rFonts w:ascii="Times New Roman" w:eastAsia="Times New Roman" w:hAnsi="Times New Roman" w:cs="Times New Roman"/>
          <w:color w:val="000000"/>
          <w:spacing w:val="0"/>
          <w:w w:val="100"/>
          <w:position w:val="0"/>
        </w:rPr>
        <w:t>“</w:t>
      </w:r>
      <w:r>
        <w:rPr>
          <w:color w:val="000000"/>
          <w:spacing w:val="0"/>
          <w:w w:val="100"/>
          <w:position w:val="0"/>
        </w:rPr>
        <w:t>强化国家战略科技力量、增强产业链供应 链自主可控能力我国顶层设计的布局将推动产业需求释放，网络安全国产化需求日趋紧迫。</w:t>
      </w:r>
    </w:p>
    <w:p>
      <w:pPr>
        <w:pStyle w:val="Style34"/>
        <w:keepNext w:val="0"/>
        <w:keepLines w:val="0"/>
        <w:widowControl w:val="0"/>
        <w:shd w:val="clear" w:color="auto" w:fill="auto"/>
        <w:tabs>
          <w:tab w:pos="765" w:val="left"/>
        </w:tabs>
        <w:bidi w:val="0"/>
        <w:spacing w:before="0" w:after="0" w:line="326" w:lineRule="auto"/>
        <w:ind w:left="0" w:right="0"/>
        <w:jc w:val="both"/>
      </w:pPr>
      <w:bookmarkStart w:id="66" w:name="bookmark66"/>
      <w:r>
        <w:rPr>
          <w:rFonts w:ascii="Times New Roman" w:eastAsia="Times New Roman" w:hAnsi="Times New Roman" w:cs="Times New Roman"/>
          <w:color w:val="000000"/>
          <w:spacing w:val="0"/>
          <w:w w:val="100"/>
          <w:position w:val="0"/>
        </w:rPr>
        <w:t>1</w:t>
      </w:r>
      <w:bookmarkEnd w:id="66"/>
      <w:r>
        <w:rPr>
          <w:color w:val="000000"/>
          <w:spacing w:val="0"/>
          <w:w w:val="100"/>
          <w:position w:val="0"/>
        </w:rPr>
        <w:t>、</w:t>
        <w:tab/>
        <w:t>网络安全将越来越多的介入国际争端</w:t>
      </w:r>
    </w:p>
    <w:p>
      <w:pPr>
        <w:pStyle w:val="Style34"/>
        <w:keepNext w:val="0"/>
        <w:keepLines w:val="0"/>
        <w:widowControl w:val="0"/>
        <w:shd w:val="clear" w:color="auto" w:fill="auto"/>
        <w:bidi w:val="0"/>
        <w:spacing w:before="0" w:after="80"/>
        <w:ind w:left="0" w:right="0"/>
        <w:jc w:val="both"/>
      </w:pPr>
      <w:r>
        <w:rPr>
          <w:color w:val="000000"/>
          <w:spacing w:val="0"/>
          <w:w w:val="100"/>
          <w:position w:val="0"/>
        </w:rPr>
        <w:t>一是网络攻击替代军事打击，成为国际军事行动的重要方式，美国对伊朗、委内瑞拉、俄罗斯的网络 攻击显著证明了这点；二是网络安全成为国际争端的重要议题，网络空间是国家主权体现的第五空间，各 国围绕网络空间治理制定了系列维护自身主权的政策法规，而由于网络空间边界的界定不一致，必然导致 各国在网络空间主权上的纷争，一些国家自身法律的</w:t>
      </w:r>
      <w:r>
        <w:rPr>
          <w:rFonts w:ascii="Times New Roman" w:eastAsia="Times New Roman" w:hAnsi="Times New Roman" w:cs="Times New Roman"/>
          <w:color w:val="000000"/>
          <w:spacing w:val="0"/>
          <w:w w:val="100"/>
          <w:position w:val="0"/>
        </w:rPr>
        <w:t>“</w:t>
      </w:r>
      <w:r>
        <w:rPr>
          <w:color w:val="000000"/>
          <w:spacing w:val="0"/>
          <w:w w:val="100"/>
          <w:position w:val="0"/>
        </w:rPr>
        <w:t>长臂管辖</w:t>
      </w:r>
      <w:r>
        <w:rPr>
          <w:rFonts w:ascii="Times New Roman" w:eastAsia="Times New Roman" w:hAnsi="Times New Roman" w:cs="Times New Roman"/>
          <w:color w:val="000000"/>
          <w:spacing w:val="0"/>
          <w:w w:val="100"/>
          <w:position w:val="0"/>
        </w:rPr>
        <w:t>''</w:t>
      </w:r>
      <w:r>
        <w:rPr>
          <w:color w:val="000000"/>
          <w:spacing w:val="0"/>
          <w:w w:val="100"/>
          <w:position w:val="0"/>
        </w:rPr>
        <w:t>效力造成各国在法律条款上存在冲突，也 必然给网络空间带来秩序的混乱。</w:t>
      </w:r>
    </w:p>
    <w:p>
      <w:pPr>
        <w:pStyle w:val="Style34"/>
        <w:keepNext w:val="0"/>
        <w:keepLines w:val="0"/>
        <w:widowControl w:val="0"/>
        <w:shd w:val="clear" w:color="auto" w:fill="auto"/>
        <w:tabs>
          <w:tab w:pos="765" w:val="left"/>
        </w:tabs>
        <w:bidi w:val="0"/>
        <w:spacing w:before="0" w:after="0" w:line="326" w:lineRule="auto"/>
        <w:ind w:left="0" w:right="0"/>
        <w:jc w:val="both"/>
      </w:pPr>
      <w:bookmarkStart w:id="67" w:name="bookmark67"/>
      <w:r>
        <w:rPr>
          <w:rFonts w:ascii="Times New Roman" w:eastAsia="Times New Roman" w:hAnsi="Times New Roman" w:cs="Times New Roman"/>
          <w:color w:val="000000"/>
          <w:spacing w:val="0"/>
          <w:w w:val="100"/>
          <w:position w:val="0"/>
        </w:rPr>
        <w:t>2</w:t>
      </w:r>
      <w:bookmarkEnd w:id="67"/>
      <w:r>
        <w:rPr>
          <w:color w:val="000000"/>
          <w:spacing w:val="0"/>
          <w:w w:val="100"/>
          <w:position w:val="0"/>
        </w:rPr>
        <w:t>、</w:t>
        <w:tab/>
        <w:t>随着传统消费互联网迈向产业互联网时代，网络安全将泛在化</w:t>
      </w:r>
    </w:p>
    <w:p>
      <w:pPr>
        <w:pStyle w:val="Style34"/>
        <w:keepNext w:val="0"/>
        <w:keepLines w:val="0"/>
        <w:widowControl w:val="0"/>
        <w:shd w:val="clear" w:color="auto" w:fill="auto"/>
        <w:bidi w:val="0"/>
        <w:spacing w:before="0" w:after="80"/>
        <w:ind w:left="0" w:right="0"/>
        <w:jc w:val="both"/>
      </w:pPr>
      <w:r>
        <w:rPr>
          <w:color w:val="000000"/>
          <w:spacing w:val="0"/>
          <w:w w:val="100"/>
          <w:position w:val="0"/>
        </w:rPr>
        <w:t>在产业互联网时代，传统产业与互联网深度融合，整个社会生活生产方式都将面临数字化、网络化、 智能化的重构与升级，数字政府、智慧城市、智能终端等智慧化社会生活时代将到来。万物互联的世界带 来的网络安全风险也与日俱增，网络安全问题将泛在化存在。</w:t>
      </w:r>
    </w:p>
    <w:p>
      <w:pPr>
        <w:pStyle w:val="Style34"/>
        <w:keepNext w:val="0"/>
        <w:keepLines w:val="0"/>
        <w:widowControl w:val="0"/>
        <w:shd w:val="clear" w:color="auto" w:fill="auto"/>
        <w:tabs>
          <w:tab w:pos="765" w:val="left"/>
        </w:tabs>
        <w:bidi w:val="0"/>
        <w:spacing w:before="0" w:after="0" w:line="326" w:lineRule="auto"/>
        <w:ind w:left="0" w:right="0"/>
        <w:jc w:val="both"/>
      </w:pPr>
      <w:bookmarkStart w:id="68" w:name="bookmark68"/>
      <w:r>
        <w:rPr>
          <w:rFonts w:ascii="Times New Roman" w:eastAsia="Times New Roman" w:hAnsi="Times New Roman" w:cs="Times New Roman"/>
          <w:color w:val="000000"/>
          <w:spacing w:val="0"/>
          <w:w w:val="100"/>
          <w:position w:val="0"/>
        </w:rPr>
        <w:t>3</w:t>
      </w:r>
      <w:bookmarkEnd w:id="68"/>
      <w:r>
        <w:rPr>
          <w:color w:val="000000"/>
          <w:spacing w:val="0"/>
          <w:w w:val="100"/>
          <w:position w:val="0"/>
        </w:rPr>
        <w:t>、</w:t>
        <w:tab/>
        <w:t>数字经济发展浪潮下，网络安全的紧密性和重要性突显</w:t>
      </w:r>
    </w:p>
    <w:p>
      <w:pPr>
        <w:pStyle w:val="Style34"/>
        <w:keepNext w:val="0"/>
        <w:keepLines w:val="0"/>
        <w:widowControl w:val="0"/>
        <w:shd w:val="clear" w:color="auto" w:fill="auto"/>
        <w:bidi w:val="0"/>
        <w:spacing w:before="0" w:after="80"/>
        <w:ind w:left="0" w:right="0"/>
        <w:jc w:val="both"/>
      </w:pPr>
      <w:r>
        <w:rPr>
          <w:color w:val="000000"/>
          <w:spacing w:val="0"/>
          <w:w w:val="100"/>
          <w:position w:val="0"/>
        </w:rPr>
        <w:t>随着数字经济加速向经济社会各领域渗透融合，以信息化为基础发展起来的数字经济面临着较大的网 络安全风险。一是数字化基础设施的安全边界外延，使得网络攻击威胁加剧。二是个人隐私及敏感数据泄 露严重，各类数据泄露事件频发，已成为制约数字经济良性发展的重要因素。三是新技术应用衍生新安全 风险，新型网络安全问题日趋凸显。</w:t>
      </w:r>
    </w:p>
    <w:p>
      <w:pPr>
        <w:pStyle w:val="Style34"/>
        <w:keepNext w:val="0"/>
        <w:keepLines w:val="0"/>
        <w:widowControl w:val="0"/>
        <w:shd w:val="clear" w:color="auto" w:fill="auto"/>
        <w:tabs>
          <w:tab w:pos="765" w:val="left"/>
        </w:tabs>
        <w:bidi w:val="0"/>
        <w:spacing w:before="0" w:after="0" w:line="326" w:lineRule="auto"/>
        <w:ind w:left="0" w:right="0"/>
        <w:jc w:val="both"/>
      </w:pPr>
      <w:bookmarkStart w:id="69" w:name="bookmark69"/>
      <w:r>
        <w:rPr>
          <w:rFonts w:ascii="Times New Roman" w:eastAsia="Times New Roman" w:hAnsi="Times New Roman" w:cs="Times New Roman"/>
          <w:color w:val="000000"/>
          <w:spacing w:val="0"/>
          <w:w w:val="100"/>
          <w:position w:val="0"/>
        </w:rPr>
        <w:t>4</w:t>
      </w:r>
      <w:bookmarkEnd w:id="69"/>
      <w:r>
        <w:rPr>
          <w:color w:val="000000"/>
          <w:spacing w:val="0"/>
          <w:w w:val="100"/>
          <w:position w:val="0"/>
        </w:rPr>
        <w:t>、</w:t>
        <w:tab/>
        <w:t>网络安全越来越多的融入行业顶层设计</w:t>
      </w:r>
    </w:p>
    <w:p>
      <w:pPr>
        <w:pStyle w:val="Style34"/>
        <w:keepNext w:val="0"/>
        <w:keepLines w:val="0"/>
        <w:widowControl w:val="0"/>
        <w:shd w:val="clear" w:color="auto" w:fill="auto"/>
        <w:bidi w:val="0"/>
        <w:spacing w:before="0" w:after="340"/>
        <w:ind w:left="0" w:right="0"/>
        <w:jc w:val="both"/>
      </w:pPr>
      <w:r>
        <w:rPr>
          <w:color w:val="000000"/>
          <w:spacing w:val="0"/>
          <w:w w:val="100"/>
          <w:position w:val="0"/>
        </w:rPr>
        <w:t>十九届四中全会发布《中共中央关于坚持和完善中国特色社会主义制度、推进国家治理体系和治理能 力现代化若干重大问题的决定》，信息化作为</w:t>
      </w:r>
      <w:r>
        <w:rPr>
          <w:rFonts w:ascii="Times New Roman" w:eastAsia="Times New Roman" w:hAnsi="Times New Roman" w:cs="Times New Roman"/>
          <w:color w:val="000000"/>
          <w:spacing w:val="0"/>
          <w:w w:val="100"/>
          <w:position w:val="0"/>
        </w:rPr>
        <w:t>“</w:t>
      </w:r>
      <w:r>
        <w:rPr>
          <w:color w:val="000000"/>
          <w:spacing w:val="0"/>
          <w:w w:val="100"/>
          <w:position w:val="0"/>
        </w:rPr>
        <w:t>新治理手段</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推动实现国家治理体系和治理能力现代化。 工信部指出，着眼于推进国家治理体系和治理能力现代化的新要求，将重点围绕强化基础安全、突出融合 领域安全、深化技术手段体系建设、提升网络综合治理能力、加强产业支撑能力五个方面，提升网络安全 监管能力和综合保障水平。</w:t>
      </w:r>
    </w:p>
    <w:p>
      <w:pPr>
        <w:pStyle w:val="Style20"/>
        <w:keepNext/>
        <w:keepLines/>
        <w:widowControl w:val="0"/>
        <w:shd w:val="clear" w:color="auto" w:fill="auto"/>
        <w:bidi w:val="0"/>
        <w:spacing w:before="0" w:after="340" w:line="240" w:lineRule="auto"/>
        <w:ind w:left="0" w:right="0" w:firstLine="0"/>
        <w:jc w:val="both"/>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、主要资产重大变化情况</w:t>
      </w:r>
      <w:bookmarkEnd w:id="70"/>
      <w:bookmarkEnd w:id="71"/>
      <w:bookmarkEnd w:id="73"/>
    </w:p>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74" w:name="bookmark7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74"/>
    </w:p>
    <w:tbl>
      <w:tblPr>
        <w:tblOverlap w:val="never"/>
        <w:jc w:val="center"/>
        <w:tblLayout w:type="fixed"/>
      </w:tblPr>
      <w:tblGrid>
        <w:gridCol w:w="1426"/>
        <w:gridCol w:w="816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主要系本年增加对成都市数字城市运营管理有限公司和工业信息安全（四川）创新中心有限公司的投资。</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主要系本期内部研发资本化转入无形资产，同时子公司中电科（北京）网络信息安全有限公司科研及验 证演示平台等项目满足条件转入无形资产。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主要是本期销售回款增加较多。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主要系本年项目执行进度加快。</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主要系本公司采购备货增加，需后续形成销售收入逐步消化。</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主要系子公司中电科（北京）网络信息安全有限公司科研及验证演示平台等项目满足条件转入无形资产，</w:t>
            </w:r>
          </w:p>
        </w:tc>
      </w:tr>
    </w:tbl>
    <w:tbl>
      <w:tblPr>
        <w:tblOverlap w:val="never"/>
        <w:jc w:val="center"/>
        <w:tblLayout w:type="fixed"/>
      </w:tblPr>
      <w:tblGrid>
        <w:gridCol w:w="1426"/>
        <w:gridCol w:w="8165"/>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导致其他非流动资产减少。</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24"/>
        <w:keepNext w:val="0"/>
        <w:keepLines w:val="0"/>
        <w:widowControl w:val="0"/>
        <w:shd w:val="clear" w:color="auto" w:fill="auto"/>
        <w:bidi w:val="0"/>
        <w:spacing w:before="0" w:after="32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8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卫士通公司自成立以来，一直专注于网络信息安全，经过二十余年的发展，积累了大量密码及网络安全核心技术，构建 了覆盖芯片、模块、平台、整机和系统的产品体系，并在移动互联网安全、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、云安全、物联网安全、安全整体保障等领 域进行了探索。</w:t>
      </w:r>
    </w:p>
    <w:p>
      <w:pPr>
        <w:pStyle w:val="Style24"/>
        <w:keepNext w:val="0"/>
        <w:keepLines w:val="0"/>
        <w:widowControl w:val="0"/>
        <w:shd w:val="clear" w:color="auto" w:fill="auto"/>
        <w:tabs>
          <w:tab w:pos="664" w:val="left"/>
        </w:tabs>
        <w:bidi w:val="0"/>
        <w:spacing w:before="0" w:after="0" w:line="314" w:lineRule="exact"/>
        <w:ind w:left="0" w:right="0" w:firstLine="380"/>
        <w:jc w:val="both"/>
      </w:pPr>
      <w:bookmarkStart w:id="83" w:name="bookmark83"/>
      <w:r>
        <w:rPr>
          <w:rFonts w:ascii="Times New Roman" w:eastAsia="Times New Roman" w:hAnsi="Times New Roman" w:cs="Times New Roman"/>
          <w:color w:val="000000"/>
          <w:spacing w:val="0"/>
          <w:w w:val="100"/>
          <w:position w:val="0"/>
          <w:sz w:val="18"/>
          <w:szCs w:val="18"/>
        </w:rPr>
        <w:t>1</w:t>
      </w:r>
      <w:bookmarkEnd w:id="83"/>
      <w:r>
        <w:rPr>
          <w:color w:val="000000"/>
          <w:spacing w:val="0"/>
          <w:w w:val="100"/>
          <w:position w:val="0"/>
        </w:rPr>
        <w:t>、</w:t>
        <w:tab/>
        <w:t>完整的产业链覆盖</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密码基因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，构建了覆盖芯片、模块、平台、整机和系统的产品体系，并具备产业链各环节的设计、制造、营 销、服务能力，成为公司核心优势。</w:t>
      </w:r>
    </w:p>
    <w:p>
      <w:pPr>
        <w:pStyle w:val="Style24"/>
        <w:keepNext w:val="0"/>
        <w:keepLines w:val="0"/>
        <w:widowControl w:val="0"/>
        <w:shd w:val="clear" w:color="auto" w:fill="auto"/>
        <w:tabs>
          <w:tab w:pos="684" w:val="left"/>
        </w:tabs>
        <w:bidi w:val="0"/>
        <w:spacing w:before="0" w:after="0" w:line="314" w:lineRule="exact"/>
        <w:ind w:left="0" w:right="0" w:firstLine="380"/>
        <w:jc w:val="both"/>
      </w:pPr>
      <w:bookmarkStart w:id="84" w:name="bookmark84"/>
      <w:r>
        <w:rPr>
          <w:rFonts w:ascii="Times New Roman" w:eastAsia="Times New Roman" w:hAnsi="Times New Roman" w:cs="Times New Roman"/>
          <w:color w:val="000000"/>
          <w:spacing w:val="0"/>
          <w:w w:val="100"/>
          <w:position w:val="0"/>
          <w:sz w:val="18"/>
          <w:szCs w:val="18"/>
        </w:rPr>
        <w:t>2</w:t>
      </w:r>
      <w:bookmarkEnd w:id="84"/>
      <w:r>
        <w:rPr>
          <w:color w:val="000000"/>
          <w:spacing w:val="0"/>
          <w:w w:val="100"/>
          <w:position w:val="0"/>
        </w:rPr>
        <w:t>、</w:t>
        <w:tab/>
        <w:t>密码技术深厚积淀</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密码是网络安全的基础支撑和核心保障，公司长期在密码技术领域进行研究和拓展，具有深厚的技术积累，在密码产品 多样性和密码算法高性能实现方面一直保持国内领先水平。公司持续参与支撑了国家顶层规划、国家标准和重大行业标准的 制定，包括国家信息安全标准体系、国家密码标准体系规划、信息安全产品认证管理体系等，为公司的可持续发展奠定了坚 实的基础。</w:t>
      </w:r>
    </w:p>
    <w:p>
      <w:pPr>
        <w:pStyle w:val="Style24"/>
        <w:keepNext w:val="0"/>
        <w:keepLines w:val="0"/>
        <w:widowControl w:val="0"/>
        <w:shd w:val="clear" w:color="auto" w:fill="auto"/>
        <w:tabs>
          <w:tab w:pos="674" w:val="left"/>
        </w:tabs>
        <w:bidi w:val="0"/>
        <w:spacing w:before="0" w:after="0" w:line="314" w:lineRule="exact"/>
        <w:ind w:left="0" w:right="0" w:firstLine="380"/>
        <w:jc w:val="both"/>
      </w:pPr>
      <w:bookmarkStart w:id="85" w:name="bookmark85"/>
      <w:r>
        <w:rPr>
          <w:rFonts w:ascii="Times New Roman" w:eastAsia="Times New Roman" w:hAnsi="Times New Roman" w:cs="Times New Roman"/>
          <w:color w:val="000000"/>
          <w:spacing w:val="0"/>
          <w:w w:val="100"/>
          <w:position w:val="0"/>
          <w:sz w:val="18"/>
          <w:szCs w:val="18"/>
        </w:rPr>
        <w:t>3</w:t>
      </w:r>
      <w:bookmarkEnd w:id="85"/>
      <w:r>
        <w:rPr>
          <w:color w:val="000000"/>
          <w:spacing w:val="0"/>
          <w:w w:val="100"/>
          <w:position w:val="0"/>
        </w:rPr>
        <w:t>、</w:t>
        <w:tab/>
        <w:t>全生命周期安全集成与服务能力</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公司凭借先进的网络安全体系框架理念和完整的产品线综合优势，形成了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安全咨询、安全运营服务、应急响应服务、 安全运维服务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为主要内容的信息系统全生命周期安全集成与服务能力，承接了大量国家级重点工程，并为政府、央企、金 融、能源、社保、交通等重点领域及行业用户提供安全集成与服务，切实肩负起了保障社会公共安全的责任，在北京奥运会、 杭州</w:t>
      </w:r>
      <w:r>
        <w:rPr>
          <w:rFonts w:ascii="Times New Roman" w:eastAsia="Times New Roman" w:hAnsi="Times New Roman" w:cs="Times New Roman"/>
          <w:color w:val="000000"/>
          <w:spacing w:val="0"/>
          <w:w w:val="100"/>
          <w:position w:val="0"/>
          <w:sz w:val="18"/>
          <w:szCs w:val="18"/>
        </w:rPr>
        <w:t>G20</w:t>
      </w:r>
      <w:r>
        <w:rPr>
          <w:color w:val="000000"/>
          <w:spacing w:val="0"/>
          <w:w w:val="100"/>
          <w:position w:val="0"/>
        </w:rPr>
        <w:t>峰会、上海世博会等多个国家重大活动中发挥了重要作用。</w:t>
      </w:r>
    </w:p>
    <w:p>
      <w:pPr>
        <w:pStyle w:val="Style24"/>
        <w:keepNext w:val="0"/>
        <w:keepLines w:val="0"/>
        <w:widowControl w:val="0"/>
        <w:shd w:val="clear" w:color="auto" w:fill="auto"/>
        <w:tabs>
          <w:tab w:pos="684" w:val="left"/>
        </w:tabs>
        <w:bidi w:val="0"/>
        <w:spacing w:before="0" w:after="0" w:line="314" w:lineRule="exact"/>
        <w:ind w:left="0" w:right="0" w:firstLine="380"/>
        <w:jc w:val="both"/>
      </w:pPr>
      <w:bookmarkStart w:id="86" w:name="bookmark86"/>
      <w:r>
        <w:rPr>
          <w:rFonts w:ascii="Times New Roman" w:eastAsia="Times New Roman" w:hAnsi="Times New Roman" w:cs="Times New Roman"/>
          <w:color w:val="000000"/>
          <w:spacing w:val="0"/>
          <w:w w:val="100"/>
          <w:position w:val="0"/>
          <w:sz w:val="18"/>
          <w:szCs w:val="18"/>
        </w:rPr>
        <w:t>4</w:t>
      </w:r>
      <w:bookmarkEnd w:id="86"/>
      <w:r>
        <w:rPr>
          <w:color w:val="000000"/>
          <w:spacing w:val="0"/>
          <w:w w:val="100"/>
          <w:position w:val="0"/>
        </w:rPr>
        <w:t>、</w:t>
        <w:tab/>
        <w:t>辐射全国的市场营销网络</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公司构建了九大行业、四大区域的矩阵式市场营销体系，通过华北、华东、华南、西部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个营销大区及下设的</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个区域 营销中心，配合金融、政法、能源等行业营销部门与安全服务、移动互联网、云与数据安全三大事业部，建立了辐射全国的 营销服务网络，为用户提供专业的网络信息安全整体解决方案、</w:t>
      </w:r>
      <w:r>
        <w:rPr>
          <w:rFonts w:ascii="Times New Roman" w:eastAsia="Times New Roman" w:hAnsi="Times New Roman" w:cs="Times New Roman"/>
          <w:color w:val="000000"/>
          <w:spacing w:val="0"/>
          <w:w w:val="100"/>
          <w:position w:val="0"/>
          <w:sz w:val="18"/>
          <w:szCs w:val="18"/>
        </w:rPr>
        <w:t>7x24</w:t>
      </w:r>
      <w:r>
        <w:rPr>
          <w:color w:val="000000"/>
          <w:spacing w:val="0"/>
          <w:w w:val="100"/>
          <w:position w:val="0"/>
        </w:rPr>
        <w:t>小时的日常维护、驻场、应急保障等服务，为公司全国 化业务布局提供强力支撑。</w:t>
      </w:r>
    </w:p>
    <w:p>
      <w:pPr>
        <w:pStyle w:val="Style24"/>
        <w:keepNext w:val="0"/>
        <w:keepLines w:val="0"/>
        <w:widowControl w:val="0"/>
        <w:shd w:val="clear" w:color="auto" w:fill="auto"/>
        <w:tabs>
          <w:tab w:pos="684" w:val="left"/>
        </w:tabs>
        <w:bidi w:val="0"/>
        <w:spacing w:before="0" w:after="0" w:line="314" w:lineRule="exact"/>
        <w:ind w:left="0" w:right="0" w:firstLine="380"/>
        <w:jc w:val="both"/>
      </w:pPr>
      <w:bookmarkStart w:id="87" w:name="bookmark87"/>
      <w:r>
        <w:rPr>
          <w:rFonts w:ascii="Times New Roman" w:eastAsia="Times New Roman" w:hAnsi="Times New Roman" w:cs="Times New Roman"/>
          <w:color w:val="000000"/>
          <w:spacing w:val="0"/>
          <w:w w:val="100"/>
          <w:position w:val="0"/>
          <w:sz w:val="18"/>
          <w:szCs w:val="18"/>
        </w:rPr>
        <w:t>5</w:t>
      </w:r>
      <w:bookmarkEnd w:id="87"/>
      <w:r>
        <w:rPr>
          <w:color w:val="000000"/>
          <w:spacing w:val="0"/>
          <w:w w:val="100"/>
          <w:position w:val="0"/>
        </w:rPr>
        <w:t>、</w:t>
        <w:tab/>
        <w:t>持续提升的技术创新能力</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公司研发的系列密码产品具有完全自主知识产权，现有</w:t>
      </w:r>
      <w:r>
        <w:rPr>
          <w:rFonts w:ascii="Times New Roman" w:eastAsia="Times New Roman" w:hAnsi="Times New Roman" w:cs="Times New Roman"/>
          <w:color w:val="000000"/>
          <w:spacing w:val="0"/>
          <w:w w:val="100"/>
          <w:position w:val="0"/>
          <w:sz w:val="18"/>
          <w:szCs w:val="18"/>
        </w:rPr>
        <w:t>206</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374</w:t>
      </w:r>
      <w:r>
        <w:rPr>
          <w:color w:val="000000"/>
          <w:spacing w:val="0"/>
          <w:w w:val="100"/>
          <w:position w:val="0"/>
        </w:rPr>
        <w:t>项软件著作权。公司承担了大量国家级重大 技术攻关及产业化项目以及国家、省部委重点新产品、重点技术创新科研项目，并高度重视研发与技术创新，成立了包括研 究院、摩石实验室、省级科技创新平台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可信云计算与大数据四川省重点实验室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等一系列科研创新机构，并在公司现有产品 及服务体系基础上，不断加大在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安全、工控安全、物联网安全、云计算安全、安全云平台建设、无纸化办公等领域的技 术创新能力。</w:t>
      </w:r>
    </w:p>
    <w:p>
      <w:pPr>
        <w:pStyle w:val="Style24"/>
        <w:keepNext w:val="0"/>
        <w:keepLines w:val="0"/>
        <w:widowControl w:val="0"/>
        <w:shd w:val="clear" w:color="auto" w:fill="auto"/>
        <w:tabs>
          <w:tab w:pos="684" w:val="left"/>
        </w:tabs>
        <w:bidi w:val="0"/>
        <w:spacing w:before="0" w:after="0" w:line="314" w:lineRule="exact"/>
        <w:ind w:left="0" w:right="0" w:firstLine="380"/>
        <w:jc w:val="both"/>
      </w:pPr>
      <w:bookmarkStart w:id="88" w:name="bookmark88"/>
      <w:r>
        <w:rPr>
          <w:rFonts w:ascii="Times New Roman" w:eastAsia="Times New Roman" w:hAnsi="Times New Roman" w:cs="Times New Roman"/>
          <w:color w:val="000000"/>
          <w:spacing w:val="0"/>
          <w:w w:val="100"/>
          <w:position w:val="0"/>
          <w:sz w:val="18"/>
          <w:szCs w:val="18"/>
        </w:rPr>
        <w:t>6</w:t>
      </w:r>
      <w:bookmarkEnd w:id="88"/>
      <w:r>
        <w:rPr>
          <w:color w:val="000000"/>
          <w:spacing w:val="0"/>
          <w:w w:val="100"/>
          <w:position w:val="0"/>
        </w:rPr>
        <w:t>、</w:t>
        <w:tab/>
        <w:t>稳定的核心人才队伍</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公司高度注重人才队伍建设，持续开展网络安全核心人才挖掘和培养，通过外部引进、自身培养等多种方式，构建了一 支稳定的技术研发、总体规划、营销策划核心人才队伍。公司拥有人力资源和社会保障部认定的企业博士后科研工作站，并 与国内知名高校及科研院所建立起长期合作关系，通过项目合作、实习实训平台、互派教授导师等校企合作方式，产学研相 结合，快速有力推进各类前沿技术和科研成果的市场化进程，激发人才队伍活力，实现公司可持续发展。</w:t>
      </w:r>
    </w:p>
    <w:p>
      <w:pPr>
        <w:pStyle w:val="Style24"/>
        <w:keepNext w:val="0"/>
        <w:keepLines w:val="0"/>
        <w:widowControl w:val="0"/>
        <w:shd w:val="clear" w:color="auto" w:fill="auto"/>
        <w:tabs>
          <w:tab w:pos="684" w:val="left"/>
        </w:tabs>
        <w:bidi w:val="0"/>
        <w:spacing w:before="0" w:after="0" w:line="314" w:lineRule="exact"/>
        <w:ind w:left="0" w:right="0" w:firstLine="380"/>
        <w:jc w:val="both"/>
      </w:pPr>
      <w:bookmarkStart w:id="89" w:name="bookmark89"/>
      <w:r>
        <w:rPr>
          <w:rFonts w:ascii="Times New Roman" w:eastAsia="Times New Roman" w:hAnsi="Times New Roman" w:cs="Times New Roman"/>
          <w:color w:val="000000"/>
          <w:spacing w:val="0"/>
          <w:w w:val="100"/>
          <w:position w:val="0"/>
          <w:sz w:val="18"/>
          <w:szCs w:val="18"/>
        </w:rPr>
        <w:t>7</w:t>
      </w:r>
      <w:bookmarkEnd w:id="89"/>
      <w:r>
        <w:rPr>
          <w:color w:val="000000"/>
          <w:spacing w:val="0"/>
          <w:w w:val="100"/>
          <w:position w:val="0"/>
        </w:rPr>
        <w:t>、</w:t>
        <w:tab/>
        <w:t>完备的网络安全资质体系</w:t>
      </w:r>
    </w:p>
    <w:p>
      <w:pPr>
        <w:pStyle w:val="Style24"/>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卫士通是国家重点发展的信息安全企业，拥有完备的密码类、保密类和信息安全类等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余项权威认证资质，获得了齐全 的质量管理体系、环境管理体系、软件工程化等证书。包括</w:t>
      </w:r>
      <w:r>
        <w:rPr>
          <w:rFonts w:ascii="Times New Roman" w:eastAsia="Times New Roman" w:hAnsi="Times New Roman" w:cs="Times New Roman"/>
          <w:color w:val="000000"/>
          <w:spacing w:val="0"/>
          <w:w w:val="100"/>
          <w:position w:val="0"/>
          <w:sz w:val="18"/>
          <w:szCs w:val="18"/>
        </w:rPr>
        <w:t>CMMI—</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级证书、建筑智能化系统设计专项甲级资质、电子与 智能化工程专业承包一级证书、信息安全服务资质认证证书（信息系统安全集成一级）、信息安全等级保护安全建设服务机 </w:t>
      </w:r>
      <w:r>
        <w:rPr>
          <w:color w:val="000000"/>
          <w:spacing w:val="0"/>
          <w:w w:val="100"/>
          <w:position w:val="0"/>
        </w:rPr>
        <w:t>构能力评估合格证书、增值电信业务经营许可证等。</w:t>
      </w:r>
    </w:p>
    <w:p>
      <w:pPr>
        <w:pStyle w:val="Style24"/>
        <w:keepNext w:val="0"/>
        <w:keepLines w:val="0"/>
        <w:widowControl w:val="0"/>
        <w:shd w:val="clear" w:color="auto" w:fill="auto"/>
        <w:bidi w:val="0"/>
        <w:spacing w:before="0" w:after="0" w:line="360" w:lineRule="auto"/>
        <w:ind w:left="0" w:right="0"/>
        <w:jc w:val="both"/>
      </w:pPr>
      <w:bookmarkStart w:id="90" w:name="bookmark90"/>
      <w:r>
        <w:rPr>
          <w:rFonts w:ascii="Times New Roman" w:eastAsia="Times New Roman" w:hAnsi="Times New Roman" w:cs="Times New Roman"/>
          <w:color w:val="000000"/>
          <w:spacing w:val="0"/>
          <w:w w:val="100"/>
          <w:position w:val="0"/>
          <w:sz w:val="18"/>
          <w:szCs w:val="18"/>
        </w:rPr>
        <w:t>8</w:t>
      </w:r>
      <w:bookmarkEnd w:id="90"/>
      <w:r>
        <w:rPr>
          <w:color w:val="000000"/>
          <w:spacing w:val="0"/>
          <w:w w:val="100"/>
          <w:position w:val="0"/>
        </w:rPr>
        <w:t>、强大的资源支持</w:t>
      </w:r>
    </w:p>
    <w:p>
      <w:pPr>
        <w:pStyle w:val="Style24"/>
        <w:keepNext w:val="0"/>
        <w:keepLines w:val="0"/>
        <w:widowControl w:val="0"/>
        <w:shd w:val="clear" w:color="auto" w:fill="auto"/>
        <w:bidi w:val="0"/>
        <w:spacing w:before="0" w:after="0" w:line="312" w:lineRule="exact"/>
        <w:ind w:left="0" w:right="0"/>
        <w:jc w:val="both"/>
        <w:sectPr>
          <w:footnotePr>
            <w:pos w:val="pageBottom"/>
            <w:numFmt w:val="decimal"/>
            <w:numRestart w:val="continuous"/>
          </w:footnotePr>
          <w:pgSz w:w="11900" w:h="16840"/>
          <w:pgMar w:top="1386" w:right="1053" w:bottom="1487" w:left="1083" w:header="0" w:footer="3" w:gutter="0"/>
          <w:cols w:space="720"/>
          <w:noEndnote/>
          <w:rtlGutter w:val="0"/>
          <w:docGrid w:linePitch="360"/>
        </w:sectPr>
      </w:pPr>
      <w:r>
        <w:rPr>
          <w:color w:val="000000"/>
          <w:spacing w:val="0"/>
          <w:w w:val="100"/>
          <w:position w:val="0"/>
        </w:rPr>
        <w:t>公司控股股东中国网安是中国电科根据国家安全战略发展需要重点打造的网络安全子集团，公司在支撑国家网络安全战 略任务和赢得关键领域客户顶层信任方面具有天然的优势，能够为公司业务、技术、产品等各方面能力的持续提升和创新提 供有力的支撑。</w:t>
      </w:r>
    </w:p>
    <w:p>
      <w:pPr>
        <w:pStyle w:val="Style11"/>
        <w:keepNext/>
        <w:keepLines/>
        <w:widowControl w:val="0"/>
        <w:shd w:val="clear" w:color="auto" w:fill="auto"/>
        <w:bidi w:val="0"/>
        <w:spacing w:before="580" w:after="54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20"/>
        <w:keepNext/>
        <w:keepLines/>
        <w:widowControl w:val="0"/>
        <w:shd w:val="clear" w:color="auto" w:fill="auto"/>
        <w:bidi w:val="0"/>
        <w:spacing w:before="0" w:after="280" w:line="240" w:lineRule="auto"/>
        <w:ind w:left="0" w:right="0" w:firstLine="0"/>
        <w:jc w:val="both"/>
      </w:pPr>
      <w:bookmarkStart w:id="94" w:name="bookmark94"/>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、概述</w:t>
      </w:r>
      <w:bookmarkEnd w:id="95"/>
      <w:bookmarkEnd w:id="96"/>
      <w:bookmarkEnd w:id="98"/>
      <w:bookmarkEnd w:id="94"/>
    </w:p>
    <w:p>
      <w:pPr>
        <w:pStyle w:val="Style34"/>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年，在数字经济蓬勃发展、大国博弈加剧的宏观环境催化下，数据成为战略资源，新技术催生新 安全风险，网络安全的需求边界明显扩大，内生价值和战略价值明显提高。公司紧跟新形势下的网络安全 行业政策和市场趋势，聚焦网络安全主责主业和网信事业发展需要，继续巩固在电子政务、金融、能源、 军工等传统优势行业的市场地位，进一步提升市场竞争力，围绕以业务为导向、行业纵向贯通、区域横向 覆盖的总体原则，采取因地制宜的市场思路与策略，聚焦行业发展，推进区域联动，同时加强在安全运营 服务、安全移动办公等新兴市场开拓及新业务策划，大力培育公司发展新动能，不断提升企业管理水平。 </w:t>
      </w:r>
      <w:r>
        <w:rPr>
          <w:rFonts w:ascii="Times New Roman" w:eastAsia="Times New Roman" w:hAnsi="Times New Roman" w:cs="Times New Roman"/>
          <w:color w:val="000000"/>
          <w:spacing w:val="0"/>
          <w:w w:val="100"/>
          <w:position w:val="0"/>
        </w:rPr>
        <w:t>2020</w:t>
      </w:r>
      <w:r>
        <w:rPr>
          <w:color w:val="000000"/>
          <w:spacing w:val="0"/>
          <w:w w:val="100"/>
          <w:position w:val="0"/>
        </w:rPr>
        <w:t>年实现营业收入</w:t>
      </w:r>
      <w:r>
        <w:rPr>
          <w:rFonts w:ascii="Times New Roman" w:eastAsia="Times New Roman" w:hAnsi="Times New Roman" w:cs="Times New Roman"/>
          <w:color w:val="000000"/>
          <w:spacing w:val="0"/>
          <w:w w:val="100"/>
          <w:position w:val="0"/>
        </w:rPr>
        <w:t>238,370.4</w:t>
      </w:r>
      <w:r>
        <w:rPr>
          <w:rFonts w:ascii="Times New Roman" w:eastAsia="Times New Roman" w:hAnsi="Times New Roman" w:cs="Times New Roman"/>
          <w:color w:val="000000"/>
          <w:spacing w:val="0"/>
          <w:w w:val="100"/>
          <w:position w:val="0"/>
        </w:rPr>
        <w:t>9</w:t>
      </w:r>
      <w:r>
        <w:rPr>
          <w:color w:val="000000"/>
          <w:spacing w:val="0"/>
          <w:w w:val="100"/>
          <w:position w:val="0"/>
        </w:rPr>
        <w:t>万元，同比增长</w:t>
      </w:r>
      <w:r>
        <w:rPr>
          <w:rFonts w:ascii="Times New Roman" w:eastAsia="Times New Roman" w:hAnsi="Times New Roman" w:cs="Times New Roman"/>
          <w:color w:val="000000"/>
          <w:spacing w:val="0"/>
          <w:w w:val="100"/>
          <w:position w:val="0"/>
        </w:rPr>
        <w:t>13.31%</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16,140.8</w:t>
      </w:r>
      <w:r>
        <w:rPr>
          <w:rFonts w:ascii="Times New Roman" w:eastAsia="Times New Roman" w:hAnsi="Times New Roman" w:cs="Times New Roman"/>
          <w:color w:val="000000"/>
          <w:spacing w:val="0"/>
          <w:w w:val="100"/>
          <w:position w:val="0"/>
        </w:rPr>
        <w:t>2</w:t>
      </w:r>
      <w:r>
        <w:rPr>
          <w:color w:val="000000"/>
          <w:spacing w:val="0"/>
          <w:w w:val="100"/>
          <w:position w:val="0"/>
        </w:rPr>
        <w:t>万元, 同比增长</w:t>
      </w:r>
      <w:r>
        <w:rPr>
          <w:rFonts w:ascii="Times New Roman" w:eastAsia="Times New Roman" w:hAnsi="Times New Roman" w:cs="Times New Roman"/>
          <w:color w:val="000000"/>
          <w:spacing w:val="0"/>
          <w:w w:val="100"/>
          <w:position w:val="0"/>
        </w:rPr>
        <w:t>3.62%</w:t>
      </w:r>
      <w:r>
        <w:rPr>
          <w:color w:val="000000"/>
          <w:spacing w:val="0"/>
          <w:w w:val="100"/>
          <w:position w:val="0"/>
        </w:rPr>
        <w:t>；报告期末公司资产总额</w:t>
      </w:r>
      <w:r>
        <w:rPr>
          <w:rFonts w:ascii="Times New Roman" w:eastAsia="Times New Roman" w:hAnsi="Times New Roman" w:cs="Times New Roman"/>
          <w:color w:val="000000"/>
          <w:spacing w:val="0"/>
          <w:w w:val="100"/>
          <w:position w:val="0"/>
        </w:rPr>
        <w:t>648,044.69</w:t>
      </w:r>
      <w:r>
        <w:rPr>
          <w:color w:val="000000"/>
          <w:spacing w:val="0"/>
          <w:w w:val="100"/>
          <w:position w:val="0"/>
        </w:rPr>
        <w:t>万元，同比增长</w:t>
      </w:r>
      <w:r>
        <w:rPr>
          <w:rFonts w:ascii="Times New Roman" w:eastAsia="Times New Roman" w:hAnsi="Times New Roman" w:cs="Times New Roman"/>
          <w:color w:val="000000"/>
          <w:spacing w:val="0"/>
          <w:w w:val="100"/>
          <w:position w:val="0"/>
        </w:rPr>
        <w:t>8.</w:t>
      </w:r>
      <w:r>
        <w:rPr>
          <w:rFonts w:ascii="Times New Roman" w:eastAsia="Times New Roman" w:hAnsi="Times New Roman" w:cs="Times New Roman"/>
          <w:color w:val="000000"/>
          <w:spacing w:val="0"/>
          <w:w w:val="100"/>
          <w:position w:val="0"/>
        </w:rPr>
        <w:t>79%</w:t>
      </w:r>
      <w:r>
        <w:rPr>
          <w:color w:val="000000"/>
          <w:spacing w:val="0"/>
          <w:w w:val="100"/>
          <w:position w:val="0"/>
        </w:rPr>
        <w:t xml:space="preserve">；归属于上市公司股东的净资产 </w:t>
      </w:r>
      <w:r>
        <w:rPr>
          <w:rFonts w:ascii="Times New Roman" w:eastAsia="Times New Roman" w:hAnsi="Times New Roman" w:cs="Times New Roman"/>
          <w:color w:val="000000"/>
          <w:spacing w:val="0"/>
          <w:w w:val="100"/>
          <w:position w:val="0"/>
        </w:rPr>
        <w:t>470,719.83</w:t>
      </w:r>
      <w:r>
        <w:rPr>
          <w:color w:val="000000"/>
          <w:spacing w:val="0"/>
          <w:w w:val="100"/>
          <w:position w:val="0"/>
        </w:rPr>
        <w:t>万元，同比增长</w:t>
      </w:r>
      <w:r>
        <w:rPr>
          <w:rFonts w:ascii="Times New Roman" w:eastAsia="Times New Roman" w:hAnsi="Times New Roman" w:cs="Times New Roman"/>
          <w:color w:val="000000"/>
          <w:spacing w:val="0"/>
          <w:w w:val="100"/>
          <w:position w:val="0"/>
        </w:rPr>
        <w:t>3.44%</w:t>
      </w:r>
      <w:r>
        <w:rPr>
          <w:color w:val="000000"/>
          <w:spacing w:val="0"/>
          <w:w w:val="100"/>
          <w:position w:val="0"/>
        </w:rPr>
        <w:t>。</w:t>
      </w:r>
    </w:p>
    <w:p>
      <w:pPr>
        <w:pStyle w:val="Style34"/>
        <w:keepNext w:val="0"/>
        <w:keepLines w:val="0"/>
        <w:widowControl w:val="0"/>
        <w:shd w:val="clear" w:color="auto" w:fill="auto"/>
        <w:tabs>
          <w:tab w:pos="765" w:val="left"/>
        </w:tabs>
        <w:bidi w:val="0"/>
        <w:spacing w:before="0" w:after="0" w:line="311" w:lineRule="exact"/>
        <w:ind w:left="0" w:right="0"/>
        <w:jc w:val="both"/>
      </w:pPr>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中期发展规划发布情况</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报告期内，公司编制完成并发布了</w:t>
      </w:r>
      <w:r>
        <w:rPr>
          <w:rFonts w:ascii="Times New Roman" w:eastAsia="Times New Roman" w:hAnsi="Times New Roman" w:cs="Times New Roman"/>
          <w:color w:val="000000"/>
          <w:spacing w:val="0"/>
          <w:w w:val="100"/>
          <w:position w:val="0"/>
        </w:rPr>
        <w:t>“</w:t>
      </w:r>
      <w:r>
        <w:rPr>
          <w:color w:val="000000"/>
          <w:spacing w:val="0"/>
          <w:w w:val="100"/>
          <w:position w:val="0"/>
        </w:rPr>
        <w:t>中期发展规划纲要</w:t>
      </w:r>
      <w:r>
        <w:rPr>
          <w:color w:val="000000"/>
          <w:spacing w:val="0"/>
          <w:w w:val="100"/>
          <w:position w:val="0"/>
        </w:rPr>
        <w:t>''，</w:t>
      </w:r>
      <w:r>
        <w:rPr>
          <w:color w:val="000000"/>
          <w:spacing w:val="0"/>
          <w:w w:val="100"/>
          <w:position w:val="0"/>
        </w:rPr>
        <w:t>明确</w:t>
      </w:r>
      <w:r>
        <w:rPr>
          <w:rFonts w:ascii="Times New Roman" w:eastAsia="Times New Roman" w:hAnsi="Times New Roman" w:cs="Times New Roman"/>
          <w:color w:val="000000"/>
          <w:spacing w:val="0"/>
          <w:w w:val="100"/>
          <w:position w:val="0"/>
        </w:rPr>
        <w:t>“</w:t>
      </w:r>
      <w:r>
        <w:rPr>
          <w:color w:val="000000"/>
          <w:spacing w:val="0"/>
          <w:w w:val="100"/>
          <w:position w:val="0"/>
        </w:rPr>
        <w:t>安全服务化、密码泛在化、攻防智能化、 基础国产化</w:t>
      </w:r>
      <w:r>
        <w:rPr>
          <w:rFonts w:ascii="Times New Roman" w:eastAsia="Times New Roman" w:hAnsi="Times New Roman" w:cs="Times New Roman"/>
          <w:color w:val="000000"/>
          <w:spacing w:val="0"/>
          <w:w w:val="100"/>
          <w:position w:val="0"/>
        </w:rPr>
        <w:t>”</w:t>
      </w:r>
      <w:r>
        <w:rPr>
          <w:color w:val="000000"/>
          <w:spacing w:val="0"/>
          <w:w w:val="100"/>
          <w:position w:val="0"/>
        </w:rPr>
        <w:t>的战略思想，配合转型目标匹配资源，从市场、方案、技术产品、服务、生态、品牌、资本 等方统筹推进重点任务。公司开展了一系列专题宣贯活动，促进公司内部统一思想，对外统一形象，层层 落实，推动公司的战略转型和高质量发展。</w:t>
      </w:r>
    </w:p>
    <w:p>
      <w:pPr>
        <w:pStyle w:val="Style34"/>
        <w:keepNext w:val="0"/>
        <w:keepLines w:val="0"/>
        <w:widowControl w:val="0"/>
        <w:shd w:val="clear" w:color="auto" w:fill="auto"/>
        <w:tabs>
          <w:tab w:pos="765" w:val="left"/>
        </w:tabs>
        <w:bidi w:val="0"/>
        <w:spacing w:before="0" w:after="0" w:line="311" w:lineRule="exact"/>
        <w:ind w:left="0" w:right="0"/>
        <w:jc w:val="both"/>
      </w:pPr>
      <w:bookmarkStart w:id="100" w:name="bookmark100"/>
      <w:r>
        <w:rPr>
          <w:rFonts w:ascii="Times New Roman" w:eastAsia="Times New Roman" w:hAnsi="Times New Roman" w:cs="Times New Roman"/>
          <w:color w:val="000000"/>
          <w:spacing w:val="0"/>
          <w:w w:val="100"/>
          <w:position w:val="0"/>
        </w:rPr>
        <w:t>2</w:t>
      </w:r>
      <w:bookmarkEnd w:id="100"/>
      <w:r>
        <w:rPr>
          <w:color w:val="000000"/>
          <w:spacing w:val="0"/>
          <w:w w:val="100"/>
          <w:position w:val="0"/>
        </w:rPr>
        <w:t>、</w:t>
        <w:tab/>
        <w:t>业务布局与市场拓展情况</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在传统市场面，公司加强布局力度，巩固核心优势。信创业务全面铺开，市场和产品占有率位居前列； 商密专项顶层策划成果显著，初步构建泛在化、服务化的商密供给能力体系；党政市场进一步夯实和巩固， 重大专项任务取得阶段性进展。在新市场方面，公司积极开拓进取，打造业务新动能。安全服务业务能力 体系初步构建，标杆示范项目有望大规模复制推广；安全移动办公业务在后疫情时代的需求推动下，取得 了广泛的市场应用；持续挖掘纪检监察、测绘、石油石化等新行业领域、新客户需求，取得重大进展。</w:t>
      </w:r>
    </w:p>
    <w:p>
      <w:pPr>
        <w:pStyle w:val="Style34"/>
        <w:keepNext w:val="0"/>
        <w:keepLines w:val="0"/>
        <w:widowControl w:val="0"/>
        <w:shd w:val="clear" w:color="auto" w:fill="auto"/>
        <w:tabs>
          <w:tab w:pos="765" w:val="left"/>
        </w:tabs>
        <w:bidi w:val="0"/>
        <w:spacing w:before="0" w:after="0" w:line="311" w:lineRule="exact"/>
        <w:ind w:left="0" w:right="0"/>
        <w:jc w:val="both"/>
      </w:pPr>
      <w:bookmarkStart w:id="101" w:name="bookmark101"/>
      <w:r>
        <w:rPr>
          <w:rFonts w:ascii="Times New Roman" w:eastAsia="Times New Roman" w:hAnsi="Times New Roman" w:cs="Times New Roman"/>
          <w:color w:val="000000"/>
          <w:spacing w:val="0"/>
          <w:w w:val="100"/>
          <w:position w:val="0"/>
        </w:rPr>
        <w:t>3</w:t>
      </w:r>
      <w:bookmarkEnd w:id="101"/>
      <w:r>
        <w:rPr>
          <w:color w:val="000000"/>
          <w:spacing w:val="0"/>
          <w:w w:val="100"/>
          <w:position w:val="0"/>
        </w:rPr>
        <w:t>、</w:t>
        <w:tab/>
        <w:t>研发与产品化情况</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在产品研制方面，公司进一步增强芯片、模块及设备等商密全产品链研制能力。完成国内首个嵌入式 国产处理器的商密二级密码模块研制，初步建立基于安全</w:t>
      </w:r>
      <w:r>
        <w:rPr>
          <w:rFonts w:ascii="Times New Roman" w:eastAsia="Times New Roman" w:hAnsi="Times New Roman" w:cs="Times New Roman"/>
          <w:color w:val="000000"/>
          <w:spacing w:val="0"/>
          <w:w w:val="100"/>
          <w:position w:val="0"/>
        </w:rPr>
        <w:t>SE</w:t>
      </w:r>
      <w:r>
        <w:rPr>
          <w:color w:val="000000"/>
          <w:spacing w:val="0"/>
          <w:w w:val="100"/>
          <w:position w:val="0"/>
        </w:rPr>
        <w:t>的密码应用生态；完成第一批</w:t>
      </w:r>
      <w:r>
        <w:rPr>
          <w:rFonts w:ascii="Times New Roman" w:eastAsia="Times New Roman" w:hAnsi="Times New Roman" w:cs="Times New Roman"/>
          <w:color w:val="000000"/>
          <w:spacing w:val="0"/>
          <w:w w:val="100"/>
          <w:position w:val="0"/>
        </w:rPr>
        <w:t>55</w:t>
      </w:r>
      <w:r>
        <w:rPr>
          <w:color w:val="000000"/>
          <w:spacing w:val="0"/>
          <w:w w:val="100"/>
          <w:position w:val="0"/>
        </w:rPr>
        <w:t>款商密产品的 换证，启动</w:t>
      </w:r>
      <w:r>
        <w:rPr>
          <w:rFonts w:ascii="Times New Roman" w:eastAsia="Times New Roman" w:hAnsi="Times New Roman" w:cs="Times New Roman"/>
          <w:color w:val="000000"/>
          <w:spacing w:val="0"/>
          <w:w w:val="100"/>
          <w:position w:val="0"/>
        </w:rPr>
        <w:t>40G</w:t>
      </w:r>
      <w:r>
        <w:rPr>
          <w:color w:val="000000"/>
          <w:spacing w:val="0"/>
          <w:w w:val="100"/>
          <w:position w:val="0"/>
        </w:rPr>
        <w:t>高速安全</w:t>
      </w:r>
      <w:r>
        <w:rPr>
          <w:rFonts w:ascii="Times New Roman" w:eastAsia="Times New Roman" w:hAnsi="Times New Roman" w:cs="Times New Roman"/>
          <w:color w:val="000000"/>
          <w:spacing w:val="0"/>
          <w:w w:val="100"/>
          <w:position w:val="0"/>
        </w:rPr>
        <w:t>SoC</w:t>
      </w:r>
      <w:r>
        <w:rPr>
          <w:color w:val="000000"/>
          <w:spacing w:val="0"/>
          <w:w w:val="100"/>
          <w:position w:val="0"/>
        </w:rPr>
        <w:t>芯片、密码监管系统等产品研制，</w:t>
      </w:r>
      <w:r>
        <w:rPr>
          <w:rFonts w:ascii="Times New Roman" w:eastAsia="Times New Roman" w:hAnsi="Times New Roman" w:cs="Times New Roman"/>
          <w:color w:val="000000"/>
          <w:spacing w:val="0"/>
          <w:w w:val="100"/>
          <w:position w:val="0"/>
        </w:rPr>
        <w:t>PCI-E</w:t>
      </w:r>
      <w:r>
        <w:rPr>
          <w:color w:val="000000"/>
          <w:spacing w:val="0"/>
          <w:w w:val="100"/>
          <w:position w:val="0"/>
        </w:rPr>
        <w:t>密码卡和金融数据密码机正在测评中 心进行密码模块安全等级三级认证，云</w:t>
      </w:r>
      <w:r>
        <w:rPr>
          <w:rFonts w:ascii="Times New Roman" w:eastAsia="Times New Roman" w:hAnsi="Times New Roman" w:cs="Times New Roman"/>
          <w:color w:val="000000"/>
          <w:spacing w:val="0"/>
          <w:w w:val="100"/>
          <w:position w:val="0"/>
        </w:rPr>
        <w:t>VPN</w:t>
      </w:r>
      <w:r>
        <w:rPr>
          <w:color w:val="000000"/>
          <w:spacing w:val="0"/>
          <w:w w:val="100"/>
          <w:position w:val="0"/>
        </w:rPr>
        <w:t>完成产品论证，密码基础服务平台已完成对公司密管、密码机、 密码模块、密码中间件、</w:t>
      </w:r>
      <w:r>
        <w:rPr>
          <w:rFonts w:ascii="Times New Roman" w:eastAsia="Times New Roman" w:hAnsi="Times New Roman" w:cs="Times New Roman"/>
          <w:color w:val="000000"/>
          <w:spacing w:val="0"/>
          <w:w w:val="100"/>
          <w:position w:val="0"/>
        </w:rPr>
        <w:t>CA</w:t>
      </w:r>
      <w:r>
        <w:rPr>
          <w:color w:val="000000"/>
          <w:spacing w:val="0"/>
          <w:w w:val="100"/>
          <w:position w:val="0"/>
        </w:rPr>
        <w:t>、</w:t>
      </w:r>
      <w:r>
        <w:rPr>
          <w:color w:val="000000"/>
          <w:spacing w:val="0"/>
          <w:w w:val="100"/>
          <w:position w:val="0"/>
        </w:rPr>
        <w:t>统一身份认证等产品能力的整合，主机密码机与行业深度融合，推出测绘服 务器密码机等产品。</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统一规范了公司技术共性平台的全面应用。研发支撑平台建设初见成效，产品化能力逐步提高，产品 核心能力稳步提升。通用管理类软件平台已在</w:t>
      </w:r>
      <w:r>
        <w:rPr>
          <w:rFonts w:ascii="Times New Roman" w:eastAsia="Times New Roman" w:hAnsi="Times New Roman" w:cs="Times New Roman"/>
          <w:color w:val="000000"/>
          <w:spacing w:val="0"/>
          <w:w w:val="100"/>
          <w:position w:val="0"/>
        </w:rPr>
        <w:t>19</w:t>
      </w:r>
      <w:r>
        <w:rPr>
          <w:color w:val="000000"/>
          <w:spacing w:val="0"/>
          <w:w w:val="100"/>
          <w:position w:val="0"/>
        </w:rPr>
        <w:t>款产品中推广、基于通用网络平台的综合安全网关已完成 产品发布、通用密码中间件已完成对</w:t>
      </w:r>
      <w:r>
        <w:rPr>
          <w:rFonts w:ascii="Times New Roman" w:eastAsia="Times New Roman" w:hAnsi="Times New Roman" w:cs="Times New Roman"/>
          <w:color w:val="000000"/>
          <w:spacing w:val="0"/>
          <w:w w:val="100"/>
          <w:position w:val="0"/>
        </w:rPr>
        <w:t>15</w:t>
      </w:r>
      <w:r>
        <w:rPr>
          <w:color w:val="000000"/>
          <w:spacing w:val="0"/>
          <w:w w:val="100"/>
          <w:position w:val="0"/>
        </w:rPr>
        <w:t>款产品的对接，通用浏览器插件实现了插件基础开发框架的统一。 研发支撑平台初步建成，规范了研发环境，统一了研发管理模式，有效提升了产品全生命周期的研制效率 和质量。</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加大新产品研发和新动能打造。正式上线发布安全服务化、密码服务化平台产品，研发团队能力大协 作，研制推出密码基础服务平台并一举拿下重点示范项目，为后续全国推广打下良好基础；密码服务平台 正式发布并落地，安全运行监管增强运维服务功能，初步完成安全服务运营平台研发，安全服务化支撑能 力进一步增强。</w:t>
      </w:r>
    </w:p>
    <w:p>
      <w:pPr>
        <w:pStyle w:val="Style34"/>
        <w:keepNext w:val="0"/>
        <w:keepLines w:val="0"/>
        <w:widowControl w:val="0"/>
        <w:shd w:val="clear" w:color="auto" w:fill="auto"/>
        <w:tabs>
          <w:tab w:pos="765" w:val="left"/>
        </w:tabs>
        <w:bidi w:val="0"/>
        <w:spacing w:before="0" w:after="0" w:line="311" w:lineRule="exact"/>
        <w:ind w:left="0" w:right="0"/>
        <w:jc w:val="both"/>
      </w:pPr>
      <w:bookmarkStart w:id="102" w:name="bookmark102"/>
      <w:r>
        <w:rPr>
          <w:rFonts w:ascii="Times New Roman" w:eastAsia="Times New Roman" w:hAnsi="Times New Roman" w:cs="Times New Roman"/>
          <w:color w:val="000000"/>
          <w:spacing w:val="0"/>
          <w:w w:val="100"/>
          <w:position w:val="0"/>
        </w:rPr>
        <w:t>4</w:t>
      </w:r>
      <w:bookmarkEnd w:id="102"/>
      <w:r>
        <w:rPr>
          <w:color w:val="000000"/>
          <w:spacing w:val="0"/>
          <w:w w:val="100"/>
          <w:position w:val="0"/>
        </w:rPr>
        <w:t>、</w:t>
        <w:tab/>
        <w:t>管理提升与创新情况</w:t>
      </w:r>
    </w:p>
    <w:p>
      <w:pPr>
        <w:pStyle w:val="Style34"/>
        <w:keepNext w:val="0"/>
        <w:keepLines w:val="0"/>
        <w:widowControl w:val="0"/>
        <w:shd w:val="clear" w:color="auto" w:fill="auto"/>
        <w:bidi w:val="0"/>
        <w:spacing w:before="0" w:after="360" w:line="311" w:lineRule="exact"/>
        <w:ind w:left="0" w:right="0"/>
        <w:jc w:val="both"/>
      </w:pPr>
      <w:r>
        <w:rPr>
          <w:color w:val="000000"/>
          <w:spacing w:val="0"/>
          <w:w w:val="100"/>
          <w:position w:val="0"/>
        </w:rPr>
        <w:t xml:space="preserve">在党建工作方面，公司成立党委、纪委，为公司治理体系和治理能力现代化奠定良好基础；在人力资 </w:t>
      </w:r>
      <w:r>
        <w:rPr>
          <w:color w:val="000000"/>
          <w:spacing w:val="0"/>
          <w:w w:val="100"/>
          <w:position w:val="0"/>
        </w:rPr>
        <w:t>源方面，公司建立</w:t>
      </w:r>
      <w:r>
        <w:rPr>
          <w:rFonts w:ascii="Times New Roman" w:eastAsia="Times New Roman" w:hAnsi="Times New Roman" w:cs="Times New Roman"/>
          <w:color w:val="000000"/>
          <w:spacing w:val="0"/>
          <w:w w:val="100"/>
          <w:position w:val="0"/>
        </w:rPr>
        <w:t>“</w:t>
      </w:r>
      <w:r>
        <w:rPr>
          <w:color w:val="000000"/>
          <w:spacing w:val="0"/>
          <w:w w:val="100"/>
          <w:position w:val="0"/>
        </w:rPr>
        <w:t>人才供应链</w:t>
      </w:r>
      <w:r>
        <w:rPr>
          <w:rFonts w:ascii="Times New Roman" w:eastAsia="Times New Roman" w:hAnsi="Times New Roman" w:cs="Times New Roman"/>
          <w:color w:val="000000"/>
          <w:spacing w:val="0"/>
          <w:w w:val="100"/>
          <w:position w:val="0"/>
        </w:rPr>
        <w:t>”</w:t>
      </w:r>
      <w:r>
        <w:rPr>
          <w:color w:val="000000"/>
          <w:spacing w:val="0"/>
          <w:w w:val="100"/>
          <w:position w:val="0"/>
        </w:rPr>
        <w:t>，从业务、管理两条线着手开展人力资源工作，通过各项创新人才专项培 养活动，加大对员工能力的开发和提升，打造持续进步的团队能力；在薪酬激励方面，公司推行五元薪酬 改革，限制性股票长期激励计划获批并完成首次授予，建立健全长期激励机制；在管理创新方面，公司通 过微创新克服疫情带来的影响，实施常态化弹性工作制、无接触式打卡、公务专车出行、出差助手等微创 新，提升工作效率及员工幸福感。</w:t>
      </w:r>
    </w:p>
    <w:p>
      <w:pPr>
        <w:pStyle w:val="Style20"/>
        <w:keepNext/>
        <w:keepLines/>
        <w:widowControl w:val="0"/>
        <w:shd w:val="clear" w:color="auto" w:fill="auto"/>
        <w:bidi w:val="0"/>
        <w:spacing w:before="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sz w:val="24"/>
          <w:szCs w:val="24"/>
        </w:rPr>
        <w:t>二</w:t>
      </w:r>
      <w:bookmarkEnd w:id="105"/>
      <w:r>
        <w:rPr>
          <w:color w:val="000000"/>
          <w:spacing w:val="0"/>
          <w:w w:val="100"/>
          <w:position w:val="0"/>
          <w:sz w:val="24"/>
          <w:szCs w:val="24"/>
        </w:rPr>
        <w:t>、主营业务分析</w:t>
      </w:r>
      <w:bookmarkEnd w:id="103"/>
      <w:bookmarkEnd w:id="104"/>
      <w:bookmarkEnd w:id="106"/>
    </w:p>
    <w:p>
      <w:pPr>
        <w:pStyle w:val="Style30"/>
        <w:keepNext/>
        <w:keepLines/>
        <w:widowControl w:val="0"/>
        <w:shd w:val="clear" w:color="auto" w:fill="auto"/>
        <w:tabs>
          <w:tab w:pos="358" w:val="left"/>
        </w:tabs>
        <w:bidi w:val="0"/>
        <w:spacing w:before="0" w:after="300" w:line="326" w:lineRule="auto"/>
        <w:ind w:left="0" w:right="0" w:firstLine="0"/>
        <w:jc w:val="both"/>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1</w:t>
      </w:r>
      <w:bookmarkEnd w:id="109"/>
      <w:r>
        <w:rPr>
          <w:color w:val="000000"/>
          <w:spacing w:val="0"/>
          <w:w w:val="100"/>
          <w:position w:val="0"/>
        </w:rPr>
        <w:t>、</w:t>
        <w:tab/>
        <w:t>概述</w:t>
      </w:r>
      <w:bookmarkEnd w:id="107"/>
      <w:bookmarkEnd w:id="108"/>
      <w:bookmarkEnd w:id="110"/>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68" w:val="left"/>
        </w:tabs>
        <w:bidi w:val="0"/>
        <w:spacing w:before="0" w:after="300" w:line="313" w:lineRule="exact"/>
        <w:ind w:left="0" w:right="0" w:firstLine="0"/>
        <w:jc w:val="both"/>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2</w:t>
      </w:r>
      <w:bookmarkEnd w:id="113"/>
      <w:r>
        <w:rPr>
          <w:color w:val="000000"/>
          <w:spacing w:val="0"/>
          <w:w w:val="100"/>
          <w:position w:val="0"/>
        </w:rPr>
        <w:t>、</w:t>
        <w:tab/>
        <w:t>收入与成本</w:t>
      </w:r>
      <w:bookmarkEnd w:id="111"/>
      <w:bookmarkEnd w:id="112"/>
      <w:bookmarkEnd w:id="114"/>
    </w:p>
    <w:p>
      <w:pPr>
        <w:pStyle w:val="Style40"/>
        <w:keepNext/>
        <w:keepLines/>
        <w:widowControl w:val="0"/>
        <w:shd w:val="clear" w:color="auto" w:fill="auto"/>
        <w:bidi w:val="0"/>
        <w:spacing w:before="0" w:after="400" w:line="313" w:lineRule="exact"/>
        <w:ind w:left="0" w:right="0" w:firstLine="0"/>
        <w:jc w:val="both"/>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5"/>
      <w:bookmarkEnd w:id="116"/>
      <w:bookmarkEnd w:id="11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27"/>
        <w:gridCol w:w="1574"/>
        <w:gridCol w:w="1598"/>
        <w:gridCol w:w="1598"/>
        <w:gridCol w:w="158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2,383,704,942.48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2,103,759,987.90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2,383,704,942.48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2,103,759,987.90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密码产品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592,823,796.89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532,588,916.76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469,472,467.28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432,184,745.38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安全集成与运营服务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1,321,408,678.31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1,138,986,325.76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998,495,195.48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775,650,488.08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744,566,000.45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630,820,267.98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217,359,156.91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225,165,713.87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178,786,186.49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169,757,172.95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124,298,016.78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169,946,831.84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87,602,391.14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92,797,033.89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32,597,995.23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39,622,479.29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008"/>
        <w:gridCol w:w="1008"/>
        <w:gridCol w:w="1008"/>
        <w:gridCol w:w="1013"/>
        <w:gridCol w:w="1013"/>
        <w:gridCol w:w="1003"/>
        <w:gridCol w:w="1003"/>
        <w:gridCol w:w="1013"/>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p>
      <w:pPr>
        <w:spacing w:lineRule="exact" w:line="1"/>
        <w:rPr>
          <w:sz w:val="2"/>
          <w:szCs w:val="2"/>
        </w:rPr>
      </w:pPr>
      <w:r>
        <w:br w:type="page"/>
      </w:r>
    </w:p>
    <w:tbl>
      <w:tblPr>
        <w:tblOverlap w:val="never"/>
        <w:jc w:val="center"/>
        <w:tblLayout w:type="fixed"/>
      </w:tblPr>
      <w:tblGrid>
        <w:gridCol w:w="1536"/>
        <w:gridCol w:w="1008"/>
        <w:gridCol w:w="1008"/>
        <w:gridCol w:w="1008"/>
        <w:gridCol w:w="1008"/>
        <w:gridCol w:w="1013"/>
        <w:gridCol w:w="1008"/>
        <w:gridCol w:w="994"/>
        <w:gridCol w:w="1022"/>
      </w:tblGrid>
      <w:tr>
        <w:trPr>
          <w:trHeight w:val="38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59,030,952.5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374,170,653.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546,628,201.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1,403,875,13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165,005,851.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446,600,008.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1,060,441,60</w:t>
            </w:r>
          </w:p>
        </w:tc>
      </w:tr>
      <w:tr>
        <w:trPr>
          <w:trHeight w:val="33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-135,858,02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3,388,615.60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38,641,530.9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255,236,032.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-79214,430.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18,874,474.4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219,369,731.</w:t>
            </w: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4"/>
        <w:keepNext w:val="0"/>
        <w:keepLines w:val="0"/>
        <w:widowControl w:val="0"/>
        <w:shd w:val="clear" w:color="auto" w:fill="auto"/>
        <w:bidi w:val="0"/>
        <w:spacing w:before="0" w:after="380" w:line="314" w:lineRule="exact"/>
        <w:ind w:left="0" w:right="0"/>
        <w:jc w:val="both"/>
      </w:pPr>
      <w:r>
        <w:rPr>
          <w:color w:val="000000"/>
          <w:spacing w:val="0"/>
          <w:w w:val="100"/>
          <w:position w:val="0"/>
        </w:rPr>
        <w:t>由于公司目前的主要客户，包括政府机构、银行、国有大型企业等，这些客户大宗设备采购采取集中采购制度和预算管 理制度，一般为下半年制定次年年度预算和固定资产投资计划，其审批通常在次年上半年，而设备采购招标一般则安排在次 年年中或下半年。因此，本公司在每年上半年销售较少，至年中（一般从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月份开始）销售订单开始明显增加，设备交货、 安装、调试和验收则集中在下半年尤其是第四季度。该特点使得公司的销售具有较强的季节性变化特征，存在季节性波动的 风险。</w:t>
      </w:r>
    </w:p>
    <w:p>
      <w:pPr>
        <w:pStyle w:val="Style40"/>
        <w:keepNext/>
        <w:keepLines/>
        <w:widowControl w:val="0"/>
        <w:shd w:val="clear" w:color="auto" w:fill="auto"/>
        <w:bidi w:val="0"/>
        <w:spacing w:before="0" w:after="28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9"/>
      <w:bookmarkEnd w:id="120"/>
      <w:bookmarkEnd w:id="122"/>
    </w:p>
    <w:p>
      <w:pPr>
        <w:pStyle w:val="Style24"/>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shd w:val="clear" w:color="auto" w:fill="FFFFFF"/>
        </w:rPr>
        <w:t>V</w:t>
      </w:r>
      <w:r>
        <w:rPr>
          <w:color w:val="000000"/>
          <w:spacing w:val="0"/>
          <w:w w:val="100"/>
          <w:position w:val="0"/>
          <w:shd w:val="clear" w:color="auto" w:fill="FFFFFF"/>
        </w:rPr>
        <w:t>适用</w:t>
      </w:r>
      <w:r>
        <w:rPr>
          <w:color w:val="000000"/>
          <w:spacing w:val="0"/>
          <w:w w:val="100"/>
          <w:position w:val="0"/>
          <w:sz w:val="18"/>
          <w:szCs w:val="18"/>
          <w:shd w:val="clear" w:color="auto" w:fill="FFFFFF"/>
        </w:rPr>
        <w:t>口</w:t>
      </w:r>
      <w:r>
        <w:rPr>
          <w:color w:val="000000"/>
          <w:spacing w:val="0"/>
          <w:w w:val="100"/>
          <w:position w:val="0"/>
          <w:shd w:val="clear" w:color="auto" w:fill="FFFFFF"/>
        </w:rPr>
        <w:t>不适用</w:t>
      </w:r>
    </w:p>
    <w:p>
      <w:pPr>
        <w:pStyle w:val="Style24"/>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416"/>
        <w:gridCol w:w="1421"/>
        <w:gridCol w:w="936"/>
        <w:gridCol w:w="1358"/>
        <w:gridCol w:w="1368"/>
        <w:gridCol w:w="139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毛利率比上年同 期增减</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2,383,704,942.48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1,538,049,066.18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592,823,796.89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226,699,033.65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469,472,467.28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223,878,551.24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安全集成与运营服务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1,321,408,678.31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1,087,471,481.29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744,566,000.45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530,406,866.72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998,495,195.48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592,243,822.59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bl>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83" w:val="left"/>
        </w:tabs>
        <w:bidi w:val="0"/>
        <w:spacing w:before="0" w:after="3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3"/>
      <w:bookmarkEnd w:id="124"/>
      <w:bookmarkEnd w:id="12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tabs>
          <w:tab w:pos="483" w:val="left"/>
        </w:tabs>
        <w:bidi w:val="0"/>
        <w:spacing w:before="0" w:after="3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7"/>
      <w:bookmarkEnd w:id="128"/>
      <w:bookmarkEnd w:id="130"/>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
        </w:numPr>
        <w:shd w:val="clear" w:color="auto" w:fill="auto"/>
        <w:bidi w:val="0"/>
        <w:spacing w:before="0" w:after="400" w:line="240" w:lineRule="auto"/>
        <w:ind w:left="0" w:right="0" w:firstLine="0"/>
        <w:jc w:val="both"/>
      </w:pPr>
      <w:bookmarkStart w:id="131" w:name="bookmark131"/>
      <w:bookmarkStart w:id="132" w:name="bookmark132"/>
      <w:bookmarkStart w:id="133" w:name="bookmark133"/>
      <w:bookmarkStart w:id="134" w:name="bookmark134"/>
      <w:bookmarkEnd w:id="133"/>
      <w:r>
        <w:rPr>
          <w:color w:val="000000"/>
          <w:spacing w:val="0"/>
          <w:w w:val="100"/>
          <w:position w:val="0"/>
        </w:rPr>
        <w:t>营业成本构成</w:t>
      </w:r>
      <w:bookmarkEnd w:id="131"/>
      <w:bookmarkEnd w:id="132"/>
      <w:bookmarkEnd w:id="134"/>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1,451,076,560.95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1,316,820,625.90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31,635,806.39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37,062,167.41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55,336,698.84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65,315,971.29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主营业务成本构成</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1,451,076,560.95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1,316,820,625.90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31,635,806.39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37,062,167.41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55,336,698.84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65,315,971.29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r>
    </w:tbl>
    <w:p>
      <w:pPr>
        <w:widowControl w:val="0"/>
        <w:spacing w:after="299" w:line="1" w:lineRule="exact"/>
      </w:pPr>
    </w:p>
    <w:p>
      <w:pPr>
        <w:pStyle w:val="Style40"/>
        <w:keepNext/>
        <w:keepLines/>
        <w:widowControl w:val="0"/>
        <w:numPr>
          <w:ilvl w:val="0"/>
          <w:numId w:val="1"/>
        </w:numPr>
        <w:shd w:val="clear" w:color="auto" w:fill="auto"/>
        <w:bidi w:val="0"/>
        <w:spacing w:before="0" w:after="400" w:line="240" w:lineRule="auto"/>
        <w:ind w:left="0" w:right="0" w:firstLine="140"/>
        <w:jc w:val="left"/>
      </w:pPr>
      <w:bookmarkStart w:id="135" w:name="bookmark135"/>
      <w:bookmarkStart w:id="136" w:name="bookmark136"/>
      <w:bookmarkStart w:id="137" w:name="bookmark137"/>
      <w:bookmarkStart w:id="138" w:name="bookmark138"/>
      <w:bookmarkEnd w:id="137"/>
      <w:r>
        <w:rPr>
          <w:color w:val="000000"/>
          <w:spacing w:val="0"/>
          <w:w w:val="100"/>
          <w:position w:val="0"/>
        </w:rPr>
        <w:t>报告期内合并范围是否发生变动</w:t>
      </w:r>
      <w:bookmarkEnd w:id="135"/>
      <w:bookmarkEnd w:id="136"/>
      <w:bookmarkEnd w:id="138"/>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shd w:val="clear" w:color="auto" w:fill="auto"/>
        <w:bidi w:val="0"/>
        <w:spacing w:before="0" w:after="300" w:line="311" w:lineRule="exact"/>
        <w:ind w:left="0" w:right="0"/>
        <w:jc w:val="both"/>
      </w:pPr>
      <w:r>
        <w:rPr>
          <w:color w:val="000000"/>
          <w:spacing w:val="0"/>
          <w:w w:val="100"/>
          <w:position w:val="0"/>
        </w:rPr>
        <w:t>报告期本公司合并范围较上年上期相比，增加</w:t>
      </w:r>
      <w:r>
        <w:rPr>
          <w:rFonts w:ascii="Times New Roman" w:eastAsia="Times New Roman" w:hAnsi="Times New Roman" w:cs="Times New Roman"/>
          <w:color w:val="000000"/>
          <w:spacing w:val="0"/>
          <w:w w:val="100"/>
          <w:position w:val="0"/>
        </w:rPr>
        <w:t>1</w:t>
      </w:r>
      <w:r>
        <w:rPr>
          <w:color w:val="000000"/>
          <w:spacing w:val="0"/>
          <w:w w:val="100"/>
          <w:position w:val="0"/>
        </w:rPr>
        <w:t>户：卫士通</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网络安全技术有限公司，系本期投资 设立的全资子公司；减少</w:t>
      </w:r>
      <w:r>
        <w:rPr>
          <w:rFonts w:ascii="Times New Roman" w:eastAsia="Times New Roman" w:hAnsi="Times New Roman" w:cs="Times New Roman"/>
          <w:color w:val="000000"/>
          <w:spacing w:val="0"/>
          <w:w w:val="100"/>
          <w:position w:val="0"/>
        </w:rPr>
        <w:t>4</w:t>
      </w:r>
      <w:r>
        <w:rPr>
          <w:color w:val="000000"/>
          <w:spacing w:val="0"/>
          <w:w w:val="100"/>
          <w:position w:val="0"/>
        </w:rPr>
        <w:t>户：成都三零豪赛网络安全技术有限公司、上海卫士通网络安全有限公司、四 川卫士通信息安全平台技术有限公司及成都三零盛安信息系统有限公司。其中：成都三零豪赛网络安全技 术有限公司已完成工商注销；上海卫士通网络安全有限公司本期已完成清算及税务注销，正在进行工商注 销；四川卫士通信息安全平台技术有限公司及成都三零盛安信息系统有限公司被本公司子公司成都三零嘉 微电子有限公司吸收合并，公司已完成工商注销。</w:t>
      </w:r>
    </w:p>
    <w:p>
      <w:pPr>
        <w:pStyle w:val="Style40"/>
        <w:keepNext/>
        <w:keepLines/>
        <w:widowControl w:val="0"/>
        <w:numPr>
          <w:ilvl w:val="0"/>
          <w:numId w:val="1"/>
        </w:numPr>
        <w:shd w:val="clear" w:color="auto" w:fill="auto"/>
        <w:bidi w:val="0"/>
        <w:spacing w:before="0" w:after="400" w:line="311" w:lineRule="exact"/>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 xml:space="preserve"> 公司报告期内业务、产品或服务发生重大变化或调整有关情况</w:t>
      </w:r>
      <w:bookmarkEnd w:id="139"/>
      <w:bookmarkEnd w:id="140"/>
      <w:bookmarkEnd w:id="142"/>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
        </w:numPr>
        <w:shd w:val="clear" w:color="auto" w:fill="auto"/>
        <w:tabs>
          <w:tab w:pos="483" w:val="left"/>
        </w:tabs>
        <w:bidi w:val="0"/>
        <w:spacing w:before="0" w:after="400" w:line="311" w:lineRule="exact"/>
        <w:ind w:left="0" w:right="0" w:firstLine="0"/>
        <w:jc w:val="left"/>
      </w:pPr>
      <w:bookmarkStart w:id="143" w:name="bookmark143"/>
      <w:bookmarkStart w:id="144" w:name="bookmark144"/>
      <w:bookmarkStart w:id="145" w:name="bookmark145"/>
      <w:bookmarkStart w:id="146" w:name="bookmark146"/>
      <w:bookmarkEnd w:id="145"/>
      <w:r>
        <w:rPr>
          <w:color w:val="000000"/>
          <w:spacing w:val="0"/>
          <w:w w:val="100"/>
          <w:position w:val="0"/>
        </w:rPr>
        <w:t>主要销售客户和主要供应商情况</w:t>
      </w:r>
      <w:bookmarkEnd w:id="143"/>
      <w:bookmarkEnd w:id="144"/>
      <w:bookmarkEnd w:id="146"/>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94"/>
        <w:gridCol w:w="489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769,701,407.69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w:t>
            </w:r>
          </w:p>
        </w:tc>
      </w:tr>
    </w:tbl>
    <w:p>
      <w:pPr>
        <w:spacing w:lineRule="exact" w:line="1"/>
        <w:rPr>
          <w:sz w:val="2"/>
          <w:szCs w:val="2"/>
        </w:rPr>
      </w:pPr>
      <w:r>
        <w:br w:type="page"/>
      </w:r>
    </w:p>
    <w:tbl>
      <w:tblPr>
        <w:tblOverlap w:val="never"/>
        <w:jc w:val="center"/>
        <w:tblLayout w:type="fixed"/>
      </w:tblPr>
      <w:tblGrid>
        <w:gridCol w:w="4694"/>
        <w:gridCol w:w="489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533,558,630.66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73222,478.94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56,884,641.39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53,108,815.99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52,926,840.71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769,701,407.69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32.29%</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第一名与公司受同一控股股东中国网安控制，是公司的关联方。</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94"/>
        <w:gridCol w:w="48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245,908,395.17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73"/>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90,571,368.</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65,599,027.03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33,777297.30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29,751,351.35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26209,351.35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245,908,395.17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13.62%</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第一名与公司受同一控股股东中国网安控制，是公司的关联方。</w:t>
      </w:r>
    </w:p>
    <w:p>
      <w:pPr>
        <w:pStyle w:val="Style30"/>
        <w:keepNext/>
        <w:keepLines/>
        <w:widowControl w:val="0"/>
        <w:shd w:val="clear" w:color="auto" w:fill="auto"/>
        <w:bidi w:val="0"/>
        <w:spacing w:before="0" w:after="40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3</w:t>
      </w:r>
      <w:bookmarkEnd w:id="149"/>
      <w:r>
        <w:rPr>
          <w:color w:val="000000"/>
          <w:spacing w:val="0"/>
          <w:w w:val="100"/>
          <w:position w:val="0"/>
        </w:rPr>
        <w:t>、费用</w:t>
      </w:r>
      <w:bookmarkEnd w:id="147"/>
      <w:bookmarkEnd w:id="148"/>
      <w:bookmarkEnd w:id="15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421"/>
        <w:gridCol w:w="1421"/>
        <w:gridCol w:w="1138"/>
        <w:gridCol w:w="460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274,228,766.90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248,574,586.24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157,745,639.08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141,128,649.83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-25,262,119.96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-29,104,487.95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247,594,767.24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191,595,542.22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主要系本年在零信任、工控安全、数据安全、车联网等新</w:t>
            </w:r>
          </w:p>
        </w:tc>
      </w:tr>
    </w:tbl>
    <w:p>
      <w:pPr>
        <w:spacing w:lineRule="exact" w:line="1"/>
        <w:rPr>
          <w:sz w:val="2"/>
          <w:szCs w:val="2"/>
        </w:rPr>
      </w:pPr>
      <w:r>
        <w:br w:type="page"/>
      </w:r>
    </w:p>
    <w:tbl>
      <w:tblPr>
        <w:tblOverlap w:val="never"/>
        <w:jc w:val="center"/>
        <w:tblLayout w:type="fixed"/>
      </w:tblPr>
      <w:tblGrid>
        <w:gridCol w:w="1003"/>
        <w:gridCol w:w="1421"/>
        <w:gridCol w:w="1416"/>
        <w:gridCol w:w="1142"/>
        <w:gridCol w:w="460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领域开展产品研发工作，加大了研发储备和研发投入。</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4</w:t>
      </w:r>
      <w:bookmarkEnd w:id="153"/>
      <w:r>
        <w:rPr>
          <w:color w:val="000000"/>
          <w:spacing w:val="0"/>
          <w:w w:val="100"/>
          <w:position w:val="0"/>
        </w:rPr>
        <w:t>、研发投入</w:t>
      </w:r>
      <w:bookmarkEnd w:id="151"/>
      <w:bookmarkEnd w:id="152"/>
      <w:bookmarkEnd w:id="154"/>
    </w:p>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313"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年，卫士通持续加大对公司传统的密码产品、网络安全产品、安全应用产品的研发投入，围绕龙芯</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产业链完成 多款产品研制。同时积极响应市场需求，以公司现有商密产品为基础，整合自有产品能力，打造满足面向运营的服务化密码 基础服务平台，提供基础密码服务能力。在安全服务方面，打造了安全运营服务平台，实现安全服务在线化、安全保障智能 化、安全运维自动化。加大移动安全应用领域的技术突破和产品研制，继续增强公司在移动互联网领域的产品竞争力。启动 了高速可编程芯片、高性能安全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等多个系列产品的研制，继续增强密码芯片投入。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986"/>
        <w:gridCol w:w="2126"/>
        <w:gridCol w:w="2078"/>
        <w:gridCol w:w="2400"/>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297,304,911.64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246,707,980.63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60,577,517.47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55,112,438.41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565"/>
        <w:gridCol w:w="4253"/>
        <w:gridCol w:w="277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密码基础服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10,407268.72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以公司现有商密产品为基础，整合密钥管理系统、云 服务器密码机及资源池、软件密码模块、通用密码中 间件、设备统一管理中心、统一身份认证等产品能力, 打造满足面向运营的服务化密码基础服务平台。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完成密码基础服务平台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V1.2</w:t>
            </w:r>
            <w:r>
              <w:rPr>
                <w:color w:val="000000"/>
                <w:spacing w:val="0"/>
                <w:w w:val="100"/>
                <w:position w:val="0"/>
              </w:rPr>
              <w:t>版本研制，提供密钥管 理服务、密码运算服务和密码设备 管理服务等基础密码服务能力。</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跨网跨域综 合服务平台 信任系统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10,375,771.44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根据融合跨网数据交换场景，完成对跨网数据交换系 统的跨网身份管理、跨网身份认证、跨网信任传递， 主要用于融合先导平台建设。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完成信任跨网跨域信任服务子系统 系统、安全审计及行为溯源子系统 试用版本研制，正在开展试点项目 部署及联调联试环境建设。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新一代</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7,235,742.13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项目以</w:t>
            </w:r>
            <w:r>
              <w:rPr>
                <w:rFonts w:ascii="Times New Roman" w:eastAsia="Times New Roman" w:hAnsi="Times New Roman" w:cs="Times New Roman"/>
                <w:color w:val="000000"/>
                <w:spacing w:val="0"/>
                <w:w w:val="100"/>
                <w:position w:val="0"/>
                <w:sz w:val="18"/>
                <w:szCs w:val="18"/>
              </w:rPr>
              <w:t>WVNP</w:t>
            </w:r>
            <w:r>
              <w:rPr>
                <w:color w:val="000000"/>
                <w:spacing w:val="0"/>
                <w:w w:val="100"/>
                <w:position w:val="0"/>
              </w:rPr>
              <w:t>平台为基础的新一代综合安全网关，提 供具有</w:t>
            </w:r>
            <w:r>
              <w:rPr>
                <w:rFonts w:ascii="Times New Roman" w:eastAsia="Times New Roman" w:hAnsi="Times New Roman" w:cs="Times New Roman"/>
                <w:color w:val="000000"/>
                <w:spacing w:val="0"/>
                <w:w w:val="100"/>
                <w:position w:val="0"/>
                <w:sz w:val="18"/>
                <w:szCs w:val="18"/>
              </w:rPr>
              <w:t>IPSec VPN</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SSL VPN</w:t>
            </w:r>
            <w:r>
              <w:rPr>
                <w:color w:val="000000"/>
                <w:spacing w:val="0"/>
                <w:w w:val="100"/>
                <w:position w:val="0"/>
              </w:rPr>
              <w:t>二合一功能。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V5.1</w:t>
            </w:r>
            <w:r>
              <w:rPr>
                <w:color w:val="000000"/>
                <w:spacing w:val="0"/>
                <w:w w:val="100"/>
                <w:position w:val="0"/>
              </w:rPr>
              <w:t>通用版本和</w:t>
            </w:r>
            <w:r>
              <w:rPr>
                <w:rFonts w:ascii="Times New Roman" w:eastAsia="Times New Roman" w:hAnsi="Times New Roman" w:cs="Times New Roman"/>
                <w:color w:val="000000"/>
                <w:spacing w:val="0"/>
                <w:w w:val="100"/>
                <w:position w:val="0"/>
                <w:sz w:val="18"/>
                <w:szCs w:val="18"/>
              </w:rPr>
              <w:t>V5.2</w:t>
            </w:r>
            <w:r>
              <w:rPr>
                <w:color w:val="000000"/>
                <w:spacing w:val="0"/>
                <w:w w:val="100"/>
                <w:position w:val="0"/>
              </w:rPr>
              <w:t>版本研 制</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统一认证平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5,381,889.51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统一身份认证系统主要面向用户提供统一的身份管 理、身份认证、单点登录、访问控制、行为审计等服 务，解决应用身份系统用户分散管理、独立认证、多 次登录等问题，实现身份可靠、业务可控、数据可信 和行为可溯。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版本的研制，完成与密码 基础服务平台对接。</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基于安全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4,342,718.88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项目基于密码与通用计算的一体化融合，提供硬件级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开展安全</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的可信计算密码支撑</w:t>
            </w:r>
          </w:p>
        </w:tc>
      </w:tr>
    </w:tbl>
    <w:p>
      <w:pPr>
        <w:spacing w:lineRule="exact" w:line="1"/>
        <w:rPr>
          <w:sz w:val="2"/>
          <w:szCs w:val="2"/>
        </w:rPr>
      </w:pPr>
      <w:r>
        <w:br w:type="page"/>
      </w:r>
    </w:p>
    <w:tbl>
      <w:tblPr>
        <w:tblOverlap w:val="never"/>
        <w:jc w:val="center"/>
        <w:tblLayout w:type="fixed"/>
      </w:tblPr>
      <w:tblGrid>
        <w:gridCol w:w="1003"/>
        <w:gridCol w:w="1565"/>
        <w:gridCol w:w="4253"/>
        <w:gridCol w:w="2770"/>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产品项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密码运算能力、可信计算能力和芯片级安全防护能力， 实现从处理器、</w:t>
            </w:r>
            <w:r>
              <w:rPr>
                <w:rFonts w:ascii="Times New Roman" w:eastAsia="Times New Roman" w:hAnsi="Times New Roman" w:cs="Times New Roman"/>
                <w:color w:val="000000"/>
                <w:spacing w:val="0"/>
                <w:w w:val="100"/>
                <w:position w:val="0"/>
                <w:sz w:val="18"/>
                <w:szCs w:val="18"/>
              </w:rPr>
              <w:t>BIOS</w:t>
            </w:r>
            <w:r>
              <w:rPr>
                <w:color w:val="000000"/>
                <w:spacing w:val="0"/>
                <w:w w:val="100"/>
                <w:position w:val="0"/>
              </w:rPr>
              <w:t>、</w:t>
            </w:r>
            <w:r>
              <w:rPr>
                <w:color w:val="000000"/>
                <w:spacing w:val="0"/>
                <w:w w:val="100"/>
                <w:position w:val="0"/>
              </w:rPr>
              <w:t>操作系统到应用的真正安全与 可信，为用户及应用提供高安全、强合规、易使用的 全新的密码与安全解决方案。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平台研制与商密认证等工作。</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安全服务运 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3,359,717.96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打造安全服务在线化、安全保障智能化、安全运维自 动化的安全服务运营平台。实现在线管理和运维相关 的安全产品，构建一套完整的、标准化的安全服务运 营体系，通过安全策略自动化处理、运维过程自动化 等达到自动化运维的体验。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版本开发和上线试用，后 续继续优化产品功能，根据用户需 求进行完善。</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19,474,408.83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40" w:line="293" w:lineRule="exact"/>
        <w:ind w:left="0" w:right="0"/>
        <w:jc w:val="both"/>
      </w:pPr>
      <w:r>
        <w:rPr>
          <w:color w:val="000000"/>
          <w:spacing w:val="0"/>
          <w:w w:val="100"/>
          <w:position w:val="0"/>
        </w:rPr>
        <w:t>公司规定研究开发项目的支出应当区分研究阶段支出与开发阶段支出。研究阶段成果因存在不确定 性，无法证明未来是否有经济效益，研究阶段的内部相关支出，于发生时计入当期损益，即发生时计入公 司</w:t>
      </w:r>
      <w:r>
        <w:rPr>
          <w:rFonts w:ascii="Times New Roman" w:eastAsia="Times New Roman" w:hAnsi="Times New Roman" w:cs="Times New Roman"/>
          <w:color w:val="000000"/>
          <w:spacing w:val="0"/>
          <w:w w:val="100"/>
          <w:position w:val="0"/>
        </w:rPr>
        <w:t>“</w:t>
      </w:r>
      <w:r>
        <w:rPr>
          <w:color w:val="000000"/>
          <w:spacing w:val="0"/>
          <w:w w:val="100"/>
          <w:position w:val="0"/>
        </w:rPr>
        <w:t>研发支出</w:t>
      </w:r>
      <w:r>
        <w:rPr>
          <w:color w:val="000000"/>
          <w:spacing w:val="0"/>
          <w:w w:val="100"/>
          <w:position w:val="0"/>
        </w:rPr>
        <w:t>一</w:t>
      </w:r>
      <w:r>
        <w:rPr>
          <w:color w:val="000000"/>
          <w:spacing w:val="0"/>
          <w:w w:val="100"/>
          <w:position w:val="0"/>
        </w:rPr>
        <w:t>费用化支出</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于期末转入管理费用。开发阶段符合资本化条件的，费用发生时计入公司</w:t>
      </w:r>
      <w:r>
        <w:rPr>
          <w:rFonts w:ascii="Times New Roman" w:eastAsia="Times New Roman" w:hAnsi="Times New Roman" w:cs="Times New Roman"/>
          <w:color w:val="000000"/>
          <w:spacing w:val="0"/>
          <w:w w:val="100"/>
          <w:position w:val="0"/>
        </w:rPr>
        <w:t>“</w:t>
      </w:r>
      <w:r>
        <w:rPr>
          <w:color w:val="000000"/>
          <w:spacing w:val="0"/>
          <w:w w:val="100"/>
          <w:position w:val="0"/>
        </w:rPr>
        <w:t>研 发支出</w:t>
      </w:r>
      <w:r>
        <w:rPr>
          <w:color w:val="000000"/>
          <w:spacing w:val="0"/>
          <w:w w:val="100"/>
          <w:position w:val="0"/>
        </w:rPr>
        <w:t>一</w:t>
      </w:r>
      <w:r>
        <w:rPr>
          <w:color w:val="000000"/>
          <w:spacing w:val="0"/>
          <w:w w:val="100"/>
          <w:position w:val="0"/>
        </w:rPr>
        <w:t>资本化支出</w:t>
      </w:r>
      <w:r>
        <w:rPr>
          <w:color w:val="000000"/>
          <w:spacing w:val="0"/>
          <w:w w:val="100"/>
          <w:position w:val="0"/>
        </w:rPr>
        <w:t>，，</w:t>
      </w:r>
      <w:r>
        <w:rPr>
          <w:color w:val="000000"/>
          <w:spacing w:val="0"/>
          <w:w w:val="100"/>
          <w:position w:val="0"/>
        </w:rPr>
        <w:t>，于期末转入资产类科目</w:t>
      </w:r>
      <w:r>
        <w:rPr>
          <w:rFonts w:ascii="Times New Roman" w:eastAsia="Times New Roman" w:hAnsi="Times New Roman" w:cs="Times New Roman"/>
          <w:color w:val="000000"/>
          <w:spacing w:val="0"/>
          <w:w w:val="100"/>
          <w:position w:val="0"/>
        </w:rPr>
        <w:t>“</w:t>
      </w:r>
      <w:r>
        <w:rPr>
          <w:color w:val="000000"/>
          <w:spacing w:val="0"/>
          <w:w w:val="100"/>
          <w:position w:val="0"/>
        </w:rPr>
        <w:t>开发支出</w:t>
      </w:r>
      <w:r>
        <w:rPr>
          <w:color w:val="000000"/>
          <w:spacing w:val="0"/>
          <w:w w:val="100"/>
          <w:position w:val="0"/>
        </w:rPr>
        <w:t>，，</w:t>
      </w:r>
      <w:r>
        <w:rPr>
          <w:color w:val="000000"/>
          <w:spacing w:val="0"/>
          <w:w w:val="100"/>
          <w:position w:val="0"/>
        </w:rPr>
        <w:t>；否则，应计入当期损益。</w:t>
      </w:r>
    </w:p>
    <w:p>
      <w:pPr>
        <w:pStyle w:val="Style34"/>
        <w:keepNext w:val="0"/>
        <w:keepLines w:val="0"/>
        <w:widowControl w:val="0"/>
        <w:shd w:val="clear" w:color="auto" w:fill="auto"/>
        <w:bidi w:val="0"/>
        <w:spacing w:before="0" w:after="40" w:line="312" w:lineRule="exact"/>
        <w:ind w:left="0" w:right="0"/>
        <w:jc w:val="both"/>
      </w:pPr>
      <w:r>
        <w:rPr>
          <w:color w:val="000000"/>
          <w:spacing w:val="0"/>
          <w:w w:val="100"/>
          <w:position w:val="0"/>
        </w:rPr>
        <w:t>研发费用资本化的条件包括：①完成该无形资产以使其能够使用或出售在技术上具有可行性。②具有 完成该无形资产并使用或出售的意图。③无形资产产生经济利益的方式，包括能够证明运用该无形资产生 产的产品存在市场或无形资产自身存在市场；无形资产将在内部使用的，应当证明其有用性。无形资产是 否能够为企业带来经济利益，应当对运用该无形资产生产产品的市场情况进行可靠预计，以证明所生产的 产品存在市场并能够带来经济利益，或能够证明市场上存在对该无形资产的需求。④有足够的技术、财务 资源和其他资源支持，以完成该无形资产的开发，并有能力使用或出售该无形资产。⑤资本化项目阶段应 选择新的、投入较大的研发项目，具有较为确定的收益期间，有较长的生命周期。</w:t>
      </w:r>
    </w:p>
    <w:p>
      <w:pPr>
        <w:pStyle w:val="Style34"/>
        <w:keepNext w:val="0"/>
        <w:keepLines w:val="0"/>
        <w:widowControl w:val="0"/>
        <w:shd w:val="clear" w:color="auto" w:fill="auto"/>
        <w:bidi w:val="0"/>
        <w:spacing w:before="0" w:after="140" w:line="310" w:lineRule="exact"/>
        <w:ind w:left="0" w:right="0"/>
        <w:jc w:val="both"/>
      </w:pPr>
      <w:r>
        <w:rPr>
          <w:color w:val="000000"/>
          <w:spacing w:val="0"/>
          <w:w w:val="100"/>
          <w:position w:val="0"/>
        </w:rPr>
        <w:t>公司研发管理部门根据上述要求，将符合研发费用资本化的项目通知财务部门开始资本化账务处理， 项目开发阶段结束，形成产品，且形成的产品存在市场或内部可使用，能够为企业带来经济效益时，财务 部将其开发支出转入无形资产，并对无形资产需要提供的材料齐套性进行确认。</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20" w:line="324"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5</w:t>
      </w:r>
      <w:bookmarkEnd w:id="157"/>
      <w:r>
        <w:rPr>
          <w:color w:val="000000"/>
          <w:spacing w:val="0"/>
          <w:w w:val="100"/>
          <w:position w:val="0"/>
        </w:rPr>
        <w:t>、现金流</w:t>
      </w:r>
      <w:bookmarkEnd w:id="155"/>
      <w:bookmarkEnd w:id="156"/>
      <w:bookmarkEnd w:id="158"/>
    </w:p>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2088"/>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3,107,681,824.03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2,310,379,524.54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34.51%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2,479,392,720.74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2,408,265,561.87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628,289,103.29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-97,886,037.33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114,195,199.10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83,769,127.77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36.32%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-114,122,708.36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-83,765289.77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41,673,434.87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262,773,033.10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-41,673,434.87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-261,723,033.10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84.08%</w:t>
            </w:r>
          </w:p>
        </w:tc>
      </w:tr>
    </w:tbl>
    <w:p>
      <w:pPr>
        <w:spacing w:lineRule="exact" w:line="1"/>
        <w:rPr>
          <w:sz w:val="2"/>
          <w:szCs w:val="2"/>
        </w:rPr>
      </w:pPr>
      <w:r>
        <w:br w:type="page"/>
      </w:r>
    </w:p>
    <w:tbl>
      <w:tblPr>
        <w:tblOverlap w:val="never"/>
        <w:jc w:val="center"/>
        <w:tblLayout w:type="fixed"/>
      </w:tblPr>
      <w:tblGrid>
        <w:gridCol w:w="2712"/>
        <w:gridCol w:w="2088"/>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472,492,960.06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-443,374,360.20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206.57%</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numPr>
          <w:ilvl w:val="0"/>
          <w:numId w:val="3"/>
        </w:numPr>
        <w:shd w:val="clear" w:color="auto" w:fill="auto"/>
        <w:tabs>
          <w:tab w:pos="296" w:val="left"/>
        </w:tabs>
        <w:bidi w:val="0"/>
        <w:spacing w:before="0" w:after="0" w:line="240" w:lineRule="auto"/>
        <w:ind w:left="0" w:right="0" w:firstLine="0"/>
        <w:jc w:val="left"/>
      </w:pPr>
      <w:bookmarkStart w:id="159" w:name="bookmark159"/>
      <w:bookmarkEnd w:id="159"/>
      <w:r>
        <w:rPr>
          <w:color w:val="000000"/>
          <w:spacing w:val="0"/>
          <w:w w:val="100"/>
          <w:position w:val="0"/>
        </w:rPr>
        <w:t>经营活动产生的现金流量净额比上年增加</w:t>
      </w:r>
      <w:r>
        <w:rPr>
          <w:rFonts w:ascii="Times New Roman" w:eastAsia="Times New Roman" w:hAnsi="Times New Roman" w:cs="Times New Roman"/>
          <w:color w:val="000000"/>
          <w:spacing w:val="0"/>
          <w:w w:val="100"/>
          <w:position w:val="0"/>
          <w:sz w:val="18"/>
          <w:szCs w:val="18"/>
        </w:rPr>
        <w:t>741.86%</w:t>
      </w:r>
      <w:r>
        <w:rPr>
          <w:color w:val="000000"/>
          <w:spacing w:val="0"/>
          <w:w w:val="100"/>
          <w:position w:val="0"/>
        </w:rPr>
        <w:t>，主要系报告期销售回款增加所致。</w:t>
      </w:r>
    </w:p>
    <w:p>
      <w:pPr>
        <w:pStyle w:val="Style24"/>
        <w:keepNext w:val="0"/>
        <w:keepLines w:val="0"/>
        <w:widowControl w:val="0"/>
        <w:numPr>
          <w:ilvl w:val="0"/>
          <w:numId w:val="3"/>
        </w:numPr>
        <w:shd w:val="clear" w:color="auto" w:fill="auto"/>
        <w:tabs>
          <w:tab w:pos="315" w:val="left"/>
        </w:tabs>
        <w:bidi w:val="0"/>
        <w:spacing w:before="0" w:after="140" w:line="691" w:lineRule="exact"/>
        <w:ind w:left="0" w:right="0" w:firstLine="0"/>
        <w:jc w:val="left"/>
      </w:pPr>
      <w:bookmarkStart w:id="160" w:name="bookmark160"/>
      <w:bookmarkEnd w:id="160"/>
      <w:r>
        <w:rPr>
          <w:color w:val="000000"/>
          <w:spacing w:val="0"/>
          <w:w w:val="100"/>
          <w:position w:val="0"/>
        </w:rPr>
        <w:t>筹资活动产生的现金流量净额比上年增加</w:t>
      </w:r>
      <w:r>
        <w:rPr>
          <w:rFonts w:ascii="Times New Roman" w:eastAsia="Times New Roman" w:hAnsi="Times New Roman" w:cs="Times New Roman"/>
          <w:color w:val="000000"/>
          <w:spacing w:val="0"/>
          <w:w w:val="100"/>
          <w:position w:val="0"/>
          <w:sz w:val="18"/>
          <w:szCs w:val="18"/>
        </w:rPr>
        <w:t>84.08%</w:t>
      </w:r>
      <w:r>
        <w:rPr>
          <w:color w:val="000000"/>
          <w:spacing w:val="0"/>
          <w:w w:val="100"/>
          <w:position w:val="0"/>
        </w:rPr>
        <w:t>，主要系去年偿还年初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亿借款及利息所致。 报告期内公司经营活动产生的现金净流量与本年度净利润存在重大差异的原因说明</w:t>
      </w:r>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三</w:t>
      </w:r>
      <w:bookmarkEnd w:id="163"/>
      <w:r>
        <w:rPr>
          <w:color w:val="000000"/>
          <w:spacing w:val="0"/>
          <w:w w:val="100"/>
          <w:position w:val="0"/>
          <w:sz w:val="24"/>
          <w:szCs w:val="24"/>
        </w:rPr>
        <w:t>、非主营业务分析</w:t>
      </w:r>
      <w:bookmarkEnd w:id="161"/>
      <w:bookmarkEnd w:id="162"/>
      <w:bookmarkEnd w:id="16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52"/>
        <w:gridCol w:w="1128"/>
        <w:gridCol w:w="1416"/>
        <w:gridCol w:w="4262"/>
        <w:gridCol w:w="163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652,099.40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主要系对成都摩宝网络科技有限公司、成都市数字城 市运营管理有限公司和工业信息安全（四川）创新中 心有限公司的长期股权投资按权益法确认的投资收 </w:t>
            </w:r>
            <w:r>
              <w:rPr>
                <w:color w:val="000000"/>
                <w:spacing w:val="0"/>
                <w:w w:val="100"/>
                <w:position w:val="0"/>
                <w:u w:val="single"/>
              </w:rPr>
              <w:t>益</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54,818,986.99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主要系公司根据会计准则对应收款项、存货、合同资 产计提的减值及坏账准备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1,155,568.74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主要系政策性市场政府补助收入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14,459.42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主要系低耗品报废损失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四</w:t>
      </w:r>
      <w:bookmarkEnd w:id="167"/>
      <w:r>
        <w:rPr>
          <w:color w:val="000000"/>
          <w:spacing w:val="0"/>
          <w:w w:val="100"/>
          <w:position w:val="0"/>
          <w:sz w:val="24"/>
          <w:szCs w:val="24"/>
        </w:rPr>
        <w:t>、资产及负债状况分析</w:t>
      </w:r>
      <w:bookmarkEnd w:id="165"/>
      <w:bookmarkEnd w:id="166"/>
      <w:bookmarkEnd w:id="168"/>
    </w:p>
    <w:p>
      <w:pPr>
        <w:pStyle w:val="Style30"/>
        <w:keepNext/>
        <w:keepLines/>
        <w:widowControl w:val="0"/>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30"/>
        <w:gridCol w:w="1416"/>
        <w:gridCol w:w="1416"/>
        <w:gridCol w:w="1709"/>
        <w:gridCol w:w="1128"/>
        <w:gridCol w:w="1210"/>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1,985,273,734.86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1,499,545,065.00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1,274,671,255.83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1,421,851 263.97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475,493,509.36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290,513,173.37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58,447,728. 96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28,795,629.56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316,104,932.94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309,875,547.72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1,176,786,119.27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pStyle w:val="Style30"/>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、以公允价值计量的资产和负债</w:t>
      </w:r>
      <w:bookmarkEnd w:id="173"/>
      <w:bookmarkEnd w:id="174"/>
      <w:bookmarkEnd w:id="17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128"/>
        <w:gridCol w:w="1142"/>
        <w:gridCol w:w="1416"/>
        <w:gridCol w:w="854"/>
        <w:gridCol w:w="710"/>
        <w:gridCol w:w="696"/>
        <w:gridCol w:w="864"/>
        <w:gridCol w:w="1066"/>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计入权益的累计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期末数</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公允价值变动</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售金额</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2,528,373.48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3,000,237.99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2,528,373.48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3,000,237.99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2,528,373.48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3,000,237.99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360" w:line="360" w:lineRule="exact"/>
        <w:ind w:left="0" w:right="0" w:firstLine="0"/>
        <w:jc w:val="left"/>
        <w:rPr>
          <w:sz w:val="18"/>
          <w:szCs w:val="18"/>
        </w:rPr>
      </w:pPr>
      <w:r>
        <w:rPr>
          <w:color w:val="000000"/>
          <w:spacing w:val="0"/>
          <w:w w:val="100"/>
          <w:position w:val="0"/>
          <w:sz w:val="17"/>
          <w:szCs w:val="17"/>
        </w:rPr>
        <w:t xml:space="preserve">报告期内公司主要资产计量属性是否发生重大变化 </w:t>
      </w:r>
      <w:r>
        <w:rPr>
          <w:color w:val="000000"/>
          <w:spacing w:val="0"/>
          <w:w w:val="100"/>
          <w:position w:val="0"/>
          <w:sz w:val="18"/>
          <w:szCs w:val="18"/>
        </w:rPr>
        <w:t>口</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0"/>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、截至报告期末的资产权利受限情况</w:t>
      </w:r>
      <w:bookmarkEnd w:id="177"/>
      <w:bookmarkEnd w:id="178"/>
      <w:bookmarkEnd w:id="180"/>
    </w:p>
    <w:tbl>
      <w:tblPr>
        <w:tblOverlap w:val="never"/>
        <w:jc w:val="center"/>
        <w:tblLayout w:type="fixed"/>
      </w:tblPr>
      <w:tblGrid>
        <w:gridCol w:w="3226"/>
        <w:gridCol w:w="3230"/>
        <w:gridCol w:w="323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24,856,544.63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银行保函、汇票存出保证金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因涉诉被法院查封</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1,187,953,943.00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五</w:t>
      </w:r>
      <w:bookmarkEnd w:id="183"/>
      <w:r>
        <w:rPr>
          <w:color w:val="000000"/>
          <w:spacing w:val="0"/>
          <w:w w:val="100"/>
          <w:position w:val="0"/>
          <w:sz w:val="24"/>
          <w:szCs w:val="24"/>
        </w:rPr>
        <w:t>、投资状况分析</w:t>
      </w:r>
      <w:bookmarkEnd w:id="181"/>
      <w:bookmarkEnd w:id="182"/>
      <w:bookmarkEnd w:id="184"/>
    </w:p>
    <w:p>
      <w:pPr>
        <w:pStyle w:val="Style30"/>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、总体情况</w:t>
      </w:r>
      <w:bookmarkEnd w:id="185"/>
      <w:bookmarkEnd w:id="186"/>
      <w:bookmarkEnd w:id="188"/>
    </w:p>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30"/>
        <w:keepNext/>
        <w:keepLines/>
        <w:widowControl w:val="0"/>
        <w:shd w:val="clear" w:color="auto" w:fill="auto"/>
        <w:tabs>
          <w:tab w:pos="368"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w:t>
        <w:tab/>
        <w:t>报告期内获取的重大的股权投资情况</w:t>
      </w:r>
      <w:bookmarkEnd w:id="189"/>
      <w:bookmarkEnd w:id="190"/>
      <w:bookmarkEnd w:id="19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w:t>
        <w:tab/>
        <w:t>报告期内正在进行的重大的非股权投资情况</w:t>
      </w:r>
      <w:bookmarkEnd w:id="193"/>
      <w:bookmarkEnd w:id="194"/>
      <w:bookmarkEnd w:id="196"/>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w:t>
        <w:tab/>
        <w:t>金融资产投资</w:t>
      </w:r>
      <w:bookmarkEnd w:id="197"/>
      <w:bookmarkEnd w:id="198"/>
      <w:bookmarkEnd w:id="200"/>
    </w:p>
    <w:p>
      <w:pPr>
        <w:pStyle w:val="Style40"/>
        <w:keepNext/>
        <w:keepLines/>
        <w:widowControl w:val="0"/>
        <w:shd w:val="clear" w:color="auto" w:fill="auto"/>
        <w:tabs>
          <w:tab w:pos="483" w:val="left"/>
        </w:tabs>
        <w:bidi w:val="0"/>
        <w:spacing w:before="0" w:after="38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1"/>
      <w:bookmarkEnd w:id="202"/>
      <w:bookmarkEnd w:id="20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0"/>
        <w:keepNext/>
        <w:keepLines/>
        <w:widowControl w:val="0"/>
        <w:shd w:val="clear" w:color="auto" w:fill="auto"/>
        <w:tabs>
          <w:tab w:pos="483" w:val="left"/>
        </w:tabs>
        <w:bidi w:val="0"/>
        <w:spacing w:before="0" w:after="38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5"/>
      <w:bookmarkEnd w:id="206"/>
      <w:bookmarkEnd w:id="20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0"/>
        <w:keepNext/>
        <w:keepLines/>
        <w:widowControl w:val="0"/>
        <w:shd w:val="clear" w:color="auto" w:fill="auto"/>
        <w:tabs>
          <w:tab w:pos="368" w:val="left"/>
        </w:tabs>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w:t>
        <w:tab/>
        <w:t>募集资金使用情况</w:t>
      </w:r>
      <w:bookmarkEnd w:id="209"/>
      <w:bookmarkEnd w:id="210"/>
      <w:bookmarkEnd w:id="212"/>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both"/>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3"/>
      <w:bookmarkEnd w:id="214"/>
      <w:bookmarkEnd w:id="216"/>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874"/>
        <w:gridCol w:w="864"/>
        <w:gridCol w:w="878"/>
        <w:gridCol w:w="874"/>
        <w:gridCol w:w="878"/>
        <w:gridCol w:w="864"/>
        <w:gridCol w:w="869"/>
        <w:gridCol w:w="874"/>
        <w:gridCol w:w="869"/>
        <w:gridCol w:w="874"/>
        <w:gridCol w:w="87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05"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199,498.58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66,734.59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暂时补充 流动资金, 剩余未使 用部分存 放于募集 资金专户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199,498.58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66,734.59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39"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共使用募集资金</w:t>
            </w:r>
            <w:r>
              <w:rPr>
                <w:rFonts w:ascii="Times New Roman" w:eastAsia="Times New Roman" w:hAnsi="Times New Roman" w:cs="Times New Roman"/>
                <w:color w:val="000000"/>
                <w:spacing w:val="0"/>
                <w:w w:val="100"/>
                <w:position w:val="0"/>
                <w:sz w:val="18"/>
                <w:szCs w:val="18"/>
              </w:rPr>
              <w:t>1,988.72</w:t>
            </w:r>
            <w:r>
              <w:rPr>
                <w:color w:val="000000"/>
                <w:spacing w:val="0"/>
                <w:w w:val="100"/>
                <w:position w:val="0"/>
              </w:rPr>
              <w:t>万元，本报告期募集资金专用账户取得利息收入净额为</w:t>
            </w:r>
            <w:r>
              <w:rPr>
                <w:rFonts w:ascii="Times New Roman" w:eastAsia="Times New Roman" w:hAnsi="Times New Roman" w:cs="Times New Roman"/>
                <w:color w:val="000000"/>
                <w:spacing w:val="0"/>
                <w:w w:val="100"/>
                <w:position w:val="0"/>
                <w:sz w:val="18"/>
                <w:szCs w:val="18"/>
              </w:rPr>
              <w:t>2,271.36</w:t>
            </w:r>
            <w:r>
              <w:rPr>
                <w:color w:val="000000"/>
                <w:spacing w:val="0"/>
                <w:w w:val="100"/>
                <w:position w:val="0"/>
              </w:rPr>
              <w:t>万元 （包含结构性存款利息收入）。截止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日，募集资金累计直接投入募投项目</w:t>
            </w:r>
            <w:r>
              <w:rPr>
                <w:rFonts w:ascii="Times New Roman" w:eastAsia="Times New Roman" w:hAnsi="Times New Roman" w:cs="Times New Roman"/>
                <w:color w:val="000000"/>
                <w:spacing w:val="0"/>
                <w:w w:val="100"/>
                <w:position w:val="0"/>
                <w:sz w:val="18"/>
                <w:szCs w:val="18"/>
              </w:rPr>
              <w:t>199,498.58</w:t>
            </w:r>
            <w:r>
              <w:rPr>
                <w:color w:val="000000"/>
                <w:spacing w:val="0"/>
                <w:w w:val="100"/>
                <w:position w:val="0"/>
              </w:rPr>
              <w:t>万元，募集资金专用 账户累积取得利息收入净额为</w:t>
            </w:r>
            <w:r>
              <w:rPr>
                <w:rFonts w:ascii="Times New Roman" w:eastAsia="Times New Roman" w:hAnsi="Times New Roman" w:cs="Times New Roman"/>
                <w:color w:val="000000"/>
                <w:spacing w:val="0"/>
                <w:w w:val="100"/>
                <w:position w:val="0"/>
                <w:sz w:val="18"/>
                <w:szCs w:val="18"/>
              </w:rPr>
              <w:t>10,444.00</w:t>
            </w:r>
            <w:r>
              <w:rPr>
                <w:color w:val="000000"/>
                <w:spacing w:val="0"/>
                <w:w w:val="100"/>
                <w:position w:val="0"/>
              </w:rPr>
              <w:t>万元（包含结构性存款利息收入），以募集资金暂时补充流动资金占用</w:t>
            </w:r>
            <w:r>
              <w:rPr>
                <w:rFonts w:ascii="Times New Roman" w:eastAsia="Times New Roman" w:hAnsi="Times New Roman" w:cs="Times New Roman"/>
                <w:color w:val="000000"/>
                <w:spacing w:val="0"/>
                <w:w w:val="100"/>
                <w:position w:val="0"/>
                <w:sz w:val="18"/>
                <w:szCs w:val="18"/>
              </w:rPr>
              <w:t xml:space="preserve">14,000.00 </w:t>
            </w:r>
            <w:r>
              <w:rPr>
                <w:color w:val="000000"/>
                <w:spacing w:val="0"/>
                <w:w w:val="100"/>
                <w:position w:val="0"/>
              </w:rPr>
              <w:t>万元，募集资金余额为人民币</w:t>
            </w:r>
            <w:r>
              <w:rPr>
                <w:rFonts w:ascii="Times New Roman" w:eastAsia="Times New Roman" w:hAnsi="Times New Roman" w:cs="Times New Roman"/>
                <w:color w:val="000000"/>
                <w:spacing w:val="0"/>
                <w:w w:val="100"/>
                <w:position w:val="0"/>
                <w:sz w:val="18"/>
                <w:szCs w:val="18"/>
              </w:rPr>
              <w:t>63,178.59</w:t>
            </w:r>
            <w:r>
              <w:rPr>
                <w:color w:val="000000"/>
                <w:spacing w:val="0"/>
                <w:w w:val="100"/>
                <w:position w:val="0"/>
              </w:rPr>
              <w:t>万元。</w:t>
            </w:r>
          </w:p>
        </w:tc>
      </w:tr>
    </w:tbl>
    <w:p>
      <w:pPr>
        <w:widowControl w:val="0"/>
        <w:spacing w:after="379" w:line="1" w:lineRule="exact"/>
      </w:pPr>
    </w:p>
    <w:p>
      <w:pPr>
        <w:pStyle w:val="Style40"/>
        <w:keepNext/>
        <w:keepLines/>
        <w:widowControl w:val="0"/>
        <w:shd w:val="clear" w:color="auto" w:fill="auto"/>
        <w:bidi w:val="0"/>
        <w:spacing w:before="0" w:after="380" w:line="240" w:lineRule="auto"/>
        <w:ind w:left="0" w:right="0" w:firstLine="14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7"/>
      <w:bookmarkEnd w:id="218"/>
      <w:bookmarkEnd w:id="220"/>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86"/>
        <w:gridCol w:w="768"/>
        <w:gridCol w:w="782"/>
        <w:gridCol w:w="782"/>
        <w:gridCol w:w="778"/>
        <w:gridCol w:w="782"/>
        <w:gridCol w:w="782"/>
        <w:gridCol w:w="778"/>
        <w:gridCol w:w="792"/>
        <w:gridCol w:w="773"/>
        <w:gridCol w:w="787"/>
      </w:tblGrid>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承诺投资项目和超募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截至期末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项目达到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是否达到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项目可行</w:t>
            </w:r>
          </w:p>
        </w:tc>
      </w:tr>
    </w:tbl>
    <w:p>
      <w:pPr>
        <w:spacing w:lineRule="exact" w:line="1"/>
        <w:rPr>
          <w:sz w:val="2"/>
          <w:szCs w:val="2"/>
        </w:rPr>
      </w:pPr>
      <w:r>
        <w:br w:type="page"/>
      </w:r>
    </w:p>
    <w:tbl>
      <w:tblPr>
        <w:tblOverlap w:val="never"/>
        <w:jc w:val="center"/>
        <w:tblLayout w:type="fixed"/>
      </w:tblPr>
      <w:tblGrid>
        <w:gridCol w:w="1786"/>
        <w:gridCol w:w="768"/>
        <w:gridCol w:w="782"/>
        <w:gridCol w:w="782"/>
        <w:gridCol w:w="778"/>
        <w:gridCol w:w="782"/>
        <w:gridCol w:w="782"/>
        <w:gridCol w:w="778"/>
        <w:gridCol w:w="782"/>
        <w:gridCol w:w="782"/>
        <w:gridCol w:w="787"/>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540"/>
              <w:jc w:val="left"/>
            </w:pPr>
            <w:r>
              <w:rPr>
                <w:color w:val="000000"/>
                <w:spacing w:val="0"/>
                <w:w w:val="100"/>
                <w:position w:val="0"/>
              </w:rPr>
              <w:t>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7"/>
                <w:szCs w:val="17"/>
              </w:rPr>
              <w:t xml:space="preserve">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220" w:right="0" w:hanging="220"/>
              <w:jc w:val="left"/>
            </w:pPr>
            <w:r>
              <w:rPr>
                <w:color w:val="000000"/>
                <w:spacing w:val="0"/>
                <w:w w:val="100"/>
                <w:position w:val="0"/>
              </w:rPr>
              <w:t>承诺投资 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资总额</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累计投入</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投资进度</w:t>
            </w:r>
          </w:p>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实现的效</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u w:val="single"/>
              </w:rPr>
              <w:t>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化</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新型商用密码系列产 品产业化及国际化项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57211.58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安全智能移动终端及 应用服务产业化项目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国产自主高安全专用 终端项目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面向工业控制系统和 物联网的系列安全芯 片项目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行业安全解决方案创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新中心项目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44,977.74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266,233.1</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266,233.1</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266,233.1</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266,233.1</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682"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根据《非公开发行股票预案（修订稿）》，为了确保五个募投项目的顺利实施，公司募集资金到位前， 以自筹资金实际预先投入</w:t>
            </w:r>
            <w:r>
              <w:rPr>
                <w:rFonts w:ascii="Times New Roman" w:eastAsia="Times New Roman" w:hAnsi="Times New Roman" w:cs="Times New Roman"/>
                <w:color w:val="000000"/>
                <w:spacing w:val="0"/>
                <w:w w:val="100"/>
                <w:position w:val="0"/>
                <w:sz w:val="18"/>
                <w:szCs w:val="18"/>
              </w:rPr>
              <w:t>114,230.29</w:t>
            </w:r>
            <w:r>
              <w:rPr>
                <w:color w:val="000000"/>
                <w:spacing w:val="0"/>
                <w:w w:val="100"/>
                <w:position w:val="0"/>
              </w:rPr>
              <w:t>万元，在本次非公开发行股票募集资金到位后，以募集资金置</w:t>
            </w:r>
          </w:p>
        </w:tc>
      </w:tr>
    </w:tbl>
    <w:p>
      <w:pPr>
        <w:spacing w:lineRule="exact" w:line="1"/>
        <w:rPr>
          <w:sz w:val="2"/>
          <w:szCs w:val="2"/>
        </w:rPr>
      </w:pPr>
      <w:r>
        <w:br w:type="page"/>
      </w:r>
    </w:p>
    <w:tbl>
      <w:tblPr>
        <w:tblOverlap w:val="never"/>
        <w:jc w:val="center"/>
        <w:tblLayout w:type="fixed"/>
      </w:tblPr>
      <w:tblGrid>
        <w:gridCol w:w="1786"/>
        <w:gridCol w:w="7805"/>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换预先投入自筹资金</w:t>
            </w:r>
            <w:r>
              <w:rPr>
                <w:rFonts w:ascii="Times New Roman" w:eastAsia="Times New Roman" w:hAnsi="Times New Roman" w:cs="Times New Roman"/>
                <w:color w:val="000000"/>
                <w:spacing w:val="0"/>
                <w:w w:val="100"/>
                <w:position w:val="0"/>
                <w:sz w:val="18"/>
                <w:szCs w:val="18"/>
              </w:rPr>
              <w:t>114,230.29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日，公司第六届董事会第二十五次会议、第 六届监事会第二十二次会议审议通过了《关于使用募集资金置换预先投入募投项目自筹资金的议 案》，同意公司以募集资金置换预先已投入募投项目自筹资金</w:t>
            </w:r>
            <w:r>
              <w:rPr>
                <w:rFonts w:ascii="Times New Roman" w:eastAsia="Times New Roman" w:hAnsi="Times New Roman" w:cs="Times New Roman"/>
                <w:color w:val="000000"/>
                <w:spacing w:val="0"/>
                <w:w w:val="100"/>
                <w:position w:val="0"/>
                <w:sz w:val="18"/>
                <w:szCs w:val="18"/>
              </w:rPr>
              <w:t>114,230.29</w:t>
            </w:r>
            <w:r>
              <w:rPr>
                <w:color w:val="000000"/>
                <w:spacing w:val="0"/>
                <w:w w:val="100"/>
                <w:position w:val="0"/>
              </w:rPr>
              <w:t>万元。独立董事对该议案发 表了同意的独立意见。</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89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在确保不影响募集资金投资项目正常实施进度的前提下，公司为降低财务费用，提高经营效益，使 用了部分闲置资金暂时补充流动资金，总额不超过人民币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万元，使用期限为自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个月内。相关事项已经第七届董事会第七次会议、第七届监事会第六次会议审议通过， 并按要求进行了公告。独立董事及保荐机构均对该议案发表了同意意见。具体内容详见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日公司在指定信息披露媒体《证券时报》、《中国证券报》和巨潮资讯网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）披露的《第七届董事会第七次会议决议公告》（公告编号：</w:t>
            </w:r>
            <w:r>
              <w:rPr>
                <w:rFonts w:ascii="Times New Roman" w:eastAsia="Times New Roman" w:hAnsi="Times New Roman" w:cs="Times New Roman"/>
                <w:color w:val="000000"/>
                <w:spacing w:val="0"/>
                <w:w w:val="100"/>
                <w:position w:val="0"/>
                <w:sz w:val="18"/>
                <w:szCs w:val="18"/>
              </w:rPr>
              <w:t>2020-008</w:t>
            </w:r>
            <w:r>
              <w:rPr>
                <w:color w:val="000000"/>
                <w:spacing w:val="0"/>
                <w:w w:val="100"/>
                <w:position w:val="0"/>
              </w:rPr>
              <w:t>）、《第七 届监事会第六次会议决议公告》（公告编号：</w:t>
            </w:r>
            <w:r>
              <w:rPr>
                <w:rFonts w:ascii="Times New Roman" w:eastAsia="Times New Roman" w:hAnsi="Times New Roman" w:cs="Times New Roman"/>
                <w:color w:val="000000"/>
                <w:spacing w:val="0"/>
                <w:w w:val="100"/>
                <w:position w:val="0"/>
                <w:sz w:val="18"/>
                <w:szCs w:val="18"/>
              </w:rPr>
              <w:t>2020-009</w:t>
            </w:r>
            <w:r>
              <w:rPr>
                <w:color w:val="000000"/>
                <w:spacing w:val="0"/>
                <w:w w:val="100"/>
                <w:position w:val="0"/>
              </w:rPr>
              <w:t>）、《关于使用部分闲置募集资金暂时补充流动 资金的公告》（公告编号：</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rPr>
              <w:t>）。公司实际使用闲置募集资金</w:t>
            </w:r>
            <w:r>
              <w:rPr>
                <w:rFonts w:ascii="Times New Roman" w:eastAsia="Times New Roman" w:hAnsi="Times New Roman" w:cs="Times New Roman"/>
                <w:color w:val="000000"/>
                <w:spacing w:val="0"/>
                <w:w w:val="100"/>
                <w:position w:val="0"/>
                <w:sz w:val="18"/>
                <w:szCs w:val="18"/>
              </w:rPr>
              <w:t>14,000</w:t>
            </w:r>
            <w:r>
              <w:rPr>
                <w:color w:val="000000"/>
                <w:spacing w:val="0"/>
                <w:w w:val="100"/>
                <w:position w:val="0"/>
              </w:rPr>
              <w:t>万元用于暂时补充流动资 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日尚未到期归还。</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公司使用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年非公开发行股票暂时闲置募集资金暂时补充流动资金</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万元，剩余未使用 部分存放于标的公司募集资金专户中；截至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日，募集资金账户余额为</w:t>
            </w:r>
            <w:r>
              <w:rPr>
                <w:rFonts w:ascii="Times New Roman" w:eastAsia="Times New Roman" w:hAnsi="Times New Roman" w:cs="Times New Roman"/>
                <w:color w:val="000000"/>
                <w:spacing w:val="0"/>
                <w:w w:val="100"/>
                <w:position w:val="0"/>
                <w:sz w:val="18"/>
                <w:szCs w:val="18"/>
              </w:rPr>
              <w:t>63,178.59</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40"/>
        <w:keepNext/>
        <w:keepLines/>
        <w:widowControl w:val="0"/>
        <w:shd w:val="clear" w:color="auto" w:fill="auto"/>
        <w:bidi w:val="0"/>
        <w:spacing w:before="0" w:after="400" w:line="240" w:lineRule="auto"/>
        <w:ind w:left="0" w:right="0" w:firstLine="14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1"/>
      <w:bookmarkEnd w:id="222"/>
      <w:bookmarkEnd w:id="22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0"/>
        <w:keepNext/>
        <w:keepLines/>
        <w:widowControl w:val="0"/>
        <w:shd w:val="clear" w:color="auto" w:fill="auto"/>
        <w:tabs>
          <w:tab w:pos="517"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六</w:t>
      </w:r>
      <w:bookmarkEnd w:id="227"/>
      <w:r>
        <w:rPr>
          <w:color w:val="000000"/>
          <w:spacing w:val="0"/>
          <w:w w:val="100"/>
          <w:position w:val="0"/>
          <w:sz w:val="24"/>
          <w:szCs w:val="24"/>
        </w:rPr>
        <w:t>、</w:t>
        <w:tab/>
        <w:t>重大资产和股权出售</w:t>
      </w:r>
      <w:bookmarkEnd w:id="225"/>
      <w:bookmarkEnd w:id="226"/>
      <w:bookmarkEnd w:id="228"/>
    </w:p>
    <w:p>
      <w:pPr>
        <w:pStyle w:val="Style30"/>
        <w:keepNext/>
        <w:keepLines/>
        <w:widowControl w:val="0"/>
        <w:shd w:val="clear" w:color="auto" w:fill="auto"/>
        <w:tabs>
          <w:tab w:pos="404" w:val="left"/>
        </w:tabs>
        <w:bidi w:val="0"/>
        <w:spacing w:before="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出售重大资产情况</w:t>
      </w:r>
      <w:bookmarkEnd w:id="229"/>
      <w:bookmarkEnd w:id="230"/>
      <w:bookmarkEnd w:id="23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04" w:val="left"/>
        </w:tabs>
        <w:bidi w:val="0"/>
        <w:spacing w:before="0" w:after="40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出售重大股权情况</w:t>
      </w:r>
      <w:bookmarkEnd w:id="233"/>
      <w:bookmarkEnd w:id="234"/>
      <w:bookmarkEnd w:id="236"/>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both"/>
      </w:pPr>
      <w:bookmarkStart w:id="237" w:name="bookmark237"/>
      <w:bookmarkStart w:id="238" w:name="bookmark238"/>
      <w:bookmarkStart w:id="239" w:name="bookmark239"/>
      <w:bookmarkStart w:id="240" w:name="bookmark240"/>
      <w:r>
        <w:rPr>
          <w:color w:val="000000"/>
          <w:spacing w:val="0"/>
          <w:w w:val="100"/>
          <w:position w:val="0"/>
          <w:sz w:val="24"/>
          <w:szCs w:val="24"/>
        </w:rPr>
        <w:t>七</w:t>
      </w:r>
      <w:bookmarkEnd w:id="239"/>
      <w:r>
        <w:rPr>
          <w:color w:val="000000"/>
          <w:spacing w:val="0"/>
          <w:w w:val="100"/>
          <w:position w:val="0"/>
          <w:sz w:val="24"/>
          <w:szCs w:val="24"/>
        </w:rPr>
        <w:t>、</w:t>
        <w:tab/>
        <w:t>主要控股参股公司分析</w:t>
      </w:r>
      <w:bookmarkEnd w:id="237"/>
      <w:bookmarkEnd w:id="238"/>
      <w:bookmarkEnd w:id="240"/>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54"/>
        <w:gridCol w:w="1282"/>
        <w:gridCol w:w="941"/>
        <w:gridCol w:w="1042"/>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中电科（北京） 网络信息安全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信息安全产品 开发、销售、集 成及服务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2,853,420 28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2,761,230,67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243,276,256.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18,010,922.6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22,568,424.5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成都三零嘉微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信息安全产品、 集成电路开发、 销售及服务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133,578,00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1,584,058,03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1,019,93628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307,502,667.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94,330,013.6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86,003,475.9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成都卫士通信 息安全技术有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信息安全产品 开发、销售、集 成及服务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1,992,998,62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272,203,177.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1,731,268,42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29,636,727.1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27,923,482.1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成都三零瑞通 移动通信有限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通信设备、信息 安全设备产品 等研发、生产、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911,792,765.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316,271,491.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408,844,972.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6,412,313.56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8,230,932.91</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中电科（天津） 网络信息安全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信息传输、软件 和信息技术产 品销售及服务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4,012,796.10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-14,094,227.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9,191,897.13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-2,282,880.6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-2,263,233.0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5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6"/>
        <w:gridCol w:w="3902"/>
        <w:gridCol w:w="248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对整体生产经营和业绩的影响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被子公司成都三零嘉微电子有限公司吸收合并， 公司注销。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被子公司成都三零嘉微电子有限公司吸收合并， 公司注销。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公司投资设立的全资子公司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59" w:line="1" w:lineRule="exact"/>
      </w:pPr>
    </w:p>
    <w:p>
      <w:pPr>
        <w:pStyle w:val="Style34"/>
        <w:keepNext w:val="0"/>
        <w:keepLines w:val="0"/>
        <w:widowControl w:val="0"/>
        <w:shd w:val="clear" w:color="auto" w:fill="auto"/>
        <w:bidi w:val="0"/>
        <w:spacing w:before="0" w:after="340" w:line="311" w:lineRule="exact"/>
        <w:ind w:left="0" w:right="0" w:firstLine="460"/>
        <w:jc w:val="both"/>
      </w:pPr>
      <w:r>
        <w:rPr>
          <w:color w:val="000000"/>
          <w:spacing w:val="0"/>
          <w:w w:val="100"/>
          <w:position w:val="0"/>
        </w:rPr>
        <w:t>为支撑战略规划落地、加强在芯片等业务上的布局、优化治理结构、提高经营效率，成都卫士通信息 产业股份有限公司（以下简称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日召开第七届董事会第十一次会议，审议通过了《关 于子公司之间吸收合并的议案》，由下属子公司成都三零嘉微电子有限公司（以下简称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三零嘉微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作为 存续主体，吸收合并成都三零盛安信息系统有限公司、成都三零瑞通移动通信有限公司、四川卫士通信息 安全平台技术有限公司，因此三零嘉微经营业绩、资产规模较上年同期增长幅度较大。</w:t>
      </w:r>
    </w:p>
    <w:p>
      <w:pPr>
        <w:pStyle w:val="Style20"/>
        <w:keepNext/>
        <w:keepLines/>
        <w:widowControl w:val="0"/>
        <w:shd w:val="clear" w:color="auto" w:fill="auto"/>
        <w:tabs>
          <w:tab w:pos="517" w:val="left"/>
        </w:tabs>
        <w:bidi w:val="0"/>
        <w:spacing w:before="0" w:after="38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八</w:t>
      </w:r>
      <w:bookmarkEnd w:id="243"/>
      <w:r>
        <w:rPr>
          <w:color w:val="000000"/>
          <w:spacing w:val="0"/>
          <w:w w:val="100"/>
          <w:position w:val="0"/>
          <w:sz w:val="24"/>
          <w:szCs w:val="24"/>
        </w:rPr>
        <w:t>、</w:t>
        <w:tab/>
        <w:t>公司控制的结构化主体情况</w:t>
      </w:r>
      <w:bookmarkEnd w:id="241"/>
      <w:bookmarkEnd w:id="242"/>
      <w:bookmarkEnd w:id="244"/>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8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九</w:t>
      </w:r>
      <w:bookmarkEnd w:id="247"/>
      <w:r>
        <w:rPr>
          <w:color w:val="000000"/>
          <w:spacing w:val="0"/>
          <w:w w:val="100"/>
          <w:position w:val="0"/>
          <w:sz w:val="24"/>
          <w:szCs w:val="24"/>
        </w:rPr>
        <w:t>、</w:t>
        <w:tab/>
        <w:t>公司未来发展的展望</w:t>
      </w:r>
      <w:bookmarkEnd w:id="245"/>
      <w:bookmarkEnd w:id="246"/>
      <w:bookmarkEnd w:id="248"/>
    </w:p>
    <w:p>
      <w:pPr>
        <w:pStyle w:val="Style24"/>
        <w:keepNext w:val="0"/>
        <w:keepLines w:val="0"/>
        <w:widowControl w:val="0"/>
        <w:shd w:val="clear" w:color="auto" w:fill="auto"/>
        <w:bidi w:val="0"/>
        <w:spacing w:before="0" w:after="140" w:line="240" w:lineRule="auto"/>
        <w:ind w:left="0" w:right="0" w:firstLine="440"/>
        <w:jc w:val="both"/>
      </w:pPr>
      <w:bookmarkStart w:id="249" w:name="bookmark249"/>
      <w:r>
        <w:rPr>
          <w:b/>
          <w:bCs/>
          <w:color w:val="000000"/>
          <w:spacing w:val="0"/>
          <w:w w:val="100"/>
          <w:position w:val="0"/>
        </w:rPr>
        <w:t>（</w:t>
      </w:r>
      <w:bookmarkEnd w:id="249"/>
      <w:r>
        <w:rPr>
          <w:b/>
          <w:bCs/>
          <w:color w:val="000000"/>
          <w:spacing w:val="0"/>
          <w:w w:val="100"/>
          <w:position w:val="0"/>
        </w:rPr>
        <w:t>一）行业格局和趋势</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展望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年，科技革命呈现出了数字化、智能化的特征，我国大力发展数字经济相关产业，包括</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网络、人工智能、 工业互联网、大数据中心等为代表的一系列新型基础设施逐渐成为创新热点。同时，新冠肺炎疫情严重扰乱了全球经济体系， 在全球经济下行的时代背景下，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的加速建设发挥了稳投资、稳增长的不可替代作用。随着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在各个领域的深 入开展，各行业对网络安全产品和服务的新需求为网络安全产业的发展提供了新机遇。《中华人民共和国密码法》、《网 络安全审查办法》、《数据安全法》、《个人信息保护法》等多项政策的密集发布和落地实施，我国网络安全相关法律法规 及配套制度不断完善，网络安全行业将迎来高速发展。</w:t>
      </w:r>
    </w:p>
    <w:p>
      <w:pPr>
        <w:pStyle w:val="Style24"/>
        <w:keepNext w:val="0"/>
        <w:keepLines w:val="0"/>
        <w:widowControl w:val="0"/>
        <w:shd w:val="clear" w:color="auto" w:fill="auto"/>
        <w:tabs>
          <w:tab w:pos="856" w:val="left"/>
        </w:tabs>
        <w:bidi w:val="0"/>
        <w:spacing w:before="0" w:after="0" w:line="313" w:lineRule="exact"/>
        <w:ind w:left="0" w:right="0" w:firstLine="380"/>
        <w:jc w:val="both"/>
      </w:pPr>
      <w:bookmarkStart w:id="250" w:name="bookmark250"/>
      <w:r>
        <w:rPr>
          <w:b/>
          <w:bCs/>
          <w:color w:val="000000"/>
          <w:spacing w:val="0"/>
          <w:w w:val="100"/>
          <w:position w:val="0"/>
        </w:rPr>
        <w:t>（</w:t>
      </w:r>
      <w:bookmarkEnd w:id="250"/>
      <w:r>
        <w:rPr>
          <w:b/>
          <w:bCs/>
          <w:color w:val="000000"/>
          <w:spacing w:val="0"/>
          <w:w w:val="100"/>
          <w:position w:val="0"/>
        </w:rPr>
        <w:t>二）</w:t>
        <w:tab/>
        <w:t>公司发展战略</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在网信产业发展环境新形势下，公司坚持价值导向，积极响应网络安全新需求，重点把握合规和内生两大市场驱动带来 的发展机会，在不断夯实密码和网络安全产品提供商、高安全信息系统集成商行业地位的基础上，以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开放、智能、平台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为发展重点，以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安全服务化、密码泛在化、攻防智能化、基础国产化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为发展思路，向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国内领先、国际知名的开放生态、 高度智能的平台型安全服务提供商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的战略定位转型。</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以服务转型为重点，创新发展安全服务新模式，拓展特定领域高安全应用服务，积极把握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机遇，建设国家网络 安全、密码基础设施。在市场方面，加强策划，提升顶层牵引能力，进一步细分、锁定、深耕重点行业市场，推动行业区域 的深度协同，区域之间的有机联动，推动新业务快速增长，与既有业务有机融合、相互促进。在解决方案方面，整合产品技 术，着力打造通用解决方案，挖掘行业需求，研究推广行业解决方案，把握产业发展趋势，助力业务转型、产品优化和生态 构建。在技术产品方面，优化研发管理，加强技术创新，着力打造精品，以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硬件设备虚拟化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软件产品云部署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为思路， 实现产品全面云化；以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基础国产化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芯片</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为思路，推进重点产品国产化，走向产业链上游。在对外合作方面，积极 推进产业合作，聚合内外资源，扩大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朋友圈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，主动融入、构建网络安全产业生态。在品牌宣传方面，推动公司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密码厂商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单一形象向可信赖、具备密码体系能力的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安全服务提供商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的新形象延伸，提升公司品牌软实力、影响力和号召力。在资本 运行方面，充分发挥上市公司资本运作平台的优势，通过收购、并购凝聚安全服务能力和资源，掌控产业链关键环节，走向 价值链高端。</w:t>
      </w:r>
    </w:p>
    <w:p>
      <w:pPr>
        <w:pStyle w:val="Style24"/>
        <w:keepNext w:val="0"/>
        <w:keepLines w:val="0"/>
        <w:widowControl w:val="0"/>
        <w:shd w:val="clear" w:color="auto" w:fill="auto"/>
        <w:tabs>
          <w:tab w:pos="856" w:val="left"/>
        </w:tabs>
        <w:bidi w:val="0"/>
        <w:spacing w:before="0" w:after="0" w:line="313" w:lineRule="exact"/>
        <w:ind w:left="0" w:right="0" w:firstLine="380"/>
        <w:jc w:val="both"/>
      </w:pPr>
      <w:bookmarkStart w:id="251" w:name="bookmark251"/>
      <w:r>
        <w:rPr>
          <w:b/>
          <w:bCs/>
          <w:color w:val="000000"/>
          <w:spacing w:val="0"/>
          <w:w w:val="100"/>
          <w:position w:val="0"/>
        </w:rPr>
        <w:t>（</w:t>
      </w:r>
      <w:bookmarkEnd w:id="251"/>
      <w:r>
        <w:rPr>
          <w:b/>
          <w:bCs/>
          <w:color w:val="000000"/>
          <w:spacing w:val="0"/>
          <w:w w:val="100"/>
          <w:position w:val="0"/>
        </w:rPr>
        <w:t>三）</w:t>
        <w:tab/>
        <w:t>经营计划</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提速，相关政策法规加速落地，数字经济和智能商业发展加快，网络安全市场持续向在线化、服务化、智 能化演进。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期间，公司将紧跟政策及市场趋势，积极落实网络强国战略，聚焦网络空间安全主业，主动践行新发展 理念，把握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安全即服务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的发展趋势，持续围绕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密码泛在化、基础国产化、攻防智能化、安全服务化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的发展思路，充分发 挥并强化可依赖企业形象、深厚密码基因等核心优势，提升核心技术能力和市场竞争力，主动打造安全服务运营平台，在巩 固电子政务、金融、能源等传统优势行业的市场地位的同时，加强在安全移动办公、政务、智慧城市、工业互联网等领域的 安全运营服务推广。围绕公司战略转型和快速高质发展要求，持续深化改革，优化业务布局，加速管理提升，全面提升公司 活力、影响力、控制力和抗风险能力，为战略目标实现提供强有力的支撑与保障。</w:t>
      </w:r>
    </w:p>
    <w:p>
      <w:pPr>
        <w:pStyle w:val="Style24"/>
        <w:keepNext w:val="0"/>
        <w:keepLines w:val="0"/>
        <w:widowControl w:val="0"/>
        <w:shd w:val="clear" w:color="auto" w:fill="auto"/>
        <w:tabs>
          <w:tab w:pos="650" w:val="left"/>
        </w:tabs>
        <w:bidi w:val="0"/>
        <w:spacing w:before="0" w:after="0" w:line="313" w:lineRule="exact"/>
        <w:ind w:left="0" w:right="0" w:firstLine="380"/>
        <w:jc w:val="both"/>
      </w:pPr>
      <w:bookmarkStart w:id="252" w:name="bookmark252"/>
      <w:r>
        <w:rPr>
          <w:rFonts w:ascii="Times New Roman" w:eastAsia="Times New Roman" w:hAnsi="Times New Roman" w:cs="Times New Roman"/>
          <w:color w:val="000000"/>
          <w:spacing w:val="0"/>
          <w:w w:val="100"/>
          <w:position w:val="0"/>
          <w:sz w:val="18"/>
          <w:szCs w:val="18"/>
        </w:rPr>
        <w:t>1</w:t>
      </w:r>
      <w:bookmarkEnd w:id="252"/>
      <w:r>
        <w:rPr>
          <w:color w:val="000000"/>
          <w:spacing w:val="0"/>
          <w:w w:val="100"/>
          <w:position w:val="0"/>
        </w:rPr>
        <w:t>、</w:t>
        <w:tab/>
        <w:t>战略引领，创新驱动，坚持高质量发展</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以公司规划纲要为引领，起草配套分子规划，形成完整的战略管理体系，牵引各项目标的制定和工作的开展；进一步明 确重点任务，配合转型目标匹配资源，从市场、方案、技术产品、服务、生态、品牌、资本等方统筹推进，推动战略规划的 实施与落地。</w:t>
      </w:r>
    </w:p>
    <w:p>
      <w:pPr>
        <w:pStyle w:val="Style24"/>
        <w:keepNext w:val="0"/>
        <w:keepLines w:val="0"/>
        <w:widowControl w:val="0"/>
        <w:shd w:val="clear" w:color="auto" w:fill="auto"/>
        <w:tabs>
          <w:tab w:pos="669" w:val="left"/>
        </w:tabs>
        <w:bidi w:val="0"/>
        <w:spacing w:before="0" w:after="0" w:line="313" w:lineRule="exact"/>
        <w:ind w:left="0" w:right="0" w:firstLine="380"/>
        <w:jc w:val="both"/>
      </w:pPr>
      <w:bookmarkStart w:id="253" w:name="bookmark253"/>
      <w:r>
        <w:rPr>
          <w:rFonts w:ascii="Times New Roman" w:eastAsia="Times New Roman" w:hAnsi="Times New Roman" w:cs="Times New Roman"/>
          <w:color w:val="000000"/>
          <w:spacing w:val="0"/>
          <w:w w:val="100"/>
          <w:position w:val="0"/>
          <w:sz w:val="18"/>
          <w:szCs w:val="18"/>
        </w:rPr>
        <w:t>2</w:t>
      </w:r>
      <w:bookmarkEnd w:id="253"/>
      <w:r>
        <w:rPr>
          <w:color w:val="000000"/>
          <w:spacing w:val="0"/>
          <w:w w:val="100"/>
          <w:position w:val="0"/>
        </w:rPr>
        <w:t>、</w:t>
        <w:tab/>
        <w:t>保持战略定力，久久为功，大力推动新业务发展</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安全即服务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理念，抓住网络安全产业服务化转型升级的新趋势、新机遇，推进以安全运营服务、安全移动办公业 务为代表的新业务；加强在政务、智慧城市、工业互联网等领域的安全运营服务推广，深入研究</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安全、能源安全、大数 据中心安全、车联网和人工智能安全应用场景，全力推动新业务、新模式快速成型、成熟。</w:t>
      </w:r>
    </w:p>
    <w:p>
      <w:pPr>
        <w:pStyle w:val="Style24"/>
        <w:keepNext w:val="0"/>
        <w:keepLines w:val="0"/>
        <w:widowControl w:val="0"/>
        <w:shd w:val="clear" w:color="auto" w:fill="auto"/>
        <w:tabs>
          <w:tab w:pos="669" w:val="left"/>
        </w:tabs>
        <w:bidi w:val="0"/>
        <w:spacing w:before="0" w:after="0" w:line="313" w:lineRule="exact"/>
        <w:ind w:left="0" w:right="0" w:firstLine="380"/>
        <w:jc w:val="both"/>
      </w:pPr>
      <w:bookmarkStart w:id="254" w:name="bookmark254"/>
      <w:r>
        <w:rPr>
          <w:rFonts w:ascii="Times New Roman" w:eastAsia="Times New Roman" w:hAnsi="Times New Roman" w:cs="Times New Roman"/>
          <w:color w:val="000000"/>
          <w:spacing w:val="0"/>
          <w:w w:val="100"/>
          <w:position w:val="0"/>
          <w:sz w:val="18"/>
          <w:szCs w:val="18"/>
        </w:rPr>
        <w:t>3</w:t>
      </w:r>
      <w:bookmarkEnd w:id="254"/>
      <w:r>
        <w:rPr>
          <w:color w:val="000000"/>
          <w:spacing w:val="0"/>
          <w:w w:val="100"/>
          <w:position w:val="0"/>
        </w:rPr>
        <w:t>、</w:t>
        <w:tab/>
        <w:t>强化管理提升，提高运营效率</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深度分析公司组织架构和管理制度，优化部门职责，全面梳理、修订制度，进一步完善内部管理制度。以公司</w:t>
      </w:r>
      <w:r>
        <w:rPr>
          <w:rFonts w:ascii="Times New Roman" w:eastAsia="Times New Roman" w:hAnsi="Times New Roman" w:cs="Times New Roman"/>
          <w:color w:val="000000"/>
          <w:spacing w:val="0"/>
          <w:w w:val="100"/>
          <w:position w:val="0"/>
          <w:sz w:val="18"/>
          <w:szCs w:val="18"/>
        </w:rPr>
        <w:t>BPM</w:t>
      </w:r>
      <w:r>
        <w:rPr>
          <w:color w:val="000000"/>
          <w:spacing w:val="0"/>
          <w:w w:val="100"/>
          <w:position w:val="0"/>
        </w:rPr>
        <w:t>平 台为抓手，深化打造数字企业，促进公司信息化转型；通过流程再造及优化，逐步形成适应公司新战略、新业务的运营体系， 并通过信息化手段提升数字化运营水平，持续有效提升公司运营效率。</w:t>
      </w:r>
    </w:p>
    <w:p>
      <w:pPr>
        <w:pStyle w:val="Style24"/>
        <w:keepNext w:val="0"/>
        <w:keepLines w:val="0"/>
        <w:widowControl w:val="0"/>
        <w:shd w:val="clear" w:color="auto" w:fill="auto"/>
        <w:tabs>
          <w:tab w:pos="669" w:val="left"/>
        </w:tabs>
        <w:bidi w:val="0"/>
        <w:spacing w:before="0" w:after="0" w:line="313" w:lineRule="exact"/>
        <w:ind w:left="0" w:right="0" w:firstLine="380"/>
        <w:jc w:val="both"/>
      </w:pPr>
      <w:bookmarkStart w:id="255" w:name="bookmark255"/>
      <w:r>
        <w:rPr>
          <w:rFonts w:ascii="Times New Roman" w:eastAsia="Times New Roman" w:hAnsi="Times New Roman" w:cs="Times New Roman"/>
          <w:color w:val="000000"/>
          <w:spacing w:val="0"/>
          <w:w w:val="100"/>
          <w:position w:val="0"/>
          <w:sz w:val="18"/>
          <w:szCs w:val="18"/>
        </w:rPr>
        <w:t>4</w:t>
      </w:r>
      <w:bookmarkEnd w:id="255"/>
      <w:r>
        <w:rPr>
          <w:color w:val="000000"/>
          <w:spacing w:val="0"/>
          <w:w w:val="100"/>
          <w:position w:val="0"/>
        </w:rPr>
        <w:t>、</w:t>
        <w:tab/>
        <w:t>持续倡导、宣贯推进，营造良好文化氛围</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启动企业文化升级，形成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忠诚担当、诚信共享、团队尊重、专业进取、创值创业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的二十字企业文化理念，提升员工的 责任感、归属感和自豪感。</w:t>
      </w:r>
    </w:p>
    <w:p>
      <w:pPr>
        <w:pStyle w:val="Style24"/>
        <w:keepNext w:val="0"/>
        <w:keepLines w:val="0"/>
        <w:widowControl w:val="0"/>
        <w:shd w:val="clear" w:color="auto" w:fill="auto"/>
        <w:bidi w:val="0"/>
        <w:spacing w:before="0" w:after="0" w:line="312" w:lineRule="exact"/>
        <w:ind w:left="0" w:right="0"/>
        <w:jc w:val="both"/>
      </w:pPr>
      <w:bookmarkStart w:id="256" w:name="bookmark256"/>
      <w:r>
        <w:rPr>
          <w:rFonts w:ascii="Times New Roman" w:eastAsia="Times New Roman" w:hAnsi="Times New Roman" w:cs="Times New Roman"/>
          <w:color w:val="000000"/>
          <w:spacing w:val="0"/>
          <w:w w:val="100"/>
          <w:position w:val="0"/>
          <w:sz w:val="18"/>
          <w:szCs w:val="18"/>
        </w:rPr>
        <w:t>5</w:t>
      </w:r>
      <w:bookmarkEnd w:id="256"/>
      <w:r>
        <w:rPr>
          <w:color w:val="000000"/>
          <w:spacing w:val="0"/>
          <w:w w:val="100"/>
          <w:position w:val="0"/>
        </w:rPr>
        <w:t>、全力提高质量与保密意识，坚决防范重大经营风险</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围绕全面质量、全员质量的总体思想，优化全面质量管理体系，打造产品精品，全面提升产品质量和工作质量。完善保 密管理体系，确保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安全，将保密管理从事后处理变为事前防范，防止重大保密、质量问题的发生。完善全面风险管理 体系，加强法律审查、内部审计、纪检监察力度，建立廉洁从业制度，营造廉洁文化氛围，强化公司合法合规运行。</w:t>
      </w:r>
    </w:p>
    <w:p>
      <w:pPr>
        <w:pStyle w:val="Style24"/>
        <w:keepNext w:val="0"/>
        <w:keepLines w:val="0"/>
        <w:widowControl w:val="0"/>
        <w:numPr>
          <w:ilvl w:val="0"/>
          <w:numId w:val="5"/>
        </w:numPr>
        <w:shd w:val="clear" w:color="auto" w:fill="auto"/>
        <w:bidi w:val="0"/>
        <w:spacing w:before="0" w:after="0" w:line="312" w:lineRule="exact"/>
        <w:ind w:left="0" w:right="0"/>
        <w:jc w:val="both"/>
      </w:pPr>
      <w:bookmarkStart w:id="257" w:name="bookmark257"/>
      <w:bookmarkEnd w:id="257"/>
      <w:r>
        <w:rPr>
          <w:b/>
          <w:bCs/>
          <w:color w:val="000000"/>
          <w:spacing w:val="0"/>
          <w:w w:val="100"/>
          <w:position w:val="0"/>
        </w:rPr>
        <w:t>可能面对的风险</w:t>
      </w:r>
    </w:p>
    <w:p>
      <w:pPr>
        <w:pStyle w:val="Style24"/>
        <w:keepNext w:val="0"/>
        <w:keepLines w:val="0"/>
        <w:widowControl w:val="0"/>
        <w:shd w:val="clear" w:color="auto" w:fill="auto"/>
        <w:tabs>
          <w:tab w:pos="667" w:val="left"/>
        </w:tabs>
        <w:bidi w:val="0"/>
        <w:spacing w:before="0" w:after="0" w:line="312" w:lineRule="exact"/>
        <w:ind w:left="0" w:right="0"/>
        <w:jc w:val="both"/>
      </w:pPr>
      <w:bookmarkStart w:id="258" w:name="bookmark258"/>
      <w:r>
        <w:rPr>
          <w:rFonts w:ascii="Times New Roman" w:eastAsia="Times New Roman" w:hAnsi="Times New Roman" w:cs="Times New Roman"/>
          <w:color w:val="000000"/>
          <w:spacing w:val="0"/>
          <w:w w:val="100"/>
          <w:position w:val="0"/>
          <w:sz w:val="18"/>
          <w:szCs w:val="18"/>
        </w:rPr>
        <w:t>1</w:t>
      </w:r>
      <w:bookmarkEnd w:id="258"/>
      <w:r>
        <w:rPr>
          <w:color w:val="000000"/>
          <w:spacing w:val="0"/>
          <w:w w:val="100"/>
          <w:position w:val="0"/>
        </w:rPr>
        <w:t>、</w:t>
        <w:tab/>
        <w:t>市场风险</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随着网络安全威胁的日益加剧，网络安全热度不断升温，传统的安全企业持续深耕、发展势头不减，互联网及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企业陆 续向安全领域渗透，初创型企业不断在细分领域寻找突破点，市场竞争将更加激烈。公司将在不断提升自身核心竞争力的同 时，加强技术交流与产品合作，以提升创新能力，增强市场竞争力。</w:t>
      </w:r>
    </w:p>
    <w:p>
      <w:pPr>
        <w:pStyle w:val="Style24"/>
        <w:keepNext w:val="0"/>
        <w:keepLines w:val="0"/>
        <w:widowControl w:val="0"/>
        <w:shd w:val="clear" w:color="auto" w:fill="auto"/>
        <w:tabs>
          <w:tab w:pos="686" w:val="left"/>
        </w:tabs>
        <w:bidi w:val="0"/>
        <w:spacing w:before="0" w:after="0" w:line="312" w:lineRule="exact"/>
        <w:ind w:left="0" w:right="0"/>
        <w:jc w:val="both"/>
      </w:pPr>
      <w:bookmarkStart w:id="259" w:name="bookmark259"/>
      <w:r>
        <w:rPr>
          <w:rFonts w:ascii="Times New Roman" w:eastAsia="Times New Roman" w:hAnsi="Times New Roman" w:cs="Times New Roman"/>
          <w:color w:val="000000"/>
          <w:spacing w:val="0"/>
          <w:w w:val="100"/>
          <w:position w:val="0"/>
          <w:sz w:val="18"/>
          <w:szCs w:val="18"/>
        </w:rPr>
        <w:t>2</w:t>
      </w:r>
      <w:bookmarkEnd w:id="259"/>
      <w:r>
        <w:rPr>
          <w:color w:val="000000"/>
          <w:spacing w:val="0"/>
          <w:w w:val="100"/>
          <w:position w:val="0"/>
        </w:rPr>
        <w:t>、</w:t>
        <w:tab/>
        <w:t>技术风险</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随着互联网在各领域各行业的渗透，网络安全也在不断扩大应用领域，物联网、云计算、大数据、人工智能等领域对网 络安全提出了更多、更高的要求，倒逼网络安全企业不断创新。如果未来公司无法满足新技术、新应用、新模式的安全保障 需求，将对公司业务发展造成不利影响。公司将把创新作为发展的核心理念和长期性要求，加强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安全、区块链、后量子 密码、物联网安全等的前瞻性研究，以保障公司的可持续发展。</w:t>
      </w:r>
    </w:p>
    <w:p>
      <w:pPr>
        <w:pStyle w:val="Style24"/>
        <w:keepNext w:val="0"/>
        <w:keepLines w:val="0"/>
        <w:widowControl w:val="0"/>
        <w:shd w:val="clear" w:color="auto" w:fill="auto"/>
        <w:tabs>
          <w:tab w:pos="686" w:val="left"/>
        </w:tabs>
        <w:bidi w:val="0"/>
        <w:spacing w:before="0" w:after="0" w:line="312" w:lineRule="exact"/>
        <w:ind w:left="0" w:right="0"/>
        <w:jc w:val="both"/>
      </w:pPr>
      <w:bookmarkStart w:id="260" w:name="bookmark260"/>
      <w:r>
        <w:rPr>
          <w:rFonts w:ascii="Times New Roman" w:eastAsia="Times New Roman" w:hAnsi="Times New Roman" w:cs="Times New Roman"/>
          <w:color w:val="000000"/>
          <w:spacing w:val="0"/>
          <w:w w:val="100"/>
          <w:position w:val="0"/>
          <w:sz w:val="18"/>
          <w:szCs w:val="18"/>
        </w:rPr>
        <w:t>3</w:t>
      </w:r>
      <w:bookmarkEnd w:id="260"/>
      <w:r>
        <w:rPr>
          <w:color w:val="000000"/>
          <w:spacing w:val="0"/>
          <w:w w:val="100"/>
          <w:position w:val="0"/>
        </w:rPr>
        <w:t>、</w:t>
        <w:tab/>
        <w:t>财务风险</w:t>
      </w:r>
    </w:p>
    <w:p>
      <w:pPr>
        <w:pStyle w:val="Style24"/>
        <w:keepNext w:val="0"/>
        <w:keepLines w:val="0"/>
        <w:widowControl w:val="0"/>
        <w:shd w:val="clear" w:color="auto" w:fill="auto"/>
        <w:bidi w:val="0"/>
        <w:spacing w:before="0" w:after="0" w:line="312" w:lineRule="exact"/>
        <w:ind w:left="0" w:right="0"/>
        <w:jc w:val="both"/>
      </w:pPr>
      <w:r>
        <w:rPr>
          <w:color w:val="000000"/>
          <w:spacing w:val="0"/>
          <w:w w:val="100"/>
          <w:position w:val="0"/>
        </w:rPr>
        <w:t>在应收账款方面，公司的主要客户虽然集中在信誉较好的党政、金融、电力等行业客户，客户有很强的履约能力，应收 账款总体质量较好，整体违约概率较低，但是，报告期末应收账款规模仍然较大，影响了公司的现金流状况、降低了资金使 用效率。公司将严格执行应收账款相关管理办法，通过加强对销售人员销售回款的考核、积极推进项目实施及验收等措施， 降低应收账款规模，提高应收账款周转率。</w:t>
      </w:r>
    </w:p>
    <w:p>
      <w:pPr>
        <w:pStyle w:val="Style24"/>
        <w:keepNext w:val="0"/>
        <w:keepLines w:val="0"/>
        <w:widowControl w:val="0"/>
        <w:shd w:val="clear" w:color="auto" w:fill="auto"/>
        <w:tabs>
          <w:tab w:pos="686" w:val="left"/>
        </w:tabs>
        <w:bidi w:val="0"/>
        <w:spacing w:before="0" w:after="0" w:line="312" w:lineRule="exact"/>
        <w:ind w:left="0" w:right="0"/>
        <w:jc w:val="both"/>
      </w:pPr>
      <w:bookmarkStart w:id="261" w:name="bookmark261"/>
      <w:r>
        <w:rPr>
          <w:rFonts w:ascii="Times New Roman" w:eastAsia="Times New Roman" w:hAnsi="Times New Roman" w:cs="Times New Roman"/>
          <w:color w:val="000000"/>
          <w:spacing w:val="0"/>
          <w:w w:val="100"/>
          <w:position w:val="0"/>
          <w:sz w:val="18"/>
          <w:szCs w:val="18"/>
        </w:rPr>
        <w:t>4</w:t>
      </w:r>
      <w:bookmarkEnd w:id="261"/>
      <w:r>
        <w:rPr>
          <w:color w:val="000000"/>
          <w:spacing w:val="0"/>
          <w:w w:val="100"/>
          <w:position w:val="0"/>
        </w:rPr>
        <w:t>、</w:t>
        <w:tab/>
        <w:t>人才风险</w:t>
      </w:r>
    </w:p>
    <w:p>
      <w:pPr>
        <w:pStyle w:val="Style24"/>
        <w:keepNext w:val="0"/>
        <w:keepLines w:val="0"/>
        <w:widowControl w:val="0"/>
        <w:shd w:val="clear" w:color="auto" w:fill="auto"/>
        <w:bidi w:val="0"/>
        <w:spacing w:before="0" w:after="360" w:line="312" w:lineRule="exact"/>
        <w:ind w:left="0" w:right="0"/>
        <w:jc w:val="both"/>
      </w:pPr>
      <w:r>
        <w:rPr>
          <w:color w:val="000000"/>
          <w:spacing w:val="0"/>
          <w:w w:val="100"/>
          <w:position w:val="0"/>
        </w:rPr>
        <w:t>公司的快速成长依赖于技术、营销和管理等各类高素质人才。随着公司业务领域的不断拓展，公司对多样化人才的需求 也与日俱增，高级专业技术人才、市场营销领军人才以及高素质管理人才不能满足日益发展的业务需要。公司将持续完善长 效激励机制，保持现有管理团队及核心员工稳定的同时，吸引更多的高端人才加入，以保持和提升公司竞争力。</w:t>
      </w:r>
    </w:p>
    <w:p>
      <w:pPr>
        <w:pStyle w:val="Style20"/>
        <w:keepNext/>
        <w:keepLines/>
        <w:widowControl w:val="0"/>
        <w:shd w:val="clear" w:color="auto" w:fill="auto"/>
        <w:bidi w:val="0"/>
        <w:spacing w:before="0" w:line="240" w:lineRule="auto"/>
        <w:ind w:left="0" w:right="0" w:firstLine="0"/>
        <w:jc w:val="left"/>
      </w:pPr>
      <w:bookmarkStart w:id="262" w:name="bookmark262"/>
      <w:bookmarkStart w:id="263" w:name="bookmark263"/>
      <w:bookmarkStart w:id="264" w:name="bookmark264"/>
      <w:r>
        <w:rPr>
          <w:color w:val="000000"/>
          <w:spacing w:val="0"/>
          <w:w w:val="100"/>
          <w:position w:val="0"/>
          <w:sz w:val="24"/>
          <w:szCs w:val="24"/>
        </w:rPr>
        <w:t>十、接待调研、沟通、采访等活动</w:t>
      </w:r>
      <w:bookmarkEnd w:id="262"/>
      <w:bookmarkEnd w:id="263"/>
      <w:bookmarkEnd w:id="264"/>
    </w:p>
    <w:p>
      <w:pPr>
        <w:pStyle w:val="Style30"/>
        <w:keepNext/>
        <w:keepLines/>
        <w:widowControl w:val="0"/>
        <w:shd w:val="clear" w:color="auto" w:fill="auto"/>
        <w:bidi w:val="0"/>
        <w:spacing w:before="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、报告期内接待调研、沟通、采访等活动登记表</w:t>
      </w:r>
      <w:bookmarkEnd w:id="265"/>
      <w:bookmarkEnd w:id="266"/>
      <w:bookmarkEnd w:id="268"/>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854"/>
        <w:gridCol w:w="854"/>
        <w:gridCol w:w="850"/>
        <w:gridCol w:w="1421"/>
        <w:gridCol w:w="3259"/>
        <w:gridCol w:w="14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接待对象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调研的基本情况</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索引</w:t>
            </w:r>
          </w:p>
        </w:tc>
      </w:tr>
      <w:tr>
        <w:trPr>
          <w:trHeight w:val="384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东兴证券：陆洲、 朱雨时东北证 券：安永平、赵伟 博嘉实基金：何 鸣晓泰康资产： 倪辰晖东吴证 券：郝彪、戴晨 成泉资本：陈剑博 誉辉资本：董良 泓、王谋个人: 侯宝平、李宇崇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、公司芯片相关情况；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、公司商密产品 与市场的相关情况；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、公司在云安全方 面的布局情况；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、卫士通安全手机目前 的情况；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、卫士通在数字货币领域的角 色与参与程度；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、公司一季度受疫情影 响较大，现在恢复情况如何？预计今年中 报与去年相比情况如何？回款有什么改 革措施？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、中国网安未来战略及整合规；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安全方面的具体举措；</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北京子公司房产纠纷情况；</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、公司有无 员工扩展计划；</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、公司和海康威视的合 作情况。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日在巨 潮资讯网上披露 的投资者关系活 动记录表。</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w:t>
            </w:r>
          </w:p>
        </w:tc>
      </w:tr>
    </w:tbl>
    <w:p>
      <w:pPr>
        <w:spacing w:lineRule="exact" w:line="1"/>
        <w:rPr>
          <w:sz w:val="2"/>
          <w:szCs w:val="2"/>
        </w:rPr>
      </w:pPr>
      <w:r>
        <w:br w:type="page"/>
      </w:r>
    </w:p>
    <w:tbl>
      <w:tblPr>
        <w:tblOverlap w:val="never"/>
        <w:jc w:val="center"/>
        <w:tblLayout w:type="fixed"/>
      </w:tblPr>
      <w:tblGrid>
        <w:gridCol w:w="859"/>
        <w:gridCol w:w="854"/>
        <w:gridCol w:w="854"/>
        <w:gridCol w:w="850"/>
        <w:gridCol w:w="1421"/>
        <w:gridCol w:w="3254"/>
        <w:gridCol w:w="1498"/>
      </w:tblGrid>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公司证券 投资部办 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年度接待投资者电话数百次，了解公 司经营、业务、诉讼等情况。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1900" w:h="16840"/>
          <w:pgMar w:top="1386" w:right="1044" w:bottom="1482" w:left="1044" w:header="0" w:footer="3" w:gutter="0"/>
          <w:cols w:space="720"/>
          <w:noEndnote/>
          <w:rtlGutter w:val="0"/>
          <w:docGrid w:linePitch="360"/>
        </w:sectPr>
      </w:pPr>
    </w:p>
    <w:p>
      <w:pPr>
        <w:pStyle w:val="Style11"/>
        <w:keepNext/>
        <w:keepLines/>
        <w:widowControl w:val="0"/>
        <w:shd w:val="clear" w:color="auto" w:fill="auto"/>
        <w:bidi w:val="0"/>
        <w:spacing w:after="520"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20"/>
        <w:keepNext/>
        <w:keepLines/>
        <w:widowControl w:val="0"/>
        <w:shd w:val="clear" w:color="auto" w:fill="auto"/>
        <w:bidi w:val="0"/>
        <w:spacing w:before="0" w:after="260" w:line="240" w:lineRule="auto"/>
        <w:ind w:left="0" w:right="0" w:firstLine="0"/>
        <w:jc w:val="both"/>
      </w:pPr>
      <w:bookmarkStart w:id="272" w:name="bookmark272"/>
      <w:bookmarkStart w:id="273" w:name="bookmark273"/>
      <w:bookmarkStart w:id="274" w:name="bookmark274"/>
      <w:bookmarkStart w:id="275" w:name="bookmark275"/>
      <w:bookmarkStart w:id="276" w:name="bookmark276"/>
      <w:r>
        <w:rPr>
          <w:color w:val="000000"/>
          <w:spacing w:val="0"/>
          <w:w w:val="100"/>
          <w:position w:val="0"/>
          <w:sz w:val="24"/>
          <w:szCs w:val="24"/>
        </w:rPr>
        <w:t>一</w:t>
      </w:r>
      <w:bookmarkEnd w:id="275"/>
      <w:r>
        <w:rPr>
          <w:color w:val="000000"/>
          <w:spacing w:val="0"/>
          <w:w w:val="100"/>
          <w:position w:val="0"/>
          <w:sz w:val="24"/>
          <w:szCs w:val="24"/>
        </w:rPr>
        <w:t>、公司普通股利润分配及资本公积金转增股本情况</w:t>
      </w:r>
      <w:bookmarkEnd w:id="273"/>
      <w:bookmarkEnd w:id="274"/>
      <w:bookmarkEnd w:id="276"/>
      <w:bookmarkEnd w:id="272"/>
    </w:p>
    <w:p>
      <w:pPr>
        <w:pStyle w:val="Style24"/>
        <w:keepNext w:val="0"/>
        <w:keepLines w:val="0"/>
        <w:widowControl w:val="0"/>
        <w:shd w:val="clear" w:color="auto" w:fill="auto"/>
        <w:bidi w:val="0"/>
        <w:spacing w:before="0" w:after="140" w:line="326" w:lineRule="exact"/>
        <w:ind w:left="0" w:right="0" w:firstLine="0"/>
        <w:jc w:val="both"/>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报告期内，公司严格执行利润分配相关政策，通过并实施了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年未对利润分配政策进行调整或变 更。</w:t>
      </w:r>
    </w:p>
    <w:tbl>
      <w:tblPr>
        <w:tblOverlap w:val="never"/>
        <w:jc w:val="center"/>
        <w:tblLayout w:type="fixed"/>
      </w:tblPr>
      <w:tblGrid>
        <w:gridCol w:w="6398"/>
        <w:gridCol w:w="3192"/>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年度利润分配和资本公积金转增股本方案：以董事会召开日总股本</w:t>
      </w:r>
      <w:r>
        <w:rPr>
          <w:rFonts w:ascii="Times New Roman" w:eastAsia="Times New Roman" w:hAnsi="Times New Roman" w:cs="Times New Roman"/>
          <w:color w:val="000000"/>
          <w:spacing w:val="0"/>
          <w:w w:val="100"/>
          <w:position w:val="0"/>
          <w:sz w:val="18"/>
          <w:szCs w:val="18"/>
        </w:rPr>
        <w:t>846,294,603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元（含税），不以公积金转增股本。</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年度利润分配和资本公积金转增股本方案：以董事会召开日总股本</w:t>
      </w:r>
      <w:r>
        <w:rPr>
          <w:rFonts w:ascii="Times New Roman" w:eastAsia="Times New Roman" w:hAnsi="Times New Roman" w:cs="Times New Roman"/>
          <w:color w:val="000000"/>
          <w:spacing w:val="0"/>
          <w:w w:val="100"/>
          <w:position w:val="0"/>
          <w:sz w:val="18"/>
          <w:szCs w:val="18"/>
        </w:rPr>
        <w:t>838,336,028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元（含税），不以公积金转增股本。</w:t>
      </w:r>
    </w:p>
    <w:p>
      <w:pPr>
        <w:pStyle w:val="Style24"/>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年度利润分配和资本公积金转增股本方案：以董事会召开日总股本</w:t>
      </w:r>
      <w:r>
        <w:rPr>
          <w:rFonts w:ascii="Times New Roman" w:eastAsia="Times New Roman" w:hAnsi="Times New Roman" w:cs="Times New Roman"/>
          <w:color w:val="000000"/>
          <w:spacing w:val="0"/>
          <w:w w:val="100"/>
          <w:position w:val="0"/>
          <w:sz w:val="18"/>
          <w:szCs w:val="18"/>
        </w:rPr>
        <w:t>838,336,028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元（含税），不以公积金转增股本。</w:t>
      </w:r>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200"/>
        <w:gridCol w:w="1200"/>
        <w:gridCol w:w="1190"/>
        <w:gridCol w:w="1200"/>
        <w:gridCol w:w="1190"/>
        <w:gridCol w:w="1200"/>
        <w:gridCol w:w="1195"/>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16,925,892.06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161,408,158.18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16,925,892.06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15,928,384.53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155,765,488.34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15,928,384.53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12,575,040.42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120,204,513.73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12,575,040.42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after="38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二</w:t>
      </w:r>
      <w:bookmarkEnd w:id="279"/>
      <w:r>
        <w:rPr>
          <w:color w:val="000000"/>
          <w:spacing w:val="0"/>
          <w:w w:val="100"/>
          <w:position w:val="0"/>
          <w:sz w:val="24"/>
          <w:szCs w:val="24"/>
        </w:rPr>
        <w:t>、本报告期利润分配及资本公积金转增股本情况</w:t>
      </w:r>
      <w:bookmarkEnd w:id="277"/>
      <w:bookmarkEnd w:id="278"/>
      <w:bookmarkEnd w:id="280"/>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二</w:t>
      </w:r>
      <w:bookmarkEnd w:id="283"/>
      <w:r>
        <w:rPr>
          <w:color w:val="000000"/>
          <w:spacing w:val="0"/>
          <w:w w:val="100"/>
          <w:position w:val="0"/>
          <w:sz w:val="24"/>
          <w:szCs w:val="24"/>
        </w:rPr>
        <w:t>、本报告期利润分配及资本公积金转增股本情况</w:t>
      </w:r>
      <w:bookmarkEnd w:id="281"/>
      <w:bookmarkEnd w:id="282"/>
      <w:bookmarkEnd w:id="284"/>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6"/>
        <w:gridCol w:w="57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846,294,603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16,925,892.06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16,925,892.06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156,895,910.15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40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经大华会计师事务所（特殊普通合伙）审计，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13,963,614.77</w:t>
            </w:r>
            <w:r>
              <w:rPr>
                <w:color w:val="000000"/>
                <w:spacing w:val="0"/>
                <w:w w:val="100"/>
                <w:position w:val="0"/>
              </w:rPr>
              <w:t xml:space="preserve">元，提取法定盈余公积 </w:t>
            </w:r>
            <w:r>
              <w:rPr>
                <w:rFonts w:ascii="Times New Roman" w:eastAsia="Times New Roman" w:hAnsi="Times New Roman" w:cs="Times New Roman"/>
                <w:color w:val="000000"/>
                <w:spacing w:val="0"/>
                <w:w w:val="100"/>
                <w:position w:val="0"/>
                <w:sz w:val="18"/>
                <w:szCs w:val="18"/>
              </w:rPr>
              <w:t>1,396,361.48</w:t>
            </w:r>
            <w:r>
              <w:rPr>
                <w:color w:val="000000"/>
                <w:spacing w:val="0"/>
                <w:w w:val="100"/>
                <w:position w:val="0"/>
              </w:rPr>
              <w:t>元后，加上上年度未分配利润</w:t>
            </w:r>
            <w:r>
              <w:rPr>
                <w:rFonts w:ascii="Times New Roman" w:eastAsia="Times New Roman" w:hAnsi="Times New Roman" w:cs="Times New Roman"/>
                <w:color w:val="000000"/>
                <w:spacing w:val="0"/>
                <w:w w:val="100"/>
                <w:position w:val="0"/>
                <w:sz w:val="18"/>
                <w:szCs w:val="18"/>
              </w:rPr>
              <w:t>144,328,656.86</w:t>
            </w:r>
            <w:r>
              <w:rPr>
                <w:color w:val="000000"/>
                <w:spacing w:val="0"/>
                <w:w w:val="100"/>
                <w:position w:val="0"/>
              </w:rPr>
              <w:t>元，本年度可供分配的利润为</w:t>
            </w:r>
            <w:r>
              <w:rPr>
                <w:rFonts w:ascii="Times New Roman" w:eastAsia="Times New Roman" w:hAnsi="Times New Roman" w:cs="Times New Roman"/>
                <w:color w:val="000000"/>
                <w:spacing w:val="0"/>
                <w:w w:val="100"/>
                <w:position w:val="0"/>
                <w:sz w:val="18"/>
                <w:szCs w:val="18"/>
              </w:rPr>
              <w:t>156,895,910.15</w:t>
            </w:r>
            <w:r>
              <w:rPr>
                <w:color w:val="000000"/>
                <w:spacing w:val="0"/>
                <w:w w:val="100"/>
                <w:position w:val="0"/>
              </w:rPr>
              <w:t>元。</w:t>
            </w:r>
          </w:p>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根据公司实际情况，现就</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年度的利润分配提出如下方案：</w:t>
            </w:r>
          </w:p>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以董事会召开日总股本</w:t>
            </w:r>
            <w:r>
              <w:rPr>
                <w:rFonts w:ascii="Times New Roman" w:eastAsia="Times New Roman" w:hAnsi="Times New Roman" w:cs="Times New Roman"/>
                <w:color w:val="000000"/>
                <w:spacing w:val="0"/>
                <w:w w:val="100"/>
                <w:position w:val="0"/>
                <w:sz w:val="18"/>
                <w:szCs w:val="18"/>
              </w:rPr>
              <w:t>846,294,603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 xml:space="preserve">元（含税），共计派发现金红利 </w:t>
            </w:r>
            <w:r>
              <w:rPr>
                <w:rFonts w:ascii="Times New Roman" w:eastAsia="Times New Roman" w:hAnsi="Times New Roman" w:cs="Times New Roman"/>
                <w:color w:val="000000"/>
                <w:spacing w:val="0"/>
                <w:w w:val="100"/>
                <w:position w:val="0"/>
                <w:sz w:val="18"/>
                <w:szCs w:val="18"/>
              </w:rPr>
              <w:t xml:space="preserve">16,925,892.06 </w:t>
            </w:r>
            <w:r>
              <w:rPr>
                <w:color w:val="000000"/>
                <w:spacing w:val="0"/>
                <w:w w:val="100"/>
                <w:position w:val="0"/>
              </w:rPr>
              <w:t>元。</w:t>
            </w:r>
          </w:p>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在分配方案实施前公司总股本由于可转债转股、股份回购、股权激励行权、再融资新增股份上市等原因而发生变化的, 分配比例将按分派总额不变的原则相应调整。</w:t>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三</w:t>
      </w:r>
      <w:bookmarkEnd w:id="287"/>
      <w:r>
        <w:rPr>
          <w:color w:val="000000"/>
          <w:spacing w:val="0"/>
          <w:w w:val="100"/>
          <w:position w:val="0"/>
          <w:sz w:val="24"/>
          <w:szCs w:val="24"/>
        </w:rPr>
        <w:t>、承诺事项履行情况</w:t>
      </w:r>
      <w:bookmarkEnd w:id="285"/>
      <w:bookmarkEnd w:id="286"/>
      <w:bookmarkEnd w:id="288"/>
    </w:p>
    <w:p>
      <w:pPr>
        <w:pStyle w:val="Style30"/>
        <w:keepNext/>
        <w:keepLines/>
        <w:widowControl w:val="0"/>
        <w:shd w:val="clear" w:color="auto" w:fill="auto"/>
        <w:bidi w:val="0"/>
        <w:spacing w:before="0" w:after="380" w:line="312" w:lineRule="exact"/>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1</w:t>
      </w:r>
      <w:bookmarkEnd w:id="291"/>
      <w:r>
        <w:rPr>
          <w:color w:val="000000"/>
          <w:spacing w:val="0"/>
          <w:w w:val="100"/>
          <w:position w:val="0"/>
        </w:rPr>
        <w:t>、公司实际控制人、股东、关联方、收购人以及公司等承诺相关方在报告期内履行完毕及截至报告期末 尚未履行完毕的承诺事项</w:t>
      </w:r>
      <w:bookmarkEnd w:id="289"/>
      <w:bookmarkEnd w:id="290"/>
      <w:bookmarkEnd w:id="292"/>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1133"/>
        <w:gridCol w:w="998"/>
        <w:gridCol w:w="3974"/>
        <w:gridCol w:w="850"/>
        <w:gridCol w:w="845"/>
        <w:gridCol w:w="7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6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中国电子科 技集团有限 公司、中国电 子科技网络 信息安全有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关于避免同 业竞争和规 范关联交易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中国电子科技网络信息安全有限公司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蜀祥创投承 诺：本公司保证本次卫士通重大资产重组后，除持 有卫士通的股份外，本公司不直接或间接地从事任 何与卫士通及其下属子公司营业执照上所列明经 营范围内的业务存在竞争的业务活动。本公司作为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截止本报 告出具 日，承诺 人严格履 行了上述</w:t>
            </w:r>
          </w:p>
        </w:tc>
      </w:tr>
    </w:tbl>
    <w:p>
      <w:pPr>
        <w:spacing w:lineRule="exact" w:line="1"/>
        <w:rPr>
          <w:sz w:val="2"/>
          <w:szCs w:val="2"/>
        </w:rPr>
      </w:pPr>
      <w:r>
        <w:br w:type="page"/>
      </w:r>
    </w:p>
    <w:tbl>
      <w:tblPr>
        <w:tblOverlap w:val="never"/>
        <w:jc w:val="center"/>
        <w:tblLayout w:type="fixed"/>
      </w:tblPr>
      <w:tblGrid>
        <w:gridCol w:w="1003"/>
        <w:gridCol w:w="1133"/>
        <w:gridCol w:w="994"/>
        <w:gridCol w:w="3979"/>
        <w:gridCol w:w="850"/>
        <w:gridCol w:w="845"/>
        <w:gridCol w:w="787"/>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限公司、四川 发展投资有 限公司（蜀祥 创投）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卫士通股东的事实改变之前，除持有卫士通的股份 外，本公司将不会直接或间接地以任何方式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 但不限于独自经营，合资经营或拥有其他公司或企 业的股票或权益〉从事与卫士通及其下属子公司的 业务有竞争或可能构成竞争的业务或活动。中国 网安：本公司保证尽量避免和减少目前和将来与卫 士通之间发生不必要的关联交易。对于无法避免或 者有合理原因而发生的关联交易，将与卫士通签订 书面协议，遵循公正、公开、公平的原则，关联交 易的定价原则上应遵循市场化原则，不偏离独立第 三方的标准，对于难以比较市场价格或定价受到限 制的关联交易，应通过合同明确有关成本和利润的 标准，并按照有关法律法规、规范性文件以及卫士 通《公司章程》的规定，履行卫士通股东大会或董 事会批准决策程序和信息披露义务，保证不通过关 联交易损害卫士通及其他股东的合法权益。中国电 子科技网络信息安全有限公司有关规范关联交易 的承诺，将同样适用于中国电子科技网络信息安全 有限公司控制的下属单位。中国电子科技网络信息 安全有限公司将在合法权限范围内促成中国电子 科技网络信息安全有限公司控制的下属单位履行 规范与卫士通之间已经存在或可能发生的关联交 易的义务。中国电子科技网络信息安全有限公司在 本次交易完成后，将维护卫士通的独立性，保证卫 士通人员独立、资产独立、财务独立、机构独立、 业务独立。中国电科承诺：本集团是中中国电子科 技网络信息安全有限公司、成都卫士通信息产业股 份有限公司、成都三零盛安信息系统有限公司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三零盛安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、成都三零瑞通移动通信有限公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以下简称''三零瑞通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及成都三零嘉微电子有限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以下简称''三零嘉微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的实际控制人，本集团 直接或间接持有的上述五家法人单位的产权权属 合法清晰。为维护卫士通及其他股东的合法权益， 本集团出具此承诺。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、本着保护卫士通全体股东 利益的原则，将公允地对待各被投资企业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 不会利用国有资产管理者地位，做出不利于卫士通 而有利于其它企业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单位的业务安排或决定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如因直 接干预有关下属单位的具体生产经营活动而导致 同业竞争，并致使卫士通受到损失的，将承担相关 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、尽量避免和减少目前和将来与卫士通之 间发生不必要的关联交易。对于无法避免或者有合 理原因而发生的关联交易，将与卫士通签订书面协 议，遵循公正、公开、公平的原则，关联交易的定 价原则上应遵循市场化原则，不偏离独立第三方的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1003"/>
        <w:gridCol w:w="1133"/>
        <w:gridCol w:w="994"/>
        <w:gridCol w:w="3979"/>
        <w:gridCol w:w="850"/>
        <w:gridCol w:w="845"/>
        <w:gridCol w:w="787"/>
      </w:tblGrid>
      <w:tr>
        <w:trPr>
          <w:trHeight w:val="47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标准，对于难以比较市场价格或定价受到限制的关 联交易，应通过合同明确有关成本和利润的标准， 并按照有关法律法规、规范性文件以及卫士通《公 司章程》的规定，履行卫士通股东大会或董事会批 准决策程序和信息披露义务，保证不通过关联交易 损害卫士通及其他股东的合法权益。本集团有关规 范关联交易的承诺，将同样适用于本集团控制的下 属单位。本集团将在合法权限范围内促成本集团控 制的下属单位履行规范与卫士通之间已经存在或 可能发生的关联交易的义务。本集团在本次交易完 成后，将维护卫士通的独立性，保证卫士通人员独 立、资产独立、财务独立、机构独立、业务独立。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、自本说明出具之日起，赔偿卫士通因本集团违 反本说明任何条款而遭受或产生的任何损失或开 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 技集团有限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避免同行业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竞争的承诺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中国电科承诺将公允地对待各被投资企业，不会利 用管理地位获得的信息，作出任何不利于卫士通而 有利于其他企业的决定或判断；若因中国电子科技 集团有限公司直接干预有关企业的具体生产经营 活动而导致同业竞争，并使卫士通受到损失的，将 承担相关责任。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作为卫士 通实际控 制人期间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截止本报 告出具 日，承诺 人严格履 行了上述 承诺。</w:t>
            </w:r>
          </w:p>
        </w:tc>
      </w:tr>
      <w:tr>
        <w:trPr>
          <w:trHeight w:val="227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公司全体董 事、监事及高 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董事、监事 及高级管理 人员股份限 售的承诺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公司全体董事、监事及高级管理人员承诺，在任职 期间每年转让的股份不超过其所持有本公司股份 总数的百分之二十五；离任后六个月内，不转让其 所持有的本公司股份；离任六个月后的十二个月 内通过证券交易所挂牌交易出售本公司股票数量 占其所持有本公司股票总数（包括限售条件和无限 售条件的股份）的比例不超过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截止本报 告出具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日，承诺 人严格履 行了上述 承诺。</w:t>
            </w:r>
          </w:p>
        </w:tc>
      </w:tr>
      <w:tr>
        <w:trPr>
          <w:trHeight w:val="290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中电科投资 控股有限公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中国电子 科技网络信 息安全有限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中国电子科技网络信息安全有限公司、中电科投资 控股有限公司承诺，认购的本次非公开发行的股票 自发行结束之日起三十六个月内不得转让。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2017-03-2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承诺人严 格履行了 上述承 诺，相关 股份已于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 解除限 售。</w:t>
            </w:r>
          </w:p>
        </w:tc>
      </w:tr>
      <w:tr>
        <w:trPr>
          <w:trHeight w:val="196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成都卫士通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信息产业股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公司董事会 关于信息披 露等的承诺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公司董事会将严格遵守《公司法》、《证券法》、《上 市公司证券发行管理办法》等法律、法规和中国证 监会的有关规定，承诺自本公司非公开发行股票新 增股份上市之日起：（一）承诺真实、准确、完整、 公平和及时地公布定期报告、披露所有对投资者有 重大影响的信息，并接受中国证监会和深圳证券交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截止本报 告出具 日，承诺 人严格履 行了上述 承诺。</w:t>
            </w:r>
          </w:p>
        </w:tc>
      </w:tr>
    </w:tbl>
    <w:tbl>
      <w:tblPr>
        <w:tblOverlap w:val="never"/>
        <w:jc w:val="center"/>
        <w:tblLayout w:type="fixed"/>
      </w:tblPr>
      <w:tblGrid>
        <w:gridCol w:w="1003"/>
        <w:gridCol w:w="1133"/>
        <w:gridCol w:w="994"/>
        <w:gridCol w:w="3979"/>
        <w:gridCol w:w="850"/>
        <w:gridCol w:w="845"/>
        <w:gridCol w:w="787"/>
      </w:tblGrid>
      <w:tr>
        <w:trPr>
          <w:trHeight w:val="31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易所的监督管理。（二）承诺本公司在知悉可能对 股票价格产生误导性影响的任何公共传播媒体出 现的消息后，将及时予以公开澄清。（三）承诺本 公司董事、监事、高级管理人员和核心技术人员将 认真听取社会公众的意见和批评，不利用已获得的 内幕消息和其他不正当手段直接或间接从事本公 司股票的买卖活动。公司保证向深圳证券交易所提 交的文件没有虚假陈述或者重大遗漏，并在提出上 市申请期间，未经深圳证券交易所同意，不擅自披 露有关信息。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30"/>
        <w:keepNext/>
        <w:keepLines/>
        <w:widowControl w:val="0"/>
        <w:shd w:val="clear" w:color="auto" w:fill="auto"/>
        <w:bidi w:val="0"/>
        <w:spacing w:before="0" w:after="280" w:line="322" w:lineRule="exact"/>
        <w:ind w:left="0" w:right="0" w:firstLine="0"/>
        <w:jc w:val="both"/>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2</w:t>
      </w:r>
      <w:bookmarkEnd w:id="295"/>
      <w:r>
        <w:rPr>
          <w:color w:val="000000"/>
          <w:spacing w:val="0"/>
          <w:w w:val="100"/>
          <w:position w:val="0"/>
        </w:rPr>
        <w:t>、公司资产或项目存在盈利预测，且报告期仍处在盈利预测期间，公司就资产或项目达到原盈利预测及 其原因做出说明</w:t>
      </w:r>
      <w:bookmarkEnd w:id="293"/>
      <w:bookmarkEnd w:id="294"/>
      <w:bookmarkEnd w:id="296"/>
    </w:p>
    <w:p>
      <w:pPr>
        <w:pStyle w:val="Style24"/>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498" w:val="left"/>
        </w:tabs>
        <w:bidi w:val="0"/>
        <w:spacing w:before="0" w:after="28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四</w:t>
      </w:r>
      <w:bookmarkEnd w:id="299"/>
      <w:r>
        <w:rPr>
          <w:color w:val="000000"/>
          <w:spacing w:val="0"/>
          <w:w w:val="100"/>
          <w:position w:val="0"/>
          <w:sz w:val="24"/>
          <w:szCs w:val="24"/>
        </w:rPr>
        <w:t>、</w:t>
        <w:tab/>
        <w:t>控股股东及其关联方对上市公司的非经营性占用资金情况</w:t>
      </w:r>
      <w:bookmarkEnd w:id="297"/>
      <w:bookmarkEnd w:id="298"/>
      <w:bookmarkEnd w:id="300"/>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公司报告期不存在控股股东及其关联方对上市公司的非经营性占用资金。</w:t>
      </w:r>
    </w:p>
    <w:p>
      <w:pPr>
        <w:pStyle w:val="Style20"/>
        <w:keepNext/>
        <w:keepLines/>
        <w:widowControl w:val="0"/>
        <w:shd w:val="clear" w:color="auto" w:fill="auto"/>
        <w:tabs>
          <w:tab w:pos="517" w:val="left"/>
        </w:tabs>
        <w:bidi w:val="0"/>
        <w:spacing w:before="0" w:after="2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五</w:t>
      </w:r>
      <w:bookmarkEnd w:id="30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1"/>
      <w:bookmarkEnd w:id="302"/>
      <w:bookmarkEnd w:id="304"/>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董事会关于公司</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年度带强调事项段的无保留意见审计报告涉及事项的专项说明</w:t>
      </w:r>
    </w:p>
    <w:p>
      <w:pPr>
        <w:pStyle w:val="Style2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对成都卫士通信息产业股份有限公司（以下简称“公司”）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年度财务报表进行审 计，出具了带强调事项段的无保留意见《审计报告》（大华审字</w:t>
      </w:r>
      <w:r>
        <w:rPr>
          <w:rFonts w:ascii="Times New Roman" w:eastAsia="Times New Roman" w:hAnsi="Times New Roman" w:cs="Times New Roman"/>
          <w:color w:val="000000"/>
          <w:spacing w:val="0"/>
          <w:w w:val="100"/>
          <w:position w:val="0"/>
          <w:sz w:val="18"/>
          <w:szCs w:val="18"/>
        </w:rPr>
        <w:t>[2021]004409</w:t>
      </w:r>
      <w:r>
        <w:rPr>
          <w:color w:val="000000"/>
          <w:spacing w:val="0"/>
          <w:w w:val="100"/>
          <w:position w:val="0"/>
        </w:rPr>
        <w:t>号）。根据中国证监会和深圳证券交易所的相关 要求，公司董事会对审计报告所涉及的事项作出专项说明如下：</w:t>
      </w:r>
    </w:p>
    <w:p>
      <w:pPr>
        <w:pStyle w:val="Style24"/>
        <w:keepNext w:val="0"/>
        <w:keepLines w:val="0"/>
        <w:widowControl w:val="0"/>
        <w:shd w:val="clear" w:color="auto" w:fill="auto"/>
        <w:bidi w:val="0"/>
        <w:spacing w:before="0" w:after="0" w:line="314" w:lineRule="exact"/>
        <w:ind w:left="0" w:right="0" w:firstLine="480"/>
        <w:jc w:val="left"/>
      </w:pPr>
      <w:r>
        <w:rPr>
          <w:color w:val="000000"/>
          <w:spacing w:val="0"/>
          <w:w w:val="100"/>
          <w:position w:val="0"/>
        </w:rPr>
        <w:t>一、审计报告中强调事项段的内容</w:t>
      </w:r>
    </w:p>
    <w:p>
      <w:pPr>
        <w:pStyle w:val="Style24"/>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出具的《审计报告》中强调事项段内容如下：</w:t>
      </w:r>
    </w:p>
    <w:p>
      <w:pPr>
        <w:pStyle w:val="Style2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贵公司全资子公司中电科（北京）网络信息安全有限公司（以下简称"北京网安”）向北京金丰科华房地产开发有限公 司（以下简称“金丰科华”）购买位于北京市丰台区花乡四合庄</w:t>
      </w:r>
      <w:r>
        <w:rPr>
          <w:rFonts w:ascii="Times New Roman" w:eastAsia="Times New Roman" w:hAnsi="Times New Roman" w:cs="Times New Roman"/>
          <w:color w:val="000000"/>
          <w:spacing w:val="0"/>
          <w:w w:val="100"/>
          <w:position w:val="0"/>
          <w:sz w:val="18"/>
          <w:szCs w:val="18"/>
        </w:rPr>
        <w:t>1516-15</w:t>
      </w:r>
      <w:r>
        <w:rPr>
          <w:color w:val="000000"/>
          <w:spacing w:val="0"/>
          <w:w w:val="100"/>
          <w:position w:val="0"/>
        </w:rPr>
        <w:t>地块上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办公商业楼（以下简称“北京房产”）由 于涉诉被北京市第二中级人民法院查封，北京金丰科华房地产开发有限公司破产清算已被北京市丰台区人民法院受理。截至 </w:t>
      </w:r>
      <w:r>
        <w:rPr>
          <w:color w:val="000000"/>
          <w:spacing w:val="0"/>
          <w:w w:val="100"/>
          <w:position w:val="0"/>
        </w:rPr>
        <w:t>审计报告日，相关案件尚未审结。上述资产列报于“在建工程”项目，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r>
        <w:rPr>
          <w:rFonts w:ascii="Times New Roman" w:eastAsia="Times New Roman" w:hAnsi="Times New Roman" w:cs="Times New Roman"/>
          <w:color w:val="000000"/>
          <w:spacing w:val="0"/>
          <w:w w:val="100"/>
          <w:position w:val="0"/>
          <w:sz w:val="18"/>
          <w:szCs w:val="18"/>
        </w:rPr>
        <w:t>116,309.74</w:t>
      </w:r>
      <w:r>
        <w:rPr>
          <w:color w:val="000000"/>
          <w:spacing w:val="0"/>
          <w:w w:val="100"/>
          <w:position w:val="0"/>
        </w:rPr>
        <w:t>万元。</w:t>
      </w:r>
    </w:p>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我们提醒财务报表使用者关注，财务报表附注十三（二）描述了北京网安涉诉房产详细情况及最新进展情况。本段内容 不影响已发表的审计意见。</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二、董事会关于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年度审计报告中带强调事项段无保留审计意见所涉及事项的专项说明</w:t>
      </w:r>
    </w:p>
    <w:p>
      <w:pPr>
        <w:pStyle w:val="Style24"/>
        <w:keepNext w:val="0"/>
        <w:keepLines w:val="0"/>
        <w:widowControl w:val="0"/>
        <w:shd w:val="clear" w:color="auto" w:fill="auto"/>
        <w:tabs>
          <w:tab w:pos="871" w:val="left"/>
        </w:tabs>
        <w:bidi w:val="0"/>
        <w:spacing w:before="0" w:after="0" w:line="316" w:lineRule="exact"/>
        <w:ind w:left="0" w:right="0" w:firstLine="380"/>
        <w:jc w:val="both"/>
      </w:pPr>
      <w:bookmarkStart w:id="305" w:name="bookmark305"/>
      <w:r>
        <w:rPr>
          <w:color w:val="000000"/>
          <w:spacing w:val="0"/>
          <w:w w:val="100"/>
          <w:position w:val="0"/>
        </w:rPr>
        <w:t>（</w:t>
      </w:r>
      <w:bookmarkEnd w:id="305"/>
      <w:r>
        <w:rPr>
          <w:color w:val="000000"/>
          <w:spacing w:val="0"/>
          <w:w w:val="100"/>
          <w:position w:val="0"/>
        </w:rPr>
        <w:t>一）</w:t>
        <w:tab/>
        <w:t>强调事项段中涉及事项最新进展</w:t>
      </w:r>
    </w:p>
    <w:p>
      <w:pPr>
        <w:pStyle w:val="Style24"/>
        <w:keepNext w:val="0"/>
        <w:keepLines w:val="0"/>
        <w:widowControl w:val="0"/>
        <w:shd w:val="clear" w:color="auto" w:fill="auto"/>
        <w:bidi w:val="0"/>
        <w:spacing w:before="0" w:after="0" w:line="316" w:lineRule="exact"/>
        <w:ind w:left="0" w:right="0" w:firstLine="380"/>
        <w:jc w:val="left"/>
      </w:pPr>
      <w:r>
        <w:rPr>
          <w:color w:val="000000"/>
          <w:spacing w:val="0"/>
          <w:w w:val="100"/>
          <w:position w:val="0"/>
        </w:rPr>
        <w:t>北京网安就其向金丰科华购买的北京市丰台区花乡四合庄</w:t>
      </w:r>
      <w:r>
        <w:rPr>
          <w:rFonts w:ascii="Times New Roman" w:eastAsia="Times New Roman" w:hAnsi="Times New Roman" w:cs="Times New Roman"/>
          <w:color w:val="000000"/>
          <w:spacing w:val="0"/>
          <w:w w:val="100"/>
          <w:position w:val="0"/>
          <w:sz w:val="18"/>
          <w:szCs w:val="18"/>
        </w:rPr>
        <w:t>1516-15</w:t>
      </w:r>
      <w:r>
        <w:rPr>
          <w:color w:val="000000"/>
          <w:spacing w:val="0"/>
          <w:w w:val="100"/>
          <w:position w:val="0"/>
        </w:rPr>
        <w:t>地块上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办公商业楼及该房屋对应土地使用权的查 封措施向北京市高级人民法院提起二审诉讼。</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日，北京市高级人民法院二审公开开庭审理了本案。截至目前， 本案暂未下达终审判决，其他北京房产相关诉讼案亦未终审判决。</w:t>
      </w:r>
    </w:p>
    <w:p>
      <w:pPr>
        <w:pStyle w:val="Style24"/>
        <w:keepNext w:val="0"/>
        <w:keepLines w:val="0"/>
        <w:widowControl w:val="0"/>
        <w:shd w:val="clear" w:color="auto" w:fill="auto"/>
        <w:bidi w:val="0"/>
        <w:spacing w:before="0" w:after="0" w:line="316" w:lineRule="exact"/>
        <w:ind w:left="0" w:right="0" w:firstLine="3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日，北京市丰台区人民法院裁定受理了四川华西建筑装饰工程有限公司对金丰科华提起的破产清算申请。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日，丰台法院确定北京市东卫律师事务所为破产案件管理人（以下简称：“管理人”）。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14:00 </w:t>
      </w:r>
      <w:r>
        <w:rPr>
          <w:color w:val="000000"/>
          <w:spacing w:val="0"/>
          <w:w w:val="100"/>
          <w:position w:val="0"/>
        </w:rPr>
        <w:t>管理人召集相关方在全国企业破产重整信息网上召开了金丰科华公司第一次债权人会议，汇报了管理人的工作情况、登记在 金丰科华公司名下的土地及建筑物情况及金丰科华的其他财产情况等。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管理人召集相关方线上（全 国企业破产重整案件信息网）线下（北京市丰台区人民法院）同步召开了金丰科华公司第二次债权人会议，汇报了债权申报 及审查情况、审计评估情况并提出了探索和推进整体化解案件的方案。截至目前，破产案件没有实质性进展。公司董事会已 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日在《中国证券报》、《证券时报》和巨潮资讯网上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披露相关公告（公告编号：</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p>
      <w:pPr>
        <w:pStyle w:val="Style24"/>
        <w:keepNext w:val="0"/>
        <w:keepLines w:val="0"/>
        <w:widowControl w:val="0"/>
        <w:shd w:val="clear" w:color="auto" w:fill="auto"/>
        <w:tabs>
          <w:tab w:pos="871" w:val="left"/>
        </w:tabs>
        <w:bidi w:val="0"/>
        <w:spacing w:before="0" w:after="0" w:line="329" w:lineRule="exact"/>
        <w:ind w:left="0" w:right="0" w:firstLine="380"/>
        <w:jc w:val="left"/>
      </w:pPr>
      <w:bookmarkStart w:id="306" w:name="bookmark306"/>
      <w:r>
        <w:rPr>
          <w:color w:val="000000"/>
          <w:spacing w:val="0"/>
          <w:w w:val="100"/>
          <w:position w:val="0"/>
        </w:rPr>
        <w:t>（</w:t>
      </w:r>
      <w:bookmarkEnd w:id="306"/>
      <w:r>
        <w:rPr>
          <w:color w:val="000000"/>
          <w:spacing w:val="0"/>
          <w:w w:val="100"/>
          <w:position w:val="0"/>
        </w:rPr>
        <w:t>二）</w:t>
        <w:tab/>
        <w:t>公司董事会对该强调事项的相关说明</w:t>
      </w:r>
    </w:p>
    <w:p>
      <w:pPr>
        <w:pStyle w:val="Style24"/>
        <w:keepNext w:val="0"/>
        <w:keepLines w:val="0"/>
        <w:widowControl w:val="0"/>
        <w:shd w:val="clear" w:color="auto" w:fill="auto"/>
        <w:bidi w:val="0"/>
        <w:spacing w:before="0" w:after="0" w:line="329" w:lineRule="exact"/>
        <w:ind w:left="0" w:right="0" w:firstLine="380"/>
        <w:jc w:val="left"/>
      </w:pPr>
      <w:bookmarkStart w:id="307" w:name="bookmark307"/>
      <w:r>
        <w:rPr>
          <w:rFonts w:ascii="Times New Roman" w:eastAsia="Times New Roman" w:hAnsi="Times New Roman" w:cs="Times New Roman"/>
          <w:color w:val="000000"/>
          <w:spacing w:val="0"/>
          <w:w w:val="100"/>
          <w:position w:val="0"/>
          <w:sz w:val="18"/>
          <w:szCs w:val="18"/>
        </w:rPr>
        <w:t>1</w:t>
      </w:r>
      <w:bookmarkEnd w:id="307"/>
      <w:r>
        <w:rPr>
          <w:color w:val="000000"/>
          <w:spacing w:val="0"/>
          <w:w w:val="100"/>
          <w:position w:val="0"/>
        </w:rPr>
        <w:t>、 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年度财务报表出具了带强调事项段的无保留意见审计报告，该意见是 根据中国注册会计师审计准则要求，出于职业判断出具的，依据和理由符合有关规定，公司董事会对审计意见无异议。</w:t>
      </w:r>
    </w:p>
    <w:p>
      <w:pPr>
        <w:pStyle w:val="Style24"/>
        <w:keepNext w:val="0"/>
        <w:keepLines w:val="0"/>
        <w:widowControl w:val="0"/>
        <w:shd w:val="clear" w:color="auto" w:fill="auto"/>
        <w:tabs>
          <w:tab w:pos="644" w:val="left"/>
        </w:tabs>
        <w:bidi w:val="0"/>
        <w:spacing w:before="0" w:after="0" w:line="329" w:lineRule="exact"/>
        <w:ind w:left="0" w:right="0" w:firstLine="380"/>
        <w:jc w:val="left"/>
      </w:pPr>
      <w:bookmarkStart w:id="308" w:name="bookmark308"/>
      <w:r>
        <w:rPr>
          <w:rFonts w:ascii="Times New Roman" w:eastAsia="Times New Roman" w:hAnsi="Times New Roman" w:cs="Times New Roman"/>
          <w:color w:val="000000"/>
          <w:spacing w:val="0"/>
          <w:w w:val="100"/>
          <w:position w:val="0"/>
          <w:sz w:val="18"/>
          <w:szCs w:val="18"/>
        </w:rPr>
        <w:t>2</w:t>
      </w:r>
      <w:bookmarkEnd w:id="308"/>
      <w:r>
        <w:rPr>
          <w:color w:val="000000"/>
          <w:spacing w:val="0"/>
          <w:w w:val="100"/>
          <w:position w:val="0"/>
        </w:rPr>
        <w:t>、</w:t>
        <w:tab/>
        <w:t>强调事项段涉及事项不属于《公开发行证券的公司信息披露编报规则第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非标准审计意见及其涉及事项的处理》 中规定的未严格执行会计准则及相关信息披露规范的情形。</w:t>
      </w:r>
    </w:p>
    <w:p>
      <w:pPr>
        <w:pStyle w:val="Style24"/>
        <w:keepNext w:val="0"/>
        <w:keepLines w:val="0"/>
        <w:widowControl w:val="0"/>
        <w:shd w:val="clear" w:color="auto" w:fill="auto"/>
        <w:tabs>
          <w:tab w:pos="871" w:val="left"/>
        </w:tabs>
        <w:bidi w:val="0"/>
        <w:spacing w:before="0" w:after="0" w:line="329" w:lineRule="exact"/>
        <w:ind w:left="0" w:right="0" w:firstLine="380"/>
        <w:jc w:val="left"/>
      </w:pPr>
      <w:bookmarkStart w:id="309" w:name="bookmark309"/>
      <w:r>
        <w:rPr>
          <w:color w:val="000000"/>
          <w:spacing w:val="0"/>
          <w:w w:val="100"/>
          <w:position w:val="0"/>
        </w:rPr>
        <w:t>（</w:t>
      </w:r>
      <w:bookmarkEnd w:id="309"/>
      <w:r>
        <w:rPr>
          <w:color w:val="000000"/>
          <w:spacing w:val="0"/>
          <w:w w:val="100"/>
          <w:position w:val="0"/>
        </w:rPr>
        <w:t>三）</w:t>
        <w:tab/>
        <w:t>对公司的影响及公司应对措施</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目前执行异议之诉案件尚未终审判决，同时金丰科华已进入破产程序，尚处于财产申报、债权确认、资产评估、方案拟 定阶段，暂无法预估对公司本期利润或期后利润的影响以及消除强调事项影响的时间。公司及公司董事会将密切关注上述事 项的进展情况，审慎研究评估案件，依法在破产程序中主张权利，力争最大限度维护公司合法权益，并及时履行公司信息披 露义务。</w:t>
      </w:r>
    </w:p>
    <w:p>
      <w:pPr>
        <w:pStyle w:val="Style24"/>
        <w:keepNext w:val="0"/>
        <w:keepLines w:val="0"/>
        <w:widowControl w:val="0"/>
        <w:shd w:val="clear" w:color="auto" w:fill="auto"/>
        <w:bidi w:val="0"/>
        <w:spacing w:before="0" w:after="0" w:line="322" w:lineRule="exact"/>
        <w:ind w:left="0" w:right="0" w:firstLine="0"/>
        <w:jc w:val="left"/>
      </w:pPr>
      <w:r>
        <w:rPr>
          <w:b/>
          <w:bCs/>
          <w:color w:val="000000"/>
          <w:spacing w:val="0"/>
          <w:w w:val="100"/>
          <w:position w:val="0"/>
        </w:rPr>
        <w:t>监事会关于《董事会关于公司</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年度带强调事项段的无保留意见审计报告涉及事项的专项说明》的意见</w:t>
      </w:r>
    </w:p>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大华会计师事务所（特殊普通合伙）对成都卫士通信息产业股份有限公司（以下简称“公司”）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年度财务报表进行 了审计，出具了带强调事项段的无保留意见审计报告（大华审字</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021]004409</w:t>
      </w:r>
      <w:r>
        <w:rPr>
          <w:color w:val="000000"/>
          <w:spacing w:val="0"/>
          <w:w w:val="100"/>
          <w:position w:val="0"/>
        </w:rPr>
        <w:t>号）。根据中国证监会和深圳证券交易所的相 关要求，现公司监事会就董事会出具的专项说明发表如下意见：</w:t>
      </w:r>
    </w:p>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大华会计师事务所（特殊普通合伙）对公司出具了带强调事项段的无保留意见审计报告（大华审字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2021]004409</w:t>
      </w:r>
      <w:r>
        <w:rPr>
          <w:color w:val="000000"/>
          <w:spacing w:val="0"/>
          <w:w w:val="100"/>
          <w:position w:val="0"/>
        </w:rPr>
        <w:t>号）。 审计报告客观真实的反映了公司的实际情况，监事会对会计师事务所出具的公司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年度审计报告无异议。公司监事会同 意董事会出具的专项说明。</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监事会将积极配合董事会的各项工作,持续关注董事会和管理层相关工作的开展，切实维护公司及全体股东的合法权益。</w:t>
      </w:r>
    </w:p>
    <w:p>
      <w:pPr>
        <w:pStyle w:val="Style24"/>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独立董事关于公司</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年度带强调事项段的无保留意见审计报告涉及事项的专项说明的独立意见</w:t>
      </w:r>
    </w:p>
    <w:p>
      <w:pPr>
        <w:pStyle w:val="Style24"/>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大华会计师事务所（特殊普通合伙）对公司出具的带强调事项段的无保留意见审计报告客观真实的反映了公司的实际情 况，我们同意公司《董事会关于公司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年度带强调事项段的无保留意见审计报告涉及事项的专项说明》，我们将督促公司 董事会及管理层持续关注该事项，落实具体措施，积极维护公司及全体股东利益。</w:t>
      </w:r>
    </w:p>
    <w:p>
      <w:pPr>
        <w:pStyle w:val="Style20"/>
        <w:keepNext/>
        <w:keepLines/>
        <w:widowControl w:val="0"/>
        <w:shd w:val="clear" w:color="auto" w:fill="auto"/>
        <w:bidi w:val="0"/>
        <w:spacing w:before="0" w:after="260" w:line="240" w:lineRule="auto"/>
        <w:ind w:left="0" w:right="0" w:firstLine="0"/>
        <w:jc w:val="both"/>
      </w:pPr>
      <w:bookmarkStart w:id="310" w:name="bookmark310"/>
      <w:bookmarkStart w:id="311" w:name="bookmark311"/>
      <w:bookmarkStart w:id="312" w:name="bookmark312"/>
      <w:bookmarkStart w:id="313" w:name="bookmark313"/>
      <w:r>
        <w:rPr>
          <w:color w:val="000000"/>
          <w:spacing w:val="0"/>
          <w:w w:val="100"/>
          <w:position w:val="0"/>
          <w:sz w:val="24"/>
          <w:szCs w:val="24"/>
        </w:rPr>
        <w:t>六</w:t>
      </w:r>
      <w:bookmarkEnd w:id="312"/>
      <w:r>
        <w:rPr>
          <w:color w:val="000000"/>
          <w:spacing w:val="0"/>
          <w:w w:val="100"/>
          <w:position w:val="0"/>
          <w:sz w:val="24"/>
          <w:szCs w:val="24"/>
        </w:rPr>
        <w:t>、与上年度财务报告相比，会计政策、会计估计和核算方法发生变化的情况说明</w:t>
      </w:r>
      <w:bookmarkEnd w:id="310"/>
      <w:bookmarkEnd w:id="311"/>
      <w:bookmarkEnd w:id="313"/>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8" w:lineRule="exact"/>
        <w:ind w:left="0" w:right="0" w:firstLine="36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收入》，变更后的会计政策 详见财务报告五。</w:t>
      </w:r>
    </w:p>
    <w:p>
      <w:pPr>
        <w:pStyle w:val="Style34"/>
        <w:keepNext w:val="0"/>
        <w:keepLines w:val="0"/>
        <w:widowControl w:val="0"/>
        <w:shd w:val="clear" w:color="auto" w:fill="auto"/>
        <w:bidi w:val="0"/>
        <w:spacing w:before="0" w:after="0" w:line="318" w:lineRule="exact"/>
        <w:ind w:left="0" w:right="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留存收益及财务报表其他相关项目金额，对可比期间信息不予调整。</w:t>
      </w:r>
    </w:p>
    <w:p>
      <w:pPr>
        <w:pStyle w:val="Style34"/>
        <w:keepNext w:val="0"/>
        <w:keepLines w:val="0"/>
        <w:widowControl w:val="0"/>
        <w:shd w:val="clear" w:color="auto" w:fill="auto"/>
        <w:bidi w:val="0"/>
        <w:spacing w:before="0" w:after="100" w:line="318" w:lineRule="exact"/>
        <w:ind w:left="0" w:right="0"/>
        <w:jc w:val="both"/>
      </w:pPr>
      <w:r>
        <w:rPr>
          <w:color w:val="000000"/>
          <w:spacing w:val="0"/>
          <w:w w:val="100"/>
          <w:position w:val="0"/>
        </w:rPr>
        <w:t>在执行新收入准则时，本公司仅对首次执行日尚未执行完成的合同的累计影响数进行调整；对于最早 可比期间期初之前或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年年初之前发生的合同变更未进行追溯调整，而是根据合同变更的最终安排，识 别已履行的和尚未履行的履约义务、确定交易价格以及在已履行的和尚未履行的履约义务之间分摊交易价 格。</w:t>
      </w:r>
    </w:p>
    <w:p>
      <w:pPr>
        <w:pStyle w:val="Style34"/>
        <w:keepNext w:val="0"/>
        <w:keepLines w:val="0"/>
        <w:widowControl w:val="0"/>
        <w:shd w:val="clear" w:color="auto" w:fill="auto"/>
        <w:bidi w:val="0"/>
        <w:spacing w:before="0" w:after="40" w:line="240" w:lineRule="auto"/>
        <w:ind w:left="0" w:right="0"/>
        <w:jc w:val="left"/>
      </w:pPr>
      <w:r>
        <w:rPr>
          <w:color w:val="000000"/>
          <w:spacing w:val="0"/>
          <w:w w:val="100"/>
          <w:position w:val="0"/>
        </w:rPr>
        <w:t>执行新收入准则对本期期初资产负债表相关项目的影响列示如下:</w:t>
      </w:r>
    </w:p>
    <w:tbl>
      <w:tblPr>
        <w:tblOverlap w:val="never"/>
        <w:jc w:val="center"/>
        <w:tblLayout w:type="fixed"/>
      </w:tblPr>
      <w:tblGrid>
        <w:gridCol w:w="2074"/>
        <w:gridCol w:w="1800"/>
        <w:gridCol w:w="1368"/>
        <w:gridCol w:w="1373"/>
        <w:gridCol w:w="1363"/>
        <w:gridCol w:w="1709"/>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重新计量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1,519,745,709.28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-97,894,445.31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-97,894,445.31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1,421,851,263.97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97,894,445.31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97,894,445.31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97,894,445.31</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105,159,492.79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-105,159,492.79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-105,159,492.79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93,358,508.82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93,358,508.82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93,358,508.82</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11,800,983.97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11,800,983.97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11,800,983.97</w:t>
            </w:r>
          </w:p>
        </w:tc>
      </w:tr>
    </w:tbl>
    <w:p>
      <w:pPr>
        <w:pStyle w:val="Style34"/>
        <w:keepNext w:val="0"/>
        <w:keepLines w:val="0"/>
        <w:widowControl w:val="0"/>
        <w:shd w:val="clear" w:color="auto" w:fill="auto"/>
        <w:bidi w:val="0"/>
        <w:spacing w:before="0" w:after="40" w:line="317" w:lineRule="exact"/>
        <w:ind w:left="0" w:right="0"/>
        <w:jc w:val="both"/>
      </w:pPr>
      <w:r>
        <w:rPr>
          <w:color w:val="000000"/>
          <w:spacing w:val="0"/>
          <w:w w:val="100"/>
          <w:position w:val="0"/>
        </w:rPr>
        <w:t>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日，本公司根据工程项目履约进度确认的收入金额超过已办理结算价款的部分和特 许经营安排下建造期间自合同授予方收取确定金额的金融资产，被重分类为合同资产，其中预计</w:t>
      </w:r>
      <w:r>
        <w:rPr>
          <w:rFonts w:ascii="Times New Roman" w:eastAsia="Times New Roman" w:hAnsi="Times New Roman" w:cs="Times New Roman"/>
          <w:color w:val="000000"/>
          <w:spacing w:val="0"/>
          <w:w w:val="100"/>
          <w:position w:val="0"/>
        </w:rPr>
        <w:t>1</w:t>
      </w:r>
      <w:r>
        <w:rPr>
          <w:color w:val="000000"/>
          <w:spacing w:val="0"/>
          <w:w w:val="100"/>
          <w:position w:val="0"/>
        </w:rPr>
        <w:t>年以上 收回的款项列报为其他非流动资产。本公司的预收款项被重分类至合同负债和其他流动负债。</w:t>
      </w:r>
    </w:p>
    <w:p>
      <w:pPr>
        <w:pStyle w:val="Style34"/>
        <w:keepNext w:val="0"/>
        <w:keepLines w:val="0"/>
        <w:widowControl w:val="0"/>
        <w:shd w:val="clear" w:color="auto" w:fill="auto"/>
        <w:bidi w:val="0"/>
        <w:spacing w:before="0" w:after="40" w:line="240" w:lineRule="auto"/>
        <w:ind w:left="0" w:right="0"/>
        <w:jc w:val="both"/>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日合并资产负债表的影响如下:</w:t>
      </w:r>
    </w:p>
    <w:tbl>
      <w:tblPr>
        <w:tblOverlap w:val="never"/>
        <w:jc w:val="center"/>
        <w:tblLayout w:type="fixed"/>
      </w:tblPr>
      <w:tblGrid>
        <w:gridCol w:w="2410"/>
        <w:gridCol w:w="2410"/>
        <w:gridCol w:w="2395"/>
        <w:gridCol w:w="247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1,274,671255.83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1,392,257,895.92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-117,586,640.09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117,586,640.09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117,586,640.09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353,555,857.12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-353,555,857.12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313,991,222.20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313,991,222.20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42,741,054.87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3,176,419.95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39,564,634.92</w:t>
            </w:r>
          </w:p>
        </w:tc>
      </w:tr>
    </w:tbl>
    <w:p>
      <w:pPr>
        <w:widowControl w:val="0"/>
        <w:spacing w:after="39" w:line="1" w:lineRule="exact"/>
      </w:pPr>
    </w:p>
    <w:p>
      <w:pPr>
        <w:pStyle w:val="Style34"/>
        <w:keepNext w:val="0"/>
        <w:keepLines w:val="0"/>
        <w:widowControl w:val="0"/>
        <w:shd w:val="clear" w:color="auto" w:fill="auto"/>
        <w:bidi w:val="0"/>
        <w:spacing w:before="0" w:after="40" w:line="240" w:lineRule="auto"/>
        <w:ind w:left="0" w:right="0"/>
        <w:jc w:val="both"/>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年度合并利润表的影响如下:</w:t>
      </w:r>
    </w:p>
    <w:tbl>
      <w:tblPr>
        <w:tblOverlap w:val="never"/>
        <w:jc w:val="center"/>
        <w:tblLayout w:type="fixed"/>
      </w:tblPr>
      <w:tblGrid>
        <w:gridCol w:w="2419"/>
        <w:gridCol w:w="2429"/>
        <w:gridCol w:w="2410"/>
        <w:gridCol w:w="242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-40,194,940.32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-40,831,852.18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636,911.86</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-14,624,046.67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-13,987,134.81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-636,911.86</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七</w:t>
      </w:r>
      <w:bookmarkEnd w:id="316"/>
      <w:r>
        <w:rPr>
          <w:color w:val="000000"/>
          <w:spacing w:val="0"/>
          <w:w w:val="100"/>
          <w:position w:val="0"/>
          <w:sz w:val="24"/>
          <w:szCs w:val="24"/>
        </w:rPr>
        <w:t>、报告期内发生重大会计差错更正需追溯重述的情况说明</w:t>
      </w:r>
      <w:bookmarkEnd w:id="314"/>
      <w:bookmarkEnd w:id="315"/>
      <w:bookmarkEnd w:id="317"/>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公司报告期无重大会计差错更正需追溯重述的情况。</w:t>
      </w:r>
    </w:p>
    <w:p>
      <w:pPr>
        <w:pStyle w:val="Style20"/>
        <w:keepNext/>
        <w:keepLines/>
        <w:widowControl w:val="0"/>
        <w:shd w:val="clear" w:color="auto" w:fill="auto"/>
        <w:bidi w:val="0"/>
        <w:spacing w:before="0" w:after="380" w:line="240" w:lineRule="auto"/>
        <w:ind w:left="0" w:right="0" w:firstLine="0"/>
        <w:jc w:val="both"/>
      </w:pPr>
      <w:bookmarkStart w:id="318" w:name="bookmark318"/>
      <w:bookmarkStart w:id="319" w:name="bookmark319"/>
      <w:bookmarkStart w:id="320" w:name="bookmark320"/>
      <w:bookmarkStart w:id="321" w:name="bookmark321"/>
      <w:r>
        <w:rPr>
          <w:color w:val="000000"/>
          <w:spacing w:val="0"/>
          <w:w w:val="100"/>
          <w:position w:val="0"/>
          <w:sz w:val="24"/>
          <w:szCs w:val="24"/>
        </w:rPr>
        <w:t>八</w:t>
      </w:r>
      <w:bookmarkEnd w:id="320"/>
      <w:r>
        <w:rPr>
          <w:color w:val="000000"/>
          <w:spacing w:val="0"/>
          <w:w w:val="100"/>
          <w:position w:val="0"/>
          <w:sz w:val="24"/>
          <w:szCs w:val="24"/>
        </w:rPr>
        <w:t>、与上年度财务报告相比，合并报表范围发生变化的情况说明</w:t>
      </w:r>
      <w:bookmarkEnd w:id="318"/>
      <w:bookmarkEnd w:id="319"/>
      <w:bookmarkEnd w:id="321"/>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40" w:line="240" w:lineRule="auto"/>
        <w:ind w:left="0" w:right="0"/>
        <w:jc w:val="both"/>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6</w:t>
      </w:r>
      <w:r>
        <w:rPr>
          <w:color w:val="000000"/>
          <w:spacing w:val="0"/>
          <w:w w:val="100"/>
          <w:position w:val="0"/>
        </w:rPr>
        <w:t>户，具体包括:</w:t>
      </w:r>
    </w:p>
    <w:tbl>
      <w:tblPr>
        <w:tblOverlap w:val="never"/>
        <w:jc w:val="center"/>
        <w:tblLayout w:type="fixed"/>
      </w:tblPr>
      <w:tblGrid>
        <w:gridCol w:w="3706"/>
        <w:gridCol w:w="1488"/>
        <w:gridCol w:w="1502"/>
        <w:gridCol w:w="1488"/>
        <w:gridCol w:w="150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706"/>
        <w:gridCol w:w="1493"/>
        <w:gridCol w:w="1498"/>
        <w:gridCol w:w="1488"/>
        <w:gridCol w:w="1502"/>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99.93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98.49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65.00</w:t>
            </w:r>
          </w:p>
        </w:tc>
      </w:tr>
      <w:tr>
        <w:trPr>
          <w:trHeight w:val="317"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本期纳入合并财务报表范围的主体较上期相比</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匕，增加</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户，减少</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户，其中</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p>
        </w:tc>
      </w:tr>
      <w:tr>
        <w:trPr>
          <w:trHeight w:val="322" w:hRule="exact"/>
        </w:trPr>
        <w:tc>
          <w:tcPr>
            <w:gridSpan w:val="5"/>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、本期新纳入合并范围的子公司、特殊目的主体、通过受托经营或承租等方式形成控制权的经营实体</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c>
          <w:tcPr>
            <w:tcBorders>
              <w:top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网络安全技术有限公司</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tbl>
      <w:tblPr>
        <w:tblOverlap w:val="never"/>
        <w:jc w:val="center"/>
        <w:tblLayout w:type="fixed"/>
      </w:tblPr>
      <w:tblGrid>
        <w:gridCol w:w="3835"/>
        <w:gridCol w:w="5851"/>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、本期不再纳入合并范围的子公司、特殊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花目的主体、通过委托经营或出租等方式丧失控制权的经营实体</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成都三零豪赛网络安全技术有限公司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已完成工商注销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上海卫士通网络安全有限公司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已完成清算及税务注销，正在进行工商注销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被子公司成都三零嘉微电子有限公司吸收合并，公司注销</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被子公司成都三零嘉微电子有限公司吸收合并，公司注销</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九</w:t>
      </w:r>
      <w:bookmarkEnd w:id="324"/>
      <w:r>
        <w:rPr>
          <w:color w:val="000000"/>
          <w:spacing w:val="0"/>
          <w:w w:val="100"/>
          <w:position w:val="0"/>
          <w:sz w:val="24"/>
          <w:szCs w:val="24"/>
        </w:rPr>
        <w:t>、聘任、解聘会计师事务所情况</w:t>
      </w:r>
      <w:bookmarkEnd w:id="322"/>
      <w:bookmarkEnd w:id="323"/>
      <w:bookmarkEnd w:id="32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钟平修、曹云华</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当期是否改聘会计师事务所</w:t>
      </w:r>
    </w:p>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20" w:line="350"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十、年度报告披露后面临退市情况</w:t>
      </w:r>
      <w:bookmarkEnd w:id="326"/>
      <w:bookmarkEnd w:id="327"/>
      <w:bookmarkEnd w:id="328"/>
    </w:p>
    <w:p>
      <w:pPr>
        <w:pStyle w:val="Style24"/>
        <w:keepNext w:val="0"/>
        <w:keepLines w:val="0"/>
        <w:widowControl w:val="0"/>
        <w:shd w:val="clear" w:color="auto" w:fill="auto"/>
        <w:bidi w:val="0"/>
        <w:spacing w:before="0" w:after="20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十一、破产重整相关事项</w:t>
      </w:r>
      <w:bookmarkEnd w:id="329"/>
      <w:bookmarkEnd w:id="330"/>
      <w:bookmarkEnd w:id="331"/>
    </w:p>
    <w:p>
      <w:pPr>
        <w:pStyle w:val="Style24"/>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350" w:lineRule="exact"/>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8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十二、重大诉讼、仲裁事项</w:t>
      </w:r>
      <w:bookmarkEnd w:id="332"/>
      <w:bookmarkEnd w:id="333"/>
      <w:bookmarkEnd w:id="334"/>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1858"/>
        <w:gridCol w:w="782"/>
        <w:gridCol w:w="912"/>
        <w:gridCol w:w="1430"/>
        <w:gridCol w:w="1550"/>
        <w:gridCol w:w="922"/>
        <w:gridCol w:w="926"/>
        <w:gridCol w:w="121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判决执行</w:t>
            </w:r>
          </w:p>
          <w:p>
            <w:pPr>
              <w:pStyle w:val="Style2"/>
              <w:keepNext w:val="0"/>
              <w:keepLines w:val="0"/>
              <w:widowControl w:val="0"/>
              <w:shd w:val="clear" w:color="auto" w:fill="auto"/>
              <w:bidi w:val="0"/>
              <w:spacing w:before="0" w:after="0" w:line="298" w:lineRule="exact"/>
              <w:ind w:left="0" w:right="0" w:firstLine="280"/>
              <w:jc w:val="both"/>
            </w:pPr>
            <w:r>
              <w:rPr>
                <w:color w:val="000000"/>
                <w:spacing w:val="0"/>
                <w:w w:val="100"/>
                <w:position w:val="0"/>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披露索引</w:t>
            </w:r>
          </w:p>
        </w:tc>
      </w:tr>
      <w:tr>
        <w:trPr>
          <w:trHeight w:val="85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:卫士通全资子 公司中电科（北京）网 络信息安全有限公司</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（以下简称''北京网安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向北京市第二中级人 民法院提交了民事诉 讼状，就北京网安向北 京金丰科华房地产开 发有限公司（以下简称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金丰科华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）购买的北 京市丰台区花乡四合 庄</w:t>
            </w:r>
            <w:r>
              <w:rPr>
                <w:rFonts w:ascii="Times New Roman" w:eastAsia="Times New Roman" w:hAnsi="Times New Roman" w:cs="Times New Roman"/>
                <w:color w:val="000000"/>
                <w:spacing w:val="0"/>
                <w:w w:val="100"/>
                <w:position w:val="0"/>
                <w:sz w:val="18"/>
                <w:szCs w:val="18"/>
              </w:rPr>
              <w:t>1516-15</w:t>
            </w:r>
            <w:r>
              <w:rPr>
                <w:color w:val="000000"/>
                <w:spacing w:val="0"/>
                <w:w w:val="100"/>
                <w:position w:val="0"/>
              </w:rPr>
              <w:t>地块上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办 公商业楼及该房屋对 应土地使用权的查封 事项提起执行异议之 诉。北京网安已经于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日向北 京市第二中级人民法 院提起执行异议之诉 共</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案，并提交相关 证据。诉讼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：北京中 宏瑞德投资管理中心</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（有限合伙）以排除妨 害为由起诉北京金丰 科华房地产开发有限 公司、北京网安及诺亚 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：北京市第 二中级人民法院 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日出具《受理案件 通知书》及《诉讼 费交费通知书》， 受理了本案。诉讼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：公司收到了北 京市丰台区人民 法院（</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）京 </w:t>
            </w:r>
            <w:r>
              <w:rPr>
                <w:rFonts w:ascii="Times New Roman" w:eastAsia="Times New Roman" w:hAnsi="Times New Roman" w:cs="Times New Roman"/>
                <w:color w:val="000000"/>
                <w:spacing w:val="0"/>
                <w:w w:val="100"/>
                <w:position w:val="0"/>
                <w:sz w:val="18"/>
                <w:szCs w:val="18"/>
              </w:rPr>
              <w:t xml:space="preserve">0106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25387 </w:t>
            </w:r>
            <w:r>
              <w:rPr>
                <w:color w:val="000000"/>
                <w:spacing w:val="0"/>
                <w:w w:val="100"/>
                <w:position w:val="0"/>
              </w:rPr>
              <w:t>号《民事裁定书》, 裁定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中电科（北 京）网络信息安全 有限公司、诺亚商 业保理有限公司 提出的异议成立， 本案移送北京市 高级人民法院处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：北京市第二 中级人民法院作出 了一审判决，驳回 北京网安的诉讼请 求。公司依法向北 京市高级人民法院 提起上诉，上诉已 获立案受理。</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日，北京 市高级人民法院二 审公开开庭审理了 本案。截至目前， 暂未下达终审判 决。目前还无法确 定本诉讼案件对公 司本期利润或期后 利润的影响。诉讼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：本案移送北京市 高级人民法院处 理，尚未开庭。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详细情况请见 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日在《证 券时报》、《中 国证券报》及 巨潮资讯网披 露的《成都卫 士通信息产业 股份有限公司 关于重大诉讼 的公告》（公告 编</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:2019-11）</w:t>
            </w:r>
            <w:r>
              <w:rPr>
                <w:color w:val="000000"/>
                <w:spacing w:val="0"/>
                <w:w w:val="100"/>
                <w:position w:val="0"/>
              </w:rPr>
              <w:t>。</w:t>
            </w:r>
          </w:p>
        </w:tc>
      </w:tr>
      <w:tr>
        <w:trPr>
          <w:trHeight w:val="41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同上诉讼</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北京市第二中级 人民法院作出了 一审判决，驳回北 京网安的诉讼请 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本次诉讼判决为一 审判决，尚未依法 生效。公司依法向 北京市高级人民法 院提起上诉，上诉 已获立案受理。</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 北京市高级人民法 院二审公开开庭审 理了本案。截至目 前，暂未下达终审 判决。目前还无法 确定本诉讼案件对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详细情况请见 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日在《证 券时报》、《中 国证券报》及 巨潮资讯网披 露的《成都卫 士通信息产业 股份有限公司 关于重大诉讼 的进展公告》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（公告编 号</w:t>
            </w:r>
            <w:r>
              <w:rPr>
                <w:rFonts w:ascii="Times New Roman" w:eastAsia="Times New Roman" w:hAnsi="Times New Roman" w:cs="Times New Roman"/>
                <w:color w:val="000000"/>
                <w:spacing w:val="0"/>
                <w:w w:val="100"/>
                <w:position w:val="0"/>
                <w:sz w:val="18"/>
                <w:szCs w:val="18"/>
              </w:rPr>
              <w:t>:2019-19）</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58"/>
        <w:gridCol w:w="782"/>
        <w:gridCol w:w="912"/>
        <w:gridCol w:w="1430"/>
        <w:gridCol w:w="1550"/>
        <w:gridCol w:w="922"/>
        <w:gridCol w:w="926"/>
        <w:gridCol w:w="121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公司本期利润或期 后利润的影响。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同上诉讼</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：因金融借款合 同纠纷，北京中宏瑞德 投资管理中心（有限合 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中宏瑞 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）起诉三洲隆徽实 业有限公司、中辉世纪 传媒发展有限公司、北 京金丰科华房地产开 发有限公司、储小晗、 李佳蔓、四川三洲特种 钢管有限公司、农信银 资金清算中心有限责 任公司、北京网安等十 五名被告，请求判决原 告中宏瑞德对被告北 京金丰科华房地产开 发有限公司位于北京 市丰台区花乡四合庄 的金丰能源中心项目 </w:t>
            </w:r>
            <w:r>
              <w:rPr>
                <w:rFonts w:ascii="Times New Roman" w:eastAsia="Times New Roman" w:hAnsi="Times New Roman" w:cs="Times New Roman"/>
                <w:color w:val="000000"/>
                <w:spacing w:val="0"/>
                <w:w w:val="100"/>
                <w:position w:val="0"/>
                <w:sz w:val="18"/>
                <w:szCs w:val="18"/>
              </w:rPr>
              <w:t xml:space="preserve">1516-15 </w:t>
            </w:r>
            <w:r>
              <w:rPr>
                <w:color w:val="000000"/>
                <w:spacing w:val="0"/>
                <w:w w:val="100"/>
                <w:position w:val="0"/>
              </w:rPr>
              <w:t xml:space="preserve">地块 </w:t>
            </w:r>
            <w:r>
              <w:rPr>
                <w:rFonts w:ascii="Times New Roman" w:eastAsia="Times New Roman" w:hAnsi="Times New Roman" w:cs="Times New Roman"/>
                <w:color w:val="000000"/>
                <w:spacing w:val="0"/>
                <w:w w:val="100"/>
                <w:position w:val="0"/>
                <w:sz w:val="18"/>
                <w:szCs w:val="18"/>
              </w:rPr>
              <w:t xml:space="preserve">37,651.02 </w:t>
            </w:r>
            <w:r>
              <w:rPr>
                <w:color w:val="000000"/>
                <w:spacing w:val="0"/>
                <w:w w:val="100"/>
                <w:position w:val="0"/>
              </w:rPr>
              <w:t>的土地使用权及地 上</w:t>
            </w:r>
            <w:r>
              <w:rPr>
                <w:rFonts w:ascii="Times New Roman" w:eastAsia="Times New Roman" w:hAnsi="Times New Roman" w:cs="Times New Roman"/>
                <w:color w:val="000000"/>
                <w:spacing w:val="0"/>
                <w:w w:val="100"/>
                <w:position w:val="0"/>
                <w:sz w:val="18"/>
                <w:szCs w:val="18"/>
              </w:rPr>
              <w:t>225,484.78 m'</w:t>
            </w:r>
            <w:r>
              <w:rPr>
                <w:color w:val="000000"/>
                <w:spacing w:val="0"/>
                <w:w w:val="100"/>
                <w:position w:val="0"/>
              </w:rPr>
              <w:t>在建工 程享有抵押权，原告中 宏瑞德可对抵押物拍 卖、变卖所得价款优先 受偿，或就北京网安在 内的标的房产购买人 应支付的抵押物销售 价款享有优先受偿权， 优先受偿范围为诉讼 请求所列全部债权及 实现债权的费用。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:公司依法 向北京市高级人 民法院提起上诉， 并已按照法院出 具的诉讼费交款 通知书支付了上 诉费。诉讼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 宏瑞德向法院申 请撤回对中辉世 纪传媒发展有限 公司、四川三洲特 种钢管有限公司、 农信银资金清算 中心有限责任公 司、北京网安等十 一名被告的起诉。</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2" w:lineRule="exact"/>
              <w:ind w:left="0" w:right="0" w:firstLine="0"/>
              <w:jc w:val="left"/>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:本次上诉已 获立案受理。</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日，北京 市高级人民法院二 审公开开庭审理了 本案。截至目前， 暂未下达终审判 决。目前还无法确 定本诉讼案件对公 司本期利润或期后 利润的影响。诉讼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日，北京市高级人 民法院裁定准许 中宏瑞德撤回对上 述^一名被告的起 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详细情况请见 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日在《证 券时报》、《中 国证券报》及 巨潮资讯网披 露的《成都卫 士通信息产业 股份有限公司 关于重大诉讼 的进展公告》</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（公告编 号</w:t>
            </w:r>
            <w:r>
              <w:rPr>
                <w:rFonts w:ascii="Times New Roman" w:eastAsia="Times New Roman" w:hAnsi="Times New Roman" w:cs="Times New Roman"/>
                <w:color w:val="000000"/>
                <w:spacing w:val="0"/>
                <w:w w:val="100"/>
                <w:position w:val="0"/>
                <w:sz w:val="18"/>
                <w:szCs w:val="18"/>
              </w:rPr>
              <w:t>:2019-26）</w:t>
            </w:r>
            <w:r>
              <w:rPr>
                <w:color w:val="000000"/>
                <w:spacing w:val="0"/>
                <w:w w:val="100"/>
                <w:position w:val="0"/>
              </w:rPr>
              <w:t>。</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其他诉讼（子公司为原 告方）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其他诉讼（子公司为被 告方）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0"/>
        <w:keepNext/>
        <w:keepLines/>
        <w:widowControl w:val="0"/>
        <w:shd w:val="clear" w:color="auto" w:fill="auto"/>
        <w:bidi w:val="0"/>
        <w:spacing w:before="0" w:after="40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十三、处罚及整改情况</w:t>
      </w:r>
      <w:bookmarkEnd w:id="335"/>
      <w:bookmarkEnd w:id="336"/>
      <w:bookmarkEnd w:id="337"/>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公司报告期不存在处罚及整改情况。</w:t>
      </w:r>
    </w:p>
    <w:p>
      <w:pPr>
        <w:pStyle w:val="Style20"/>
        <w:keepNext/>
        <w:keepLines/>
        <w:widowControl w:val="0"/>
        <w:shd w:val="clear" w:color="auto" w:fill="auto"/>
        <w:bidi w:val="0"/>
        <w:spacing w:before="0" w:after="380" w:line="317" w:lineRule="exact"/>
        <w:ind w:left="0" w:right="0" w:firstLine="0"/>
        <w:jc w:val="both"/>
      </w:pPr>
      <w:bookmarkStart w:id="338" w:name="bookmark338"/>
      <w:bookmarkStart w:id="339" w:name="bookmark339"/>
      <w:bookmarkStart w:id="340" w:name="bookmark340"/>
      <w:r>
        <w:rPr>
          <w:color w:val="000000"/>
          <w:spacing w:val="0"/>
          <w:w w:val="100"/>
          <w:position w:val="0"/>
          <w:sz w:val="24"/>
          <w:szCs w:val="24"/>
        </w:rPr>
        <w:t>十四、公司及其控股股东、实际控制人的诚信状况</w:t>
      </w:r>
      <w:bookmarkEnd w:id="338"/>
      <w:bookmarkEnd w:id="339"/>
      <w:bookmarkEnd w:id="340"/>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317" w:lineRule="exact"/>
        <w:ind w:left="0" w:right="0" w:firstLine="0"/>
        <w:jc w:val="both"/>
      </w:pPr>
      <w:bookmarkStart w:id="341" w:name="bookmark341"/>
      <w:bookmarkStart w:id="342" w:name="bookmark342"/>
      <w:bookmarkStart w:id="343" w:name="bookmark343"/>
      <w:r>
        <w:rPr>
          <w:color w:val="000000"/>
          <w:spacing w:val="0"/>
          <w:w w:val="100"/>
          <w:position w:val="0"/>
          <w:sz w:val="24"/>
          <w:szCs w:val="24"/>
        </w:rPr>
        <w:t>十五、公司股权激励计划、员工持股计划或其他员工激励措施的实施情况</w:t>
      </w:r>
      <w:bookmarkEnd w:id="341"/>
      <w:bookmarkEnd w:id="342"/>
      <w:bookmarkEnd w:id="343"/>
    </w:p>
    <w:p>
      <w:pPr>
        <w:pStyle w:val="Style24"/>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240" w:line="312" w:lineRule="exact"/>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1.2020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2"/>
          <w:szCs w:val="22"/>
        </w:rPr>
        <w:t>日，卫士通第七届第七次董事会、第七届第六次监事会审议通过了《成都卫士 通信息产业股份有限公司限制性股票长期激励计划暨首期实施方案(草案)及摘要》等与本 计划相关的议案。具体详见公司于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2"/>
          <w:szCs w:val="22"/>
        </w:rPr>
        <w:t>日在巨潮资讯网(</w:t>
      </w:r>
      <w:r>
        <w:rPr>
          <w:rFonts w:ascii="Times New Roman" w:eastAsia="Times New Roman" w:hAnsi="Times New Roman" w:cs="Times New Roman"/>
          <w:color w:val="000000"/>
          <w:spacing w:val="0"/>
          <w:w w:val="100"/>
          <w:position w:val="0"/>
          <w:sz w:val="24"/>
          <w:szCs w:val="24"/>
        </w:rPr>
        <w:t>www .cninfo.com.c n)</w:t>
      </w:r>
      <w:r>
        <w:rPr>
          <w:color w:val="000000"/>
          <w:spacing w:val="0"/>
          <w:w w:val="100"/>
          <w:position w:val="0"/>
          <w:sz w:val="22"/>
          <w:szCs w:val="22"/>
        </w:rPr>
        <w:t>上披露 的相关公告。</w:t>
      </w:r>
    </w:p>
    <w:p>
      <w:pPr>
        <w:pStyle w:val="Style34"/>
        <w:keepNext w:val="0"/>
        <w:keepLines w:val="0"/>
        <w:widowControl w:val="0"/>
        <w:shd w:val="clear" w:color="auto" w:fill="auto"/>
        <w:bidi w:val="0"/>
        <w:spacing w:before="0" w:after="240" w:line="320" w:lineRule="exact"/>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2.2020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日，国务院国有资产监督管理委员会核发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国资考分(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622</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《关于成都 卫士通信息产业股份有限公司实施限制性股票激励计划的批复》，原则同意卫士通实施限制 性股票激励计划。具体详见公司于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日在巨潮资讯网</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sz w:val="22"/>
          <w:szCs w:val="22"/>
        </w:rPr>
        <w:t>上披露 的相关公告。</w:t>
      </w:r>
    </w:p>
    <w:p>
      <w:pPr>
        <w:pStyle w:val="Style34"/>
        <w:keepNext w:val="0"/>
        <w:keepLines w:val="0"/>
        <w:widowControl w:val="0"/>
        <w:shd w:val="clear" w:color="auto" w:fill="auto"/>
        <w:bidi w:val="0"/>
        <w:spacing w:before="0" w:after="0" w:line="317" w:lineRule="exact"/>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3.2020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日，卫士通第七届董事会第十二次会议、第七届监事会第十次会议审议通过 了《成都卫士通信息产业股份有限公司限制性股票长期激励计划暨首期实施方案(草案修订 稿)及其摘要》等与本次计划相关的议案。具体详见公司于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日在巨潮资讯网</w:t>
      </w:r>
    </w:p>
    <w:p>
      <w:pPr>
        <w:pStyle w:val="Style62"/>
        <w:keepNext w:val="0"/>
        <w:keepLines w:val="0"/>
        <w:widowControl w:val="0"/>
        <w:shd w:val="clear" w:color="auto" w:fill="auto"/>
        <w:bidi w:val="0"/>
        <w:spacing w:before="0" w:after="240" w:line="317" w:lineRule="exact"/>
        <w:ind w:left="0" w:right="0" w:firstLine="0"/>
        <w:jc w:val="both"/>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www.cninfo.com.cn)</w:t>
      </w:r>
      <w:r>
        <w:rPr>
          <w:rFonts w:ascii="SimSun" w:eastAsia="SimSun" w:hAnsi="SimSun" w:cs="SimSun"/>
          <w:color w:val="000000"/>
          <w:spacing w:val="0"/>
          <w:w w:val="100"/>
          <w:position w:val="0"/>
          <w:sz w:val="22"/>
          <w:szCs w:val="22"/>
        </w:rPr>
        <w:t>上披露的相关公告。</w:t>
      </w:r>
    </w:p>
    <w:p>
      <w:pPr>
        <w:pStyle w:val="Style34"/>
        <w:keepNext w:val="0"/>
        <w:keepLines w:val="0"/>
        <w:widowControl w:val="0"/>
        <w:shd w:val="clear" w:color="auto" w:fill="auto"/>
        <w:bidi w:val="0"/>
        <w:spacing w:before="0" w:after="240" w:line="318" w:lineRule="exact"/>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4.2020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日，卫士通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年第一次临时股东大会审议通过了《成都卫士通信息产业股 份有限公司限制性股票长期激励计划暨首期实施方案(草案修订稿)及摘要》等与本次计划 相关的议案。具体详见公司于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2"/>
          <w:szCs w:val="22"/>
        </w:rPr>
        <w:t>日在巨潮资讯网</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sz w:val="22"/>
          <w:szCs w:val="22"/>
        </w:rPr>
        <w:t>上披露的相 关公告。</w:t>
      </w:r>
    </w:p>
    <w:p>
      <w:pPr>
        <w:pStyle w:val="Style34"/>
        <w:keepNext w:val="0"/>
        <w:keepLines w:val="0"/>
        <w:widowControl w:val="0"/>
        <w:shd w:val="clear" w:color="auto" w:fill="auto"/>
        <w:bidi w:val="0"/>
        <w:spacing w:before="0" w:after="0" w:line="313" w:lineRule="exact"/>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5.2020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日，卫士通第七届第十三次董事会会议、第七届监事会第十一次会议审议通 过《关于公司限制性股票长期激励计划</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年首次授予相关事项的议案》《关于公司限制性 股票长期激励计划</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年预留授予相关事项的议案》，同意公司本次股权激励计划的首次授 予日为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日，向符合条件的</w:t>
      </w:r>
      <w:r>
        <w:rPr>
          <w:rFonts w:ascii="Times New Roman" w:eastAsia="Times New Roman" w:hAnsi="Times New Roman" w:cs="Times New Roman"/>
          <w:color w:val="000000"/>
          <w:spacing w:val="0"/>
          <w:w w:val="100"/>
          <w:position w:val="0"/>
          <w:sz w:val="24"/>
          <w:szCs w:val="24"/>
        </w:rPr>
        <w:t>312</w:t>
      </w:r>
      <w:r>
        <w:rPr>
          <w:color w:val="000000"/>
          <w:spacing w:val="0"/>
          <w:w w:val="100"/>
          <w:position w:val="0"/>
          <w:sz w:val="22"/>
          <w:szCs w:val="22"/>
        </w:rPr>
        <w:t>名激励对象授予</w:t>
      </w:r>
      <w:r>
        <w:rPr>
          <w:rFonts w:ascii="Times New Roman" w:eastAsia="Times New Roman" w:hAnsi="Times New Roman" w:cs="Times New Roman"/>
          <w:color w:val="000000"/>
          <w:spacing w:val="0"/>
          <w:w w:val="100"/>
          <w:position w:val="0"/>
          <w:sz w:val="24"/>
          <w:szCs w:val="24"/>
        </w:rPr>
        <w:t>821.2</w:t>
      </w:r>
      <w:r>
        <w:rPr>
          <w:color w:val="000000"/>
          <w:spacing w:val="0"/>
          <w:w w:val="100"/>
          <w:position w:val="0"/>
          <w:sz w:val="22"/>
          <w:szCs w:val="22"/>
        </w:rPr>
        <w:t>万股限制性股票，授予价格 为</w:t>
      </w:r>
      <w:r>
        <w:rPr>
          <w:rFonts w:ascii="Times New Roman" w:eastAsia="Times New Roman" w:hAnsi="Times New Roman" w:cs="Times New Roman"/>
          <w:color w:val="000000"/>
          <w:spacing w:val="0"/>
          <w:w w:val="100"/>
          <w:position w:val="0"/>
          <w:sz w:val="24"/>
          <w:szCs w:val="24"/>
        </w:rPr>
        <w:t>11.42</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股；同意本次授予的预留授予日为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日，向</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名激励对象授予</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2"/>
          <w:szCs w:val="22"/>
        </w:rPr>
        <w:t>万股 限制性股票，授予价格为</w:t>
      </w:r>
      <w:r>
        <w:rPr>
          <w:rFonts w:ascii="Times New Roman" w:eastAsia="Times New Roman" w:hAnsi="Times New Roman" w:cs="Times New Roman"/>
          <w:color w:val="000000"/>
          <w:spacing w:val="0"/>
          <w:w w:val="100"/>
          <w:position w:val="0"/>
          <w:sz w:val="24"/>
          <w:szCs w:val="24"/>
        </w:rPr>
        <w:t>11.42</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股。具体详见公司于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日在巨潮资讯网</w:t>
      </w:r>
    </w:p>
    <w:p>
      <w:pPr>
        <w:pStyle w:val="Style62"/>
        <w:keepNext w:val="0"/>
        <w:keepLines w:val="0"/>
        <w:widowControl w:val="0"/>
        <w:shd w:val="clear" w:color="auto" w:fill="auto"/>
        <w:bidi w:val="0"/>
        <w:spacing w:before="0" w:after="300" w:line="313" w:lineRule="exact"/>
        <w:ind w:left="0" w:right="0" w:firstLine="0"/>
        <w:jc w:val="both"/>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www.cninfo.com.cn)</w:t>
      </w:r>
      <w:r>
        <w:rPr>
          <w:rFonts w:ascii="SimSun" w:eastAsia="SimSun" w:hAnsi="SimSun" w:cs="SimSun"/>
          <w:color w:val="000000"/>
          <w:spacing w:val="0"/>
          <w:w w:val="100"/>
          <w:position w:val="0"/>
          <w:sz w:val="22"/>
          <w:szCs w:val="22"/>
        </w:rPr>
        <w:t>上披露的相关公告。</w:t>
      </w:r>
    </w:p>
    <w:p>
      <w:pPr>
        <w:pStyle w:val="Style20"/>
        <w:keepNext/>
        <w:keepLines/>
        <w:widowControl w:val="0"/>
        <w:shd w:val="clear" w:color="auto" w:fill="auto"/>
        <w:bidi w:val="0"/>
        <w:spacing w:before="0" w:after="380" w:line="317" w:lineRule="exact"/>
        <w:ind w:left="0" w:right="0" w:firstLine="0"/>
        <w:jc w:val="both"/>
      </w:pPr>
      <w:bookmarkStart w:id="344" w:name="bookmark344"/>
      <w:bookmarkStart w:id="345" w:name="bookmark345"/>
      <w:bookmarkStart w:id="346" w:name="bookmark346"/>
      <w:r>
        <w:rPr>
          <w:color w:val="000000"/>
          <w:spacing w:val="0"/>
          <w:w w:val="100"/>
          <w:position w:val="0"/>
          <w:sz w:val="24"/>
          <w:szCs w:val="24"/>
        </w:rPr>
        <w:t>十六、重大关联交易</w:t>
      </w:r>
      <w:bookmarkEnd w:id="344"/>
      <w:bookmarkEnd w:id="345"/>
      <w:bookmarkEnd w:id="346"/>
    </w:p>
    <w:p>
      <w:pPr>
        <w:pStyle w:val="Style22"/>
        <w:keepNext w:val="0"/>
        <w:keepLines w:val="0"/>
        <w:widowControl w:val="0"/>
        <w:shd w:val="clear" w:color="auto" w:fill="auto"/>
        <w:bidi w:val="0"/>
        <w:spacing w:before="0" w:after="0" w:line="329" w:lineRule="auto"/>
        <w:ind w:left="0" w:right="0" w:firstLine="0"/>
        <w:jc w:val="left"/>
        <w:rPr>
          <w:sz w:val="20"/>
          <w:szCs w:val="20"/>
        </w:rPr>
      </w:pPr>
      <w:bookmarkStart w:id="347" w:name="bookmark34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、与日常经营相关的关联交易</w:t>
      </w:r>
      <w:bookmarkEnd w:id="347"/>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677"/>
        <w:gridCol w:w="682"/>
        <w:gridCol w:w="696"/>
        <w:gridCol w:w="686"/>
        <w:gridCol w:w="672"/>
        <w:gridCol w:w="682"/>
        <w:gridCol w:w="662"/>
        <w:gridCol w:w="686"/>
        <w:gridCol w:w="672"/>
        <w:gridCol w:w="672"/>
        <w:gridCol w:w="782"/>
        <w:gridCol w:w="566"/>
        <w:gridCol w:w="643"/>
      </w:tblGrid>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占同类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可获得的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w:t>
            </w:r>
          </w:p>
        </w:tc>
      </w:tr>
      <w:tr>
        <w:trPr>
          <w:trHeight w:val="34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易定价</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易金额</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交易金</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过获批</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易结算</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同类交易</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日期</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引</w:t>
            </w:r>
          </w:p>
        </w:tc>
      </w:tr>
    </w:tbl>
    <w:tbl>
      <w:tblPr>
        <w:tblOverlap w:val="never"/>
        <w:jc w:val="center"/>
        <w:tblLayout w:type="fixed"/>
      </w:tblPr>
      <w:tblGrid>
        <w:gridCol w:w="811"/>
        <w:gridCol w:w="677"/>
        <w:gridCol w:w="682"/>
        <w:gridCol w:w="696"/>
        <w:gridCol w:w="686"/>
        <w:gridCol w:w="672"/>
        <w:gridCol w:w="677"/>
        <w:gridCol w:w="667"/>
        <w:gridCol w:w="686"/>
        <w:gridCol w:w="672"/>
        <w:gridCol w:w="672"/>
        <w:gridCol w:w="782"/>
        <w:gridCol w:w="566"/>
        <w:gridCol w:w="64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度（万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市价（万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 科技集团 公司第三 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同受母 公司控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安全产 品及集 成等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53,355.86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、资产或股权收购、出售发生的关联交易</w:t>
      </w:r>
      <w:bookmarkEnd w:id="348"/>
      <w:bookmarkEnd w:id="349"/>
      <w:bookmarkEnd w:id="35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68"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3</w:t>
      </w:r>
      <w:bookmarkEnd w:id="354"/>
      <w:r>
        <w:rPr>
          <w:color w:val="000000"/>
          <w:spacing w:val="0"/>
          <w:w w:val="100"/>
          <w:position w:val="0"/>
        </w:rPr>
        <w:t>、</w:t>
        <w:tab/>
        <w:t>共同对外投资的关联交易</w:t>
      </w:r>
      <w:bookmarkEnd w:id="352"/>
      <w:bookmarkEnd w:id="353"/>
      <w:bookmarkEnd w:id="35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68"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bookmarkEnd w:id="358"/>
      <w:r>
        <w:rPr>
          <w:color w:val="000000"/>
          <w:spacing w:val="0"/>
          <w:w w:val="100"/>
          <w:position w:val="0"/>
        </w:rPr>
        <w:t>、</w:t>
        <w:tab/>
        <w:t>关联债权债务往来</w:t>
      </w:r>
      <w:bookmarkEnd w:id="356"/>
      <w:bookmarkEnd w:id="357"/>
      <w:bookmarkEnd w:id="359"/>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68"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5</w:t>
      </w:r>
      <w:bookmarkEnd w:id="362"/>
      <w:r>
        <w:rPr>
          <w:color w:val="000000"/>
          <w:spacing w:val="0"/>
          <w:w w:val="100"/>
          <w:position w:val="0"/>
        </w:rPr>
        <w:t>、</w:t>
        <w:tab/>
        <w:t>其他重大关联交易</w:t>
      </w:r>
      <w:bookmarkEnd w:id="360"/>
      <w:bookmarkEnd w:id="361"/>
      <w:bookmarkEnd w:id="363"/>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十七、重大合同及其履行情况</w:t>
      </w:r>
      <w:bookmarkEnd w:id="364"/>
      <w:bookmarkEnd w:id="365"/>
      <w:bookmarkEnd w:id="366"/>
    </w:p>
    <w:p>
      <w:pPr>
        <w:pStyle w:val="Style30"/>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、托管、承包、租赁事项情况</w:t>
      </w:r>
      <w:bookmarkEnd w:id="367"/>
      <w:bookmarkEnd w:id="368"/>
      <w:bookmarkEnd w:id="370"/>
    </w:p>
    <w:p>
      <w:pPr>
        <w:pStyle w:val="Style40"/>
        <w:keepNext/>
        <w:keepLines/>
        <w:widowControl w:val="0"/>
        <w:shd w:val="clear" w:color="auto" w:fill="auto"/>
        <w:bidi w:val="0"/>
        <w:spacing w:before="0" w:after="36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71"/>
      <w:bookmarkEnd w:id="372"/>
      <w:bookmarkEnd w:id="37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4"/>
        <w:keepNext w:val="0"/>
        <w:keepLines w:val="0"/>
        <w:widowControl w:val="0"/>
        <w:numPr>
          <w:ilvl w:val="0"/>
          <w:numId w:val="7"/>
        </w:numPr>
        <w:shd w:val="clear" w:color="auto" w:fill="auto"/>
        <w:tabs>
          <w:tab w:pos="483" w:val="left"/>
        </w:tabs>
        <w:bidi w:val="0"/>
        <w:spacing w:before="0" w:after="300" w:line="240" w:lineRule="auto"/>
        <w:ind w:left="0" w:right="0" w:firstLine="0"/>
        <w:jc w:val="left"/>
      </w:pPr>
      <w:bookmarkStart w:id="375" w:name="bookmark375"/>
      <w:bookmarkStart w:id="376" w:name="bookmark376"/>
      <w:bookmarkEnd w:id="375"/>
      <w:r>
        <w:rPr>
          <w:b/>
          <w:bCs/>
          <w:color w:val="000000"/>
          <w:spacing w:val="0"/>
          <w:w w:val="100"/>
          <w:position w:val="0"/>
        </w:rPr>
        <w:t>承包情况</w:t>
      </w:r>
      <w:bookmarkEnd w:id="376"/>
    </w:p>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公司报告期不存在承包情况。</w:t>
      </w:r>
    </w:p>
    <w:p>
      <w:pPr>
        <w:pStyle w:val="Style34"/>
        <w:keepNext w:val="0"/>
        <w:keepLines w:val="0"/>
        <w:widowControl w:val="0"/>
        <w:numPr>
          <w:ilvl w:val="0"/>
          <w:numId w:val="7"/>
        </w:numPr>
        <w:shd w:val="clear" w:color="auto" w:fill="auto"/>
        <w:tabs>
          <w:tab w:pos="483" w:val="left"/>
        </w:tabs>
        <w:bidi w:val="0"/>
        <w:spacing w:before="0" w:after="300" w:line="240" w:lineRule="auto"/>
        <w:ind w:left="0" w:right="0" w:firstLine="0"/>
        <w:jc w:val="left"/>
      </w:pPr>
      <w:bookmarkStart w:id="377" w:name="bookmark377"/>
      <w:bookmarkStart w:id="378" w:name="bookmark378"/>
      <w:bookmarkEnd w:id="377"/>
      <w:r>
        <w:rPr>
          <w:b/>
          <w:bCs/>
          <w:color w:val="000000"/>
          <w:spacing w:val="0"/>
          <w:w w:val="100"/>
          <w:position w:val="0"/>
        </w:rPr>
        <w:t>租赁情况</w:t>
      </w:r>
      <w:bookmarkEnd w:id="378"/>
    </w:p>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公司报告期不存在租赁情况。</w:t>
      </w:r>
    </w:p>
    <w:p>
      <w:pPr>
        <w:pStyle w:val="Style30"/>
        <w:keepNext/>
        <w:keepLines/>
        <w:widowControl w:val="0"/>
        <w:shd w:val="clear" w:color="auto" w:fill="auto"/>
        <w:tabs>
          <w:tab w:pos="368" w:val="left"/>
        </w:tabs>
        <w:bidi w:val="0"/>
        <w:spacing w:before="0" w:after="30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w:t>
        <w:tab/>
        <w:t>重大担保</w:t>
      </w:r>
      <w:bookmarkEnd w:id="379"/>
      <w:bookmarkEnd w:id="380"/>
      <w:bookmarkEnd w:id="382"/>
    </w:p>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公司报告期不存在担保情况。</w:t>
      </w:r>
    </w:p>
    <w:p>
      <w:pPr>
        <w:pStyle w:val="Style30"/>
        <w:keepNext/>
        <w:keepLines/>
        <w:widowControl w:val="0"/>
        <w:shd w:val="clear" w:color="auto" w:fill="auto"/>
        <w:tabs>
          <w:tab w:pos="368" w:val="left"/>
        </w:tabs>
        <w:bidi w:val="0"/>
        <w:spacing w:before="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3</w:t>
      </w:r>
      <w:bookmarkEnd w:id="385"/>
      <w:r>
        <w:rPr>
          <w:color w:val="000000"/>
          <w:spacing w:val="0"/>
          <w:w w:val="100"/>
          <w:position w:val="0"/>
        </w:rPr>
        <w:t>、</w:t>
        <w:tab/>
        <w:t>委托他人进行现金资产管理情况</w:t>
      </w:r>
      <w:bookmarkEnd w:id="383"/>
      <w:bookmarkEnd w:id="384"/>
      <w:bookmarkEnd w:id="386"/>
    </w:p>
    <w:p>
      <w:pPr>
        <w:pStyle w:val="Style40"/>
        <w:keepNext/>
        <w:keepLines/>
        <w:widowControl w:val="0"/>
        <w:numPr>
          <w:ilvl w:val="0"/>
          <w:numId w:val="9"/>
        </w:numPr>
        <w:shd w:val="clear" w:color="auto" w:fill="auto"/>
        <w:tabs>
          <w:tab w:pos="483" w:val="left"/>
        </w:tabs>
        <w:bidi w:val="0"/>
        <w:spacing w:before="0" w:after="300" w:line="240" w:lineRule="auto"/>
        <w:ind w:left="0" w:right="0" w:firstLine="0"/>
        <w:jc w:val="left"/>
      </w:pPr>
      <w:bookmarkStart w:id="387" w:name="bookmark387"/>
      <w:bookmarkStart w:id="388" w:name="bookmark388"/>
      <w:bookmarkStart w:id="389" w:name="bookmark389"/>
      <w:bookmarkStart w:id="390" w:name="bookmark390"/>
      <w:bookmarkEnd w:id="389"/>
      <w:r>
        <w:rPr>
          <w:color w:val="000000"/>
          <w:spacing w:val="0"/>
          <w:w w:val="100"/>
          <w:position w:val="0"/>
        </w:rPr>
        <w:t>委托理财情况</w:t>
      </w:r>
      <w:bookmarkEnd w:id="387"/>
      <w:bookmarkEnd w:id="388"/>
      <w:bookmarkEnd w:id="390"/>
    </w:p>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公司报告期不存在委托理财。</w:t>
      </w:r>
    </w:p>
    <w:p>
      <w:pPr>
        <w:pStyle w:val="Style40"/>
        <w:keepNext/>
        <w:keepLines/>
        <w:widowControl w:val="0"/>
        <w:numPr>
          <w:ilvl w:val="0"/>
          <w:numId w:val="9"/>
        </w:numPr>
        <w:shd w:val="clear" w:color="auto" w:fill="auto"/>
        <w:tabs>
          <w:tab w:pos="483" w:val="left"/>
        </w:tabs>
        <w:bidi w:val="0"/>
        <w:spacing w:before="0" w:after="300" w:line="240" w:lineRule="auto"/>
        <w:ind w:left="0" w:right="0" w:firstLine="0"/>
        <w:jc w:val="left"/>
      </w:pPr>
      <w:bookmarkStart w:id="391" w:name="bookmark391"/>
      <w:bookmarkStart w:id="392" w:name="bookmark392"/>
      <w:bookmarkStart w:id="393" w:name="bookmark393"/>
      <w:bookmarkStart w:id="394" w:name="bookmark394"/>
      <w:bookmarkEnd w:id="393"/>
      <w:r>
        <w:rPr>
          <w:color w:val="000000"/>
          <w:spacing w:val="0"/>
          <w:w w:val="100"/>
          <w:position w:val="0"/>
        </w:rPr>
        <w:t>委托贷款情况</w:t>
      </w:r>
      <w:bookmarkEnd w:id="391"/>
      <w:bookmarkEnd w:id="392"/>
      <w:bookmarkEnd w:id="394"/>
    </w:p>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公司报告期不存在委托贷款。</w:t>
      </w:r>
    </w:p>
    <w:p>
      <w:pPr>
        <w:pStyle w:val="Style30"/>
        <w:keepNext/>
        <w:keepLines/>
        <w:widowControl w:val="0"/>
        <w:shd w:val="clear" w:color="auto" w:fill="auto"/>
        <w:tabs>
          <w:tab w:pos="368" w:val="left"/>
        </w:tabs>
        <w:bidi w:val="0"/>
        <w:spacing w:before="0" w:after="30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4</w:t>
      </w:r>
      <w:bookmarkEnd w:id="397"/>
      <w:r>
        <w:rPr>
          <w:color w:val="000000"/>
          <w:spacing w:val="0"/>
          <w:w w:val="100"/>
          <w:position w:val="0"/>
        </w:rPr>
        <w:t>、</w:t>
        <w:tab/>
        <w:t>日常经营重大合同</w:t>
      </w:r>
      <w:bookmarkEnd w:id="395"/>
      <w:bookmarkEnd w:id="396"/>
      <w:bookmarkEnd w:id="398"/>
    </w:p>
    <w:p>
      <w:pPr>
        <w:pStyle w:val="Style24"/>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0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5</w:t>
      </w:r>
      <w:bookmarkEnd w:id="401"/>
      <w:r>
        <w:rPr>
          <w:color w:val="000000"/>
          <w:spacing w:val="0"/>
          <w:w w:val="100"/>
          <w:position w:val="0"/>
        </w:rPr>
        <w:t>、</w:t>
        <w:tab/>
        <w:t>其他重大合同</w:t>
      </w:r>
      <w:bookmarkEnd w:id="399"/>
      <w:bookmarkEnd w:id="400"/>
      <w:bookmarkEnd w:id="402"/>
    </w:p>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十八、社会责任情况</w:t>
      </w:r>
      <w:bookmarkEnd w:id="403"/>
      <w:bookmarkEnd w:id="404"/>
      <w:bookmarkEnd w:id="405"/>
    </w:p>
    <w:p>
      <w:pPr>
        <w:pStyle w:val="Style30"/>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1</w:t>
      </w:r>
      <w:bookmarkEnd w:id="408"/>
      <w:r>
        <w:rPr>
          <w:color w:val="000000"/>
          <w:spacing w:val="0"/>
          <w:w w:val="100"/>
          <w:position w:val="0"/>
        </w:rPr>
        <w:t>、履行社会责任情况</w:t>
      </w:r>
      <w:bookmarkEnd w:id="406"/>
      <w:bookmarkEnd w:id="407"/>
      <w:bookmarkEnd w:id="409"/>
    </w:p>
    <w:p>
      <w:pPr>
        <w:pStyle w:val="Style30"/>
        <w:keepNext/>
        <w:keepLines/>
        <w:widowControl w:val="0"/>
        <w:shd w:val="clear" w:color="auto" w:fill="auto"/>
        <w:bidi w:val="0"/>
        <w:spacing w:before="0" w:after="300" w:line="240" w:lineRule="auto"/>
        <w:ind w:left="0" w:right="0" w:firstLine="0"/>
        <w:jc w:val="left"/>
      </w:pPr>
      <w:bookmarkStart w:id="406" w:name="bookmark406"/>
      <w:bookmarkStart w:id="407" w:name="bookmark407"/>
      <w:bookmarkStart w:id="410" w:name="bookmark410"/>
      <w:r>
        <w:rPr>
          <w:rFonts w:ascii="Times New Roman" w:eastAsia="Times New Roman" w:hAnsi="Times New Roman" w:cs="Times New Roman"/>
          <w:color w:val="000000"/>
          <w:spacing w:val="0"/>
          <w:w w:val="100"/>
          <w:position w:val="0"/>
        </w:rPr>
        <w:t>1</w:t>
      </w:r>
      <w:bookmarkEnd w:id="410"/>
      <w:r>
        <w:rPr>
          <w:color w:val="000000"/>
          <w:spacing w:val="0"/>
          <w:w w:val="100"/>
          <w:position w:val="0"/>
        </w:rPr>
        <w:t>、履行社会责任情况</w:t>
      </w:r>
      <w:bookmarkEnd w:id="406"/>
      <w:bookmarkEnd w:id="407"/>
    </w:p>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 xml:space="preserve">公司积极履行企业公民应尽的义务，承担社会责任，在致力于生产经营、不断为股东创造价值的同时，充分尊重员工、 客户、供应商及其他利益相关者的合法权益，积极与各方合作，加强沟通与交流，实现股东、员工、上下游合作者、社会等 </w:t>
      </w:r>
      <w:r>
        <w:rPr>
          <w:color w:val="000000"/>
          <w:spacing w:val="0"/>
          <w:w w:val="100"/>
          <w:position w:val="0"/>
        </w:rPr>
        <w:t>各方力量的均衡，推动公司持续、稳定、健康发展。</w:t>
      </w:r>
    </w:p>
    <w:p>
      <w:pPr>
        <w:pStyle w:val="Style24"/>
        <w:keepNext w:val="0"/>
        <w:keepLines w:val="0"/>
        <w:widowControl w:val="0"/>
        <w:shd w:val="clear" w:color="auto" w:fill="auto"/>
        <w:tabs>
          <w:tab w:pos="881" w:val="left"/>
        </w:tabs>
        <w:bidi w:val="0"/>
        <w:spacing w:before="0" w:after="0" w:line="312" w:lineRule="exact"/>
        <w:ind w:left="0" w:right="0" w:firstLine="380"/>
        <w:jc w:val="both"/>
      </w:pPr>
      <w:bookmarkStart w:id="411" w:name="bookmark411"/>
      <w:r>
        <w:rPr>
          <w:color w:val="000000"/>
          <w:spacing w:val="0"/>
          <w:w w:val="100"/>
          <w:position w:val="0"/>
        </w:rPr>
        <w:t>（</w:t>
      </w:r>
      <w:bookmarkEnd w:id="4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公司采取积极方式回报投资者。报告期内，公司按照相关法律法规要求，及时、真实、准确、完整地在指定平台 进行信息披露；通过接待现场调研、接听电话咨询、网上答疑、网站设置专区等多种途径与投资者进行沟通，增强了投资者 对公司的了解。</w:t>
      </w:r>
    </w:p>
    <w:p>
      <w:pPr>
        <w:pStyle w:val="Style24"/>
        <w:keepNext w:val="0"/>
        <w:keepLines w:val="0"/>
        <w:widowControl w:val="0"/>
        <w:shd w:val="clear" w:color="auto" w:fill="auto"/>
        <w:tabs>
          <w:tab w:pos="881" w:val="left"/>
        </w:tabs>
        <w:bidi w:val="0"/>
        <w:spacing w:before="0" w:after="0" w:line="322" w:lineRule="exact"/>
        <w:ind w:left="0" w:right="0" w:firstLine="380"/>
        <w:jc w:val="both"/>
      </w:pPr>
      <w:bookmarkStart w:id="412" w:name="bookmark412"/>
      <w:r>
        <w:rPr>
          <w:color w:val="000000"/>
          <w:spacing w:val="0"/>
          <w:w w:val="100"/>
          <w:position w:val="0"/>
        </w:rPr>
        <w:t>（</w:t>
      </w:r>
      <w:bookmarkEnd w:id="4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公司切实维护员工权益。报告期内，公司严格遵守《劳动法》、《劳动合同法》、《妇女权益保护法》等相关法 律法规，尊重和维护员工权益，为员工提供安全、整洁的工作环境，注重员工知识和技能提高，关心员工身心健康，加强对 员工的人文关怀，努力提高员工满意度，实现企业和员工的同步成长与发展。</w:t>
      </w:r>
    </w:p>
    <w:p>
      <w:pPr>
        <w:pStyle w:val="Style24"/>
        <w:keepNext w:val="0"/>
        <w:keepLines w:val="0"/>
        <w:widowControl w:val="0"/>
        <w:shd w:val="clear" w:color="auto" w:fill="auto"/>
        <w:tabs>
          <w:tab w:pos="876" w:val="left"/>
        </w:tabs>
        <w:bidi w:val="0"/>
        <w:spacing w:before="0" w:after="0" w:line="322" w:lineRule="exact"/>
        <w:ind w:left="0" w:right="0" w:firstLine="380"/>
        <w:jc w:val="both"/>
      </w:pPr>
      <w:bookmarkStart w:id="413" w:name="bookmark413"/>
      <w:r>
        <w:rPr>
          <w:color w:val="000000"/>
          <w:spacing w:val="0"/>
          <w:w w:val="100"/>
          <w:position w:val="0"/>
        </w:rPr>
        <w:t>（</w:t>
      </w:r>
      <w:bookmarkEnd w:id="4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公司诚信经营，努力为客户提供合格的产品和优质的服务，建立良好的客户关系，完善售后服务，实现与用户的 双赢。</w:t>
      </w:r>
    </w:p>
    <w:p>
      <w:pPr>
        <w:pStyle w:val="Style24"/>
        <w:keepNext w:val="0"/>
        <w:keepLines w:val="0"/>
        <w:widowControl w:val="0"/>
        <w:shd w:val="clear" w:color="auto" w:fill="auto"/>
        <w:tabs>
          <w:tab w:pos="876" w:val="left"/>
        </w:tabs>
        <w:bidi w:val="0"/>
        <w:spacing w:before="0" w:after="0" w:line="322" w:lineRule="exact"/>
        <w:ind w:left="0" w:right="0" w:firstLine="380"/>
        <w:jc w:val="both"/>
      </w:pPr>
      <w:bookmarkStart w:id="414" w:name="bookmark414"/>
      <w:r>
        <w:rPr>
          <w:color w:val="000000"/>
          <w:spacing w:val="0"/>
          <w:w w:val="100"/>
          <w:position w:val="0"/>
        </w:rPr>
        <w:t>（</w:t>
      </w:r>
      <w:bookmarkEnd w:id="4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公司作为国家高新技术企业，在追求经济效益的同时积极主动承担社会责任，认真履行纳税人职责，注重环境保 护，倡导节约型和低碳型办公化，无废水、废气、废物排放。</w:t>
      </w:r>
    </w:p>
    <w:p>
      <w:pPr>
        <w:pStyle w:val="Style24"/>
        <w:keepNext w:val="0"/>
        <w:keepLines w:val="0"/>
        <w:widowControl w:val="0"/>
        <w:shd w:val="clear" w:color="auto" w:fill="auto"/>
        <w:bidi w:val="0"/>
        <w:spacing w:before="0" w:after="360" w:line="322" w:lineRule="exact"/>
        <w:ind w:left="0" w:right="0" w:firstLine="300"/>
        <w:jc w:val="both"/>
      </w:pPr>
      <w:bookmarkStart w:id="415" w:name="bookmark415"/>
      <w:r>
        <w:rPr>
          <w:color w:val="000000"/>
          <w:spacing w:val="0"/>
          <w:w w:val="100"/>
          <w:position w:val="0"/>
        </w:rPr>
        <w:t>（</w:t>
      </w:r>
      <w:bookmarkEnd w:id="415"/>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）持续投身公益活动。继续参与中国网安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大爱电科一梦想</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助学帮扶活动，公司爱心人士参与帮扶；积极响应 中国电科消费扶贫的倡议，结合抗疫专项慰问活动，采购叙永贫困地区农副产品</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余份，助力脱贫攻坚工作，履行企业社 会责任。</w:t>
      </w:r>
    </w:p>
    <w:p>
      <w:pPr>
        <w:pStyle w:val="Style30"/>
        <w:keepNext/>
        <w:keepLines/>
        <w:widowControl w:val="0"/>
        <w:shd w:val="clear" w:color="auto" w:fill="auto"/>
        <w:tabs>
          <w:tab w:pos="353" w:val="left"/>
        </w:tabs>
        <w:bidi w:val="0"/>
        <w:spacing w:before="0" w:after="2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履行精准扶贫社会责任情况</w:t>
      </w:r>
      <w:bookmarkEnd w:id="416"/>
      <w:bookmarkEnd w:id="417"/>
      <w:bookmarkEnd w:id="419"/>
    </w:p>
    <w:p>
      <w:pPr>
        <w:pStyle w:val="Style24"/>
        <w:keepNext w:val="0"/>
        <w:keepLines w:val="0"/>
        <w:widowControl w:val="0"/>
        <w:shd w:val="clear" w:color="auto" w:fill="auto"/>
        <w:bidi w:val="0"/>
        <w:spacing w:before="0" w:after="360" w:line="318" w:lineRule="exact"/>
        <w:ind w:left="0" w:right="0" w:firstLine="380"/>
        <w:jc w:val="both"/>
      </w:pPr>
      <w:r>
        <w:rPr>
          <w:color w:val="000000"/>
          <w:spacing w:val="0"/>
          <w:w w:val="100"/>
          <w:position w:val="0"/>
        </w:rPr>
        <w:t>公司报告年度暂未开展精准扶贫工作，也暂无后续精准扶贫计划。</w:t>
      </w:r>
    </w:p>
    <w:p>
      <w:pPr>
        <w:pStyle w:val="Style30"/>
        <w:keepNext/>
        <w:keepLines/>
        <w:widowControl w:val="0"/>
        <w:shd w:val="clear" w:color="auto" w:fill="auto"/>
        <w:tabs>
          <w:tab w:pos="353" w:val="left"/>
        </w:tabs>
        <w:bidi w:val="0"/>
        <w:spacing w:before="0" w:after="28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3</w:t>
      </w:r>
      <w:bookmarkEnd w:id="422"/>
      <w:r>
        <w:rPr>
          <w:color w:val="000000"/>
          <w:spacing w:val="0"/>
          <w:w w:val="100"/>
          <w:position w:val="0"/>
        </w:rPr>
        <w:t>、</w:t>
        <w:tab/>
        <w:t>环境保护相关的情况</w:t>
      </w:r>
      <w:bookmarkEnd w:id="420"/>
      <w:bookmarkEnd w:id="421"/>
      <w:bookmarkEnd w:id="423"/>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360" w:line="331" w:lineRule="exact"/>
        <w:ind w:left="0" w:right="0" w:firstLine="380"/>
        <w:jc w:val="both"/>
      </w:pPr>
      <w:r>
        <w:rPr>
          <w:color w:val="000000"/>
          <w:spacing w:val="0"/>
          <w:w w:val="100"/>
          <w:position w:val="0"/>
        </w:rPr>
        <w:t>公司及子公司均不属于环境保护部门公布的重点排污单位，在日常经营过程中，注重环境保护，倡导节约型和低碳型办 公化，无废水、废气、废物排放。</w:t>
      </w:r>
    </w:p>
    <w:p>
      <w:pPr>
        <w:pStyle w:val="Style20"/>
        <w:keepNext/>
        <w:keepLines/>
        <w:widowControl w:val="0"/>
        <w:shd w:val="clear" w:color="auto" w:fill="auto"/>
        <w:bidi w:val="0"/>
        <w:spacing w:before="0" w:line="240" w:lineRule="auto"/>
        <w:ind w:left="0" w:right="0" w:firstLine="0"/>
        <w:jc w:val="both"/>
      </w:pPr>
      <w:bookmarkStart w:id="424" w:name="bookmark424"/>
      <w:bookmarkStart w:id="425" w:name="bookmark425"/>
      <w:bookmarkStart w:id="426" w:name="bookmark426"/>
      <w:r>
        <w:rPr>
          <w:color w:val="000000"/>
          <w:spacing w:val="0"/>
          <w:w w:val="100"/>
          <w:position w:val="0"/>
          <w:sz w:val="24"/>
          <w:szCs w:val="24"/>
        </w:rPr>
        <w:t>十九、其他重大事项的说明</w:t>
      </w:r>
      <w:bookmarkEnd w:id="424"/>
      <w:bookmarkEnd w:id="425"/>
      <w:bookmarkEnd w:id="426"/>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8" w:lineRule="exact"/>
        <w:ind w:left="0" w:right="0" w:firstLine="0"/>
        <w:jc w:val="both"/>
      </w:pPr>
      <w:r>
        <w:rPr>
          <w:color w:val="000000"/>
          <w:spacing w:val="0"/>
          <w:w w:val="100"/>
          <w:position w:val="0"/>
        </w:rPr>
        <w:t>公司报告期不存在需要说明的其他重大事项。</w:t>
      </w:r>
    </w:p>
    <w:p>
      <w:pPr>
        <w:pStyle w:val="Style20"/>
        <w:keepNext/>
        <w:keepLines/>
        <w:widowControl w:val="0"/>
        <w:shd w:val="clear" w:color="auto" w:fill="auto"/>
        <w:bidi w:val="0"/>
        <w:spacing w:before="0" w:line="240" w:lineRule="auto"/>
        <w:ind w:left="0" w:right="0" w:firstLine="0"/>
        <w:jc w:val="both"/>
      </w:pPr>
      <w:bookmarkStart w:id="427" w:name="bookmark427"/>
      <w:bookmarkStart w:id="428" w:name="bookmark428"/>
      <w:bookmarkStart w:id="429" w:name="bookmark429"/>
      <w:r>
        <w:rPr>
          <w:color w:val="000000"/>
          <w:spacing w:val="0"/>
          <w:w w:val="100"/>
          <w:position w:val="0"/>
          <w:sz w:val="24"/>
          <w:szCs w:val="24"/>
        </w:rPr>
        <w:t>二十、公司子公司重大事项</w:t>
      </w:r>
      <w:bookmarkEnd w:id="427"/>
      <w:bookmarkEnd w:id="428"/>
      <w:bookmarkEnd w:id="429"/>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日，公司查询到北京市丰台区人民法院于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日通过人民法院公告网发布的破产公告，获悉丰台区 人民法院已于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日确定北京市东卫律师事务所担任北京金丰科华房地产开发有限公司（以下简称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金丰科华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 理人，债权人应在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日前向管理人北京市东卫律师事务所申报债权，并提交有关证明材料。金丰科华系本公司全 资子公司中电科（北京）网络信息安全有限公司（以下简称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北京网安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）使用募集资金购买的金丰能源中心项目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号楼房产 的开发商。金丰科华破产案件可能对北京网安所购金丰能源中心项目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号楼房产涉及的查封及相关诉讼案件产生重要影响。 详细情况请见公司于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日在《证券时报》、《中国证券报》及巨潮资讯网披露的《关于获悉影响公司诉讼案件重要 因素的公告》（公告编号</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w:t>
      </w:r>
    </w:p>
    <w:p>
      <w:pPr>
        <w:pStyle w:val="Style24"/>
        <w:keepNext w:val="0"/>
        <w:keepLines w:val="0"/>
        <w:widowControl w:val="0"/>
        <w:shd w:val="clear" w:color="auto" w:fill="auto"/>
        <w:bidi w:val="0"/>
        <w:spacing w:before="0" w:after="0" w:line="314" w:lineRule="exact"/>
        <w:ind w:left="0" w:right="0" w:firstLine="380"/>
        <w:jc w:val="both"/>
        <w:sectPr>
          <w:footnotePr>
            <w:pos w:val="pageBottom"/>
            <w:numFmt w:val="decimal"/>
            <w:numRestart w:val="continuous"/>
          </w:footnotePr>
          <w:pgSz w:w="11900" w:h="16840"/>
          <w:pgMar w:top="1386" w:right="1069" w:bottom="1420" w:left="104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管理人召集相关方在全国企业破产重整信息网上召开了金丰科华公司第一次债权人会议，汇报了管 理人的工作情况、登记在金丰科华公司名下的土地及建筑物情况及金丰科华的其他财产情况等。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 xml:space="preserve">管理人 召集相关方线上（全国企业破产重整案件信息网）线下（北京市丰台区人民法院）同步召开了金丰科华公司第二次债权人会 </w:t>
      </w:r>
      <w:r>
        <w:rPr>
          <w:color w:val="000000"/>
          <w:spacing w:val="0"/>
          <w:w w:val="100"/>
          <w:position w:val="0"/>
        </w:rPr>
        <w:t>议，汇报了债权申报及审查情况、审计评估情况并提出了探索和推进整体化解案件的方案。截至目前，破产案件没有实质性 进展。公司董事会已分别于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日在《中国证券报》、《证券时报》和巨潮资讯网 上</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披露相关公告（公告编号：</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p>
      <w:pPr>
        <w:pStyle w:val="Style11"/>
        <w:keepNext/>
        <w:keepLines/>
        <w:widowControl w:val="0"/>
        <w:shd w:val="clear" w:color="auto" w:fill="auto"/>
        <w:bidi w:val="0"/>
        <w:spacing w:before="600" w:after="520" w:line="240" w:lineRule="auto"/>
        <w:ind w:left="0" w:right="0" w:firstLine="0"/>
        <w:jc w:val="center"/>
      </w:pPr>
      <w:bookmarkStart w:id="430" w:name="bookmark430"/>
      <w:bookmarkStart w:id="431" w:name="bookmark431"/>
      <w:bookmarkStart w:id="432" w:name="bookmark432"/>
      <w:r>
        <w:rPr>
          <w:color w:val="000000"/>
          <w:spacing w:val="0"/>
          <w:w w:val="100"/>
          <w:position w:val="0"/>
        </w:rPr>
        <w:t>第六节股份变动及股东情况</w:t>
      </w:r>
      <w:bookmarkEnd w:id="430"/>
      <w:bookmarkEnd w:id="431"/>
      <w:bookmarkEnd w:id="432"/>
    </w:p>
    <w:p>
      <w:pPr>
        <w:pStyle w:val="Style20"/>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bookmarkStart w:id="437" w:name="bookmark437"/>
      <w:r>
        <w:rPr>
          <w:color w:val="000000"/>
          <w:spacing w:val="0"/>
          <w:w w:val="100"/>
          <w:position w:val="0"/>
          <w:sz w:val="24"/>
          <w:szCs w:val="24"/>
        </w:rPr>
        <w:t>一</w:t>
      </w:r>
      <w:bookmarkEnd w:id="436"/>
      <w:r>
        <w:rPr>
          <w:color w:val="000000"/>
          <w:spacing w:val="0"/>
          <w:w w:val="100"/>
          <w:position w:val="0"/>
          <w:sz w:val="24"/>
          <w:szCs w:val="24"/>
        </w:rPr>
        <w:t>、股份变动情况</w:t>
      </w:r>
      <w:bookmarkEnd w:id="434"/>
      <w:bookmarkEnd w:id="435"/>
      <w:bookmarkEnd w:id="437"/>
      <w:bookmarkEnd w:id="433"/>
    </w:p>
    <w:p>
      <w:pPr>
        <w:pStyle w:val="Style30"/>
        <w:keepNext/>
        <w:keepLines/>
        <w:widowControl w:val="0"/>
        <w:shd w:val="clear" w:color="auto" w:fill="auto"/>
        <w:bidi w:val="0"/>
        <w:spacing w:before="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、股份变动情况</w:t>
      </w:r>
      <w:bookmarkEnd w:id="438"/>
      <w:bookmarkEnd w:id="439"/>
      <w:bookmarkEnd w:id="44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6"/>
        <w:gridCol w:w="994"/>
        <w:gridCol w:w="758"/>
        <w:gridCol w:w="518"/>
        <w:gridCol w:w="432"/>
        <w:gridCol w:w="706"/>
        <w:gridCol w:w="1272"/>
        <w:gridCol w:w="998"/>
        <w:gridCol w:w="984"/>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1,611,042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27,164,689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-27,164,689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-27,164,689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1,257,584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1,611,042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1,257,584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1,611,042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809,913,755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836,724,986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809,913,755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836,724,986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838,336,028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 xml:space="preserve">不适用 </w:t>
      </w: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36"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24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、限售股份变动情况</w:t>
      </w:r>
      <w:bookmarkEnd w:id="442"/>
      <w:bookmarkEnd w:id="443"/>
      <w:bookmarkEnd w:id="445"/>
    </w:p>
    <w:p>
      <w:pPr>
        <w:pStyle w:val="Style24"/>
        <w:keepNext w:val="0"/>
        <w:keepLines w:val="0"/>
        <w:widowControl w:val="0"/>
        <w:shd w:val="clear" w:color="auto" w:fill="auto"/>
        <w:bidi w:val="0"/>
        <w:spacing w:before="0" w:after="0" w:line="38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58"/>
        <w:gridCol w:w="984"/>
        <w:gridCol w:w="998"/>
        <w:gridCol w:w="998"/>
        <w:gridCol w:w="1272"/>
        <w:gridCol w:w="1277"/>
        <w:gridCol w:w="22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中电科投资控股有限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16298,813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16298,813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日解除限售</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16298,813 </w:t>
            </w:r>
            <w:r>
              <w:rPr>
                <w:color w:val="000000"/>
                <w:spacing w:val="0"/>
                <w:w w:val="100"/>
                <w:position w:val="0"/>
              </w:rPr>
              <w:t>股</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中国电子科技网络信 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10,865,876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10,865,876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日解除限售</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10,865,876 </w:t>
            </w:r>
            <w:r>
              <w:rPr>
                <w:color w:val="000000"/>
                <w:spacing w:val="0"/>
                <w:w w:val="100"/>
                <w:position w:val="0"/>
              </w:rPr>
              <w:t>股</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按法律法规和相关承诺解 除锁定</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1,205,964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401,988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按法律法规和相关承诺解 除锁定</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按法律法规和相关承诺解 除锁定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按法律法规和相关承诺解 除锁定</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28,422273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402,738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27213,969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1,611,042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both"/>
      </w:pPr>
      <w:bookmarkStart w:id="446" w:name="bookmark446"/>
      <w:bookmarkStart w:id="447" w:name="bookmark447"/>
      <w:bookmarkStart w:id="448" w:name="bookmark448"/>
      <w:bookmarkStart w:id="449" w:name="bookmark449"/>
      <w:r>
        <w:rPr>
          <w:color w:val="000000"/>
          <w:spacing w:val="0"/>
          <w:w w:val="100"/>
          <w:position w:val="0"/>
          <w:sz w:val="24"/>
          <w:szCs w:val="24"/>
        </w:rPr>
        <w:t>二</w:t>
      </w:r>
      <w:bookmarkEnd w:id="448"/>
      <w:r>
        <w:rPr>
          <w:color w:val="000000"/>
          <w:spacing w:val="0"/>
          <w:w w:val="100"/>
          <w:position w:val="0"/>
          <w:sz w:val="24"/>
          <w:szCs w:val="24"/>
        </w:rPr>
        <w:t>、证券发行与上市情况</w:t>
      </w:r>
      <w:bookmarkEnd w:id="446"/>
      <w:bookmarkEnd w:id="447"/>
      <w:bookmarkEnd w:id="449"/>
    </w:p>
    <w:p>
      <w:pPr>
        <w:pStyle w:val="Style30"/>
        <w:keepNext/>
        <w:keepLines/>
        <w:widowControl w:val="0"/>
        <w:shd w:val="clear" w:color="auto" w:fill="auto"/>
        <w:tabs>
          <w:tab w:pos="358" w:val="left"/>
        </w:tabs>
        <w:bidi w:val="0"/>
        <w:spacing w:before="0" w:after="380" w:line="240" w:lineRule="auto"/>
        <w:ind w:left="0" w:right="0" w:firstLine="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w:t>
        <w:tab/>
        <w:t>报告期内证券发行（不含优先股）情况</w:t>
      </w:r>
      <w:bookmarkEnd w:id="450"/>
      <w:bookmarkEnd w:id="451"/>
      <w:bookmarkEnd w:id="453"/>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w:t>
        <w:tab/>
        <w:t>公司股份总数及股东结构的变动、公司资产和负债结构的变动情况说明</w:t>
      </w:r>
      <w:bookmarkEnd w:id="454"/>
      <w:bookmarkEnd w:id="455"/>
      <w:bookmarkEnd w:id="457"/>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240" w:lineRule="auto"/>
        <w:ind w:left="0" w:right="0" w:firstLine="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3</w:t>
      </w:r>
      <w:bookmarkEnd w:id="460"/>
      <w:r>
        <w:rPr>
          <w:color w:val="000000"/>
          <w:spacing w:val="0"/>
          <w:w w:val="100"/>
          <w:position w:val="0"/>
        </w:rPr>
        <w:t>、</w:t>
        <w:tab/>
        <w:t>现存的内部职工股情况</w:t>
      </w:r>
      <w:bookmarkEnd w:id="458"/>
      <w:bookmarkEnd w:id="459"/>
      <w:bookmarkEnd w:id="461"/>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sz w:val="24"/>
          <w:szCs w:val="24"/>
        </w:rPr>
        <w:t>三</w:t>
      </w:r>
      <w:bookmarkEnd w:id="464"/>
      <w:r>
        <w:rPr>
          <w:color w:val="000000"/>
          <w:spacing w:val="0"/>
          <w:w w:val="100"/>
          <w:position w:val="0"/>
          <w:sz w:val="24"/>
          <w:szCs w:val="24"/>
        </w:rPr>
        <w:t>、股东和实际控制人情况</w:t>
      </w:r>
      <w:bookmarkEnd w:id="462"/>
      <w:bookmarkEnd w:id="463"/>
      <w:bookmarkEnd w:id="465"/>
    </w:p>
    <w:p>
      <w:pPr>
        <w:pStyle w:val="Style30"/>
        <w:keepNext/>
        <w:keepLines/>
        <w:widowControl w:val="0"/>
        <w:shd w:val="clear" w:color="auto" w:fill="auto"/>
        <w:bidi w:val="0"/>
        <w:spacing w:before="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、公司股东数量及持股情况</w:t>
      </w:r>
      <w:bookmarkEnd w:id="466"/>
      <w:bookmarkEnd w:id="467"/>
      <w:bookmarkEnd w:id="46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200"/>
        <w:gridCol w:w="1325"/>
        <w:gridCol w:w="1075"/>
        <w:gridCol w:w="1459"/>
        <w:gridCol w:w="1051"/>
        <w:gridCol w:w="1339"/>
        <w:gridCol w:w="946"/>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年度报告披露日 前上一月末普通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bl>
      <w:tblPr>
        <w:tblOverlap w:val="never"/>
        <w:jc w:val="center"/>
        <w:tblLayout w:type="fixed"/>
      </w:tblPr>
      <w:tblGrid>
        <w:gridCol w:w="1992"/>
        <w:gridCol w:w="898"/>
        <w:gridCol w:w="797"/>
        <w:gridCol w:w="1008"/>
        <w:gridCol w:w="994"/>
        <w:gridCol w:w="1272"/>
        <w:gridCol w:w="1277"/>
        <w:gridCol w:w="854"/>
        <w:gridCol w:w="5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 件的股份数量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质押或冻结情况</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中国电子科技网络信息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297,034,156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297,034,156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31262,310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-7267713.00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建信基金一工商银行一 中航信托一中航信托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 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293</w:t>
            </w:r>
            <w:r>
              <w:rPr>
                <w:color w:val="000000"/>
                <w:spacing w:val="0"/>
                <w:w w:val="100"/>
                <w:position w:val="0"/>
              </w:rPr>
              <w:t>号建信基 金定增投资集合资金信 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16,414,814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中电科投资控股有限公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16,298,813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华融瑞通股权投资管理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 公司一国泰中证军工交 易型开放式指数证券投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7,819,377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东海基金一浦发银行一 云南国际信托一云南信 托锦瑟年华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号集合资 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7,164,372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杨梦媛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6,991,049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6,657,193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 公司一富国中证军工指 数分级证券投资基金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5,561,802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0"/>
        <w:gridCol w:w="4003"/>
        <w:gridCol w:w="1344"/>
        <w:gridCol w:w="136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、中国电子科技网络信息安全有限公司为公司第一大股东，中国电子科技集团有限 公司为公司实际控制人；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、中国电子科技网络信息安全有限公司和中电科投资控股 有限公司均为中国电子科技集团有限公司的全资公司；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、未知其他股东之间是否存 在关联关系，也未知其他股东是否属于《上市公司收购管理办法》规定的一致行动人。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中国电子科技网络信息安全有限公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297,034,156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297,034,156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31262,310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31,262,310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建信基金一工商银行一中航信托一 中航信托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293</w:t>
            </w:r>
            <w:r>
              <w:rPr>
                <w:color w:val="000000"/>
                <w:spacing w:val="0"/>
                <w:w w:val="100"/>
                <w:position w:val="0"/>
              </w:rPr>
              <w:t>号建信基 金定增投资集合资金信托计划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16,414,814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16,414,814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中电科投资控股有限公司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16298,813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16298,813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华融瑞通股权投资管理有限公司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13,800,000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中国建设银行股份有限公司一国泰 中证军工交易型开放式指数证券投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7,819,377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7,819,377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东海基金一浦发银行一云南国际信 托一云南信托锦瑟年华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号集合资 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7,164,372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7,164,372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杨梦媛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6,991,049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6,991,049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朱向军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6,657,193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6,657,193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中国建设银行股份有限公司一富国 中证军工指数分级证券投资基金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5,561,802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5,561,802</w:t>
            </w: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、中国电子科技网络信息安全有限公司为公司第一大股东，中国电子科技集团有限 公司为公司实际控制人；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、中国电子科技网络信息安全有限公司和中电科投资控股 有限公司均为中国电子科技集团有限公司的全资公司；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、未知其他股东之间是否存 在关联关系，也未知其他股东是否属于《上市公司收购管理办法》规定的一致行动人。</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杨梦媛参与融资融券业务，信用账户持股数量为</w:t>
            </w:r>
            <w:r>
              <w:rPr>
                <w:rFonts w:ascii="Times New Roman" w:eastAsia="Times New Roman" w:hAnsi="Times New Roman" w:cs="Times New Roman"/>
                <w:color w:val="000000"/>
                <w:spacing w:val="0"/>
                <w:w w:val="100"/>
                <w:position w:val="0"/>
                <w:sz w:val="18"/>
                <w:szCs w:val="18"/>
              </w:rPr>
              <w:t>6,991,049</w:t>
            </w:r>
            <w:r>
              <w:rPr>
                <w:color w:val="000000"/>
                <w:spacing w:val="0"/>
                <w:w w:val="100"/>
                <w:position w:val="0"/>
              </w:rPr>
              <w:t>股；朱向军参与融资融券 业务，信用账户持股数量为</w:t>
            </w:r>
            <w:r>
              <w:rPr>
                <w:rFonts w:ascii="Times New Roman" w:eastAsia="Times New Roman" w:hAnsi="Times New Roman" w:cs="Times New Roman"/>
                <w:color w:val="000000"/>
                <w:spacing w:val="0"/>
                <w:w w:val="100"/>
                <w:position w:val="0"/>
                <w:sz w:val="18"/>
                <w:szCs w:val="18"/>
              </w:rPr>
              <w:t>4,268,635</w:t>
            </w:r>
            <w:r>
              <w:rPr>
                <w:color w:val="000000"/>
                <w:spacing w:val="0"/>
                <w:w w:val="100"/>
                <w:position w:val="0"/>
              </w:rPr>
              <w:t>股。</w:t>
            </w:r>
          </w:p>
        </w:tc>
      </w:tr>
    </w:tbl>
    <w:p>
      <w:pPr>
        <w:pStyle w:val="Style24"/>
        <w:keepNext w:val="0"/>
        <w:keepLines w:val="0"/>
        <w:widowControl w:val="0"/>
        <w:shd w:val="clear" w:color="auto" w:fill="auto"/>
        <w:bidi w:val="0"/>
        <w:spacing w:before="0" w:after="16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0"/>
        <w:keepNext/>
        <w:keepLines/>
        <w:widowControl w:val="0"/>
        <w:shd w:val="clear" w:color="auto" w:fill="auto"/>
        <w:bidi w:val="0"/>
        <w:spacing w:before="0" w:after="42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、公司控股股东情况</w:t>
      </w:r>
      <w:bookmarkEnd w:id="470"/>
      <w:bookmarkEnd w:id="471"/>
      <w:bookmarkEnd w:id="47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控股股东性质：中央国有控股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123"/>
        <w:gridCol w:w="998"/>
        <w:gridCol w:w="1421"/>
        <w:gridCol w:w="404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中国电子科技网络信息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915101223320702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计算机网络信息系统、信息安全、电磁及频谱安全 研究、开发及技术服务；计算机软硬件、电磁防护、 基础材料和元器件技术开发、生产、销售、测评技 术服务、技术转让及信息技术咨询服务；系统集成 及工程建设；从事货物进出口或技术进出口的对外 经营业务。</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42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3</w:t>
      </w:r>
      <w:bookmarkEnd w:id="476"/>
      <w:r>
        <w:rPr>
          <w:color w:val="000000"/>
          <w:spacing w:val="0"/>
          <w:w w:val="100"/>
          <w:position w:val="0"/>
        </w:rPr>
        <w:t>、公司实际控制人及其一致行动人</w:t>
      </w:r>
      <w:bookmarkEnd w:id="474"/>
      <w:bookmarkEnd w:id="475"/>
      <w:bookmarkEnd w:id="477"/>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实际控制人性质：中央国资管理机构</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016"/>
        <w:gridCol w:w="1114"/>
        <w:gridCol w:w="998"/>
        <w:gridCol w:w="1421"/>
        <w:gridCol w:w="404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中国电子科技集团有限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911100007109294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主要从事国家重要大型电子信息系统的工程建设， 重大装备、通信与电子设备、软件和关键元器件的 研制生产。</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中电科投资控股有限公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陈永红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911100007178388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8XG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投资管理、股权投资、投资咨询；产权经纪。</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间接控制安徽四创电子股份有限公司、上海华东电脑股份有限公司、广州杰赛科技股份有限公司、 太极计算机股份有限公司、国睿科技股份有限公司、杭州海康威视数字技术股份有限公司、凤 凰光学股份有限公司、成都天奥电子股份有限公司、中电科能源股份有限公司等境内上市公司。</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15773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157730"/>
                    </a:xfrm>
                    <a:prstGeom prst="rect"/>
                  </pic:spPr>
                </pic:pic>
              </a:graphicData>
            </a:graphic>
          </wp:inline>
        </w:drawing>
      </w:r>
    </w:p>
    <w:p>
      <w:pPr>
        <w:widowControl w:val="0"/>
        <w:spacing w:after="2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68" w:val="left"/>
        </w:tabs>
        <w:bidi w:val="0"/>
        <w:spacing w:before="0" w:after="40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4</w:t>
      </w:r>
      <w:bookmarkEnd w:id="48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8"/>
      <w:bookmarkEnd w:id="479"/>
      <w:bookmarkEnd w:id="48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68" w:val="left"/>
        </w:tabs>
        <w:bidi w:val="0"/>
        <w:spacing w:before="0" w:after="40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5</w:t>
      </w:r>
      <w:bookmarkEnd w:id="484"/>
      <w:r>
        <w:rPr>
          <w:color w:val="000000"/>
          <w:spacing w:val="0"/>
          <w:w w:val="100"/>
          <w:position w:val="0"/>
        </w:rPr>
        <w:t>、</w:t>
        <w:tab/>
        <w:t>控股股东、实际控制人、重组方及其他承诺主体股份限制减持情况</w:t>
      </w:r>
      <w:bookmarkEnd w:id="482"/>
      <w:bookmarkEnd w:id="483"/>
      <w:bookmarkEnd w:id="485"/>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6" w:right="1126" w:bottom="1486" w:left="108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9320" cy="247015"/>
                <wp:wrapTopAndBottom/>
                <wp:docPr id="12" name="Shape 12"/>
                <a:graphic xmlns:a="http://schemas.openxmlformats.org/drawingml/2006/main">
                  <a:graphicData uri="http://schemas.microsoft.com/office/word/2010/wordprocessingShape">
                    <wps:wsp>
                      <wps:cNvSpPr txBox="1"/>
                      <wps:spPr>
                        <a:xfrm>
                          <a:ext cx="2179320" cy="247015"/>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486" w:name="bookmark486"/>
                            <w:bookmarkStart w:id="487" w:name="bookmark487"/>
                            <w:bookmarkStart w:id="488" w:name="bookmark488"/>
                            <w:r>
                              <w:rPr>
                                <w:color w:val="000000"/>
                                <w:spacing w:val="0"/>
                                <w:w w:val="100"/>
                                <w:position w:val="0"/>
                              </w:rPr>
                              <w:t>第七节优先股相关情况</w:t>
                            </w:r>
                            <w:bookmarkEnd w:id="486"/>
                            <w:bookmarkEnd w:id="487"/>
                            <w:bookmarkEnd w:id="488"/>
                          </w:p>
                        </w:txbxContent>
                      </wps:txbx>
                      <wps:bodyPr wrap="none" lIns="0" tIns="0" rIns="0" bIns="0">
                        <a:noAutoFit/>
                      </wps:bodyPr>
                    </wps:wsp>
                  </a:graphicData>
                </a:graphic>
              </wp:anchor>
            </w:drawing>
          </mc:Choice>
          <mc:Fallback>
            <w:pict>
              <v:shape id="_x0000_s1038" type="#_x0000_t202" style="position:absolute;margin-left:212.05000000000001pt;margin-top:0;width:171.59999999999999pt;height:19.44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486" w:name="bookmark486"/>
                      <w:bookmarkStart w:id="487" w:name="bookmark487"/>
                      <w:bookmarkStart w:id="488" w:name="bookmark488"/>
                      <w:r>
                        <w:rPr>
                          <w:color w:val="000000"/>
                          <w:spacing w:val="0"/>
                          <w:w w:val="100"/>
                          <w:position w:val="0"/>
                        </w:rPr>
                        <w:t>第七节优先股相关情况</w:t>
                      </w:r>
                      <w:bookmarkEnd w:id="486"/>
                      <w:bookmarkEnd w:id="487"/>
                      <w:bookmarkEnd w:id="488"/>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bookmarkStart w:id="489" w:name="bookmark48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89"/>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203" w:bottom="1933" w:left="1102"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80" w:after="560" w:line="240" w:lineRule="auto"/>
        <w:ind w:left="0" w:right="0" w:firstLine="0"/>
        <w:jc w:val="center"/>
      </w:pPr>
      <w:bookmarkStart w:id="490" w:name="bookmark490"/>
      <w:bookmarkStart w:id="491" w:name="bookmark491"/>
      <w:bookmarkStart w:id="492" w:name="bookmark492"/>
      <w:r>
        <w:rPr>
          <w:color w:val="000000"/>
          <w:spacing w:val="0"/>
          <w:w w:val="100"/>
          <w:position w:val="0"/>
        </w:rPr>
        <w:t>第八节可转换公司债券相关情况</w:t>
      </w:r>
      <w:bookmarkEnd w:id="490"/>
      <w:bookmarkEnd w:id="491"/>
      <w:bookmarkEnd w:id="492"/>
    </w:p>
    <w:p>
      <w:pPr>
        <w:pStyle w:val="Style24"/>
        <w:keepNext w:val="0"/>
        <w:keepLines w:val="0"/>
        <w:widowControl w:val="0"/>
        <w:shd w:val="clear" w:color="auto" w:fill="auto"/>
        <w:bidi w:val="0"/>
        <w:spacing w:before="0" w:after="120" w:line="240" w:lineRule="auto"/>
        <w:ind w:left="0" w:right="0" w:firstLine="0"/>
        <w:jc w:val="left"/>
      </w:pPr>
      <w:bookmarkStart w:id="493" w:name="bookmark49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93"/>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20" w:line="240" w:lineRule="auto"/>
        <w:ind w:left="0" w:right="0" w:firstLine="0"/>
        <w:jc w:val="center"/>
      </w:pPr>
      <w:bookmarkStart w:id="494" w:name="bookmark494"/>
      <w:bookmarkStart w:id="495" w:name="bookmark495"/>
      <w:bookmarkStart w:id="496" w:name="bookmark496"/>
      <w:r>
        <w:rPr>
          <w:color w:val="000000"/>
          <w:spacing w:val="0"/>
          <w:w w:val="100"/>
          <w:position w:val="0"/>
        </w:rPr>
        <w:t>第九节董事、监事、高级管理人员和员工情况</w:t>
      </w:r>
      <w:bookmarkEnd w:id="494"/>
      <w:bookmarkEnd w:id="495"/>
      <w:bookmarkEnd w:id="496"/>
    </w:p>
    <w:p>
      <w:pPr>
        <w:pStyle w:val="Style20"/>
        <w:keepNext/>
        <w:keepLines/>
        <w:widowControl w:val="0"/>
        <w:shd w:val="clear" w:color="auto" w:fill="auto"/>
        <w:bidi w:val="0"/>
        <w:spacing w:before="0" w:after="320" w:line="240" w:lineRule="auto"/>
        <w:ind w:left="0" w:right="0" w:firstLine="240"/>
        <w:jc w:val="left"/>
      </w:pPr>
      <w:bookmarkStart w:id="497" w:name="bookmark497"/>
      <w:bookmarkStart w:id="498" w:name="bookmark498"/>
      <w:bookmarkStart w:id="499" w:name="bookmark499"/>
      <w:bookmarkStart w:id="500" w:name="bookmark500"/>
      <w:r>
        <w:rPr>
          <w:color w:val="000000"/>
          <w:spacing w:val="0"/>
          <w:w w:val="100"/>
          <w:position w:val="0"/>
          <w:sz w:val="24"/>
          <w:szCs w:val="24"/>
        </w:rPr>
        <w:t>、董事、监事和高级管理人员持股变动</w:t>
      </w:r>
      <w:bookmarkEnd w:id="498"/>
      <w:bookmarkEnd w:id="499"/>
      <w:bookmarkEnd w:id="500"/>
      <w:bookmarkEnd w:id="497"/>
    </w:p>
    <w:tbl>
      <w:tblPr>
        <w:tblOverlap w:val="never"/>
        <w:jc w:val="center"/>
        <w:tblLayout w:type="fixed"/>
      </w:tblPr>
      <w:tblGrid>
        <w:gridCol w:w="715"/>
        <w:gridCol w:w="893"/>
        <w:gridCol w:w="528"/>
        <w:gridCol w:w="432"/>
        <w:gridCol w:w="418"/>
        <w:gridCol w:w="1709"/>
        <w:gridCol w:w="898"/>
        <w:gridCol w:w="806"/>
        <w:gridCol w:w="792"/>
        <w:gridCol w:w="806"/>
        <w:gridCol w:w="792"/>
        <w:gridCol w:w="816"/>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98" w:lineRule="exact"/>
              <w:ind w:left="0" w:right="0" w:firstLine="0"/>
              <w:jc w:val="right"/>
            </w:pPr>
            <w:r>
              <w:rPr>
                <w:color w:val="000000"/>
                <w:spacing w:val="0"/>
                <w:w w:val="100"/>
                <w:position w:val="0"/>
              </w:rPr>
              <w:t>本期增持 股份数量</w:t>
            </w:r>
          </w:p>
          <w:p>
            <w:pPr>
              <w:pStyle w:val="Style2"/>
              <w:keepNext w:val="0"/>
              <w:keepLines w:val="0"/>
              <w:widowControl w:val="0"/>
              <w:shd w:val="clear" w:color="auto" w:fill="auto"/>
              <w:bidi w:val="0"/>
              <w:spacing w:before="0" w:after="0" w:line="298"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本期减持</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段启广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1,607,952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董贵山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董贵山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15"/>
        <w:gridCol w:w="893"/>
        <w:gridCol w:w="528"/>
        <w:gridCol w:w="432"/>
        <w:gridCol w:w="422"/>
        <w:gridCol w:w="1704"/>
        <w:gridCol w:w="898"/>
        <w:gridCol w:w="806"/>
        <w:gridCol w:w="792"/>
        <w:gridCol w:w="806"/>
        <w:gridCol w:w="792"/>
        <w:gridCol w:w="81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1,612,072</w:t>
            </w:r>
          </w:p>
        </w:tc>
      </w:tr>
    </w:tbl>
    <w:p>
      <w:pPr>
        <w:widowControl w:val="0"/>
        <w:spacing w:after="299" w:line="1" w:lineRule="exact"/>
      </w:pPr>
    </w:p>
    <w:p>
      <w:pPr>
        <w:pStyle w:val="Style20"/>
        <w:keepNext/>
        <w:keepLines/>
        <w:widowControl w:val="0"/>
        <w:shd w:val="clear" w:color="auto" w:fill="auto"/>
        <w:bidi w:val="0"/>
        <w:spacing w:before="0" w:after="340" w:line="240" w:lineRule="auto"/>
        <w:ind w:left="0" w:right="0" w:firstLine="0"/>
        <w:jc w:val="left"/>
      </w:pPr>
      <w:bookmarkStart w:id="501" w:name="bookmark501"/>
      <w:bookmarkStart w:id="502" w:name="bookmark502"/>
      <w:bookmarkStart w:id="503" w:name="bookmark503"/>
      <w:r>
        <w:rPr>
          <w:color w:val="000000"/>
          <w:spacing w:val="0"/>
          <w:w w:val="100"/>
          <w:position w:val="0"/>
          <w:sz w:val="24"/>
          <w:szCs w:val="24"/>
        </w:rPr>
        <w:t>二、公司董事、监事、高级管理人员变动情况</w:t>
      </w:r>
      <w:bookmarkEnd w:id="501"/>
      <w:bookmarkEnd w:id="502"/>
      <w:bookmarkEnd w:id="503"/>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44"/>
        <w:gridCol w:w="1334"/>
        <w:gridCol w:w="1330"/>
        <w:gridCol w:w="1680"/>
        <w:gridCol w:w="39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原因</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主动辞职</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三</w:t>
      </w:r>
      <w:bookmarkEnd w:id="506"/>
      <w:r>
        <w:rPr>
          <w:color w:val="000000"/>
          <w:spacing w:val="0"/>
          <w:w w:val="100"/>
          <w:position w:val="0"/>
          <w:sz w:val="24"/>
          <w:szCs w:val="24"/>
        </w:rPr>
        <w:t>、任职情况</w:t>
      </w:r>
      <w:bookmarkEnd w:id="504"/>
      <w:bookmarkEnd w:id="505"/>
      <w:bookmarkEnd w:id="507"/>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董事长卿昱女士：历任中国电子科技集团公司第三十研究所研究室副主任、主任、副总工程师、副所长；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月，任中国电子科技网络信息安全有限公司副总经理；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月，任中国电子科技集团公司第三十研 究所党委副书记；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日，任本公司董事；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日，任中国电子科技集 团公司第三十研究所所长；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日，任中国电子科技网络信息安全有限公司董事长、党委书记；</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日，任中国电子科技集团公司第三十研究所党委书记；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日，任本公司董 事长。</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副董事长王文胜先生：历任中国电子科技集团公司第三十研究所研究室副主任、事业部主任、副总工程师、副所长、本 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月，任中国电子科技网络信息安全有限公司副总经理；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月，任中国电子 科技网络信息安全有限公司董事、常务副总经理、党委副书记、中国电子科技集团公司第三十研究所常务副所长；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月至今，任绿盟科技集团股份有限公司董事；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月至今，任中资网络信息安全科技有限公司总经理；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 任本公司副董事长。</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董事段启广先生：历任中国电子科技集团公司第十研究所财务处副处长、处长、副总会计师、总会计师；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日，任中国电子科技网络信息安全有限公司董事、总会计师；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月至今，任本公司董事。</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董事陈鑫先生：历任中国电子科技集团公司第二十九研究所第一研究部副主任、综合计划部主任、副总工程师、副所长、 西科公司总经理等职务，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月至今任中国电子科技网络信息安全有限公司董事、总经理、党委副书记；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 今，任本公司董事。</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董事、总经理王忠海先生：历任中国电子科技集团公司第三十研究所纪审法规处处长、本公司副总经理、董事会秘书、 财务总监、中国电子科技集团公司资产经营部资本运营处处长、中电科投资控股有限公司总经理助理、中国电子科技网络信 息安全有限公司投资管理部总经理、总经理助理、总经济师、董事会秘书；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月，任本公司监事会主席；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日，任本公司董事、总经理。</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总经理仲恺先生：历任太极计算机股份有限公司（简称：太极股份）数据中心事业部总经理、智慧城市基础设施业务集 团常务副总经理、总经理、太极股份副总裁、太极数智空间科技（深圳）有限公司董事；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日至今，任本公司总 经理。</w:t>
      </w:r>
    </w:p>
    <w:p>
      <w:pPr>
        <w:pStyle w:val="Style24"/>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独立董事周玮先生：历任西南科技大学专业教师、北京大学博士后；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月至今，任西南财经大学金融学院专业教 师、会计学副研究员；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月至今，任本公司独立董事。</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独立董事冯渊女士：历任四川华信（集团）会计师事务所经理、副总经理、中国证券监督管理委员会发审委专职委员、 华西证券投行总部质量控制部总经理；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月至今，任四川华信（集团）会计师事务所合伙人；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 司独立董事。</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独立董事任立勇先生：历任煤炭部徐州煤矿机械厂助理工程师；现任电子科技大学信息与软件工程学院副院长，教育部 软件工程专业教指委成员，</w:t>
      </w:r>
      <w:r>
        <w:rPr>
          <w:rFonts w:ascii="Times New Roman" w:eastAsia="Times New Roman" w:hAnsi="Times New Roman" w:cs="Times New Roman"/>
          <w:color w:val="000000"/>
          <w:spacing w:val="0"/>
          <w:w w:val="100"/>
          <w:position w:val="0"/>
          <w:sz w:val="18"/>
          <w:szCs w:val="18"/>
        </w:rPr>
        <w:t>CCF</w:t>
      </w:r>
      <w:r>
        <w:rPr>
          <w:color w:val="000000"/>
          <w:spacing w:val="0"/>
          <w:w w:val="100"/>
          <w:position w:val="0"/>
        </w:rPr>
        <w:t>高级会员；</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月至今，任电子科技大学教师；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月至今，任本公司独立董事。</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监事会主席许晓平先生：历任中国电子科技集团公司第三十研究所副所长、中国电子科技集团公司科技部副主任（主持 工作）；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月，任中国电子科技集团公司第三十研究所党委书记兼副所长；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月，任本 公司副董事长；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月，任中国电子科技网络信息安全有限公司总经理；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月，任中国 电子科技网络信息安全有限公司董事；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月，任中国电子科技集团公司第三十三研究所所长、党委副书记、 咨询审议委员会主任；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月，任中国电子科技网络信息安全有限公司监事会主席；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月至今，任中 国电子科技网络信息安全有限公司科学技术委员会顾问；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月至今，任本公司监事会主席。</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监事程虹女士：曾任中国电子科技集团公司第三十研究所计审法规处副处长、中国电子科技集团公司第三十研究所纪检 监察审计处处长、任中国电子科技网络信息安全有限公司纪检监察审计部主任；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月至今，任中国电子科技网络信息 安全有限公司法务审计与风险防控部副总经理、中国电子科技集团公司第三十研究所法务审计与风险防控部副处长；</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月至今，任本公司监事。</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职工监事张述先生：曾先后在本公司办公室、发展规划部、市场部、项目管理部、税控事业部、行政部、信息中心与保 障部、生产检验中心工作；</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月，任公司生产检验中心部门总经理；现任公司系统总体与方案中心副总经 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月至今，任本公司职工监事。</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副总经理魏洪宽先生：历任本公司项目管理部经理、产品部主任、政府行业销售部经理、电子商务安全部经理、总经理 助理、副总经理、中国电子科技网络信息安全有限公司经营发展部副总经理、总经理；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月至今，任本公司副总经理。</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副总经理周俊先生：曾任中国电子科技集团公司第三十研究所专业部副主任；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月至今，任本公司副总经理。</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副总经理、财务总监、董事会秘书刘志惠女士：历任本公司证券部经理、证券事务代表、内部审计部主任、中国电子科 技集团公司第三十研究所财务处副处长、中国电子科技网络信息安全有限公司财务部副总经理；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 副总经理、财务总监；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月至今，任本公司董事会秘书。</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副总经理张剑先生：历任中国电子科技集团第三十研究所第二事业部副主任、网络空间系统事业部副主任、云计算与大 数据事业部总经理、党总支部书记。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月至今，任本公司副总经理。</w:t>
      </w:r>
    </w:p>
    <w:p>
      <w:pPr>
        <w:pStyle w:val="Style24"/>
        <w:keepNext w:val="0"/>
        <w:keepLines w:val="0"/>
        <w:widowControl w:val="0"/>
        <w:shd w:val="clear" w:color="auto" w:fill="auto"/>
        <w:bidi w:val="0"/>
        <w:spacing w:before="0" w:after="0" w:line="309" w:lineRule="exact"/>
        <w:ind w:left="0" w:right="0"/>
        <w:jc w:val="both"/>
      </w:pPr>
      <w:r>
        <w:rPr>
          <w:color w:val="000000"/>
          <w:spacing w:val="0"/>
          <w:w w:val="100"/>
          <w:position w:val="0"/>
        </w:rPr>
        <w:t>副总经理吴向阳先生：历任中国电子科技集团第三十研究所第十专业部副主任，本公司金融销售总监、政务营销部经理、 西部大区总经理、总经理助理。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月至今，任本公司副总经理。</w:t>
      </w:r>
    </w:p>
    <w:p>
      <w:pPr>
        <w:pStyle w:val="Style24"/>
        <w:keepNext w:val="0"/>
        <w:keepLines w:val="0"/>
        <w:widowControl w:val="0"/>
        <w:shd w:val="clear" w:color="auto" w:fill="auto"/>
        <w:bidi w:val="0"/>
        <w:spacing w:before="0" w:after="160" w:line="309" w:lineRule="exact"/>
        <w:ind w:left="0" w:right="0"/>
        <w:jc w:val="both"/>
      </w:pPr>
      <w:r>
        <w:rPr>
          <w:color w:val="000000"/>
          <w:spacing w:val="0"/>
          <w:w w:val="100"/>
          <w:position w:val="0"/>
        </w:rPr>
        <w:t>副总经理王培春先生：历任中国电子科技集团第三十研究所一部主任助理、一部行政副主任、十部主任助理、党政服务 中心主任、党政业务处副处长，本公司特种行业营销部经理、北方营销中心总经理、总经理助理。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月至今，任本公 司副总经理。</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20"/>
        <w:gridCol w:w="2976"/>
        <w:gridCol w:w="1421"/>
        <w:gridCol w:w="1560"/>
        <w:gridCol w:w="1555"/>
        <w:gridCol w:w="13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董事、党委副书记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总经理、党委副书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715"/>
        <w:gridCol w:w="2981"/>
        <w:gridCol w:w="1416"/>
        <w:gridCol w:w="1565"/>
        <w:gridCol w:w="1560"/>
        <w:gridCol w:w="13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段启广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段启广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科学技术委员会 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纪检监察审计部 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法务审计与风险 防控部副总经理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云计算与大数据 事业部总经理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在股东 单位任 职情况 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张剑在中国网安任职期间由中国网安发放薪酬。</w:t>
            </w:r>
          </w:p>
        </w:tc>
      </w:tr>
    </w:tbl>
    <w:p>
      <w:pPr>
        <w:pStyle w:val="Style24"/>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125"/>
        <w:gridCol w:w="1272"/>
        <w:gridCol w:w="1565"/>
        <w:gridCol w:w="1555"/>
        <w:gridCol w:w="1358"/>
      </w:tblGrid>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6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四川信息安全与通信保密杂志社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厦门雅迅网络股份有限公司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绿盟科技集团股份有限公司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中资网络信息安全科技有限公司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中资网络信息安全科技有限公司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段启广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段启广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段启广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5"/>
        <w:gridCol w:w="1272"/>
        <w:gridCol w:w="1565"/>
        <w:gridCol w:w="1560"/>
        <w:gridCol w:w="135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专职副总工程 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成都市数字城市运营管理有限公司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四川大西洋焊接材料股份有限公司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中科院成都信息技术股份有限公司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成都彩虹电器（集团）股份有限公司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四川华信（集团）会计师事务所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南京圣和医药股份有限公司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威马农机股份有限公司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四川水井坊股份有限公司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四川天味食品股份有限公司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成都唐源电气股份有限公司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厦门雅迅网络股份有限公司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纪检监察审计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处处长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法务审计与风 险防控部副处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工业信息安全（四川）创新中心有限公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5"/>
        <w:gridCol w:w="1272"/>
        <w:gridCol w:w="1565"/>
        <w:gridCol w:w="1560"/>
        <w:gridCol w:w="13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四川兴政信息技术有限公司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卫士通（上海）网络安全技术有限公司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成都市数字城市运营管理有限公司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单位任</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的说明</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sz w:val="24"/>
          <w:szCs w:val="24"/>
        </w:rPr>
        <w:t>四</w:t>
      </w:r>
      <w:bookmarkEnd w:id="510"/>
      <w:r>
        <w:rPr>
          <w:color w:val="000000"/>
          <w:spacing w:val="0"/>
          <w:w w:val="100"/>
          <w:position w:val="0"/>
          <w:sz w:val="24"/>
          <w:szCs w:val="24"/>
        </w:rPr>
        <w:t>、董事、监事、高级管理人员报酬情况</w:t>
      </w:r>
      <w:bookmarkEnd w:id="508"/>
      <w:bookmarkEnd w:id="509"/>
      <w:bookmarkEnd w:id="511"/>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tabs>
          <w:tab w:pos="690" w:val="left"/>
        </w:tabs>
        <w:bidi w:val="0"/>
        <w:spacing w:before="0" w:after="0" w:line="326" w:lineRule="exact"/>
        <w:ind w:left="0" w:right="0"/>
        <w:jc w:val="left"/>
      </w:pPr>
      <w:bookmarkStart w:id="512" w:name="bookmark512"/>
      <w:r>
        <w:rPr>
          <w:rFonts w:ascii="Times New Roman" w:eastAsia="Times New Roman" w:hAnsi="Times New Roman" w:cs="Times New Roman"/>
          <w:color w:val="000000"/>
          <w:spacing w:val="0"/>
          <w:w w:val="100"/>
          <w:position w:val="0"/>
          <w:sz w:val="18"/>
          <w:szCs w:val="18"/>
        </w:rPr>
        <w:t>1</w:t>
      </w:r>
      <w:bookmarkEnd w:id="512"/>
      <w:r>
        <w:rPr>
          <w:color w:val="000000"/>
          <w:spacing w:val="0"/>
          <w:w w:val="100"/>
          <w:position w:val="0"/>
        </w:rPr>
        <w:t>、</w:t>
        <w:tab/>
        <w:t>公司独立董事津贴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年，其他董事、全体监事不领取津贴。在公司任职的董事、监事按其工作岗位确定薪酬。</w:t>
      </w:r>
    </w:p>
    <w:p>
      <w:pPr>
        <w:pStyle w:val="Style24"/>
        <w:keepNext w:val="0"/>
        <w:keepLines w:val="0"/>
        <w:widowControl w:val="0"/>
        <w:shd w:val="clear" w:color="auto" w:fill="auto"/>
        <w:tabs>
          <w:tab w:pos="699" w:val="left"/>
        </w:tabs>
        <w:bidi w:val="0"/>
        <w:spacing w:before="0" w:after="0" w:line="326" w:lineRule="exact"/>
        <w:ind w:left="0" w:right="0"/>
        <w:jc w:val="left"/>
      </w:pPr>
      <w:bookmarkStart w:id="513" w:name="bookmark513"/>
      <w:r>
        <w:rPr>
          <w:rFonts w:ascii="Times New Roman" w:eastAsia="Times New Roman" w:hAnsi="Times New Roman" w:cs="Times New Roman"/>
          <w:color w:val="000000"/>
          <w:spacing w:val="0"/>
          <w:w w:val="100"/>
          <w:position w:val="0"/>
          <w:sz w:val="18"/>
          <w:szCs w:val="18"/>
        </w:rPr>
        <w:t>2</w:t>
      </w:r>
      <w:bookmarkEnd w:id="513"/>
      <w:r>
        <w:rPr>
          <w:color w:val="000000"/>
          <w:spacing w:val="0"/>
          <w:w w:val="100"/>
          <w:position w:val="0"/>
        </w:rPr>
        <w:t>、</w:t>
        <w:tab/>
        <w:t>依据公司《董事会薪酬与考核委员会工作制度》，公司高级管理人员薪酬经由薪酬与考核委员会考核，报经董事会 批准后授权实施。</w:t>
      </w:r>
    </w:p>
    <w:p>
      <w:pPr>
        <w:pStyle w:val="Style24"/>
        <w:keepNext w:val="0"/>
        <w:keepLines w:val="0"/>
        <w:widowControl w:val="0"/>
        <w:shd w:val="clear" w:color="auto" w:fill="auto"/>
        <w:tabs>
          <w:tab w:pos="709" w:val="left"/>
        </w:tabs>
        <w:bidi w:val="0"/>
        <w:spacing w:before="0" w:after="0" w:line="326" w:lineRule="exact"/>
        <w:ind w:left="0" w:right="0"/>
        <w:jc w:val="left"/>
      </w:pPr>
      <w:bookmarkStart w:id="514" w:name="bookmark514"/>
      <w:r>
        <w:rPr>
          <w:rFonts w:ascii="Times New Roman" w:eastAsia="Times New Roman" w:hAnsi="Times New Roman" w:cs="Times New Roman"/>
          <w:color w:val="000000"/>
          <w:spacing w:val="0"/>
          <w:w w:val="100"/>
          <w:position w:val="0"/>
          <w:sz w:val="18"/>
          <w:szCs w:val="18"/>
        </w:rPr>
        <w:t>3</w:t>
      </w:r>
      <w:bookmarkEnd w:id="514"/>
      <w:r>
        <w:rPr>
          <w:color w:val="000000"/>
          <w:spacing w:val="0"/>
          <w:w w:val="100"/>
          <w:position w:val="0"/>
        </w:rPr>
        <w:t>、</w:t>
        <w:tab/>
        <w:t>张剑因工作变动，在卫士通工作期间由卫士通发放薪酬，其余期间在任职关联方领取报酬。</w:t>
      </w:r>
    </w:p>
    <w:p>
      <w:pPr>
        <w:pStyle w:val="Style24"/>
        <w:keepNext w:val="0"/>
        <w:keepLines w:val="0"/>
        <w:widowControl w:val="0"/>
        <w:shd w:val="clear" w:color="auto" w:fill="auto"/>
        <w:bidi w:val="0"/>
        <w:spacing w:before="0" w:after="120" w:line="326" w:lineRule="exact"/>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859"/>
        <w:gridCol w:w="2558"/>
        <w:gridCol w:w="701"/>
        <w:gridCol w:w="1368"/>
        <w:gridCol w:w="1368"/>
        <w:gridCol w:w="1373"/>
        <w:gridCol w:w="137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从公司获得的税</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是否在公司关联</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方获取报酬</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卿昱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段启广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9"/>
        <w:gridCol w:w="2558"/>
        <w:gridCol w:w="701"/>
        <w:gridCol w:w="1368"/>
        <w:gridCol w:w="1368"/>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董贵山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副总经理、财务总监、董秘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78"/>
        <w:gridCol w:w="869"/>
        <w:gridCol w:w="869"/>
        <w:gridCol w:w="874"/>
        <w:gridCol w:w="869"/>
        <w:gridCol w:w="864"/>
        <w:gridCol w:w="874"/>
        <w:gridCol w:w="864"/>
        <w:gridCol w:w="878"/>
        <w:gridCol w:w="869"/>
        <w:gridCol w:w="88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可行权股</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 已行权股</w:t>
            </w:r>
          </w:p>
          <w:p>
            <w:pPr>
              <w:pStyle w:val="Style2"/>
              <w:keepNext w:val="0"/>
              <w:keepLines w:val="0"/>
              <w:widowControl w:val="0"/>
              <w:shd w:val="clear" w:color="auto" w:fill="auto"/>
              <w:bidi w:val="0"/>
              <w:spacing w:before="0" w:after="0" w:line="31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22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期末持有 限制性股 票数量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魏洪宽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董贵山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946"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日为授予日，分别授予高级管理人员王忠海、魏洪宽、周俊、董贵山、 刘志惠、张剑限制性股票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万股，相关股份于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日完成授予登记并上市。</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五</w:t>
      </w:r>
      <w:bookmarkEnd w:id="517"/>
      <w:r>
        <w:rPr>
          <w:color w:val="000000"/>
          <w:spacing w:val="0"/>
          <w:w w:val="100"/>
          <w:position w:val="0"/>
          <w:sz w:val="24"/>
          <w:szCs w:val="24"/>
        </w:rPr>
        <w:t>、公司员工情况</w:t>
      </w:r>
      <w:bookmarkEnd w:id="515"/>
      <w:bookmarkEnd w:id="516"/>
      <w:bookmarkEnd w:id="518"/>
    </w:p>
    <w:p>
      <w:pPr>
        <w:pStyle w:val="Style30"/>
        <w:keepNext/>
        <w:keepLines/>
        <w:widowControl w:val="0"/>
        <w:shd w:val="clear" w:color="auto" w:fill="auto"/>
        <w:bidi w:val="0"/>
        <w:spacing w:before="0" w:after="30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、员工数量、专业构成及教育程度</w:t>
      </w:r>
      <w:bookmarkEnd w:id="519"/>
      <w:bookmarkEnd w:id="520"/>
      <w:bookmarkEnd w:id="522"/>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bl>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2,409</w:t>
            </w:r>
          </w:p>
        </w:tc>
      </w:tr>
      <w:tr>
        <w:trPr>
          <w:trHeight w:val="3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551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1,483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2,409</w:t>
            </w:r>
          </w:p>
        </w:tc>
      </w:tr>
    </w:tbl>
    <w:p>
      <w:pPr>
        <w:widowControl w:val="0"/>
        <w:spacing w:after="339" w:line="1" w:lineRule="exact"/>
      </w:pPr>
    </w:p>
    <w:p>
      <w:pPr>
        <w:pStyle w:val="Style30"/>
        <w:keepNext/>
        <w:keepLines/>
        <w:widowControl w:val="0"/>
        <w:shd w:val="clear" w:color="auto" w:fill="auto"/>
        <w:tabs>
          <w:tab w:pos="343" w:val="left"/>
        </w:tabs>
        <w:bidi w:val="0"/>
        <w:spacing w:before="0" w:after="28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薪酬政策</w:t>
      </w:r>
      <w:bookmarkEnd w:id="523"/>
      <w:bookmarkEnd w:id="524"/>
      <w:bookmarkEnd w:id="526"/>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公司在严格遵守《劳动合同法》等相关法律法规的基础上，遵循各尽其能、按劳分配的原则，坚持员工薪酬水平与公司 经济效益同步增长的原则制定薪酬制度。公司按照员工岗位职责、岗位技能、工作绩效、定岗地区等综合因素设计员工的薪 酬，适当向岗位风险大、岗位责任重、技术含量高以及创新型岗位倾斜。同时，公司参考同行业薪酬水平，兼顾公司的实际 情况，适时进行薪酬调整。公司努力构建公平且有竞争力的薪酬体系及绩效考核体系，以调动员工的工作积极性，提升公司 整体绩效，保留和吸引优秀人才，为公司的战略发展提供人力资源保障。</w:t>
      </w:r>
    </w:p>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340" w:line="336"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年职工薪酬总额（计入成本部分）为</w:t>
      </w:r>
      <w:r>
        <w:rPr>
          <w:rFonts w:ascii="Times New Roman" w:eastAsia="Times New Roman" w:hAnsi="Times New Roman" w:cs="Times New Roman"/>
          <w:color w:val="000000"/>
          <w:spacing w:val="0"/>
          <w:w w:val="100"/>
          <w:position w:val="0"/>
          <w:sz w:val="18"/>
          <w:szCs w:val="18"/>
        </w:rPr>
        <w:t>31,635,806.39</w:t>
      </w:r>
      <w:r>
        <w:rPr>
          <w:color w:val="000000"/>
          <w:spacing w:val="0"/>
          <w:w w:val="100"/>
          <w:position w:val="0"/>
        </w:rPr>
        <w:t>元，占公司成本总额的</w:t>
      </w:r>
      <w:r>
        <w:rPr>
          <w:rFonts w:ascii="Times New Roman" w:eastAsia="Times New Roman" w:hAnsi="Times New Roman" w:cs="Times New Roman"/>
          <w:color w:val="000000"/>
          <w:spacing w:val="0"/>
          <w:w w:val="100"/>
          <w:position w:val="0"/>
          <w:sz w:val="18"/>
          <w:szCs w:val="18"/>
        </w:rPr>
        <w:t>2.06%</w:t>
      </w:r>
      <w:r>
        <w:rPr>
          <w:color w:val="000000"/>
          <w:spacing w:val="0"/>
          <w:w w:val="100"/>
          <w:position w:val="0"/>
        </w:rPr>
        <w:t>。职工薪酬总额根据公司利润进行 核算发放，薪酬总额与公司利润紧密联动。核心技术人员薪酬在工资总额中的占比高于人数占比。</w:t>
      </w:r>
    </w:p>
    <w:p>
      <w:pPr>
        <w:pStyle w:val="Style30"/>
        <w:keepNext/>
        <w:keepLines/>
        <w:widowControl w:val="0"/>
        <w:shd w:val="clear" w:color="auto" w:fill="auto"/>
        <w:tabs>
          <w:tab w:pos="343" w:val="left"/>
        </w:tabs>
        <w:bidi w:val="0"/>
        <w:spacing w:before="0" w:after="28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3</w:t>
      </w:r>
      <w:bookmarkEnd w:id="529"/>
      <w:r>
        <w:rPr>
          <w:color w:val="000000"/>
          <w:spacing w:val="0"/>
          <w:w w:val="100"/>
          <w:position w:val="0"/>
        </w:rPr>
        <w:t>、</w:t>
        <w:tab/>
        <w:t>培训计划</w:t>
      </w:r>
      <w:bookmarkEnd w:id="527"/>
      <w:bookmarkEnd w:id="528"/>
      <w:bookmarkEnd w:id="530"/>
    </w:p>
    <w:p>
      <w:pPr>
        <w:pStyle w:val="Style24"/>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公司高度重视人才发展和培养。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年，坚持以公司战略规划、业务布局与业务需求为主线，结合公司年度重点工作， 开展人才培养工作，为员工提供更好的发展空间和良好的人才培养机制。在广泛征集各业务部门培训需求的基础上，结合公 司业务和发展需要，制定年度培训计划，根据不同岗位类别人员基本素质要求，开展有针对性的专业能力提升培训。结合现 阶段公司人员能力水平与业务拓展需求间的差距，有针对性地策划组织专项培训，以提升专业能力。</w:t>
      </w:r>
    </w:p>
    <w:p>
      <w:pPr>
        <w:pStyle w:val="Style30"/>
        <w:keepNext/>
        <w:keepLines/>
        <w:widowControl w:val="0"/>
        <w:shd w:val="clear" w:color="auto" w:fill="auto"/>
        <w:tabs>
          <w:tab w:pos="343" w:val="left"/>
        </w:tabs>
        <w:bidi w:val="0"/>
        <w:spacing w:before="0" w:after="28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4</w:t>
      </w:r>
      <w:bookmarkEnd w:id="533"/>
      <w:r>
        <w:rPr>
          <w:color w:val="000000"/>
          <w:spacing w:val="0"/>
          <w:w w:val="100"/>
          <w:position w:val="0"/>
        </w:rPr>
        <w:t>、</w:t>
        <w:tab/>
        <w:t>劳务外包情况</w:t>
      </w:r>
      <w:bookmarkEnd w:id="531"/>
      <w:bookmarkEnd w:id="532"/>
      <w:bookmarkEnd w:id="534"/>
    </w:p>
    <w:p>
      <w:pPr>
        <w:pStyle w:val="Style24"/>
        <w:keepNext w:val="0"/>
        <w:keepLines w:val="0"/>
        <w:widowControl w:val="0"/>
        <w:shd w:val="clear" w:color="auto" w:fill="auto"/>
        <w:bidi w:val="0"/>
        <w:spacing w:before="0" w:after="2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after="540" w:line="240" w:lineRule="auto"/>
        <w:ind w:left="0" w:right="0" w:firstLine="0"/>
        <w:jc w:val="center"/>
      </w:pPr>
      <w:bookmarkStart w:id="535" w:name="bookmark535"/>
      <w:bookmarkStart w:id="536" w:name="bookmark536"/>
      <w:bookmarkStart w:id="537" w:name="bookmark537"/>
      <w:r>
        <w:rPr>
          <w:color w:val="000000"/>
          <w:spacing w:val="0"/>
          <w:w w:val="100"/>
          <w:position w:val="0"/>
        </w:rPr>
        <w:t>第十节公司治理</w:t>
      </w:r>
      <w:bookmarkEnd w:id="535"/>
      <w:bookmarkEnd w:id="536"/>
      <w:bookmarkEnd w:id="537"/>
    </w:p>
    <w:p>
      <w:pPr>
        <w:pStyle w:val="Style20"/>
        <w:keepNext/>
        <w:keepLines/>
        <w:widowControl w:val="0"/>
        <w:shd w:val="clear" w:color="auto" w:fill="auto"/>
        <w:bidi w:val="0"/>
        <w:spacing w:before="0" w:after="240" w:line="240" w:lineRule="auto"/>
        <w:ind w:left="0" w:right="0" w:firstLine="0"/>
        <w:jc w:val="left"/>
      </w:pPr>
      <w:bookmarkStart w:id="538" w:name="bookmark538"/>
      <w:bookmarkStart w:id="539" w:name="bookmark539"/>
      <w:bookmarkStart w:id="540" w:name="bookmark540"/>
      <w:bookmarkStart w:id="541" w:name="bookmark541"/>
      <w:bookmarkStart w:id="542" w:name="bookmark542"/>
      <w:r>
        <w:rPr>
          <w:color w:val="000000"/>
          <w:spacing w:val="0"/>
          <w:w w:val="100"/>
          <w:position w:val="0"/>
          <w:sz w:val="24"/>
          <w:szCs w:val="24"/>
        </w:rPr>
        <w:t>一</w:t>
      </w:r>
      <w:bookmarkEnd w:id="541"/>
      <w:r>
        <w:rPr>
          <w:color w:val="000000"/>
          <w:spacing w:val="0"/>
          <w:w w:val="100"/>
          <w:position w:val="0"/>
          <w:sz w:val="24"/>
          <w:szCs w:val="24"/>
        </w:rPr>
        <w:t>、公司治理的基本状况</w:t>
      </w:r>
      <w:bookmarkEnd w:id="539"/>
      <w:bookmarkEnd w:id="540"/>
      <w:bookmarkEnd w:id="542"/>
      <w:bookmarkEnd w:id="538"/>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公司严格按照《公司法》、《证券法》、《上市公司治理准则》、深圳证券交易所《股票上市规则》、《上市公司规范 运作指引》等有关法律法规和规范性指引的要求，不断完善公司治理结构，建立健全内部管理和控制制度，加强运作规范， 公司治理的实际情况符合中国证监会有关上市公司治理的规范性文件的要求。</w:t>
      </w:r>
    </w:p>
    <w:p>
      <w:pPr>
        <w:pStyle w:val="Style24"/>
        <w:keepNext w:val="0"/>
        <w:keepLines w:val="0"/>
        <w:widowControl w:val="0"/>
        <w:shd w:val="clear" w:color="auto" w:fill="auto"/>
        <w:tabs>
          <w:tab w:pos="838" w:val="left"/>
        </w:tabs>
        <w:bidi w:val="0"/>
        <w:spacing w:before="0" w:after="0" w:line="314" w:lineRule="exact"/>
        <w:ind w:left="0" w:right="0" w:firstLine="320"/>
        <w:jc w:val="left"/>
      </w:pPr>
      <w:bookmarkStart w:id="543" w:name="bookmark543"/>
      <w:r>
        <w:rPr>
          <w:b/>
          <w:bCs/>
          <w:color w:val="000000"/>
          <w:spacing w:val="0"/>
          <w:w w:val="100"/>
          <w:position w:val="0"/>
        </w:rPr>
        <w:t>（</w:t>
      </w:r>
      <w:bookmarkEnd w:id="543"/>
      <w:r>
        <w:rPr>
          <w:b/>
          <w:bCs/>
          <w:color w:val="000000"/>
          <w:spacing w:val="0"/>
          <w:w w:val="100"/>
          <w:position w:val="0"/>
        </w:rPr>
        <w:t>一）</w:t>
        <w:tab/>
        <w:t>股东和股东大会</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公司严格按照《公司法》、《上市公司股东大会规则》、《公司章程》和《公司股东大会议事规则》的规定和要求，规 范股东大会的召集、召开、表决程序，能够平等对待所有股东，确保全体股东特别是中小股东享有平等地位，充分行使自己 的权利。</w:t>
      </w:r>
    </w:p>
    <w:p>
      <w:pPr>
        <w:pStyle w:val="Style24"/>
        <w:keepNext w:val="0"/>
        <w:keepLines w:val="0"/>
        <w:widowControl w:val="0"/>
        <w:shd w:val="clear" w:color="auto" w:fill="auto"/>
        <w:tabs>
          <w:tab w:pos="838" w:val="left"/>
        </w:tabs>
        <w:bidi w:val="0"/>
        <w:spacing w:before="0" w:after="0" w:line="314" w:lineRule="exact"/>
        <w:ind w:left="0" w:right="0" w:firstLine="320"/>
        <w:jc w:val="left"/>
      </w:pPr>
      <w:bookmarkStart w:id="544" w:name="bookmark544"/>
      <w:r>
        <w:rPr>
          <w:b/>
          <w:bCs/>
          <w:color w:val="000000"/>
          <w:spacing w:val="0"/>
          <w:w w:val="100"/>
          <w:position w:val="0"/>
        </w:rPr>
        <w:t>（</w:t>
      </w:r>
      <w:bookmarkEnd w:id="544"/>
      <w:r>
        <w:rPr>
          <w:b/>
          <w:bCs/>
          <w:color w:val="000000"/>
          <w:spacing w:val="0"/>
          <w:w w:val="100"/>
          <w:position w:val="0"/>
        </w:rPr>
        <w:t>二）</w:t>
        <w:tab/>
        <w:t>公司与控股股东、实际控制人</w:t>
      </w:r>
    </w:p>
    <w:p>
      <w:pPr>
        <w:pStyle w:val="Style2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报告期内公司控股股东及实际控制人行为规范，能依法行使其权利并承担相应的义务，没有超越公司股东大会直接或 间接干预公司的决策和生产经营活动。公司在业务、人员、资产、机构、财务等方面完全独立，公司董事会、监事会和内部 机构能够独立运作。</w:t>
      </w:r>
    </w:p>
    <w:p>
      <w:pPr>
        <w:pStyle w:val="Style24"/>
        <w:keepNext w:val="0"/>
        <w:keepLines w:val="0"/>
        <w:widowControl w:val="0"/>
        <w:shd w:val="clear" w:color="auto" w:fill="auto"/>
        <w:tabs>
          <w:tab w:pos="838" w:val="left"/>
        </w:tabs>
        <w:bidi w:val="0"/>
        <w:spacing w:before="0" w:after="0" w:line="314" w:lineRule="exact"/>
        <w:ind w:left="0" w:right="0" w:firstLine="320"/>
        <w:jc w:val="left"/>
      </w:pPr>
      <w:bookmarkStart w:id="545" w:name="bookmark545"/>
      <w:r>
        <w:rPr>
          <w:b/>
          <w:bCs/>
          <w:color w:val="000000"/>
          <w:spacing w:val="0"/>
          <w:w w:val="100"/>
          <w:position w:val="0"/>
        </w:rPr>
        <w:t>（</w:t>
      </w:r>
      <w:bookmarkEnd w:id="545"/>
      <w:r>
        <w:rPr>
          <w:b/>
          <w:bCs/>
          <w:color w:val="000000"/>
          <w:spacing w:val="0"/>
          <w:w w:val="100"/>
          <w:position w:val="0"/>
        </w:rPr>
        <w:t>三）</w:t>
        <w:tab/>
        <w:t>董事与董事会</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公司按照《公司法》、《公司章程》及《董事会议事规则》等的规定和要求选举董事，公司董事会现有董事八名，其中 独立董事三名，达到全体董事的三分之一。公司全体董事能够按照法律、法规以及《上市公司规范运作指引》、公司《董事 会议事规则》、《独立董事工作制度》等的规定开展工作，认真出席董事会和股东大会，积极参加培训，学习有关法律法规， 以诚信、勤勉、尽责的态度认真履行董事职责。</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公司董事会下设审计委员会、薪酬与考核委员会、提名委员会和战略委员会四个专门委员会，在促进公司规范运作、健 康持续发展等方面发挥了重要的作用。</w:t>
      </w:r>
    </w:p>
    <w:p>
      <w:pPr>
        <w:pStyle w:val="Style24"/>
        <w:keepNext w:val="0"/>
        <w:keepLines w:val="0"/>
        <w:widowControl w:val="0"/>
        <w:shd w:val="clear" w:color="auto" w:fill="auto"/>
        <w:tabs>
          <w:tab w:pos="838" w:val="left"/>
        </w:tabs>
        <w:bidi w:val="0"/>
        <w:spacing w:before="0" w:after="0" w:line="314" w:lineRule="exact"/>
        <w:ind w:left="0" w:right="0" w:firstLine="320"/>
        <w:jc w:val="left"/>
      </w:pPr>
      <w:bookmarkStart w:id="546" w:name="bookmark546"/>
      <w:r>
        <w:rPr>
          <w:b/>
          <w:bCs/>
          <w:color w:val="000000"/>
          <w:spacing w:val="0"/>
          <w:w w:val="100"/>
          <w:position w:val="0"/>
        </w:rPr>
        <w:t>（</w:t>
      </w:r>
      <w:bookmarkEnd w:id="546"/>
      <w:r>
        <w:rPr>
          <w:b/>
          <w:bCs/>
          <w:color w:val="000000"/>
          <w:spacing w:val="0"/>
          <w:w w:val="100"/>
          <w:position w:val="0"/>
        </w:rPr>
        <w:t>四）</w:t>
        <w:tab/>
        <w:t>监事与监事会</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公司严格按照法律、法规及《公司章程》、《监事会议事规则》等相关规定选举监事，公司监事会现有三名监事，其中 职工监事一名，由公司职工代表大会选举产生。公司全体监事能够按照法律、法规和《监事会议事规则》等的要求，从保护 股东利益出发，认真履行职责，对公司财务以及公司董事、其他高级管理人员履行职责的合法合规性进行监督，忠实、勤勉 地维护公司及股东的合法权益。</w:t>
      </w:r>
    </w:p>
    <w:p>
      <w:pPr>
        <w:pStyle w:val="Style24"/>
        <w:keepNext w:val="0"/>
        <w:keepLines w:val="0"/>
        <w:widowControl w:val="0"/>
        <w:shd w:val="clear" w:color="auto" w:fill="auto"/>
        <w:tabs>
          <w:tab w:pos="838" w:val="left"/>
        </w:tabs>
        <w:bidi w:val="0"/>
        <w:spacing w:before="0" w:after="0" w:line="314" w:lineRule="exact"/>
        <w:ind w:left="0" w:right="0" w:firstLine="320"/>
        <w:jc w:val="left"/>
      </w:pPr>
      <w:bookmarkStart w:id="547" w:name="bookmark547"/>
      <w:r>
        <w:rPr>
          <w:b/>
          <w:bCs/>
          <w:color w:val="000000"/>
          <w:spacing w:val="0"/>
          <w:w w:val="100"/>
          <w:position w:val="0"/>
        </w:rPr>
        <w:t>（</w:t>
      </w:r>
      <w:bookmarkEnd w:id="547"/>
      <w:r>
        <w:rPr>
          <w:b/>
          <w:bCs/>
          <w:color w:val="000000"/>
          <w:spacing w:val="0"/>
          <w:w w:val="100"/>
          <w:position w:val="0"/>
        </w:rPr>
        <w:t>五）</w:t>
        <w:tab/>
        <w:t>利益相关者</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公司充分尊重和维护相关利益者的合法权益，实现社会、股东、公司、员工等各方面利益的协调平衡，诚信对待供应商 和客户，切实维护职工的合法权益，重视社会责任，共同推动公司持续、健康、快速发展。</w:t>
      </w:r>
    </w:p>
    <w:p>
      <w:pPr>
        <w:pStyle w:val="Style24"/>
        <w:keepNext w:val="0"/>
        <w:keepLines w:val="0"/>
        <w:widowControl w:val="0"/>
        <w:shd w:val="clear" w:color="auto" w:fill="auto"/>
        <w:tabs>
          <w:tab w:pos="838" w:val="left"/>
        </w:tabs>
        <w:bidi w:val="0"/>
        <w:spacing w:before="0" w:after="0" w:line="314" w:lineRule="exact"/>
        <w:ind w:left="0" w:right="0" w:firstLine="320"/>
        <w:jc w:val="left"/>
      </w:pPr>
      <w:bookmarkStart w:id="548" w:name="bookmark548"/>
      <w:r>
        <w:rPr>
          <w:b/>
          <w:bCs/>
          <w:color w:val="000000"/>
          <w:spacing w:val="0"/>
          <w:w w:val="100"/>
          <w:position w:val="0"/>
        </w:rPr>
        <w:t>（</w:t>
      </w:r>
      <w:bookmarkEnd w:id="548"/>
      <w:r>
        <w:rPr>
          <w:b/>
          <w:bCs/>
          <w:color w:val="000000"/>
          <w:spacing w:val="0"/>
          <w:w w:val="100"/>
          <w:position w:val="0"/>
        </w:rPr>
        <w:t>六）</w:t>
        <w:tab/>
        <w:t>信息披露</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公司指定《证券时报》、《中国证券报》和巨潮资讯网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为公司信息披露的指定报纸和网站，</w:t>
      </w:r>
      <w:r>
        <w:rPr>
          <w:color w:val="000000"/>
          <w:spacing w:val="0"/>
          <w:w w:val="100"/>
          <w:position w:val="0"/>
        </w:rPr>
        <w:t xml:space="preserve"> 还通过深圳证券交易所互动平台、电话和接待来访等方式加强与投资者的沟通与交流；公司严格按照有关法律法规及公司制 定的《信息披露管理制度》、《投资者关系管理制度》、《内幕信息知情人登记管理制度》、《对外报送未公开重大信息管 理制度》等的要求，真实、准确、完整、及时的披露有关信息，确保所有股东有平等的机会获得信息。</w:t>
      </w:r>
    </w:p>
    <w:p>
      <w:pPr>
        <w:pStyle w:val="Style24"/>
        <w:keepNext w:val="0"/>
        <w:keepLines w:val="0"/>
        <w:widowControl w:val="0"/>
        <w:shd w:val="clear" w:color="auto" w:fill="auto"/>
        <w:tabs>
          <w:tab w:pos="838" w:val="left"/>
        </w:tabs>
        <w:bidi w:val="0"/>
        <w:spacing w:before="0" w:after="0" w:line="314" w:lineRule="exact"/>
        <w:ind w:left="0" w:right="0" w:firstLine="320"/>
        <w:jc w:val="left"/>
      </w:pPr>
      <w:bookmarkStart w:id="549" w:name="bookmark549"/>
      <w:r>
        <w:rPr>
          <w:b/>
          <w:bCs/>
          <w:color w:val="000000"/>
          <w:spacing w:val="0"/>
          <w:w w:val="100"/>
          <w:position w:val="0"/>
        </w:rPr>
        <w:t>（</w:t>
      </w:r>
      <w:bookmarkEnd w:id="549"/>
      <w:r>
        <w:rPr>
          <w:b/>
          <w:bCs/>
          <w:color w:val="000000"/>
          <w:spacing w:val="0"/>
          <w:w w:val="100"/>
          <w:position w:val="0"/>
        </w:rPr>
        <w:t>七）</w:t>
        <w:tab/>
        <w:t>考核与激励</w:t>
      </w:r>
    </w:p>
    <w:p>
      <w:pPr>
        <w:pStyle w:val="Style24"/>
        <w:keepNext w:val="0"/>
        <w:keepLines w:val="0"/>
        <w:widowControl w:val="0"/>
        <w:shd w:val="clear" w:color="auto" w:fill="auto"/>
        <w:bidi w:val="0"/>
        <w:spacing w:before="0" w:after="0" w:line="314" w:lineRule="exact"/>
        <w:ind w:left="0" w:right="0"/>
        <w:jc w:val="both"/>
      </w:pPr>
      <w:r>
        <w:rPr>
          <w:color w:val="000000"/>
          <w:spacing w:val="0"/>
          <w:w w:val="100"/>
          <w:position w:val="0"/>
        </w:rPr>
        <w:t>公司高级管理人员的聘任严格依据相关法律、法规及公司制度的规定，由董事会审议决定；依据公司《董事会薪酬与考 核委员会工作制度》，高级管理人员薪酬由薪酬与考核委员会考核，并报经董事会批准后授权实施。</w:t>
      </w:r>
    </w:p>
    <w:p>
      <w:pPr>
        <w:pStyle w:val="Style24"/>
        <w:keepNext w:val="0"/>
        <w:keepLines w:val="0"/>
        <w:widowControl w:val="0"/>
        <w:shd w:val="clear" w:color="auto" w:fill="auto"/>
        <w:tabs>
          <w:tab w:pos="838" w:val="left"/>
        </w:tabs>
        <w:bidi w:val="0"/>
        <w:spacing w:before="0" w:after="0" w:line="314" w:lineRule="exact"/>
        <w:ind w:left="0" w:right="0" w:firstLine="320"/>
        <w:jc w:val="left"/>
      </w:pPr>
      <w:bookmarkStart w:id="550" w:name="bookmark550"/>
      <w:r>
        <w:rPr>
          <w:b/>
          <w:bCs/>
          <w:color w:val="000000"/>
          <w:spacing w:val="0"/>
          <w:w w:val="100"/>
          <w:position w:val="0"/>
        </w:rPr>
        <w:t>（</w:t>
      </w:r>
      <w:bookmarkEnd w:id="550"/>
      <w:r>
        <w:rPr>
          <w:b/>
          <w:bCs/>
          <w:color w:val="000000"/>
          <w:spacing w:val="0"/>
          <w:w w:val="100"/>
          <w:position w:val="0"/>
        </w:rPr>
        <w:t>八）</w:t>
        <w:tab/>
        <w:t>内部审计</w:t>
      </w:r>
    </w:p>
    <w:p>
      <w:pPr>
        <w:pStyle w:val="Style24"/>
        <w:keepNext w:val="0"/>
        <w:keepLines w:val="0"/>
        <w:widowControl w:val="0"/>
        <w:shd w:val="clear" w:color="auto" w:fill="auto"/>
        <w:bidi w:val="0"/>
        <w:spacing w:before="0" w:after="0" w:line="319" w:lineRule="exact"/>
        <w:ind w:left="0" w:right="0"/>
        <w:jc w:val="both"/>
      </w:pPr>
      <w:r>
        <w:rPr>
          <w:color w:val="000000"/>
          <w:spacing w:val="0"/>
          <w:w w:val="100"/>
          <w:position w:val="0"/>
        </w:rPr>
        <w:t>公司设内部审计专职人员，负责公司内部审计工作，并直接向审计委员会汇报工作。在公司董事会的监督与指导下，内 部审计部门依法独立开展公司内部审计、督查工作，采取定期与不定期检查方式，对公司和分子公司财务、重大项目、生产 经营活动等进行审计、核查，对公司和分子公司内部管理体系、内部控制的情况进行监督检查。</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20" w:line="326" w:lineRule="exact"/>
        <w:ind w:left="0" w:right="0" w:firstLine="380"/>
        <w:jc w:val="both"/>
      </w:pPr>
      <w:r>
        <w:rPr>
          <w:color w:val="000000"/>
          <w:spacing w:val="0"/>
          <w:w w:val="100"/>
          <w:position w:val="0"/>
        </w:rPr>
        <w:t>公司治理的实际状况与中国证监会发布的有关上市公司治理的规范性文件不存在重大差异。</w:t>
      </w:r>
    </w:p>
    <w:p>
      <w:pPr>
        <w:pStyle w:val="Style20"/>
        <w:keepNext/>
        <w:keepLines/>
        <w:widowControl w:val="0"/>
        <w:shd w:val="clear" w:color="auto" w:fill="auto"/>
        <w:tabs>
          <w:tab w:pos="517" w:val="left"/>
        </w:tabs>
        <w:bidi w:val="0"/>
        <w:spacing w:before="0" w:after="320" w:line="240" w:lineRule="auto"/>
        <w:ind w:left="0" w:right="0" w:firstLine="0"/>
        <w:jc w:val="both"/>
      </w:pPr>
      <w:bookmarkStart w:id="551" w:name="bookmark551"/>
      <w:bookmarkStart w:id="552" w:name="bookmark552"/>
      <w:bookmarkStart w:id="553" w:name="bookmark553"/>
      <w:bookmarkStart w:id="554" w:name="bookmark554"/>
      <w:r>
        <w:rPr>
          <w:color w:val="000000"/>
          <w:spacing w:val="0"/>
          <w:w w:val="100"/>
          <w:position w:val="0"/>
          <w:sz w:val="24"/>
          <w:szCs w:val="24"/>
        </w:rPr>
        <w:t>二</w:t>
      </w:r>
      <w:bookmarkEnd w:id="553"/>
      <w:r>
        <w:rPr>
          <w:color w:val="000000"/>
          <w:spacing w:val="0"/>
          <w:w w:val="100"/>
          <w:position w:val="0"/>
          <w:sz w:val="24"/>
          <w:szCs w:val="24"/>
        </w:rPr>
        <w:t>、</w:t>
        <w:tab/>
        <w:t>公司相对于控股股东在业务、人员、资产、机构、财务等方面的独立情况</w:t>
      </w:r>
      <w:bookmarkEnd w:id="551"/>
      <w:bookmarkEnd w:id="552"/>
      <w:bookmarkEnd w:id="554"/>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公司严格按照《公司法》和《公司章程》规范运作，建立健全公司的法人治理结构，与控股股东在业务、人员、资产、 机构、财务等方面完全分开，具有独立完整的业务及自主经营能力。</w:t>
      </w:r>
    </w:p>
    <w:p>
      <w:pPr>
        <w:pStyle w:val="Style20"/>
        <w:keepNext/>
        <w:keepLines/>
        <w:widowControl w:val="0"/>
        <w:shd w:val="clear" w:color="auto" w:fill="auto"/>
        <w:tabs>
          <w:tab w:pos="517" w:val="left"/>
        </w:tabs>
        <w:bidi w:val="0"/>
        <w:spacing w:before="0" w:after="38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三</w:t>
      </w:r>
      <w:bookmarkEnd w:id="557"/>
      <w:r>
        <w:rPr>
          <w:color w:val="000000"/>
          <w:spacing w:val="0"/>
          <w:w w:val="100"/>
          <w:position w:val="0"/>
          <w:sz w:val="24"/>
          <w:szCs w:val="24"/>
        </w:rPr>
        <w:t>、</w:t>
        <w:tab/>
        <w:t>同业竞争情况</w:t>
      </w:r>
      <w:bookmarkEnd w:id="555"/>
      <w:bookmarkEnd w:id="556"/>
      <w:bookmarkEnd w:id="558"/>
    </w:p>
    <w:p>
      <w:pPr>
        <w:pStyle w:val="Style24"/>
        <w:keepNext w:val="0"/>
        <w:keepLines w:val="0"/>
        <w:widowControl w:val="0"/>
        <w:shd w:val="clear" w:color="auto" w:fill="auto"/>
        <w:bidi w:val="0"/>
        <w:spacing w:before="0" w:after="20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8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四</w:t>
      </w:r>
      <w:bookmarkEnd w:id="561"/>
      <w:r>
        <w:rPr>
          <w:color w:val="000000"/>
          <w:spacing w:val="0"/>
          <w:w w:val="100"/>
          <w:position w:val="0"/>
          <w:sz w:val="24"/>
          <w:szCs w:val="24"/>
        </w:rPr>
        <w:t>、</w:t>
        <w:tab/>
        <w:t>报告期内召开的年度股东大会和临时股东大会的有关情况</w:t>
      </w:r>
      <w:bookmarkEnd w:id="559"/>
      <w:bookmarkEnd w:id="560"/>
      <w:bookmarkEnd w:id="562"/>
    </w:p>
    <w:p>
      <w:pPr>
        <w:pStyle w:val="Style30"/>
        <w:keepNext/>
        <w:keepLines/>
        <w:widowControl w:val="0"/>
        <w:shd w:val="clear" w:color="auto" w:fill="auto"/>
        <w:bidi w:val="0"/>
        <w:spacing w:before="0" w:after="32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1</w:t>
      </w:r>
      <w:bookmarkEnd w:id="565"/>
      <w:r>
        <w:rPr>
          <w:color w:val="000000"/>
          <w:spacing w:val="0"/>
          <w:w w:val="100"/>
          <w:position w:val="0"/>
        </w:rPr>
        <w:t>、本报告期股东大会情况</w:t>
      </w:r>
      <w:bookmarkEnd w:id="563"/>
      <w:bookmarkEnd w:id="564"/>
      <w:bookmarkEnd w:id="566"/>
    </w:p>
    <w:tbl>
      <w:tblPr>
        <w:tblOverlap w:val="never"/>
        <w:jc w:val="center"/>
        <w:tblLayout w:type="fixed"/>
      </w:tblPr>
      <w:tblGrid>
        <w:gridCol w:w="1608"/>
        <w:gridCol w:w="1234"/>
        <w:gridCol w:w="1421"/>
        <w:gridCol w:w="994"/>
        <w:gridCol w:w="1003"/>
        <w:gridCol w:w="333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59"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2020-019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年度股东大会决议公告；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859"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2020-052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议公告；巨潮资讯网。</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2</w:t>
      </w:r>
      <w:bookmarkEnd w:id="569"/>
      <w:r>
        <w:rPr>
          <w:color w:val="000000"/>
          <w:spacing w:val="0"/>
          <w:w w:val="100"/>
          <w:position w:val="0"/>
        </w:rPr>
        <w:t>、表决权恢复的优先股股东请求召开临时股东大会</w:t>
      </w:r>
      <w:bookmarkEnd w:id="567"/>
      <w:bookmarkEnd w:id="568"/>
      <w:bookmarkEnd w:id="570"/>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2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五</w:t>
      </w:r>
      <w:bookmarkEnd w:id="573"/>
      <w:r>
        <w:rPr>
          <w:color w:val="000000"/>
          <w:spacing w:val="0"/>
          <w:w w:val="100"/>
          <w:position w:val="0"/>
          <w:sz w:val="24"/>
          <w:szCs w:val="24"/>
        </w:rPr>
        <w:t>、报告期内独立董事履行职责的情况</w:t>
      </w:r>
      <w:bookmarkEnd w:id="571"/>
      <w:bookmarkEnd w:id="572"/>
      <w:bookmarkEnd w:id="574"/>
    </w:p>
    <w:p>
      <w:pPr>
        <w:pStyle w:val="Style30"/>
        <w:keepNext/>
        <w:keepLines/>
        <w:widowControl w:val="0"/>
        <w:shd w:val="clear" w:color="auto" w:fill="auto"/>
        <w:bidi w:val="0"/>
        <w:spacing w:before="0" w:after="32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color w:val="000000"/>
          <w:spacing w:val="0"/>
          <w:w w:val="100"/>
          <w:position w:val="0"/>
        </w:rPr>
        <w:t>、独立董事出席董事会及股东大会的情况</w:t>
      </w:r>
      <w:bookmarkEnd w:id="575"/>
      <w:bookmarkEnd w:id="576"/>
      <w:bookmarkEnd w:id="578"/>
    </w:p>
    <w:tbl>
      <w:tblPr>
        <w:tblOverlap w:val="never"/>
        <w:jc w:val="center"/>
        <w:tblLayout w:type="fixed"/>
      </w:tblPr>
      <w:tblGrid>
        <w:gridCol w:w="1440"/>
        <w:gridCol w:w="1162"/>
        <w:gridCol w:w="1166"/>
        <w:gridCol w:w="1166"/>
        <w:gridCol w:w="1162"/>
        <w:gridCol w:w="1166"/>
        <w:gridCol w:w="1166"/>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343" w:val="left"/>
        </w:tabs>
        <w:bidi w:val="0"/>
        <w:spacing w:before="0" w:after="28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w:t>
        <w:tab/>
        <w:t>独立董事对公司有关事项提出异议的情况</w:t>
      </w:r>
      <w:bookmarkEnd w:id="579"/>
      <w:bookmarkEnd w:id="580"/>
      <w:bookmarkEnd w:id="582"/>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43" w:val="left"/>
        </w:tabs>
        <w:bidi w:val="0"/>
        <w:spacing w:before="0" w:after="2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3</w:t>
      </w:r>
      <w:bookmarkEnd w:id="585"/>
      <w:r>
        <w:rPr>
          <w:color w:val="000000"/>
          <w:spacing w:val="0"/>
          <w:w w:val="100"/>
          <w:position w:val="0"/>
        </w:rPr>
        <w:t>、</w:t>
        <w:tab/>
        <w:t>独立董事履行职责的其他说明</w:t>
      </w:r>
      <w:bookmarkEnd w:id="583"/>
      <w:bookmarkEnd w:id="584"/>
      <w:bookmarkEnd w:id="586"/>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报告期内，公司独立董事根据《公司法》、《公司章程》、《公司独立董事工作制度》等的规定，切实履行独立董事职 责，对公司日常经营及日常管理等情况进行了解和监督，积极参加相关会议，与公司其他董事、监事、高管及外部审计机构 进行良好的沟通交流，对关联交易、募集资金使用等情况发表独立意见，得到了公司的重视和采纳，对促进公司相关业务规 范化、提升公司治理水平及保护中小股东权益起到了积极作用。</w:t>
      </w:r>
    </w:p>
    <w:p>
      <w:pPr>
        <w:pStyle w:val="Style20"/>
        <w:keepNext/>
        <w:keepLines/>
        <w:widowControl w:val="0"/>
        <w:shd w:val="clear" w:color="auto" w:fill="auto"/>
        <w:tabs>
          <w:tab w:pos="580" w:val="left"/>
        </w:tabs>
        <w:bidi w:val="0"/>
        <w:spacing w:before="0" w:after="28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六</w:t>
      </w:r>
      <w:bookmarkEnd w:id="589"/>
      <w:r>
        <w:rPr>
          <w:color w:val="000000"/>
          <w:spacing w:val="0"/>
          <w:w w:val="100"/>
          <w:position w:val="0"/>
          <w:sz w:val="24"/>
          <w:szCs w:val="24"/>
        </w:rPr>
        <w:t>、</w:t>
        <w:tab/>
        <w:t>董事会下设专门委员会在报告期内履行职责情况</w:t>
      </w:r>
      <w:bookmarkEnd w:id="587"/>
      <w:bookmarkEnd w:id="588"/>
      <w:bookmarkEnd w:id="590"/>
    </w:p>
    <w:p>
      <w:pPr>
        <w:pStyle w:val="Style24"/>
        <w:keepNext w:val="0"/>
        <w:keepLines w:val="0"/>
        <w:widowControl w:val="0"/>
        <w:shd w:val="clear" w:color="auto" w:fill="auto"/>
        <w:tabs>
          <w:tab w:pos="684" w:val="left"/>
        </w:tabs>
        <w:bidi w:val="0"/>
        <w:spacing w:before="0" w:after="0" w:line="315" w:lineRule="exact"/>
        <w:ind w:left="0" w:right="0" w:firstLine="380"/>
        <w:jc w:val="both"/>
      </w:pPr>
      <w:bookmarkStart w:id="591" w:name="bookmark591"/>
      <w:r>
        <w:rPr>
          <w:rFonts w:ascii="Times New Roman" w:eastAsia="Times New Roman" w:hAnsi="Times New Roman" w:cs="Times New Roman"/>
          <w:color w:val="000000"/>
          <w:spacing w:val="0"/>
          <w:w w:val="100"/>
          <w:position w:val="0"/>
          <w:sz w:val="18"/>
          <w:szCs w:val="18"/>
        </w:rPr>
        <w:t>1</w:t>
      </w:r>
      <w:bookmarkEnd w:id="591"/>
      <w:r>
        <w:rPr>
          <w:color w:val="000000"/>
          <w:spacing w:val="0"/>
          <w:w w:val="100"/>
          <w:position w:val="0"/>
        </w:rPr>
        <w:t>、</w:t>
        <w:tab/>
        <w:t>审计委员会</w:t>
      </w:r>
    </w:p>
    <w:p>
      <w:pPr>
        <w:pStyle w:val="Style24"/>
        <w:keepNext w:val="0"/>
        <w:keepLines w:val="0"/>
        <w:widowControl w:val="0"/>
        <w:shd w:val="clear" w:color="auto" w:fill="auto"/>
        <w:bidi w:val="0"/>
        <w:spacing w:before="0" w:after="0" w:line="315" w:lineRule="exact"/>
        <w:ind w:left="0" w:right="0" w:firstLine="380"/>
        <w:jc w:val="left"/>
      </w:pPr>
      <w:r>
        <w:rPr>
          <w:color w:val="000000"/>
          <w:spacing w:val="0"/>
          <w:w w:val="100"/>
          <w:position w:val="0"/>
        </w:rPr>
        <w:t xml:space="preserve">报告期内，公司董事会审计委员会共召开了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次会议，审议并通过了《公司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年度财务报告》、《公司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 控制自我评价报告》、《公司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年度募集资金存放与使用情况的审计报告》、《公司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年度关联交易及关联资金往来的 审计报告》、《公司内部审计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年度工作总结及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年度工作计划》、《公司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年一季度财务报告》、《公司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一季度募集资金存放与使用情况的审计报告》、《公司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年第一季度关联交易及关联资金往来的审计报告》、《公司内部 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年一季度工作总结及第二季度工作计划》、《公司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年半年度财务报告》、《公司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年半年度募集资金存放与 使用情况的审计报告》、《公司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年半年度关联交易及关联资金往来的审计报告》、《公司内部审计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年半年度工作总 结及第三季度工作计划》、《公司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年三季度财务报告》、《公司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年三季度募集资金存放与使用情况的审计报告》、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年第三季度关联交易及关联资金往来的审计报告》、《公司内部审计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年三季度工作总结及第四季度工作计划》、 《续聘会计师事务所的议案》等。</w:t>
      </w:r>
    </w:p>
    <w:p>
      <w:pPr>
        <w:pStyle w:val="Style24"/>
        <w:keepNext w:val="0"/>
        <w:keepLines w:val="0"/>
        <w:widowControl w:val="0"/>
        <w:shd w:val="clear" w:color="auto" w:fill="auto"/>
        <w:tabs>
          <w:tab w:pos="703" w:val="left"/>
        </w:tabs>
        <w:bidi w:val="0"/>
        <w:spacing w:before="0" w:after="0" w:line="315" w:lineRule="exact"/>
        <w:ind w:left="0" w:right="0" w:firstLine="380"/>
        <w:jc w:val="left"/>
      </w:pPr>
      <w:bookmarkStart w:id="592" w:name="bookmark592"/>
      <w:r>
        <w:rPr>
          <w:rFonts w:ascii="Times New Roman" w:eastAsia="Times New Roman" w:hAnsi="Times New Roman" w:cs="Times New Roman"/>
          <w:color w:val="000000"/>
          <w:spacing w:val="0"/>
          <w:w w:val="100"/>
          <w:position w:val="0"/>
          <w:sz w:val="18"/>
          <w:szCs w:val="18"/>
        </w:rPr>
        <w:t>2</w:t>
      </w:r>
      <w:bookmarkEnd w:id="592"/>
      <w:r>
        <w:rPr>
          <w:color w:val="000000"/>
          <w:spacing w:val="0"/>
          <w:w w:val="100"/>
          <w:position w:val="0"/>
        </w:rPr>
        <w:t>、</w:t>
        <w:tab/>
        <w:t>薪酬与考核委员会</w:t>
      </w:r>
    </w:p>
    <w:p>
      <w:pPr>
        <w:pStyle w:val="Style24"/>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报告期内，公司董事会薪酬与考核委员会召开了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次会议，审议通过了《关于公司高级管理人员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年度薪酬的议案》、 《限制性股票长期激励计划暨首期实施方案（草案）及摘要》、《关于制定</w:t>
      </w:r>
      <w:r>
        <w:rPr>
          <w:color w:val="000000"/>
          <w:spacing w:val="0"/>
          <w:w w:val="100"/>
          <w:position w:val="0"/>
          <w:sz w:val="18"/>
          <w:szCs w:val="18"/>
        </w:rPr>
        <w:t>〈</w:t>
      </w:r>
      <w:r>
        <w:rPr>
          <w:color w:val="000000"/>
          <w:spacing w:val="0"/>
          <w:w w:val="100"/>
          <w:position w:val="0"/>
        </w:rPr>
        <w:t>首期限制性股票激励计划实施考核办法</w:t>
      </w:r>
      <w:r>
        <w:rPr>
          <w:color w:val="000000"/>
          <w:spacing w:val="0"/>
          <w:w w:val="100"/>
          <w:position w:val="0"/>
          <w:sz w:val="18"/>
          <w:szCs w:val="18"/>
        </w:rPr>
        <w:t>〉</w:t>
      </w:r>
      <w:r>
        <w:rPr>
          <w:color w:val="000000"/>
          <w:spacing w:val="0"/>
          <w:w w:val="100"/>
          <w:position w:val="0"/>
        </w:rPr>
        <w:t>的议 案》、《关于制定</w:t>
      </w:r>
      <w:r>
        <w:rPr>
          <w:color w:val="000000"/>
          <w:spacing w:val="0"/>
          <w:w w:val="100"/>
          <w:position w:val="0"/>
          <w:sz w:val="18"/>
          <w:szCs w:val="18"/>
        </w:rPr>
        <w:t>〈</w:t>
      </w:r>
      <w:r>
        <w:rPr>
          <w:color w:val="000000"/>
          <w:spacing w:val="0"/>
          <w:w w:val="100"/>
          <w:position w:val="0"/>
        </w:rPr>
        <w:t>限制性股票长期激励计划管理办法</w:t>
      </w:r>
      <w:r>
        <w:rPr>
          <w:color w:val="000000"/>
          <w:spacing w:val="0"/>
          <w:w w:val="100"/>
          <w:position w:val="0"/>
          <w:sz w:val="18"/>
          <w:szCs w:val="18"/>
        </w:rPr>
        <w:t>〉</w:t>
      </w:r>
      <w:r>
        <w:rPr>
          <w:color w:val="000000"/>
          <w:spacing w:val="0"/>
          <w:w w:val="100"/>
          <w:position w:val="0"/>
        </w:rPr>
        <w:t>的议案》、《限制性股票长期激励计划暨首期实施方案（草案修订 稿）及摘要》、《关于制定</w:t>
      </w:r>
      <w:r>
        <w:rPr>
          <w:color w:val="000000"/>
          <w:spacing w:val="0"/>
          <w:w w:val="100"/>
          <w:position w:val="0"/>
          <w:sz w:val="18"/>
          <w:szCs w:val="18"/>
        </w:rPr>
        <w:t>〈</w:t>
      </w:r>
      <w:r>
        <w:rPr>
          <w:color w:val="000000"/>
          <w:spacing w:val="0"/>
          <w:w w:val="100"/>
          <w:position w:val="0"/>
        </w:rPr>
        <w:t>限制性股票长期激励计划管理办法（修订稿）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的议案》、《限制性股票长期激励计划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首次授予激励对象名单》、《关于公司限制性股票长期激励计划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年首次授予相关事项的议案》、《关于公司限制性股票 长期激励计划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年预留授予相关事项的议案》等。</w:t>
      </w:r>
    </w:p>
    <w:p>
      <w:pPr>
        <w:pStyle w:val="Style24"/>
        <w:keepNext w:val="0"/>
        <w:keepLines w:val="0"/>
        <w:widowControl w:val="0"/>
        <w:shd w:val="clear" w:color="auto" w:fill="auto"/>
        <w:tabs>
          <w:tab w:pos="703" w:val="left"/>
        </w:tabs>
        <w:bidi w:val="0"/>
        <w:spacing w:before="0" w:after="0" w:line="336" w:lineRule="exact"/>
        <w:ind w:left="0" w:right="0" w:firstLine="380"/>
        <w:jc w:val="left"/>
      </w:pPr>
      <w:bookmarkStart w:id="593" w:name="bookmark593"/>
      <w:r>
        <w:rPr>
          <w:rFonts w:ascii="Times New Roman" w:eastAsia="Times New Roman" w:hAnsi="Times New Roman" w:cs="Times New Roman"/>
          <w:color w:val="000000"/>
          <w:spacing w:val="0"/>
          <w:w w:val="100"/>
          <w:position w:val="0"/>
          <w:sz w:val="18"/>
          <w:szCs w:val="18"/>
        </w:rPr>
        <w:t>3</w:t>
      </w:r>
      <w:bookmarkEnd w:id="593"/>
      <w:r>
        <w:rPr>
          <w:color w:val="000000"/>
          <w:spacing w:val="0"/>
          <w:w w:val="100"/>
          <w:position w:val="0"/>
        </w:rPr>
        <w:t>、</w:t>
        <w:tab/>
        <w:t>提名委员会</w:t>
      </w:r>
    </w:p>
    <w:p>
      <w:pPr>
        <w:pStyle w:val="Style24"/>
        <w:keepNext w:val="0"/>
        <w:keepLines w:val="0"/>
        <w:widowControl w:val="0"/>
        <w:shd w:val="clear" w:color="auto" w:fill="auto"/>
        <w:bidi w:val="0"/>
        <w:spacing w:before="0" w:after="360" w:line="336" w:lineRule="exact"/>
        <w:ind w:left="0" w:right="0" w:firstLine="380"/>
        <w:jc w:val="left"/>
      </w:pPr>
      <w:r>
        <w:rPr>
          <w:color w:val="000000"/>
          <w:spacing w:val="0"/>
          <w:w w:val="100"/>
          <w:position w:val="0"/>
        </w:rPr>
        <w:t xml:space="preserve">报告期内，公司董事会提名委员会召开了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次会议，审议并通过了《关于聘任张剑先生为公司副总经理的议案》、《关 于提名公司董事候选人的议案》等。</w:t>
      </w:r>
    </w:p>
    <w:p>
      <w:pPr>
        <w:pStyle w:val="Style20"/>
        <w:keepNext/>
        <w:keepLines/>
        <w:widowControl w:val="0"/>
        <w:shd w:val="clear" w:color="auto" w:fill="auto"/>
        <w:tabs>
          <w:tab w:pos="580" w:val="left"/>
        </w:tabs>
        <w:bidi w:val="0"/>
        <w:spacing w:before="0" w:after="28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七</w:t>
      </w:r>
      <w:bookmarkEnd w:id="596"/>
      <w:r>
        <w:rPr>
          <w:color w:val="000000"/>
          <w:spacing w:val="0"/>
          <w:w w:val="100"/>
          <w:position w:val="0"/>
          <w:sz w:val="24"/>
          <w:szCs w:val="24"/>
        </w:rPr>
        <w:t>、</w:t>
        <w:tab/>
        <w:t>监事会工作情况</w:t>
      </w:r>
      <w:bookmarkEnd w:id="594"/>
      <w:bookmarkEnd w:id="595"/>
      <w:bookmarkEnd w:id="597"/>
    </w:p>
    <w:p>
      <w:pPr>
        <w:pStyle w:val="Style2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40" w:line="315" w:lineRule="exact"/>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tabs>
          <w:tab w:pos="517" w:val="left"/>
        </w:tabs>
        <w:bidi w:val="0"/>
        <w:spacing w:before="0" w:after="26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八</w:t>
      </w:r>
      <w:bookmarkEnd w:id="600"/>
      <w:r>
        <w:rPr>
          <w:color w:val="000000"/>
          <w:spacing w:val="0"/>
          <w:w w:val="100"/>
          <w:position w:val="0"/>
          <w:sz w:val="24"/>
          <w:szCs w:val="24"/>
        </w:rPr>
        <w:t>、</w:t>
        <w:tab/>
        <w:t>高级管理人员的考评及激励情况</w:t>
      </w:r>
      <w:bookmarkEnd w:id="598"/>
      <w:bookmarkEnd w:id="599"/>
      <w:bookmarkEnd w:id="601"/>
    </w:p>
    <w:p>
      <w:pPr>
        <w:pStyle w:val="Style24"/>
        <w:keepNext w:val="0"/>
        <w:keepLines w:val="0"/>
        <w:widowControl w:val="0"/>
        <w:shd w:val="clear" w:color="auto" w:fill="auto"/>
        <w:bidi w:val="0"/>
        <w:spacing w:before="0" w:after="340" w:line="315" w:lineRule="exact"/>
        <w:ind w:left="0" w:right="0" w:firstLine="380"/>
        <w:jc w:val="both"/>
      </w:pPr>
      <w:r>
        <w:rPr>
          <w:color w:val="000000"/>
          <w:spacing w:val="0"/>
          <w:w w:val="100"/>
          <w:position w:val="0"/>
        </w:rPr>
        <w:t>公司建立了公正、有效的高级管理人员的绩效评价标准和激励约束机制。报告期内，公司董事会和薪酬与考核委员会按 照公司《董事会薪酬与考核委员会实施细则》的规定及要求，按年度对公司高级管理人员的业绩和履职情况进行考评。报告 期内，公司董事会依据公司年度经营业绩状况，高级管理人员的岗位职责和年度工作目标完成情况，经过综合考评，根据考 评结果拟定高级管理人员的薪酬绩效初步方案并提请审议批准，促进了高级管理人员良好地履行职责。</w:t>
      </w:r>
    </w:p>
    <w:p>
      <w:pPr>
        <w:pStyle w:val="Style20"/>
        <w:keepNext/>
        <w:keepLines/>
        <w:widowControl w:val="0"/>
        <w:shd w:val="clear" w:color="auto" w:fill="auto"/>
        <w:tabs>
          <w:tab w:pos="517" w:val="left"/>
        </w:tabs>
        <w:bidi w:val="0"/>
        <w:spacing w:before="0" w:after="340" w:line="240" w:lineRule="auto"/>
        <w:ind w:left="0" w:right="0" w:firstLine="0"/>
        <w:jc w:val="both"/>
      </w:pPr>
      <w:bookmarkStart w:id="602" w:name="bookmark602"/>
      <w:bookmarkStart w:id="603" w:name="bookmark603"/>
      <w:bookmarkStart w:id="604" w:name="bookmark604"/>
      <w:bookmarkStart w:id="605" w:name="bookmark605"/>
      <w:r>
        <w:rPr>
          <w:color w:val="000000"/>
          <w:spacing w:val="0"/>
          <w:w w:val="100"/>
          <w:position w:val="0"/>
          <w:sz w:val="24"/>
          <w:szCs w:val="24"/>
        </w:rPr>
        <w:t>九</w:t>
      </w:r>
      <w:bookmarkEnd w:id="604"/>
      <w:r>
        <w:rPr>
          <w:color w:val="000000"/>
          <w:spacing w:val="0"/>
          <w:w w:val="100"/>
          <w:position w:val="0"/>
          <w:sz w:val="24"/>
          <w:szCs w:val="24"/>
        </w:rPr>
        <w:t>、</w:t>
        <w:tab/>
        <w:t>内部控制评价报告</w:t>
      </w:r>
      <w:bookmarkEnd w:id="602"/>
      <w:bookmarkEnd w:id="603"/>
      <w:bookmarkEnd w:id="605"/>
    </w:p>
    <w:p>
      <w:pPr>
        <w:pStyle w:val="Style30"/>
        <w:keepNext/>
        <w:keepLines/>
        <w:widowControl w:val="0"/>
        <w:shd w:val="clear" w:color="auto" w:fill="auto"/>
        <w:bidi w:val="0"/>
        <w:spacing w:before="0" w:after="260" w:line="240" w:lineRule="auto"/>
        <w:ind w:left="0" w:right="0" w:firstLine="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color w:val="000000"/>
          <w:spacing w:val="0"/>
          <w:w w:val="100"/>
          <w:position w:val="0"/>
        </w:rPr>
        <w:t>、报告期内发现的内部控制重大缺陷的具体情况</w:t>
      </w:r>
      <w:bookmarkEnd w:id="606"/>
      <w:bookmarkEnd w:id="607"/>
      <w:bookmarkEnd w:id="609"/>
    </w:p>
    <w:p>
      <w:pPr>
        <w:pStyle w:val="Style24"/>
        <w:keepNext w:val="0"/>
        <w:keepLines w:val="0"/>
        <w:widowControl w:val="0"/>
        <w:shd w:val="clear" w:color="auto" w:fill="auto"/>
        <w:bidi w:val="0"/>
        <w:spacing w:before="0" w:after="340" w:line="315"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40" w:line="240" w:lineRule="auto"/>
        <w:ind w:left="0" w:right="0" w:firstLine="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、内控自我评价报告</w:t>
      </w:r>
      <w:bookmarkEnd w:id="610"/>
      <w:bookmarkEnd w:id="611"/>
      <w:bookmarkEnd w:id="613"/>
    </w:p>
    <w:tbl>
      <w:tblPr>
        <w:tblOverlap w:val="never"/>
        <w:jc w:val="center"/>
        <w:tblLayout w:type="fixed"/>
      </w:tblPr>
      <w:tblGrid>
        <w:gridCol w:w="2712"/>
        <w:gridCol w:w="490"/>
        <w:gridCol w:w="2909"/>
        <w:gridCol w:w="3480"/>
      </w:tblGrid>
      <w:tr>
        <w:trPr>
          <w:trHeight w:val="4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年内部控制自我评价报告》，巨潮资讯 网（</w:t>
            </w:r>
            <w:r>
              <w:rPr>
                <w:rFonts w:ascii="Times New Roman" w:eastAsia="Times New Roman" w:hAnsi="Times New Roman" w:cs="Times New Roman"/>
                <w:color w:val="000000"/>
                <w:spacing w:val="0"/>
                <w:w w:val="100"/>
                <w:position w:val="0"/>
                <w:sz w:val="18"/>
                <w:szCs w:val="18"/>
              </w:rPr>
              <w:t xml:space="preserve">http: //www. cninfo. </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714" w:val="left"/>
              </w:tabs>
              <w:bidi w:val="0"/>
              <w:spacing w:before="0" w:after="0" w:line="311" w:lineRule="exact"/>
              <w:ind w:left="0" w:right="0" w:firstLine="0"/>
              <w:jc w:val="both"/>
            </w:pPr>
            <w:r>
              <w:rPr>
                <w:color w:val="000000"/>
                <w:spacing w:val="0"/>
                <w:w w:val="100"/>
                <w:position w:val="0"/>
              </w:rPr>
              <w:t>出现以下情形的（包括但不限于），一般应 认定为财务报告内部控制重大缺陷：（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 现董事、监事和高级管理人员重大舞弊；（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发现当期财务报表存在重大错报，而内部控 制在运行过程中未能发现该错报；（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 审计委员会和内部审计机构对内部控制的 监督无效；（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）风险 评估职能无效；（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一经发现并报告给管</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理层的重大缺陷在合理的时间后未加以改 正；（</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）因会计差错导致的监管机构处罚。 出现以下情形的（包括但不限于），被认定 为''重要缺陷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，以及存在''重大缺陷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的强烈 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）未按照会计准则选择和应用会计 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）关键岗位人员舞弊；（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）合规性 监管职能失效，违反法规的行为可能对财务 报告的可靠性产生重大影响；（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）已向管理 层汇报但经过合理期限后，管理层仍然没有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非财务报告缺陷认定主要以缺陷对业务流 程有效性的影响程度、发生的可能性作判 定。如果缺陷发生的可能性较小，会降低工 作效率或效果、或加大效果的不确定性、或 使之偏离预期目标为一般缺陷；如果缺陷发 生的可能性较高，会显著降低工作效率或效 果、或显著加大效果的不确定性、或使之显 著偏离预期目标为重要缺陷；如果缺陷发生 的可能性高，会严重降低工作效率或效果、 或严重加大效果的不确定性、或使之严重偏 离预期目标为重大缺陷。在评价中参考法 规、运营、声誉、安全、环境方面的标准， 同时，以下迹象通常表明非财务报告内部控 制可能存在重大缺陷：（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）对于''三重一大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事项，缺乏集体决策程序；（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）决策程序不 科学，如决策失误，导致并购不成功；（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违反国家法律、法规，如环境污染；（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）管</w:t>
            </w:r>
          </w:p>
        </w:tc>
      </w:tr>
    </w:tbl>
    <w:p>
      <w:pPr>
        <w:spacing w:lineRule="exact" w:line="1"/>
        <w:rPr>
          <w:sz w:val="2"/>
          <w:szCs w:val="2"/>
        </w:rPr>
      </w:pPr>
      <w:r>
        <w:br w:type="page"/>
      </w:r>
    </w:p>
    <w:tbl>
      <w:tblPr>
        <w:tblOverlap w:val="never"/>
        <w:jc w:val="center"/>
        <w:tblLayout w:type="fixed"/>
      </w:tblPr>
      <w:tblGrid>
        <w:gridCol w:w="2712"/>
        <w:gridCol w:w="3398"/>
        <w:gridCol w:w="3480"/>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对重要缺陷进行纠正。一般缺陷是指除上述 重大缺陷、重要缺陷之外的其他控制缺陷。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理人员或技术人员纷纷流失；（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）媒体负面 新闻频现；（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）内部控制评价的结果特别是 重大或重要缺陷未得到整改；（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）重要业务 缺乏制度控制或制度系统性失效。</w:t>
            </w:r>
          </w:p>
        </w:tc>
      </w:tr>
      <w:tr>
        <w:trPr>
          <w:trHeight w:val="478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定量标准以营业收入、资产总额作为衡量指 标。内部控制缺陷可能导致或导致的损失与 利润表相关的，以营业收入指标衡量。如果 该缺陷单独或连同其他缺陷可能导致的财 务报告错报金额小于营业收入的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 定为一般缺陷；如果超过营业收入的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 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,则为重要缺陷；如果超过营业收 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,则认定为重大缺陷。内部控制缺 陷可能导致或导致的损失与资产管理相关 的，以资产总额指标衡量。如果该缺陷单独 或连同其他缺陷可能导致的财务报告错报 金额小于资产总额的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 陷；如果超过资产总额的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认 定为重要缺陷；如果超过资产总额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定量标准以营业收入、资产总额作为衡量指 标。内部控制缺陷可能导致或导致的损失与 利润报表相关的，以营业收入指标衡量。如 果该缺陷单独或连同其他缺陷可能导致的 财务报告错报金额小于营业收入的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 认定为一般缺陷；如果超过营业收入的</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认定为重要缺陷；如果超过营业 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,则认定为重大缺陷。内部控制 缺陷可能导致或导致的损失与资产管理相 关的，以资产总额指标衡量。如果该缺陷单 独或连同其他缺陷可能导致的财务报告错 报金额小于资产总额的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 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则认定为重要缺陷；如果超过资产总额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，则认定为重大缺陷。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left"/>
      </w:pPr>
      <w:bookmarkStart w:id="614" w:name="bookmark614"/>
      <w:bookmarkStart w:id="615" w:name="bookmark615"/>
      <w:bookmarkStart w:id="616" w:name="bookmark616"/>
      <w:r>
        <w:rPr>
          <w:color w:val="000000"/>
          <w:spacing w:val="0"/>
          <w:w w:val="100"/>
          <w:position w:val="0"/>
          <w:sz w:val="24"/>
          <w:szCs w:val="24"/>
        </w:rPr>
        <w:t>十、内部控制审计报告或鉴证报告</w:t>
      </w:r>
      <w:bookmarkEnd w:id="614"/>
      <w:bookmarkEnd w:id="615"/>
      <w:bookmarkEnd w:id="616"/>
    </w:p>
    <w:p>
      <w:pPr>
        <w:pStyle w:val="Style22"/>
        <w:keepNext w:val="0"/>
        <w:keepLines w:val="0"/>
        <w:widowControl w:val="0"/>
        <w:shd w:val="clear" w:color="auto" w:fill="auto"/>
        <w:bidi w:val="0"/>
        <w:spacing w:before="0" w:after="0" w:line="240" w:lineRule="auto"/>
        <w:ind w:left="14" w:right="0" w:firstLine="0"/>
        <w:jc w:val="left"/>
      </w:pPr>
      <w:r>
        <w:rPr>
          <w:color w:val="000000"/>
          <w:spacing w:val="0"/>
          <w:w w:val="100"/>
          <w:position w:val="0"/>
        </w:rPr>
        <w:t>内部控制鉴证报告</w:t>
      </w:r>
    </w:p>
    <w:tbl>
      <w:tblPr>
        <w:tblOverlap w:val="never"/>
        <w:jc w:val="center"/>
        <w:tblLayout w:type="fixed"/>
      </w:tblPr>
      <w:tblGrid>
        <w:gridCol w:w="2674"/>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2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我们认为，卫士通公司于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 务报告内部控制。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年度内部控制鉴证报告》，巨潮资讯网（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1"/>
        <w:keepNext/>
        <w:keepLines/>
        <w:widowControl w:val="0"/>
        <w:shd w:val="clear" w:color="auto" w:fill="auto"/>
        <w:bidi w:val="0"/>
        <w:spacing w:before="0" w:after="600" w:line="240" w:lineRule="auto"/>
        <w:ind w:left="0" w:right="0" w:firstLine="0"/>
        <w:jc w:val="center"/>
      </w:pPr>
      <w:bookmarkStart w:id="617" w:name="bookmark617"/>
      <w:bookmarkStart w:id="618" w:name="bookmark618"/>
      <w:bookmarkStart w:id="619" w:name="bookmark619"/>
      <w:r>
        <w:rPr>
          <w:color w:val="000000"/>
          <w:spacing w:val="0"/>
          <w:w w:val="100"/>
          <w:position w:val="0"/>
        </w:rPr>
        <w:t>第十一节公司债券相关情况</w:t>
      </w:r>
      <w:bookmarkEnd w:id="617"/>
      <w:bookmarkEnd w:id="618"/>
      <w:bookmarkEnd w:id="619"/>
    </w:p>
    <w:p>
      <w:pPr>
        <w:pStyle w:val="Style24"/>
        <w:keepNext w:val="0"/>
        <w:keepLines w:val="0"/>
        <w:widowControl w:val="0"/>
        <w:shd w:val="clear" w:color="auto" w:fill="auto"/>
        <w:bidi w:val="0"/>
        <w:spacing w:before="0" w:after="140" w:line="240" w:lineRule="auto"/>
        <w:ind w:left="0" w:right="0" w:firstLine="0"/>
        <w:jc w:val="left"/>
      </w:pPr>
      <w:bookmarkStart w:id="620" w:name="bookmark620"/>
      <w:r>
        <w:rPr>
          <w:color w:val="000000"/>
          <w:spacing w:val="0"/>
          <w:w w:val="100"/>
          <w:position w:val="0"/>
        </w:rPr>
        <w:t>公司是否存在公开发行并在证券交易所上市，且在年度报告批准报出日未到期或到期未能全额兑付的公司债券</w:t>
      </w:r>
      <w:bookmarkEnd w:id="620"/>
    </w:p>
    <w:p>
      <w:pPr>
        <w:pStyle w:val="Style2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66" w:right="1064" w:bottom="1428" w:left="1059"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560" w:after="520" w:line="240" w:lineRule="auto"/>
        <w:ind w:left="0" w:right="0" w:firstLine="0"/>
        <w:jc w:val="center"/>
      </w:pPr>
      <w:bookmarkStart w:id="621" w:name="bookmark621"/>
      <w:bookmarkStart w:id="622" w:name="bookmark622"/>
      <w:bookmarkStart w:id="623" w:name="bookmark623"/>
      <w:r>
        <w:rPr>
          <w:color w:val="000000"/>
          <w:spacing w:val="0"/>
          <w:w w:val="100"/>
          <w:position w:val="0"/>
        </w:rPr>
        <w:t>第十二节财务报告</w:t>
      </w:r>
      <w:bookmarkEnd w:id="621"/>
      <w:bookmarkEnd w:id="622"/>
      <w:bookmarkEnd w:id="623"/>
    </w:p>
    <w:p>
      <w:pPr>
        <w:pStyle w:val="Style20"/>
        <w:keepNext/>
        <w:keepLines/>
        <w:widowControl w:val="0"/>
        <w:shd w:val="clear" w:color="auto" w:fill="auto"/>
        <w:bidi w:val="0"/>
        <w:spacing w:before="0" w:after="300" w:line="240" w:lineRule="auto"/>
        <w:ind w:left="0" w:right="0" w:firstLine="260"/>
        <w:jc w:val="left"/>
      </w:pPr>
      <w:bookmarkStart w:id="624" w:name="bookmark624"/>
      <w:bookmarkStart w:id="625" w:name="bookmark625"/>
      <w:bookmarkStart w:id="626" w:name="bookmark626"/>
      <w:bookmarkStart w:id="627" w:name="bookmark627"/>
      <w:r>
        <w:rPr>
          <w:color w:val="000000"/>
          <w:spacing w:val="0"/>
          <w:w w:val="100"/>
          <w:position w:val="0"/>
          <w:sz w:val="24"/>
          <w:szCs w:val="24"/>
        </w:rPr>
        <w:t>、审计报告</w:t>
      </w:r>
      <w:bookmarkEnd w:id="625"/>
      <w:bookmarkEnd w:id="626"/>
      <w:bookmarkEnd w:id="627"/>
      <w:bookmarkEnd w:id="624"/>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[2021]004409</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钟平修、曹云华</w:t>
            </w:r>
          </w:p>
        </w:tc>
      </w:tr>
    </w:tbl>
    <w:p>
      <w:pPr>
        <w:pStyle w:val="Style2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4"/>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成都卫士通信息产业股份有限公司全体股东：</w:t>
      </w:r>
    </w:p>
    <w:p>
      <w:pPr>
        <w:pStyle w:val="Style24"/>
        <w:keepNext w:val="0"/>
        <w:keepLines w:val="0"/>
        <w:widowControl w:val="0"/>
        <w:shd w:val="clear" w:color="auto" w:fill="auto"/>
        <w:tabs>
          <w:tab w:pos="800" w:val="left"/>
        </w:tabs>
        <w:bidi w:val="0"/>
        <w:spacing w:before="0" w:after="0" w:line="313" w:lineRule="exact"/>
        <w:ind w:left="0" w:right="0"/>
        <w:jc w:val="left"/>
      </w:pPr>
      <w:bookmarkStart w:id="628" w:name="bookmark628"/>
      <w:r>
        <w:rPr>
          <w:b/>
          <w:bCs/>
          <w:color w:val="000000"/>
          <w:spacing w:val="0"/>
          <w:w w:val="100"/>
          <w:position w:val="0"/>
        </w:rPr>
        <w:t>一</w:t>
      </w:r>
      <w:bookmarkEnd w:id="628"/>
      <w:r>
        <w:rPr>
          <w:b/>
          <w:bCs/>
          <w:color w:val="000000"/>
          <w:spacing w:val="0"/>
          <w:w w:val="100"/>
          <w:position w:val="0"/>
        </w:rPr>
        <w:t>、</w:t>
        <w:tab/>
        <w:t>审计意见</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我们审计了成都卫士通信息产业股份有限公司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卫士通公司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 关财务报表附注。</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我们认为，后附的财务报表在所有重大方面按照企业会计准则的规定编制，公允反映了贵公司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4"/>
        <w:keepNext w:val="0"/>
        <w:keepLines w:val="0"/>
        <w:widowControl w:val="0"/>
        <w:shd w:val="clear" w:color="auto" w:fill="auto"/>
        <w:tabs>
          <w:tab w:pos="820" w:val="left"/>
        </w:tabs>
        <w:bidi w:val="0"/>
        <w:spacing w:before="0" w:after="0" w:line="313" w:lineRule="exact"/>
        <w:ind w:left="0" w:right="0" w:firstLine="380"/>
        <w:jc w:val="both"/>
      </w:pPr>
      <w:bookmarkStart w:id="629" w:name="bookmark629"/>
      <w:r>
        <w:rPr>
          <w:b/>
          <w:bCs/>
          <w:color w:val="000000"/>
          <w:spacing w:val="0"/>
          <w:w w:val="100"/>
          <w:position w:val="0"/>
        </w:rPr>
        <w:t>二</w:t>
      </w:r>
      <w:bookmarkEnd w:id="629"/>
      <w:r>
        <w:rPr>
          <w:b/>
          <w:bCs/>
          <w:color w:val="000000"/>
          <w:spacing w:val="0"/>
          <w:w w:val="100"/>
          <w:position w:val="0"/>
        </w:rPr>
        <w:t>、</w:t>
        <w:tab/>
        <w:t>形成审计意见的基础</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阐述了我们在这些准则下的责任。按照中国注册会计师职业道德守则，我们独立于贵公司，并履行了职业道德方面的其他责 任。我们相信，我们获取的审计证据是充分、适当的，为发表审计意见提供了基础。</w:t>
      </w:r>
    </w:p>
    <w:p>
      <w:pPr>
        <w:pStyle w:val="Style24"/>
        <w:keepNext w:val="0"/>
        <w:keepLines w:val="0"/>
        <w:widowControl w:val="0"/>
        <w:shd w:val="clear" w:color="auto" w:fill="auto"/>
        <w:tabs>
          <w:tab w:pos="800" w:val="left"/>
        </w:tabs>
        <w:bidi w:val="0"/>
        <w:spacing w:before="0" w:after="0" w:line="313" w:lineRule="exact"/>
        <w:ind w:left="0" w:right="0"/>
        <w:jc w:val="left"/>
      </w:pPr>
      <w:bookmarkStart w:id="630" w:name="bookmark630"/>
      <w:r>
        <w:rPr>
          <w:b/>
          <w:bCs/>
          <w:color w:val="000000"/>
          <w:spacing w:val="0"/>
          <w:w w:val="100"/>
          <w:position w:val="0"/>
        </w:rPr>
        <w:t>三</w:t>
      </w:r>
      <w:bookmarkEnd w:id="630"/>
      <w:r>
        <w:rPr>
          <w:b/>
          <w:bCs/>
          <w:color w:val="000000"/>
          <w:spacing w:val="0"/>
          <w:w w:val="100"/>
          <w:position w:val="0"/>
        </w:rPr>
        <w:t>、</w:t>
        <w:tab/>
        <w:t>强调事项</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贵公司全资子公司中电科（北京）网络信息安全有限公司（以下简称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北京网安</w:t>
      </w:r>
      <w:r>
        <w:rPr>
          <w:color w:val="000000"/>
          <w:spacing w:val="0"/>
          <w:w w:val="100"/>
          <w:position w:val="0"/>
        </w:rPr>
        <w:t>''）</w:t>
      </w:r>
      <w:r>
        <w:rPr>
          <w:color w:val="000000"/>
          <w:spacing w:val="0"/>
          <w:w w:val="100"/>
          <w:position w:val="0"/>
        </w:rPr>
        <w:t>向北京金丰科华房地产开发有限公司 购买位于北京市丰台区花乡四合庄</w:t>
      </w:r>
      <w:r>
        <w:rPr>
          <w:rFonts w:ascii="Times New Roman" w:eastAsia="Times New Roman" w:hAnsi="Times New Roman" w:cs="Times New Roman"/>
          <w:color w:val="000000"/>
          <w:spacing w:val="0"/>
          <w:w w:val="100"/>
          <w:position w:val="0"/>
          <w:sz w:val="18"/>
          <w:szCs w:val="18"/>
        </w:rPr>
        <w:t>1516-15</w:t>
      </w:r>
      <w:r>
        <w:rPr>
          <w:color w:val="000000"/>
          <w:spacing w:val="0"/>
          <w:w w:val="100"/>
          <w:position w:val="0"/>
        </w:rPr>
        <w:t>地块上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办公商业楼由于涉诉被北京市第二中级人民法院查封，北京金丰科华房 地产开发有限公司破产清算已被北京市丰台区人民法院受理。截至审计报告日，相关案件尚未审结。上述资产列报于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r>
        <w:rPr>
          <w:rFonts w:ascii="Times New Roman" w:eastAsia="Times New Roman" w:hAnsi="Times New Roman" w:cs="Times New Roman"/>
          <w:color w:val="000000"/>
          <w:spacing w:val="0"/>
          <w:w w:val="100"/>
          <w:position w:val="0"/>
          <w:sz w:val="18"/>
          <w:szCs w:val="18"/>
        </w:rPr>
        <w:t>116,309.74</w:t>
      </w:r>
      <w:r>
        <w:rPr>
          <w:color w:val="000000"/>
          <w:spacing w:val="0"/>
          <w:w w:val="100"/>
          <w:position w:val="0"/>
        </w:rPr>
        <w:t>万元。</w:t>
      </w:r>
    </w:p>
    <w:p>
      <w:pPr>
        <w:pStyle w:val="Style24"/>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我们提醒财务报表使用者关注，财务报表附注十三（二）描述了北京网安涉诉房产详细情况及最新进展情况。本段内容 不影响已发表的审计意见。</w:t>
      </w:r>
    </w:p>
    <w:p>
      <w:pPr>
        <w:pStyle w:val="Style24"/>
        <w:keepNext w:val="0"/>
        <w:keepLines w:val="0"/>
        <w:widowControl w:val="0"/>
        <w:shd w:val="clear" w:color="auto" w:fill="auto"/>
        <w:tabs>
          <w:tab w:pos="800" w:val="left"/>
        </w:tabs>
        <w:bidi w:val="0"/>
        <w:spacing w:before="0" w:after="0" w:line="313" w:lineRule="exact"/>
        <w:ind w:left="0" w:right="0"/>
        <w:jc w:val="left"/>
      </w:pPr>
      <w:bookmarkStart w:id="631" w:name="bookmark631"/>
      <w:r>
        <w:rPr>
          <w:b/>
          <w:bCs/>
          <w:color w:val="000000"/>
          <w:spacing w:val="0"/>
          <w:w w:val="100"/>
          <w:position w:val="0"/>
        </w:rPr>
        <w:t>四</w:t>
      </w:r>
      <w:bookmarkEnd w:id="631"/>
      <w:r>
        <w:rPr>
          <w:b/>
          <w:bCs/>
          <w:color w:val="000000"/>
          <w:spacing w:val="0"/>
          <w:w w:val="100"/>
          <w:position w:val="0"/>
        </w:rPr>
        <w:t>、</w:t>
        <w:tab/>
        <w:t>关键审计事项</w:t>
      </w:r>
    </w:p>
    <w:p>
      <w:pPr>
        <w:pStyle w:val="Style24"/>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4"/>
        <w:keepNext w:val="0"/>
        <w:keepLines w:val="0"/>
        <w:widowControl w:val="0"/>
        <w:shd w:val="clear" w:color="auto" w:fill="auto"/>
        <w:bidi w:val="0"/>
        <w:spacing w:before="0" w:after="120" w:line="313" w:lineRule="exact"/>
        <w:ind w:left="0" w:right="0" w:firstLine="380"/>
        <w:jc w:val="left"/>
      </w:pPr>
      <w:r>
        <w:rPr>
          <w:color w:val="000000"/>
          <w:spacing w:val="0"/>
          <w:w w:val="100"/>
          <w:position w:val="0"/>
        </w:rPr>
        <w:t>我们确定下列事项是需要在审计报告中沟通的关键审计事项：</w:t>
      </w:r>
    </w:p>
    <w:p>
      <w:pPr>
        <w:pStyle w:val="Style24"/>
        <w:keepNext w:val="0"/>
        <w:keepLines w:val="0"/>
        <w:widowControl w:val="0"/>
        <w:shd w:val="clear" w:color="auto" w:fill="auto"/>
        <w:tabs>
          <w:tab w:pos="710" w:val="left"/>
        </w:tabs>
        <w:bidi w:val="0"/>
        <w:spacing w:before="0" w:after="0" w:line="360" w:lineRule="auto"/>
        <w:ind w:left="0" w:right="0" w:firstLine="380"/>
        <w:jc w:val="left"/>
      </w:pPr>
      <w:bookmarkStart w:id="632" w:name="bookmark632"/>
      <w:r>
        <w:rPr>
          <w:rFonts w:ascii="Times New Roman" w:eastAsia="Times New Roman" w:hAnsi="Times New Roman" w:cs="Times New Roman"/>
          <w:color w:val="000000"/>
          <w:spacing w:val="0"/>
          <w:w w:val="100"/>
          <w:position w:val="0"/>
          <w:sz w:val="18"/>
          <w:szCs w:val="18"/>
        </w:rPr>
        <w:t>1</w:t>
      </w:r>
      <w:bookmarkEnd w:id="632"/>
      <w:r>
        <w:rPr>
          <w:color w:val="000000"/>
          <w:spacing w:val="0"/>
          <w:w w:val="100"/>
          <w:position w:val="0"/>
        </w:rPr>
        <w:t>、</w:t>
        <w:tab/>
        <w:t>收入的确认；</w:t>
      </w:r>
    </w:p>
    <w:p>
      <w:pPr>
        <w:pStyle w:val="Style24"/>
        <w:keepNext w:val="0"/>
        <w:keepLines w:val="0"/>
        <w:widowControl w:val="0"/>
        <w:shd w:val="clear" w:color="auto" w:fill="auto"/>
        <w:tabs>
          <w:tab w:pos="729" w:val="left"/>
        </w:tabs>
        <w:bidi w:val="0"/>
        <w:spacing w:before="0" w:after="0" w:line="360" w:lineRule="auto"/>
        <w:ind w:left="0" w:right="0" w:firstLine="380"/>
        <w:jc w:val="left"/>
      </w:pPr>
      <w:bookmarkStart w:id="633" w:name="bookmark633"/>
      <w:r>
        <w:rPr>
          <w:rFonts w:ascii="Times New Roman" w:eastAsia="Times New Roman" w:hAnsi="Times New Roman" w:cs="Times New Roman"/>
          <w:color w:val="000000"/>
          <w:spacing w:val="0"/>
          <w:w w:val="100"/>
          <w:position w:val="0"/>
          <w:sz w:val="18"/>
          <w:szCs w:val="18"/>
        </w:rPr>
        <w:t>2</w:t>
      </w:r>
      <w:bookmarkEnd w:id="633"/>
      <w:r>
        <w:rPr>
          <w:color w:val="000000"/>
          <w:spacing w:val="0"/>
          <w:w w:val="100"/>
          <w:position w:val="0"/>
        </w:rPr>
        <w:t>、</w:t>
        <w:tab/>
        <w:t>存货跌价准备计提。</w:t>
      </w:r>
    </w:p>
    <w:p>
      <w:pPr>
        <w:pStyle w:val="Style24"/>
        <w:keepNext w:val="0"/>
        <w:keepLines w:val="0"/>
        <w:widowControl w:val="0"/>
        <w:shd w:val="clear" w:color="auto" w:fill="auto"/>
        <w:bidi w:val="0"/>
        <w:spacing w:before="0" w:after="120" w:line="313" w:lineRule="exact"/>
        <w:ind w:left="0" w:right="0" w:firstLine="380"/>
        <w:jc w:val="left"/>
      </w:pPr>
      <w:r>
        <w:rPr>
          <w:color w:val="000000"/>
          <w:spacing w:val="0"/>
          <w:w w:val="100"/>
          <w:position w:val="0"/>
        </w:rPr>
        <w:t>（一）收入的确认</w:t>
      </w:r>
    </w:p>
    <w:p>
      <w:pPr>
        <w:pStyle w:val="Style24"/>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、事项描述</w:t>
      </w:r>
    </w:p>
    <w:p>
      <w:pPr>
        <w:pStyle w:val="Style24"/>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年度，卫士通公司营业收入为</w:t>
      </w:r>
      <w:r>
        <w:rPr>
          <w:rFonts w:ascii="Times New Roman" w:eastAsia="Times New Roman" w:hAnsi="Times New Roman" w:cs="Times New Roman"/>
          <w:color w:val="000000"/>
          <w:spacing w:val="0"/>
          <w:w w:val="100"/>
          <w:position w:val="0"/>
          <w:sz w:val="18"/>
          <w:szCs w:val="18"/>
        </w:rPr>
        <w:t>238,370.49</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年度营业收入同比增长</w:t>
      </w:r>
      <w:r>
        <w:rPr>
          <w:rFonts w:ascii="Times New Roman" w:eastAsia="Times New Roman" w:hAnsi="Times New Roman" w:cs="Times New Roman"/>
          <w:color w:val="000000"/>
          <w:spacing w:val="0"/>
          <w:w w:val="100"/>
          <w:position w:val="0"/>
          <w:sz w:val="18"/>
          <w:szCs w:val="18"/>
        </w:rPr>
        <w:t>13.31%</w:t>
      </w:r>
      <w:r>
        <w:rPr>
          <w:color w:val="000000"/>
          <w:spacing w:val="0"/>
          <w:w w:val="100"/>
          <w:position w:val="0"/>
        </w:rPr>
        <w:t>。卫士通公司销售密码产品、 信息安全产品、安全信息产品等信息安全相关产品，在相关产品到达客户指定地点并得到客户签收后确认产品销售收入，同 时结转产品对应的成本。信息系统集成及信息技术服务收入在资产负债表日提供服务交易的结果能够可靠估计的，根据合同 履约进度确认合同收入。合同履约进度依据已完工作的测量确定。（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）销售商品收入的发生和完整，会对卫士通公司经营 </w:t>
      </w:r>
      <w:r>
        <w:rPr>
          <w:color w:val="000000"/>
          <w:spacing w:val="0"/>
          <w:w w:val="100"/>
          <w:position w:val="0"/>
        </w:rPr>
        <w:t>成果产生很大影响。(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)根据合同履约进度确认的收入涉及管理层的重大判断和估计，进而可能影响卫士通公司是否按照 合同履约进度在恰当的会计期间确认收入。因此，我们将收入的确认作为关键审计事项。</w:t>
      </w:r>
    </w:p>
    <w:p>
      <w:pPr>
        <w:pStyle w:val="Style24"/>
        <w:keepNext w:val="0"/>
        <w:keepLines w:val="0"/>
        <w:widowControl w:val="0"/>
        <w:shd w:val="clear" w:color="auto" w:fill="auto"/>
        <w:bidi w:val="0"/>
        <w:spacing w:before="0" w:after="100" w:line="316" w:lineRule="exact"/>
        <w:ind w:left="0" w:right="0"/>
        <w:jc w:val="left"/>
      </w:pPr>
      <w:r>
        <w:rPr>
          <w:color w:val="000000"/>
          <w:spacing w:val="0"/>
          <w:w w:val="100"/>
          <w:position w:val="0"/>
        </w:rPr>
        <w:t>关于收入确认的会计政策见附注四、(二十五)，关于收入的披露见附注六、注释</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、审计应对</w:t>
      </w:r>
    </w:p>
    <w:p>
      <w:pPr>
        <w:pStyle w:val="Style24"/>
        <w:keepNext w:val="0"/>
        <w:keepLines w:val="0"/>
        <w:widowControl w:val="0"/>
        <w:shd w:val="clear" w:color="auto" w:fill="auto"/>
        <w:bidi w:val="0"/>
        <w:spacing w:before="0" w:after="0" w:line="316" w:lineRule="exact"/>
        <w:ind w:left="0" w:right="0"/>
        <w:jc w:val="left"/>
      </w:pPr>
      <w:r>
        <w:rPr>
          <w:color w:val="000000"/>
          <w:spacing w:val="0"/>
          <w:w w:val="100"/>
          <w:position w:val="0"/>
        </w:rPr>
        <w:t>我们对于收入确认所实施的重要审计程序包括：</w:t>
      </w:r>
    </w:p>
    <w:p>
      <w:pPr>
        <w:pStyle w:val="Style24"/>
        <w:keepNext w:val="0"/>
        <w:keepLines w:val="0"/>
        <w:widowControl w:val="0"/>
        <w:numPr>
          <w:ilvl w:val="0"/>
          <w:numId w:val="11"/>
        </w:numPr>
        <w:shd w:val="clear" w:color="auto" w:fill="auto"/>
        <w:tabs>
          <w:tab w:pos="680" w:val="left"/>
        </w:tabs>
        <w:bidi w:val="0"/>
        <w:spacing w:before="0" w:after="0" w:line="316" w:lineRule="exact"/>
        <w:ind w:left="0" w:right="0" w:firstLine="300"/>
        <w:jc w:val="both"/>
      </w:pPr>
      <w:bookmarkStart w:id="634" w:name="bookmark634"/>
      <w:bookmarkEnd w:id="634"/>
      <w:r>
        <w:rPr>
          <w:color w:val="000000"/>
          <w:spacing w:val="0"/>
          <w:w w:val="100"/>
          <w:position w:val="0"/>
        </w:rPr>
        <w:t>了解、评估了管理层对通信设备制造与软件开发产品销售收入以及提供信息系统集成及信息技术服务收入确认的内部 控制的设计，并测试了关键控制执行的有效性；</w:t>
      </w:r>
    </w:p>
    <w:p>
      <w:pPr>
        <w:pStyle w:val="Style24"/>
        <w:keepNext w:val="0"/>
        <w:keepLines w:val="0"/>
        <w:widowControl w:val="0"/>
        <w:numPr>
          <w:ilvl w:val="0"/>
          <w:numId w:val="11"/>
        </w:numPr>
        <w:shd w:val="clear" w:color="auto" w:fill="auto"/>
        <w:tabs>
          <w:tab w:pos="680" w:val="left"/>
        </w:tabs>
        <w:bidi w:val="0"/>
        <w:spacing w:before="0" w:after="0" w:line="316" w:lineRule="exact"/>
        <w:ind w:left="0" w:right="0" w:firstLine="300"/>
        <w:jc w:val="both"/>
      </w:pPr>
      <w:bookmarkStart w:id="635" w:name="bookmark635"/>
      <w:bookmarkEnd w:id="635"/>
      <w:r>
        <w:rPr>
          <w:color w:val="000000"/>
          <w:spacing w:val="0"/>
          <w:w w:val="100"/>
          <w:position w:val="0"/>
        </w:rPr>
        <w:t>通过检查业务合同及与管理层的访谈，对与收入确认有关的控制权转移时点进行了分析评估，进而评估卫士通公司收 入的确认政策；</w:t>
      </w:r>
    </w:p>
    <w:p>
      <w:pPr>
        <w:pStyle w:val="Style24"/>
        <w:keepNext w:val="0"/>
        <w:keepLines w:val="0"/>
        <w:widowControl w:val="0"/>
        <w:numPr>
          <w:ilvl w:val="0"/>
          <w:numId w:val="11"/>
        </w:numPr>
        <w:shd w:val="clear" w:color="auto" w:fill="auto"/>
        <w:tabs>
          <w:tab w:pos="697" w:val="left"/>
        </w:tabs>
        <w:bidi w:val="0"/>
        <w:spacing w:before="0" w:after="0" w:line="316" w:lineRule="exact"/>
        <w:ind w:left="0" w:right="0" w:firstLine="300"/>
        <w:jc w:val="both"/>
      </w:pPr>
      <w:bookmarkStart w:id="636" w:name="bookmark636"/>
      <w:bookmarkEnd w:id="636"/>
      <w:r>
        <w:rPr>
          <w:color w:val="000000"/>
          <w:spacing w:val="0"/>
          <w:w w:val="100"/>
          <w:position w:val="0"/>
        </w:rPr>
        <w:t>检查与收入确认相关的支持性文件，包括销售合同、订单、销售发票、客户签收单、回款情况等；</w:t>
      </w:r>
    </w:p>
    <w:p>
      <w:pPr>
        <w:pStyle w:val="Style24"/>
        <w:keepNext w:val="0"/>
        <w:keepLines w:val="0"/>
        <w:widowControl w:val="0"/>
        <w:numPr>
          <w:ilvl w:val="0"/>
          <w:numId w:val="11"/>
        </w:numPr>
        <w:shd w:val="clear" w:color="auto" w:fill="auto"/>
        <w:tabs>
          <w:tab w:pos="697" w:val="left"/>
        </w:tabs>
        <w:bidi w:val="0"/>
        <w:spacing w:before="0" w:after="0" w:line="316" w:lineRule="exact"/>
        <w:ind w:left="0" w:right="0" w:firstLine="300"/>
        <w:jc w:val="both"/>
      </w:pPr>
      <w:bookmarkStart w:id="637" w:name="bookmark637"/>
      <w:bookmarkEnd w:id="637"/>
      <w:r>
        <w:rPr>
          <w:color w:val="000000"/>
          <w:spacing w:val="0"/>
          <w:w w:val="100"/>
          <w:position w:val="0"/>
        </w:rPr>
        <w:t>针对资产负债表日前后确认的销售收入核对至客户签收单等支持性文件，以评估销售收入是否在恰当的期间确认；</w:t>
      </w:r>
    </w:p>
    <w:p>
      <w:pPr>
        <w:pStyle w:val="Style24"/>
        <w:keepNext w:val="0"/>
        <w:keepLines w:val="0"/>
        <w:widowControl w:val="0"/>
        <w:numPr>
          <w:ilvl w:val="0"/>
          <w:numId w:val="11"/>
        </w:numPr>
        <w:shd w:val="clear" w:color="auto" w:fill="auto"/>
        <w:tabs>
          <w:tab w:pos="697" w:val="left"/>
        </w:tabs>
        <w:bidi w:val="0"/>
        <w:spacing w:before="0" w:after="0" w:line="316" w:lineRule="exact"/>
        <w:ind w:left="0" w:right="0" w:firstLine="300"/>
        <w:jc w:val="both"/>
      </w:pPr>
      <w:bookmarkStart w:id="638" w:name="bookmark638"/>
      <w:bookmarkEnd w:id="638"/>
      <w:r>
        <w:rPr>
          <w:color w:val="000000"/>
          <w:spacing w:val="0"/>
          <w:w w:val="100"/>
          <w:position w:val="0"/>
        </w:rPr>
        <w:t>按照产品类别、施工项目对毛利率进行分析，与同行业进行比对，以评估毛利率水平的合理性；</w:t>
      </w:r>
    </w:p>
    <w:p>
      <w:pPr>
        <w:pStyle w:val="Style24"/>
        <w:keepNext w:val="0"/>
        <w:keepLines w:val="0"/>
        <w:widowControl w:val="0"/>
        <w:numPr>
          <w:ilvl w:val="0"/>
          <w:numId w:val="11"/>
        </w:numPr>
        <w:shd w:val="clear" w:color="auto" w:fill="auto"/>
        <w:tabs>
          <w:tab w:pos="697" w:val="left"/>
        </w:tabs>
        <w:bidi w:val="0"/>
        <w:spacing w:before="0" w:after="0" w:line="316" w:lineRule="exact"/>
        <w:ind w:left="0" w:right="0" w:firstLine="300"/>
        <w:jc w:val="both"/>
      </w:pPr>
      <w:bookmarkStart w:id="639" w:name="bookmark639"/>
      <w:bookmarkEnd w:id="639"/>
      <w:r>
        <w:rPr>
          <w:color w:val="000000"/>
          <w:spacing w:val="0"/>
          <w:w w:val="100"/>
          <w:position w:val="0"/>
        </w:rPr>
        <w:t>结合往来款检查对客户进行函证。</w:t>
      </w:r>
    </w:p>
    <w:p>
      <w:pPr>
        <w:pStyle w:val="Style24"/>
        <w:keepNext w:val="0"/>
        <w:keepLines w:val="0"/>
        <w:widowControl w:val="0"/>
        <w:shd w:val="clear" w:color="auto" w:fill="auto"/>
        <w:bidi w:val="0"/>
        <w:spacing w:before="0" w:after="0" w:line="316" w:lineRule="exact"/>
        <w:ind w:left="0" w:right="0" w:firstLine="300"/>
        <w:jc w:val="both"/>
      </w:pPr>
      <w:r>
        <w:rPr>
          <w:color w:val="000000"/>
          <w:spacing w:val="0"/>
          <w:w w:val="100"/>
          <w:position w:val="0"/>
        </w:rPr>
        <w:t>基于已执行的审计工作和获取的审计证据，我们认为，管理层对收入确认在财务报告中的列报与披露是适当的。</w:t>
      </w:r>
    </w:p>
    <w:p>
      <w:pPr>
        <w:pStyle w:val="Style24"/>
        <w:keepNext w:val="0"/>
        <w:keepLines w:val="0"/>
        <w:widowControl w:val="0"/>
        <w:shd w:val="clear" w:color="auto" w:fill="auto"/>
        <w:bidi w:val="0"/>
        <w:spacing w:before="0" w:after="100" w:line="316" w:lineRule="exact"/>
        <w:ind w:left="0" w:right="0" w:firstLine="300"/>
        <w:jc w:val="both"/>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存货跌价准备计提</w:t>
      </w:r>
    </w:p>
    <w:p>
      <w:pPr>
        <w:pStyle w:val="Style24"/>
        <w:keepNext w:val="0"/>
        <w:keepLines w:val="0"/>
        <w:widowControl w:val="0"/>
        <w:numPr>
          <w:ilvl w:val="0"/>
          <w:numId w:val="13"/>
        </w:numPr>
        <w:shd w:val="clear" w:color="auto" w:fill="auto"/>
        <w:tabs>
          <w:tab w:pos="596" w:val="left"/>
        </w:tabs>
        <w:bidi w:val="0"/>
        <w:spacing w:before="0" w:after="0" w:line="360" w:lineRule="auto"/>
        <w:ind w:left="0" w:right="0" w:firstLine="300"/>
        <w:jc w:val="both"/>
      </w:pPr>
      <w:bookmarkStart w:id="640" w:name="bookmark640"/>
      <w:bookmarkEnd w:id="640"/>
      <w:r>
        <w:rPr>
          <w:color w:val="000000"/>
          <w:spacing w:val="0"/>
          <w:w w:val="100"/>
          <w:position w:val="0"/>
        </w:rPr>
        <w:t>事项描述</w:t>
      </w:r>
    </w:p>
    <w:p>
      <w:pPr>
        <w:pStyle w:val="Style24"/>
        <w:keepNext w:val="0"/>
        <w:keepLines w:val="0"/>
        <w:widowControl w:val="0"/>
        <w:shd w:val="clear" w:color="auto" w:fill="auto"/>
        <w:bidi w:val="0"/>
        <w:spacing w:before="0" w:after="0" w:line="316" w:lineRule="exact"/>
        <w:ind w:left="0" w:right="0" w:firstLine="3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日，卫士通公司存货在合并财务报表账面余额</w:t>
      </w:r>
      <w:r>
        <w:rPr>
          <w:rFonts w:ascii="Times New Roman" w:eastAsia="Times New Roman" w:hAnsi="Times New Roman" w:cs="Times New Roman"/>
          <w:color w:val="000000"/>
          <w:spacing w:val="0"/>
          <w:w w:val="100"/>
          <w:position w:val="0"/>
          <w:sz w:val="18"/>
          <w:szCs w:val="18"/>
        </w:rPr>
        <w:t>50,526.65</w:t>
      </w:r>
      <w:r>
        <w:rPr>
          <w:color w:val="000000"/>
          <w:spacing w:val="0"/>
          <w:w w:val="100"/>
          <w:position w:val="0"/>
        </w:rPr>
        <w:t>万元，计提存货跌价准备</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,977.30</w:t>
      </w:r>
      <w:r>
        <w:rPr>
          <w:color w:val="000000"/>
          <w:spacing w:val="0"/>
          <w:w w:val="100"/>
          <w:position w:val="0"/>
        </w:rPr>
        <w:t>万元，存货 账面价值</w:t>
      </w:r>
      <w:r>
        <w:rPr>
          <w:rFonts w:ascii="Times New Roman" w:eastAsia="Times New Roman" w:hAnsi="Times New Roman" w:cs="Times New Roman"/>
          <w:color w:val="000000"/>
          <w:spacing w:val="0"/>
          <w:w w:val="100"/>
          <w:position w:val="0"/>
          <w:sz w:val="18"/>
          <w:szCs w:val="18"/>
        </w:rPr>
        <w:t>47,549.35</w:t>
      </w:r>
      <w:r>
        <w:rPr>
          <w:color w:val="000000"/>
          <w:spacing w:val="0"/>
          <w:w w:val="100"/>
          <w:position w:val="0"/>
        </w:rPr>
        <w:t>万元，占资产总额的</w:t>
      </w:r>
      <w:r>
        <w:rPr>
          <w:rFonts w:ascii="Times New Roman" w:eastAsia="Times New Roman" w:hAnsi="Times New Roman" w:cs="Times New Roman"/>
          <w:color w:val="000000"/>
          <w:spacing w:val="0"/>
          <w:w w:val="100"/>
          <w:position w:val="0"/>
          <w:sz w:val="18"/>
          <w:szCs w:val="18"/>
        </w:rPr>
        <w:t>7.34%</w:t>
      </w:r>
      <w:r>
        <w:rPr>
          <w:color w:val="000000"/>
          <w:spacing w:val="0"/>
          <w:w w:val="100"/>
          <w:position w:val="0"/>
        </w:rPr>
        <w:t>。如附注四、</w:t>
      </w:r>
      <w:r>
        <w:rPr>
          <w:color w:val="000000"/>
          <w:spacing w:val="0"/>
          <w:w w:val="100"/>
          <w:position w:val="0"/>
          <w:sz w:val="18"/>
          <w:szCs w:val="18"/>
        </w:rPr>
        <w:t>(</w:t>
      </w:r>
      <w:r>
        <w:rPr>
          <w:color w:val="000000"/>
          <w:spacing w:val="0"/>
          <w:w w:val="100"/>
          <w:position w:val="0"/>
        </w:rPr>
        <w:t>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所述，卫士通公司按照单个存货成本高于可变现净值的差 额计提存货跌价准备。存货的可变现净值的确定，要求管理层对存货的售价，至完工时将发生的成本、销售费用及相关税费 进行估计。因此，我们将存货跌价准备计提确定为关键审计事项。</w:t>
      </w:r>
    </w:p>
    <w:p>
      <w:pPr>
        <w:pStyle w:val="Style24"/>
        <w:keepNext w:val="0"/>
        <w:keepLines w:val="0"/>
        <w:widowControl w:val="0"/>
        <w:shd w:val="clear" w:color="auto" w:fill="auto"/>
        <w:bidi w:val="0"/>
        <w:spacing w:before="0" w:after="100" w:line="316" w:lineRule="exact"/>
        <w:ind w:left="0" w:right="0" w:firstLine="300"/>
        <w:jc w:val="both"/>
      </w:pPr>
      <w:r>
        <w:rPr>
          <w:color w:val="000000"/>
          <w:spacing w:val="0"/>
          <w:w w:val="100"/>
          <w:position w:val="0"/>
        </w:rPr>
        <w:t>关于存货跌价准备计提的披露见附注六、注释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4"/>
        <w:keepNext w:val="0"/>
        <w:keepLines w:val="0"/>
        <w:widowControl w:val="0"/>
        <w:numPr>
          <w:ilvl w:val="0"/>
          <w:numId w:val="13"/>
        </w:numPr>
        <w:shd w:val="clear" w:color="auto" w:fill="auto"/>
        <w:tabs>
          <w:tab w:pos="615" w:val="left"/>
        </w:tabs>
        <w:bidi w:val="0"/>
        <w:spacing w:before="0" w:after="0" w:line="360" w:lineRule="auto"/>
        <w:ind w:left="0" w:right="0" w:firstLine="300"/>
        <w:jc w:val="both"/>
      </w:pPr>
      <w:bookmarkStart w:id="641" w:name="bookmark641"/>
      <w:bookmarkEnd w:id="641"/>
      <w:r>
        <w:rPr>
          <w:color w:val="000000"/>
          <w:spacing w:val="0"/>
          <w:w w:val="100"/>
          <w:position w:val="0"/>
        </w:rPr>
        <w:t>审计应对</w:t>
      </w:r>
    </w:p>
    <w:p>
      <w:pPr>
        <w:pStyle w:val="Style24"/>
        <w:keepNext w:val="0"/>
        <w:keepLines w:val="0"/>
        <w:widowControl w:val="0"/>
        <w:shd w:val="clear" w:color="auto" w:fill="auto"/>
        <w:bidi w:val="0"/>
        <w:spacing w:before="0" w:after="0" w:line="316" w:lineRule="exact"/>
        <w:ind w:left="0" w:right="0" w:firstLine="300"/>
        <w:jc w:val="both"/>
      </w:pPr>
      <w:r>
        <w:rPr>
          <w:color w:val="000000"/>
          <w:spacing w:val="0"/>
          <w:w w:val="100"/>
          <w:position w:val="0"/>
        </w:rPr>
        <w:t>在审计存货跌价准备的过程中，我们的审计程序主要包括：</w:t>
      </w:r>
    </w:p>
    <w:p>
      <w:pPr>
        <w:pStyle w:val="Style24"/>
        <w:keepNext w:val="0"/>
        <w:keepLines w:val="0"/>
        <w:widowControl w:val="0"/>
        <w:shd w:val="clear" w:color="auto" w:fill="auto"/>
        <w:bidi w:val="0"/>
        <w:spacing w:before="0" w:after="0" w:line="316"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)对卫士通公司存货跌价准备相关内部控制的设计与执行进行了评估；</w:t>
      </w:r>
    </w:p>
    <w:p>
      <w:pPr>
        <w:pStyle w:val="Style24"/>
        <w:keepNext w:val="0"/>
        <w:keepLines w:val="0"/>
        <w:widowControl w:val="0"/>
        <w:numPr>
          <w:ilvl w:val="0"/>
          <w:numId w:val="15"/>
        </w:numPr>
        <w:shd w:val="clear" w:color="auto" w:fill="auto"/>
        <w:tabs>
          <w:tab w:pos="819" w:val="left"/>
        </w:tabs>
        <w:bidi w:val="0"/>
        <w:spacing w:before="0" w:after="0" w:line="316" w:lineRule="exact"/>
        <w:ind w:left="0" w:right="0" w:firstLine="300"/>
        <w:jc w:val="both"/>
      </w:pPr>
      <w:bookmarkStart w:id="642" w:name="bookmark642"/>
      <w:bookmarkEnd w:id="642"/>
      <w:r>
        <w:rPr>
          <w:color w:val="000000"/>
          <w:spacing w:val="0"/>
          <w:w w:val="100"/>
          <w:position w:val="0"/>
        </w:rPr>
        <w:t>获取并评价了管理层对于存货跌价准备的计提方法和相关假设，并考虑了卫士通公司的预期销售计划等因素对存 货跌价准备的可能影响；</w:t>
      </w:r>
    </w:p>
    <w:p>
      <w:pPr>
        <w:pStyle w:val="Style24"/>
        <w:keepNext w:val="0"/>
        <w:keepLines w:val="0"/>
        <w:widowControl w:val="0"/>
        <w:numPr>
          <w:ilvl w:val="0"/>
          <w:numId w:val="15"/>
        </w:numPr>
        <w:shd w:val="clear" w:color="auto" w:fill="auto"/>
        <w:tabs>
          <w:tab w:pos="735" w:val="left"/>
        </w:tabs>
        <w:bidi w:val="0"/>
        <w:spacing w:before="0" w:after="0" w:line="316" w:lineRule="exact"/>
        <w:ind w:left="0" w:right="0" w:firstLine="300"/>
        <w:jc w:val="both"/>
      </w:pPr>
      <w:bookmarkStart w:id="643" w:name="bookmark643"/>
      <w:bookmarkEnd w:id="643"/>
      <w:r>
        <w:rPr>
          <w:color w:val="000000"/>
          <w:spacing w:val="0"/>
          <w:w w:val="100"/>
          <w:position w:val="0"/>
        </w:rPr>
        <w:t>对存货盘点实施监盘，检查存货的数量、状况及产品有效期等；</w:t>
      </w:r>
    </w:p>
    <w:p>
      <w:pPr>
        <w:pStyle w:val="Style24"/>
        <w:keepNext w:val="0"/>
        <w:keepLines w:val="0"/>
        <w:widowControl w:val="0"/>
        <w:numPr>
          <w:ilvl w:val="0"/>
          <w:numId w:val="15"/>
        </w:numPr>
        <w:shd w:val="clear" w:color="auto" w:fill="auto"/>
        <w:tabs>
          <w:tab w:pos="810" w:val="left"/>
        </w:tabs>
        <w:bidi w:val="0"/>
        <w:spacing w:before="0" w:after="0" w:line="316" w:lineRule="exact"/>
        <w:ind w:left="0" w:right="0" w:firstLine="300"/>
        <w:jc w:val="both"/>
      </w:pPr>
      <w:bookmarkStart w:id="644" w:name="bookmark644"/>
      <w:bookmarkEnd w:id="644"/>
      <w:r>
        <w:rPr>
          <w:color w:val="000000"/>
          <w:spacing w:val="0"/>
          <w:w w:val="100"/>
          <w:position w:val="0"/>
        </w:rPr>
        <w:t>对存货周转天数以及存货库龄进行了审核并执行了分析性程序，判断是否存在较长库龄的存货导致存货减值的风 险；</w:t>
      </w:r>
    </w:p>
    <w:p>
      <w:pPr>
        <w:pStyle w:val="Style24"/>
        <w:keepNext w:val="0"/>
        <w:keepLines w:val="0"/>
        <w:widowControl w:val="0"/>
        <w:numPr>
          <w:ilvl w:val="0"/>
          <w:numId w:val="15"/>
        </w:numPr>
        <w:shd w:val="clear" w:color="auto" w:fill="auto"/>
        <w:tabs>
          <w:tab w:pos="735" w:val="left"/>
        </w:tabs>
        <w:bidi w:val="0"/>
        <w:spacing w:before="0" w:after="0" w:line="316" w:lineRule="exact"/>
        <w:ind w:left="0" w:right="0" w:firstLine="300"/>
        <w:jc w:val="both"/>
      </w:pPr>
      <w:bookmarkStart w:id="645" w:name="bookmark645"/>
      <w:bookmarkEnd w:id="645"/>
      <w:r>
        <w:rPr>
          <w:color w:val="000000"/>
          <w:spacing w:val="0"/>
          <w:w w:val="100"/>
          <w:position w:val="0"/>
        </w:rPr>
        <w:t>获取期末存货库龄清单，结合产品的有效期，对库龄较长的存货进行分析性复核，分析存货跌价准备是否合理；</w:t>
      </w:r>
    </w:p>
    <w:p>
      <w:pPr>
        <w:pStyle w:val="Style24"/>
        <w:keepNext w:val="0"/>
        <w:keepLines w:val="0"/>
        <w:widowControl w:val="0"/>
        <w:shd w:val="clear" w:color="auto" w:fill="auto"/>
        <w:bidi w:val="0"/>
        <w:spacing w:before="0" w:after="0" w:line="316"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)检查了存货跌价准备相关信息在财务报表中的列报和披露。</w:t>
      </w:r>
    </w:p>
    <w:p>
      <w:pPr>
        <w:pStyle w:val="Style24"/>
        <w:keepNext w:val="0"/>
        <w:keepLines w:val="0"/>
        <w:widowControl w:val="0"/>
        <w:shd w:val="clear" w:color="auto" w:fill="auto"/>
        <w:bidi w:val="0"/>
        <w:spacing w:before="0" w:after="0" w:line="316" w:lineRule="exact"/>
        <w:ind w:left="0" w:right="0" w:firstLine="300"/>
        <w:jc w:val="both"/>
      </w:pPr>
      <w:r>
        <w:rPr>
          <w:color w:val="000000"/>
          <w:spacing w:val="0"/>
          <w:w w:val="100"/>
          <w:position w:val="0"/>
        </w:rPr>
        <w:t>基于已执行的审计工作和获取的审计证据，我们认为，管理层对存货跌价准备计提在财务报告中的列报与披露是适当的。</w:t>
      </w:r>
    </w:p>
    <w:p>
      <w:pPr>
        <w:pStyle w:val="Style24"/>
        <w:keepNext w:val="0"/>
        <w:keepLines w:val="0"/>
        <w:widowControl w:val="0"/>
        <w:shd w:val="clear" w:color="auto" w:fill="auto"/>
        <w:tabs>
          <w:tab w:pos="800" w:val="left"/>
        </w:tabs>
        <w:bidi w:val="0"/>
        <w:spacing w:before="0" w:after="0" w:line="316" w:lineRule="exact"/>
        <w:ind w:left="0" w:right="0"/>
        <w:jc w:val="both"/>
      </w:pPr>
      <w:bookmarkStart w:id="646" w:name="bookmark646"/>
      <w:r>
        <w:rPr>
          <w:b/>
          <w:bCs/>
          <w:color w:val="000000"/>
          <w:spacing w:val="0"/>
          <w:w w:val="100"/>
          <w:position w:val="0"/>
        </w:rPr>
        <w:t>五</w:t>
      </w:r>
      <w:bookmarkEnd w:id="646"/>
      <w:r>
        <w:rPr>
          <w:b/>
          <w:bCs/>
          <w:color w:val="000000"/>
          <w:spacing w:val="0"/>
          <w:w w:val="100"/>
          <w:position w:val="0"/>
        </w:rPr>
        <w:t>、</w:t>
        <w:tab/>
        <w:t>其他信息</w:t>
      </w:r>
    </w:p>
    <w:p>
      <w:pPr>
        <w:pStyle w:val="Style2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贵公司管理层对其他信息负责。其他信息包括卫士通公司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 审计报告。</w:t>
      </w:r>
    </w:p>
    <w:p>
      <w:pPr>
        <w:pStyle w:val="Style2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结合我们对财务报表的审计，我们的责任是阅读其他信息，在此过程中，考虑其他信息是否与财务报表或我们在审计 过程中了解的情况存在重大不一致或者似乎存在重大错报。</w:t>
      </w:r>
    </w:p>
    <w:p>
      <w:pPr>
        <w:pStyle w:val="Style2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4"/>
        <w:keepNext w:val="0"/>
        <w:keepLines w:val="0"/>
        <w:widowControl w:val="0"/>
        <w:shd w:val="clear" w:color="auto" w:fill="auto"/>
        <w:tabs>
          <w:tab w:pos="800" w:val="left"/>
        </w:tabs>
        <w:bidi w:val="0"/>
        <w:spacing w:before="0" w:after="0" w:line="316" w:lineRule="exact"/>
        <w:ind w:left="0" w:right="0"/>
        <w:jc w:val="both"/>
      </w:pPr>
      <w:bookmarkStart w:id="647" w:name="bookmark647"/>
      <w:r>
        <w:rPr>
          <w:b/>
          <w:bCs/>
          <w:color w:val="000000"/>
          <w:spacing w:val="0"/>
          <w:w w:val="100"/>
          <w:position w:val="0"/>
        </w:rPr>
        <w:t>六</w:t>
      </w:r>
      <w:bookmarkEnd w:id="647"/>
      <w:r>
        <w:rPr>
          <w:b/>
          <w:bCs/>
          <w:color w:val="000000"/>
          <w:spacing w:val="0"/>
          <w:w w:val="100"/>
          <w:position w:val="0"/>
        </w:rPr>
        <w:t>、</w:t>
        <w:tab/>
        <w:t>管理层和治理层对财务报表的责任</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贵公司管理层负责按照企业会计准则的规定编制财务报表，使其实现公允反映，并设计、执行和维护必要的内部控制， 以使财务报表不存在由于舞弊或错误导致的重大错报。</w:t>
      </w:r>
    </w:p>
    <w:p>
      <w:pPr>
        <w:pStyle w:val="Style24"/>
        <w:keepNext w:val="0"/>
        <w:keepLines w:val="0"/>
        <w:widowControl w:val="0"/>
        <w:shd w:val="clear" w:color="auto" w:fill="auto"/>
        <w:bidi w:val="0"/>
        <w:spacing w:before="0" w:after="0" w:line="316" w:lineRule="exact"/>
        <w:ind w:left="0" w:right="0"/>
        <w:jc w:val="both"/>
      </w:pPr>
      <w:r>
        <w:rPr>
          <w:color w:val="000000"/>
          <w:spacing w:val="0"/>
          <w:w w:val="100"/>
          <w:position w:val="0"/>
        </w:rPr>
        <w:t>在编制财务报表时，贵公司管理层负责评估贵公司的持续经营能力，披露与持续经营相关的事项(如适用)，并运用持</w:t>
        <w:br w:type="page"/>
      </w:r>
      <w:r>
        <w:rPr>
          <w:color w:val="000000"/>
          <w:spacing w:val="0"/>
          <w:w w:val="100"/>
          <w:position w:val="0"/>
        </w:rPr>
        <w:t>续经营假设，除非管理层计划清算贵公司、终止运营或别无其他现实的选择。</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治理层负责监督贵公司的财务报告过程。</w:t>
      </w:r>
    </w:p>
    <w:p>
      <w:pPr>
        <w:pStyle w:val="Style24"/>
        <w:keepNext w:val="0"/>
        <w:keepLines w:val="0"/>
        <w:widowControl w:val="0"/>
        <w:shd w:val="clear" w:color="auto" w:fill="auto"/>
        <w:bidi w:val="0"/>
        <w:spacing w:before="0" w:after="0" w:line="315" w:lineRule="exact"/>
        <w:ind w:left="0" w:right="0"/>
        <w:jc w:val="both"/>
      </w:pPr>
      <w:bookmarkStart w:id="648" w:name="bookmark648"/>
      <w:r>
        <w:rPr>
          <w:b/>
          <w:bCs/>
          <w:color w:val="000000"/>
          <w:spacing w:val="0"/>
          <w:w w:val="100"/>
          <w:position w:val="0"/>
        </w:rPr>
        <w:t>七</w:t>
      </w:r>
      <w:bookmarkEnd w:id="648"/>
      <w:r>
        <w:rPr>
          <w:b/>
          <w:bCs/>
          <w:color w:val="000000"/>
          <w:spacing w:val="0"/>
          <w:w w:val="100"/>
          <w:position w:val="0"/>
        </w:rPr>
        <w:t>、注册会计师对财务报表审计的责任</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4"/>
        <w:keepNext w:val="0"/>
        <w:keepLines w:val="0"/>
        <w:widowControl w:val="0"/>
        <w:numPr>
          <w:ilvl w:val="0"/>
          <w:numId w:val="17"/>
        </w:numPr>
        <w:shd w:val="clear" w:color="auto" w:fill="auto"/>
        <w:tabs>
          <w:tab w:pos="743" w:val="left"/>
        </w:tabs>
        <w:bidi w:val="0"/>
        <w:spacing w:before="0" w:after="120" w:line="315" w:lineRule="exact"/>
        <w:ind w:left="360" w:right="0" w:firstLine="80"/>
        <w:jc w:val="both"/>
      </w:pPr>
      <w:bookmarkStart w:id="649" w:name="bookmark649"/>
      <w:bookmarkEnd w:id="649"/>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4"/>
        <w:keepNext w:val="0"/>
        <w:keepLines w:val="0"/>
        <w:widowControl w:val="0"/>
        <w:numPr>
          <w:ilvl w:val="0"/>
          <w:numId w:val="17"/>
        </w:numPr>
        <w:shd w:val="clear" w:color="auto" w:fill="auto"/>
        <w:tabs>
          <w:tab w:pos="755" w:val="left"/>
        </w:tabs>
        <w:bidi w:val="0"/>
        <w:spacing w:before="0" w:after="0" w:line="391" w:lineRule="auto"/>
        <w:ind w:left="0" w:right="0" w:firstLine="440"/>
        <w:jc w:val="both"/>
      </w:pPr>
      <w:bookmarkStart w:id="650" w:name="bookmark650"/>
      <w:bookmarkEnd w:id="650"/>
      <w:r>
        <w:rPr>
          <w:color w:val="000000"/>
          <w:spacing w:val="0"/>
          <w:w w:val="100"/>
          <w:position w:val="0"/>
        </w:rPr>
        <w:t>了解与审计相关的内部控制，以设计恰当的审计程序，但目的并非对内部控制的有效性发表意见。</w:t>
      </w:r>
    </w:p>
    <w:p>
      <w:pPr>
        <w:pStyle w:val="Style24"/>
        <w:keepNext w:val="0"/>
        <w:keepLines w:val="0"/>
        <w:widowControl w:val="0"/>
        <w:numPr>
          <w:ilvl w:val="0"/>
          <w:numId w:val="17"/>
        </w:numPr>
        <w:shd w:val="clear" w:color="auto" w:fill="auto"/>
        <w:tabs>
          <w:tab w:pos="755" w:val="left"/>
        </w:tabs>
        <w:bidi w:val="0"/>
        <w:spacing w:before="0" w:after="0" w:line="391" w:lineRule="auto"/>
        <w:ind w:left="0" w:right="0" w:firstLine="440"/>
        <w:jc w:val="both"/>
      </w:pPr>
      <w:bookmarkStart w:id="651" w:name="bookmark651"/>
      <w:bookmarkEnd w:id="651"/>
      <w:r>
        <w:rPr>
          <w:color w:val="000000"/>
          <w:spacing w:val="0"/>
          <w:w w:val="100"/>
          <w:position w:val="0"/>
        </w:rPr>
        <w:t>评价管理层选用会计政策的恰当性和作出会计估计及相关披露的合理性。</w:t>
      </w:r>
    </w:p>
    <w:p>
      <w:pPr>
        <w:pStyle w:val="Style24"/>
        <w:keepNext w:val="0"/>
        <w:keepLines w:val="0"/>
        <w:widowControl w:val="0"/>
        <w:numPr>
          <w:ilvl w:val="0"/>
          <w:numId w:val="17"/>
        </w:numPr>
        <w:shd w:val="clear" w:color="auto" w:fill="auto"/>
        <w:tabs>
          <w:tab w:pos="747" w:val="left"/>
        </w:tabs>
        <w:bidi w:val="0"/>
        <w:spacing w:before="0" w:after="120" w:line="315" w:lineRule="exact"/>
        <w:ind w:left="360" w:right="0" w:firstLine="80"/>
        <w:jc w:val="both"/>
      </w:pPr>
      <w:bookmarkStart w:id="652" w:name="bookmark652"/>
      <w:bookmarkEnd w:id="652"/>
      <w:r>
        <w:rPr>
          <w:color w:val="000000"/>
          <w:spacing w:val="0"/>
          <w:w w:val="100"/>
          <w:position w:val="0"/>
        </w:rPr>
        <w:t>对管理层使用持续经营假设的恰当性得出结论。同时，根据获取的审计证据，就可能导致对贵公司持续经营能力产 生重大疑虑的事项或情况是否存在重大不确定性得出结论。如果我们得出结论认为存在重大不确定性，审计准则要求我 们在审计报告中提请报告使用者注意财务报表中的相关披露；如果披露不充分，我们应当发表非无保留意见。我们的结 论基于截至审计报告日可获得的信息。然而，未来的事项或情况可能导致贵公司不能持续经营。</w:t>
      </w:r>
    </w:p>
    <w:p>
      <w:pPr>
        <w:pStyle w:val="Style24"/>
        <w:keepNext w:val="0"/>
        <w:keepLines w:val="0"/>
        <w:widowControl w:val="0"/>
        <w:numPr>
          <w:ilvl w:val="0"/>
          <w:numId w:val="17"/>
        </w:numPr>
        <w:shd w:val="clear" w:color="auto" w:fill="auto"/>
        <w:tabs>
          <w:tab w:pos="760" w:val="left"/>
        </w:tabs>
        <w:bidi w:val="0"/>
        <w:spacing w:before="0" w:after="0" w:line="391" w:lineRule="auto"/>
        <w:ind w:left="0" w:right="0" w:firstLine="440"/>
        <w:jc w:val="both"/>
      </w:pPr>
      <w:bookmarkStart w:id="653" w:name="bookmark653"/>
      <w:bookmarkEnd w:id="653"/>
      <w:r>
        <w:rPr>
          <w:color w:val="000000"/>
          <w:spacing w:val="0"/>
          <w:w w:val="100"/>
          <w:position w:val="0"/>
        </w:rPr>
        <w:t>评价财务报表的总体列报、结构和内容，并评价财务报表是否公允反映相关交易和事项。</w:t>
      </w:r>
    </w:p>
    <w:p>
      <w:pPr>
        <w:pStyle w:val="Style24"/>
        <w:keepNext w:val="0"/>
        <w:keepLines w:val="0"/>
        <w:widowControl w:val="0"/>
        <w:numPr>
          <w:ilvl w:val="0"/>
          <w:numId w:val="17"/>
        </w:numPr>
        <w:shd w:val="clear" w:color="auto" w:fill="auto"/>
        <w:bidi w:val="0"/>
        <w:spacing w:before="0" w:after="0" w:line="315" w:lineRule="exact"/>
        <w:ind w:left="360" w:right="0" w:firstLine="80"/>
        <w:jc w:val="both"/>
      </w:pPr>
      <w:bookmarkStart w:id="654" w:name="bookmark654"/>
      <w:bookmarkEnd w:id="654"/>
      <w:r>
        <w:rPr>
          <w:color w:val="000000"/>
          <w:spacing w:val="0"/>
          <w:w w:val="100"/>
          <w:position w:val="0"/>
        </w:rPr>
        <w:t xml:space="preserve"> 就贵公司中实体或业务活动的财务信息获取充分、适当的审计证据，以对财务报表发表意见。我们负责指导、监督 和执行集团审计。我们对审计意见承担全部责任。</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4"/>
        <w:keepNext w:val="0"/>
        <w:keepLines w:val="0"/>
        <w:widowControl w:val="0"/>
        <w:shd w:val="clear" w:color="auto" w:fill="auto"/>
        <w:bidi w:val="0"/>
        <w:spacing w:before="0" w:after="0" w:line="315"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4"/>
        <w:keepNext w:val="0"/>
        <w:keepLines w:val="0"/>
        <w:widowControl w:val="0"/>
        <w:shd w:val="clear" w:color="auto" w:fill="auto"/>
        <w:bidi w:val="0"/>
        <w:spacing w:before="0" w:after="0" w:line="315" w:lineRule="exact"/>
        <w:ind w:left="2020" w:right="0" w:firstLine="20"/>
        <w:jc w:val="left"/>
      </w:pPr>
      <w:r>
        <mc:AlternateContent>
          <mc:Choice Requires="wps">
            <w:drawing>
              <wp:anchor distT="0" distB="0" distL="114300" distR="114300" simplePos="0" relativeHeight="125829380" behindDoc="0" locked="0" layoutInCell="1" allowOverlap="1">
                <wp:simplePos x="0" y="0"/>
                <wp:positionH relativeFrom="page">
                  <wp:posOffset>1036320</wp:posOffset>
                </wp:positionH>
                <wp:positionV relativeFrom="paragraph">
                  <wp:posOffset>12700</wp:posOffset>
                </wp:positionV>
                <wp:extent cx="1706880" cy="405130"/>
                <wp:wrapSquare wrapText="right"/>
                <wp:docPr id="14" name="Shape 14"/>
                <a:graphic xmlns:a="http://schemas.openxmlformats.org/drawingml/2006/main">
                  <a:graphicData uri="http://schemas.microsoft.com/office/word/2010/wordprocessingShape">
                    <wps:wsp>
                      <wps:cNvSpPr txBox="1"/>
                      <wps:spPr>
                        <a:xfrm>
                          <a:ext cx="1706880" cy="405130"/>
                        </a:xfrm>
                        <a:prstGeom prst="rect"/>
                        <a:noFill/>
                      </wps:spPr>
                      <wps:txbx>
                        <w:txbxContent>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wps:txbx>
                      <wps:bodyPr lIns="0" tIns="0" rIns="0" bIns="0">
                        <a:noAutoFit/>
                      </wps:bodyPr>
                    </wps:wsp>
                  </a:graphicData>
                </a:graphic>
              </wp:anchor>
            </w:drawing>
          </mc:Choice>
          <mc:Fallback>
            <w:pict>
              <v:shape id="_x0000_s1040" type="#_x0000_t202" style="position:absolute;margin-left:81.600000000000009pt;margin-top:1.pt;width:134.40000000000001pt;height:31.900000000000002pt;z-index:-125829373;mso-wrap-distance-left:9.pt;mso-wrap-distance-right:9.pt;mso-position-horizontal-relative:page" filled="f" stroked="f">
                <v:textbox inset="0,0,0,0">
                  <w:txbxContent>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中国注册会计师：钟平修 （项目合伙人）</w:t>
      </w:r>
    </w:p>
    <w:p>
      <w:pPr>
        <w:pStyle w:val="Style24"/>
        <w:keepNext w:val="0"/>
        <w:keepLines w:val="0"/>
        <w:widowControl w:val="0"/>
        <w:shd w:val="clear" w:color="auto" w:fill="auto"/>
        <w:bidi w:val="0"/>
        <w:spacing w:before="0" w:after="380" w:line="315" w:lineRule="exact"/>
        <w:ind w:left="0" w:right="0" w:firstLine="0"/>
        <w:jc w:val="center"/>
      </w:pPr>
      <w:r>
        <w:rPr>
          <w:color w:val="000000"/>
          <w:spacing w:val="0"/>
          <w:w w:val="100"/>
          <w:position w:val="0"/>
        </w:rPr>
        <w:t>中国注册会计师：曹云华</w:t>
        <w:b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二一年四月二十日</w:t>
      </w:r>
    </w:p>
    <w:p>
      <w:pPr>
        <w:pStyle w:val="Style20"/>
        <w:keepNext/>
        <w:keepLines/>
        <w:widowControl w:val="0"/>
        <w:shd w:val="clear" w:color="auto" w:fill="auto"/>
        <w:bidi w:val="0"/>
        <w:spacing w:before="0" w:after="380" w:line="240" w:lineRule="auto"/>
        <w:ind w:left="0" w:right="0" w:firstLine="0"/>
        <w:jc w:val="left"/>
      </w:pPr>
      <w:bookmarkStart w:id="655" w:name="bookmark655"/>
      <w:bookmarkStart w:id="656" w:name="bookmark656"/>
      <w:bookmarkStart w:id="657" w:name="bookmark657"/>
      <w:r>
        <w:rPr>
          <w:color w:val="000000"/>
          <w:spacing w:val="0"/>
          <w:w w:val="100"/>
          <w:position w:val="0"/>
          <w:sz w:val="24"/>
          <w:szCs w:val="24"/>
        </w:rPr>
        <w:t>二、财务报表</w:t>
      </w:r>
      <w:bookmarkEnd w:id="655"/>
      <w:bookmarkEnd w:id="656"/>
      <w:bookmarkEnd w:id="65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、合并资产负债表</w:t>
      </w:r>
      <w:bookmarkEnd w:id="658"/>
      <w:bookmarkEnd w:id="659"/>
      <w:bookmarkEnd w:id="661"/>
    </w:p>
    <w:p>
      <w:pPr>
        <w:pStyle w:val="Style24"/>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6349365</wp:posOffset>
                </wp:positionH>
                <wp:positionV relativeFrom="paragraph">
                  <wp:posOffset>444500</wp:posOffset>
                </wp:positionV>
                <wp:extent cx="478790" cy="152400"/>
                <wp:wrapSquare wrapText="left"/>
                <wp:docPr id="16" name="Shape 16"/>
                <a:graphic xmlns:a="http://schemas.openxmlformats.org/drawingml/2006/main">
                  <a:graphicData uri="http://schemas.microsoft.com/office/word/2010/wordprocessingShape">
                    <wps:wsp>
                      <wps:cNvSpPr txBox="1"/>
                      <wps:spPr>
                        <a:xfrm>
                          <a:ext cx="478790"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2" type="#_x0000_t202" style="position:absolute;margin-left:499.94999999999999pt;margin-top:35.pt;width:37.700000000000003pt;height:12.pt;z-index:-125829371;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编制单位：成都卫士通信息产业股份有限公司</w:t>
      </w:r>
    </w:p>
    <w:tbl>
      <w:tblPr>
        <w:tblOverlap w:val="never"/>
        <w:jc w:val="left"/>
        <w:tblLayout w:type="fixed"/>
      </w:tblPr>
      <w:tblGrid>
        <w:gridCol w:w="4133"/>
        <w:gridCol w:w="2837"/>
        <w:gridCol w:w="2621"/>
      </w:tblGrid>
      <w:tr>
        <w:trPr>
          <w:trHeight w:val="413" w:hRule="exact"/>
        </w:trPr>
        <w:tc>
          <w:tcPr>
            <w:tcBorders>
              <w:top w:val="single" w:sz="4"/>
              <w:left w:val="single" w:sz="4"/>
            </w:tcBorders>
            <w:shd w:val="clear" w:color="auto" w:fill="D3D3D3"/>
            <w:vAlign w:val="center"/>
          </w:tcPr>
          <w:p>
            <w:pPr>
              <w:pStyle w:val="Style2"/>
              <w:keepNext w:val="0"/>
              <w:keepLines w:val="0"/>
              <w:framePr w:w="9590" w:h="821" w:vSpace="643" w:wrap="notBeside" w:vAnchor="text" w:hAnchor="text" w:x="111" w:y="64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90" w:h="821" w:vSpace="643" w:wrap="notBeside" w:vAnchor="text" w:hAnchor="text" w:x="111" w:y="64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90" w:h="821" w:vSpace="643" w:wrap="notBeside" w:vAnchor="text" w:hAnchor="text" w:x="111" w:y="64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framePr w:w="9590" w:h="821" w:vSpace="643" w:wrap="notBeside" w:vAnchor="text" w:hAnchor="text" w:x="111" w:y="644"/>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framePr w:w="9590" w:h="821" w:vSpace="643" w:wrap="notBeside" w:vAnchor="text" w:hAnchor="text" w:x="111" w:y="644"/>
              <w:widowControl w:val="0"/>
              <w:rPr>
                <w:sz w:val="10"/>
                <w:szCs w:val="10"/>
              </w:rPr>
            </w:pPr>
          </w:p>
        </w:tc>
        <w:tc>
          <w:tcPr>
            <w:tcBorders>
              <w:top w:val="single" w:sz="4"/>
              <w:left w:val="single" w:sz="4"/>
              <w:bottom w:val="single" w:sz="4"/>
              <w:right w:val="single" w:sz="4"/>
            </w:tcBorders>
            <w:shd w:val="clear" w:color="auto" w:fill="D3D3D3"/>
            <w:vAlign w:val="top"/>
          </w:tcPr>
          <w:p>
            <w:pPr>
              <w:framePr w:w="9590" w:h="821" w:vSpace="643" w:wrap="notBeside" w:vAnchor="text" w:hAnchor="text" w:x="111" w:y="644"/>
              <w:widowControl w:val="0"/>
              <w:rPr>
                <w:sz w:val="10"/>
                <w:szCs w:val="10"/>
              </w:rPr>
            </w:pPr>
          </w:p>
        </w:tc>
      </w:tr>
    </w:tbl>
    <w:p>
      <w:pPr>
        <w:pStyle w:val="Style22"/>
        <w:keepNext w:val="0"/>
        <w:keepLines w:val="0"/>
        <w:framePr w:w="1522" w:h="235" w:hSpace="110" w:wrap="notBeside" w:vAnchor="text" w:hAnchor="text" w:x="4172"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4128"/>
        <w:gridCol w:w="2837"/>
        <w:gridCol w:w="262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1,985,273,734.86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1,499,545,065.00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471,161,025.89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546,101,869.69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1,274,671255.83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1,519,745,709.28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55,695,454.55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98,628,366.95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74,872,967.47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64,421,456.20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475,493,509.36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290,513,173.37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117,586,640.09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91,911,739.06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70,735,458.24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4,546,666,327.11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4,089,691,098.73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58,447,728.96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28,795,629.56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2,528,373.48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316,104,932.94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309,875,547.72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1,176,786,119.27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28"/>
        <w:gridCol w:w="2837"/>
        <w:gridCol w:w="262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170,793,598.92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97,622,132.26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103,387,327.35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97,548,790.91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215,440.34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109,216,443.89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91,105235.43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9,728,625.75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62,456,675.83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1,933,780,622.11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1,866,933,944.80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6,480,446,949.22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5,956,625,043.53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179,363,275.28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125,479,387.70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1,051,262,663.46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956,996,862.57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105,159,492.79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313,991,222.20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47,606,845.43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33,094,019.16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69,953,983.82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58,702,700.79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28,001,642.96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35,402,811.25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42,741,054.87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68595" simplePos="0" relativeHeight="125829384" behindDoc="0" locked="0" layoutInCell="1" allowOverlap="1">
                <wp:simplePos x="0" y="0"/>
                <wp:positionH relativeFrom="page">
                  <wp:posOffset>727075</wp:posOffset>
                </wp:positionH>
                <wp:positionV relativeFrom="margin">
                  <wp:posOffset>8449310</wp:posOffset>
                </wp:positionV>
                <wp:extent cx="941705" cy="149225"/>
                <wp:wrapTopAndBottom/>
                <wp:docPr id="18" name="Shape 18"/>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法定代表人：卿昱</w:t>
                            </w:r>
                          </w:p>
                        </w:txbxContent>
                      </wps:txbx>
                      <wps:bodyPr wrap="none" lIns="0" tIns="0" rIns="0" bIns="0">
                        <a:noAutoFit/>
                      </wps:bodyPr>
                    </wps:wsp>
                  </a:graphicData>
                </a:graphic>
              </wp:anchor>
            </w:drawing>
          </mc:Choice>
          <mc:Fallback>
            <w:pict>
              <v:shape id="_x0000_s1044" type="#_x0000_t202" style="position:absolute;margin-left:57.25pt;margin-top:665.30000000000007pt;width:74.150000000000006pt;height:11.75pt;z-index:-125829369;mso-wrap-distance-left:9.pt;mso-wrap-distance-top:12.pt;mso-wrap-distance-right:414.85000000000002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法定代表人：卿昱</w:t>
                      </w:r>
                    </w:p>
                  </w:txbxContent>
                </v:textbox>
                <w10:wrap type="topAndBottom" anchorx="page" anchory="margin"/>
              </v:shape>
            </w:pict>
          </mc:Fallback>
        </mc:AlternateContent>
      </w:r>
      <w:r>
        <mc:AlternateContent>
          <mc:Choice Requires="wps">
            <w:drawing>
              <wp:anchor distT="152400" distB="3175" distL="2351405" distR="2464435" simplePos="0" relativeHeight="125829386" behindDoc="0" locked="0" layoutInCell="1" allowOverlap="1">
                <wp:simplePos x="0" y="0"/>
                <wp:positionH relativeFrom="page">
                  <wp:posOffset>2964180</wp:posOffset>
                </wp:positionH>
                <wp:positionV relativeFrom="margin">
                  <wp:posOffset>8449310</wp:posOffset>
                </wp:positionV>
                <wp:extent cx="1508760" cy="146050"/>
                <wp:wrapTopAndBottom/>
                <wp:docPr id="20" name="Shape 2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主管会计工作负责人：刘志惠</w:t>
                            </w:r>
                          </w:p>
                        </w:txbxContent>
                      </wps:txbx>
                      <wps:bodyPr wrap="none" lIns="0" tIns="0" rIns="0" bIns="0">
                        <a:noAutoFit/>
                      </wps:bodyPr>
                    </wps:wsp>
                  </a:graphicData>
                </a:graphic>
              </wp:anchor>
            </w:drawing>
          </mc:Choice>
          <mc:Fallback>
            <w:pict>
              <v:shape id="_x0000_s1046" type="#_x0000_t202" style="position:absolute;margin-left:233.40000000000001pt;margin-top:665.30000000000007pt;width:118.8pt;height:11.5pt;z-index:-125829367;mso-wrap-distance-left:185.15000000000001pt;mso-wrap-distance-top:12.pt;mso-wrap-distance-right:194.05000000000001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主管会计工作负责人：刘志惠</w:t>
                      </w:r>
                    </w:p>
                  </w:txbxContent>
                </v:textbox>
                <w10:wrap type="topAndBottom" anchorx="page" anchory="margin"/>
              </v:shape>
            </w:pict>
          </mc:Fallback>
        </mc:AlternateContent>
      </w:r>
      <w:r>
        <mc:AlternateContent>
          <mc:Choice Requires="wps">
            <w:drawing>
              <wp:anchor distT="152400" distB="0" distL="4923790" distR="114300" simplePos="0" relativeHeight="125829388" behindDoc="0" locked="0" layoutInCell="1" allowOverlap="1">
                <wp:simplePos x="0" y="0"/>
                <wp:positionH relativeFrom="page">
                  <wp:posOffset>5536565</wp:posOffset>
                </wp:positionH>
                <wp:positionV relativeFrom="margin">
                  <wp:posOffset>8449310</wp:posOffset>
                </wp:positionV>
                <wp:extent cx="1286510" cy="149225"/>
                <wp:wrapTopAndBottom/>
                <wp:docPr id="22" name="Shape 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wps:txbx>
                      <wps:bodyPr wrap="none" lIns="0" tIns="0" rIns="0" bIns="0">
                        <a:noAutoFit/>
                      </wps:bodyPr>
                    </wps:wsp>
                  </a:graphicData>
                </a:graphic>
              </wp:anchor>
            </w:drawing>
          </mc:Choice>
          <mc:Fallback>
            <w:pict>
              <v:shape id="_x0000_s1048" type="#_x0000_t202" style="position:absolute;margin-left:435.94999999999999pt;margin-top:665.30000000000007pt;width:101.3pt;height:11.75pt;z-index:-125829365;mso-wrap-distance-left:387.69999999999999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v:textbox>
                <w10:wrap type="topAndBottom" anchorx="page" anchory="margin"/>
              </v:shape>
            </w:pict>
          </mc:Fallback>
        </mc:AlternateContent>
      </w:r>
    </w:p>
    <w:tbl>
      <w:tblPr>
        <w:tblOverlap w:val="never"/>
        <w:jc w:val="center"/>
        <w:tblLayout w:type="fixed"/>
      </w:tblPr>
      <w:tblGrid>
        <w:gridCol w:w="4128"/>
        <w:gridCol w:w="2837"/>
        <w:gridCol w:w="262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1,732,920,688.02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1,314,83 5 274.26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29,676,218.41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39,149,670.15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29,676,218.41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39,149,670.15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1,762,596,906.43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1,353,984,944.41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2,601,802,469.28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2,591,349,841.73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-271,626.52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57,036,561.38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55,640,199.90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1,209,822,966.91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1,065,739,548.74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4,707,198,263.56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4,550,793,991.85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10,651,779.23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51,846,107.27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4,717,850,042.79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4,602,640,099.12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6,480,446,949.22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5,956,625,043.53</w:t>
            </w:r>
          </w:p>
        </w:tc>
      </w:tr>
    </w:tbl>
    <w:p>
      <w:pPr>
        <w:spacing w:lineRule="exact" w:line="1"/>
        <w:rPr>
          <w:sz w:val="2"/>
          <w:szCs w:val="2"/>
        </w:rPr>
      </w:pPr>
      <w:r>
        <w:br w:type="page"/>
      </w:r>
    </w:p>
    <w:p>
      <w:pPr>
        <w:pStyle w:val="Style30"/>
        <w:keepNext/>
        <w:keepLines/>
        <w:widowControl w:val="0"/>
        <w:shd w:val="clear" w:color="auto" w:fill="auto"/>
        <w:bidi w:val="0"/>
        <w:spacing w:before="0" w:after="42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bookmarkEnd w:id="664"/>
      <w:r>
        <w:rPr>
          <w:color w:val="000000"/>
          <w:spacing w:val="0"/>
          <w:w w:val="100"/>
          <w:position w:val="0"/>
        </w:rPr>
        <w:t>、母公司资产负债表</w:t>
      </w:r>
      <w:bookmarkEnd w:id="662"/>
      <w:bookmarkEnd w:id="663"/>
      <w:bookmarkEnd w:id="66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837"/>
        <w:gridCol w:w="262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67,489,149.28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98,342,460.09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8,690,480.00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12,346,897.06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280,261,320.79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361,145,582.55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9,544,128.10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9,339,741.45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90,922,644.98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29,711,438.00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35 2 82,073.75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40,254,350.51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1,345,920.20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105,733,539.21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493,535,717.10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656,874,008.87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3,429,474,639.77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3,368,030,193.43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2,528,373.48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144,605,697.91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141,846,680.77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32,962,015.80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13,158,046.50</w:t>
            </w:r>
          </w:p>
        </w:tc>
      </w:tr>
    </w:tbl>
    <w:p>
      <w:pPr>
        <w:widowControl w:val="0"/>
        <w:spacing w:line="1" w:lineRule="exact"/>
      </w:pPr>
      <w:r>
        <w:br w:type="page"/>
      </w:r>
    </w:p>
    <w:tbl>
      <w:tblPr>
        <w:tblOverlap w:val="never"/>
        <w:jc w:val="center"/>
        <w:tblLayout w:type="fixed"/>
      </w:tblPr>
      <w:tblGrid>
        <w:gridCol w:w="4128"/>
        <w:gridCol w:w="2837"/>
        <w:gridCol w:w="262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58,182,971.28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51255,323.25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40,168,717.22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28,837258.37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3,708,394279.97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3,605,655,875.80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4,201,929,997.07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4,262,529,884.67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3,859,700.00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404,423,361.44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474,550,797.05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15,095,752.01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41,702,769.60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2,944,273.86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8,258,286.27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6,982,774.62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5,427,953.81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10,778,258.50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32,584,930.33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5,391,066.84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476,082,204.86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535,917,719.47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10,948,697.91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10,220,171.65</w:t>
            </w:r>
          </w:p>
        </w:tc>
      </w:tr>
    </w:tbl>
    <w:p>
      <w:pPr>
        <w:widowControl w:val="0"/>
        <w:spacing w:line="1" w:lineRule="exact"/>
      </w:pPr>
      <w:r>
        <w:br w:type="page"/>
      </w:r>
    </w:p>
    <w:tbl>
      <w:tblPr>
        <w:tblOverlap w:val="never"/>
        <w:jc w:val="center"/>
        <w:tblLayout w:type="fixed"/>
      </w:tblPr>
      <w:tblGrid>
        <w:gridCol w:w="4128"/>
        <w:gridCol w:w="2837"/>
        <w:gridCol w:w="262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10,948,697.91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10,220,171.65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487,030,902.77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546,137,891.12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2,662,430,356.78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2,662,430,356.78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-271,626.52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57,036,561.38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55,640,199.90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156,895,910.15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160,257,035.39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3,714,899,094.30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3,716,391,993.55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4,201,929,997.07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4,262,529,884.67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3</w:t>
      </w:r>
      <w:bookmarkEnd w:id="668"/>
      <w:r>
        <w:rPr>
          <w:color w:val="000000"/>
          <w:spacing w:val="0"/>
          <w:w w:val="100"/>
          <w:position w:val="0"/>
        </w:rPr>
        <w:t>、合并利润表</w:t>
      </w:r>
      <w:bookmarkEnd w:id="666"/>
      <w:bookmarkEnd w:id="667"/>
      <w:bookmarkEnd w:id="66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94"/>
        <w:gridCol w:w="2558"/>
        <w:gridCol w:w="23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2,383,704,942.48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2,103,759,987.90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2,383,704,942.48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2,103,759,987.90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2,212,316,259.43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1,984,493,784.00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1,538,049,066.18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1,419,198,764.60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94"/>
        <w:gridCol w:w="2558"/>
        <w:gridCol w:w="23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19,960,139.99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13,100,729.06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274,228,766.90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248,574,586.24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157,745,639.08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141,128,649.83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247,594,767.24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191,595,542.22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-25 262,119.96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-29,104,487.95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90,820.81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452,331.38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25,861,994.10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29,794,533.66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48,463235.52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71,656,320.57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652,099.40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-2,622,462.15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652,099.40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-2,622,462.15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-40,194,940.32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-32,382,317.80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-14,624,046.67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-8,093,813.89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11,740.00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165,696,770.98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147,823,930.63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1,155,568.74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6,337,939.61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14,459.42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1,535,936.89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166,837,880.30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152,625,933.35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4,387,252.61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-6,331,167.78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162,450,627.69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158,957,101.13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162,450,627.69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158,957,101.13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161,408,158.18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155,765,488.34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1,042,469.51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3,191,612.79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528,373.48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528,373.48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528,373.48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94"/>
        <w:gridCol w:w="2558"/>
        <w:gridCol w:w="23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528,373.48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162,922,492.20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159,485,474.61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161,880,022.69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156,293,861.82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1,042,469.51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3,191,612.79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0.1858</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4"/>
        <w:keepNext w:val="0"/>
        <w:keepLines w:val="0"/>
        <w:widowControl w:val="0"/>
        <w:shd w:val="clear" w:color="auto" w:fill="auto"/>
        <w:tabs>
          <w:tab w:pos="3518" w:val="left"/>
          <w:tab w:pos="7555" w:val="left"/>
        </w:tabs>
        <w:bidi w:val="0"/>
        <w:spacing w:before="0" w:after="400" w:line="240" w:lineRule="auto"/>
        <w:ind w:left="0" w:right="0" w:firstLine="0"/>
        <w:jc w:val="left"/>
      </w:pPr>
      <w:r>
        <w:rPr>
          <w:color w:val="000000"/>
          <w:spacing w:val="0"/>
          <w:w w:val="100"/>
          <w:position w:val="0"/>
        </w:rPr>
        <w:t>法定代表人：卿昱</w:t>
        <w:tab/>
        <w:t>主管会计工作负责人：刘志惠</w:t>
        <w:tab/>
        <w:t>会计机构负责人：周天文</w:t>
      </w:r>
    </w:p>
    <w:p>
      <w:pPr>
        <w:pStyle w:val="Style30"/>
        <w:keepNext/>
        <w:keepLines/>
        <w:widowControl w:val="0"/>
        <w:shd w:val="clear" w:color="auto" w:fill="auto"/>
        <w:bidi w:val="0"/>
        <w:spacing w:before="0" w:after="40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4</w:t>
      </w:r>
      <w:bookmarkEnd w:id="672"/>
      <w:r>
        <w:rPr>
          <w:color w:val="000000"/>
          <w:spacing w:val="0"/>
          <w:w w:val="100"/>
          <w:position w:val="0"/>
        </w:rPr>
        <w:t>、母公司利润表</w:t>
      </w:r>
      <w:bookmarkEnd w:id="670"/>
      <w:bookmarkEnd w:id="671"/>
      <w:bookmarkEnd w:id="67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44"/>
        <w:gridCol w:w="2126"/>
        <w:gridCol w:w="192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259,452,394.01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357,444,976.82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114,949,079.82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193,615,987.42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2,463,017.65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2,992,175.21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52,010,527.12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43,451,106.93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58,863,392.86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48,144,943.51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84,549,773.34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74,541,617.91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-480,031.51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190,312.50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445,230.43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707,156.89</w:t>
            </w:r>
          </w:p>
        </w:tc>
      </w:tr>
    </w:tbl>
    <w:p>
      <w:pPr>
        <w:widowControl w:val="0"/>
        <w:spacing w:line="1" w:lineRule="exact"/>
      </w:pPr>
      <w:r>
        <w:br w:type="page"/>
      </w:r>
    </w:p>
    <w:tbl>
      <w:tblPr>
        <w:tblOverlap w:val="never"/>
        <w:jc w:val="center"/>
        <w:tblLayout w:type="fixed"/>
      </w:tblPr>
      <w:tblGrid>
        <w:gridCol w:w="5544"/>
        <w:gridCol w:w="2126"/>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1,387,626.76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22,419,786.53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70,651,036.55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1,095,813.55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652,099.40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-2,622,462.15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以摊余成本计量的金融资产终止确认收益（损失以号填列）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-16,509,526.68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-334,078.85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-317,794.89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-4,164,609.60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2,244,850.48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14,196,088.98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566,237.42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1,372,329.64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31,948.76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2,808,530.34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15,536,469.86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-11,155,084.43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-1,585,912.20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13,963,614.77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17,122,382.06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13,963,614.77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17,122,382.06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528,373.48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528,373.48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528,373.48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14,435,479.28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17,650,755.54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544"/>
        <w:gridCol w:w="2126"/>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5</w:t>
      </w:r>
      <w:bookmarkEnd w:id="676"/>
      <w:r>
        <w:rPr>
          <w:color w:val="000000"/>
          <w:spacing w:val="0"/>
          <w:w w:val="100"/>
          <w:position w:val="0"/>
        </w:rPr>
        <w:t>、合并现金流量表</w:t>
      </w:r>
      <w:bookmarkEnd w:id="674"/>
      <w:bookmarkEnd w:id="675"/>
      <w:bookmarkEnd w:id="67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2"/>
        <w:gridCol w:w="2400"/>
        <w:gridCol w:w="220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3,027,053,969.75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2,214,313,096.05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30,914,604.88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32,435,330.58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49,713,249.40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63,631,097.91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3,107,681,824.03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2,310,379,524.54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1,634,016,062.08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1,668,025,311.88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498,177,693.81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410,903,195.60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160,802,930.56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113,097,155.67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186,396,034.29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216,239,898.72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2,479,392,720.74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2,408,265,561.87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628,289,103.29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-97,886,037.33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82"/>
        <w:gridCol w:w="2400"/>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85,195,199.10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83,769,127.77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114,195,199.10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83,769,127.77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-114,122,708.36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-83,765289.77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15,928,378.53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12,765,352.92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25,745,056.34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41,673,434.87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262,773,033.10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-41,673,434.87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-261,723,033.10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472,492,960.06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-443,374,360.20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1,487,924230.17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1,931,298,590.37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1,960,417,190.23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1,487,924230.17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6</w:t>
      </w:r>
      <w:bookmarkEnd w:id="680"/>
      <w:r>
        <w:rPr>
          <w:color w:val="000000"/>
          <w:spacing w:val="0"/>
          <w:w w:val="100"/>
          <w:position w:val="0"/>
        </w:rPr>
        <w:t>、母公司现金流量表</w:t>
      </w:r>
      <w:bookmarkEnd w:id="678"/>
      <w:bookmarkEnd w:id="679"/>
      <w:bookmarkEnd w:id="68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2"/>
        <w:gridCol w:w="2405"/>
        <w:gridCol w:w="22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82"/>
        <w:gridCol w:w="2400"/>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365,980,92439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277,478,174.40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3,384,099.42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8,163,523.56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1,973,129.14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6,182,421.80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371,338,152.95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291,824,119.76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164,874,681.40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182,734,775.00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161,042,712.50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102,337,533.43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10,294,769.25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21,636228.09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53,257,079.47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59,918,577.20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389,469,242.62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366,627,113.72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-18,131,089.67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-74,802,993.96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10,753,000.00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52,952,930.59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100,064,335.00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63,706248.59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42,683,189.74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30,860,502.36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54,745,056.34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97,428246.08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132,810,502.36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2,636,088.92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-69,104253.77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15,944,312.91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12,765,352.92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15,944,312.91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262,773,033.10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-15,693,072.91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-262,773,033.10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82"/>
        <w:gridCol w:w="2400"/>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-31,188,073.66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-406,680,280.83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98,320,059.61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505,000,340.44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67,131,985.95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98,320,059.61</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7</w:t>
      </w:r>
      <w:bookmarkEnd w:id="684"/>
      <w:r>
        <w:rPr>
          <w:color w:val="000000"/>
          <w:spacing w:val="0"/>
          <w:w w:val="100"/>
          <w:position w:val="0"/>
        </w:rPr>
        <w:t>、合并所有者权益变动表</w:t>
      </w:r>
      <w:bookmarkEnd w:id="682"/>
      <w:bookmarkEnd w:id="683"/>
      <w:bookmarkEnd w:id="685"/>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永续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w:t>
            </w:r>
          </w:p>
        </w:tc>
      </w:tr>
      <w:tr>
        <w:trPr>
          <w:trHeight w:val="163"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349,84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793,99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640,09</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w:t>
            </w:r>
          </w:p>
        </w:tc>
      </w:tr>
      <w:tr>
        <w:trPr>
          <w:trHeight w:val="16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349,84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793,99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640,09</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w:t>
            </w:r>
          </w:p>
        </w:tc>
      </w:tr>
      <w:tr>
        <w:trPr>
          <w:trHeight w:val="245"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161,88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0,022.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469.51</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6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w:t>
            </w: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68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1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计</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4,406,</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885,51</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79,664.</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147.74</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加：会计政策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w:t>
            </w:r>
          </w:p>
        </w:tc>
      </w:tr>
      <w:tr>
        <w:trPr>
          <w:trHeight w:val="312"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885,51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79,664.</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44"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143,90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147,960</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59.53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,434.19</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528,37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3,191,6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159,485</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,474.61</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（二）所有者 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860,346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189,65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189,65</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349,84</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793,99</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8</w:t>
      </w:r>
      <w:bookmarkEnd w:id="688"/>
      <w:r>
        <w:rPr>
          <w:color w:val="000000"/>
          <w:spacing w:val="0"/>
          <w:w w:val="100"/>
          <w:position w:val="0"/>
        </w:rPr>
        <w:t>、母公司所有者权益变动表</w:t>
      </w:r>
      <w:bookmarkEnd w:id="686"/>
      <w:bookmarkEnd w:id="687"/>
      <w:bookmarkEnd w:id="68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未分配</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55,640,1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55,640,1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1,396,36</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1,396,36</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-17,324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1,396,36</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r>
    </w:tbl>
    <w:p>
      <w:pPr>
        <w:widowControl w:val="0"/>
        <w:spacing w:line="1" w:lineRule="exact"/>
      </w:pP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0,356.78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094.30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581"/>
        <w:gridCol w:w="576"/>
        <w:gridCol w:w="566"/>
        <w:gridCol w:w="576"/>
        <w:gridCol w:w="686"/>
        <w:gridCol w:w="686"/>
        <w:gridCol w:w="682"/>
        <w:gridCol w:w="792"/>
        <w:gridCol w:w="662"/>
        <w:gridCol w:w="792"/>
        <w:gridCol w:w="806"/>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未分配利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3,711,316,2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加:会计政策变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157,421,9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3,711,316,2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1,712,2</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2,835,103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5,075,715.1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17,122,38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17,650,755.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1,712,2</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-142872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1,712,2</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-1,712,23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-12,575,0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838,33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3,716,391,9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w:t>
            </w:r>
          </w:p>
        </w:tc>
      </w:tr>
    </w:tbl>
    <w:p>
      <w:pPr>
        <w:widowControl w:val="0"/>
        <w:spacing w:after="279" w:line="1" w:lineRule="exact"/>
      </w:pPr>
    </w:p>
    <w:p>
      <w:pPr>
        <w:pStyle w:val="Style20"/>
        <w:keepNext/>
        <w:keepLines/>
        <w:widowControl w:val="0"/>
        <w:shd w:val="clear" w:color="auto" w:fill="auto"/>
        <w:bidi w:val="0"/>
        <w:spacing w:before="0" w:after="280" w:line="240" w:lineRule="auto"/>
        <w:ind w:left="0" w:right="0" w:firstLine="0"/>
        <w:jc w:val="both"/>
      </w:pPr>
      <w:bookmarkStart w:id="690" w:name="bookmark690"/>
      <w:bookmarkStart w:id="691" w:name="bookmark691"/>
      <w:bookmarkStart w:id="692" w:name="bookmark692"/>
      <w:bookmarkStart w:id="693" w:name="bookmark693"/>
      <w:r>
        <w:rPr>
          <w:color w:val="000000"/>
          <w:spacing w:val="0"/>
          <w:w w:val="100"/>
          <w:position w:val="0"/>
          <w:sz w:val="24"/>
          <w:szCs w:val="24"/>
        </w:rPr>
        <w:t>三</w:t>
      </w:r>
      <w:bookmarkEnd w:id="692"/>
      <w:r>
        <w:rPr>
          <w:color w:val="000000"/>
          <w:spacing w:val="0"/>
          <w:w w:val="100"/>
          <w:position w:val="0"/>
          <w:sz w:val="24"/>
          <w:szCs w:val="24"/>
        </w:rPr>
        <w:t>、公司基本情况</w:t>
      </w:r>
      <w:bookmarkEnd w:id="690"/>
      <w:bookmarkEnd w:id="691"/>
      <w:bookmarkEnd w:id="693"/>
    </w:p>
    <w:p>
      <w:pPr>
        <w:pStyle w:val="Style34"/>
        <w:keepNext w:val="0"/>
        <w:keepLines w:val="0"/>
        <w:widowControl w:val="0"/>
        <w:numPr>
          <w:ilvl w:val="0"/>
          <w:numId w:val="19"/>
        </w:numPr>
        <w:shd w:val="clear" w:color="auto" w:fill="auto"/>
        <w:bidi w:val="0"/>
        <w:spacing w:before="0" w:after="0" w:line="312" w:lineRule="exact"/>
        <w:ind w:left="0" w:right="0"/>
        <w:jc w:val="both"/>
      </w:pPr>
      <w:bookmarkStart w:id="694" w:name="bookmark694"/>
      <w:bookmarkEnd w:id="694"/>
      <w:r>
        <w:rPr>
          <w:b/>
          <w:bCs/>
          <w:color w:val="000000"/>
          <w:spacing w:val="0"/>
          <w:w w:val="100"/>
          <w:position w:val="0"/>
        </w:rPr>
        <w:t>公司历史沿革、注册地、组织形式和总部地址</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成都卫士通信息产业股份有限公司（以下简称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）是于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日经成都市经济 体制改革委员会</w:t>
      </w:r>
      <w:r>
        <w:rPr>
          <w:rFonts w:ascii="Times New Roman" w:eastAsia="Times New Roman" w:hAnsi="Times New Roman" w:cs="Times New Roman"/>
          <w:color w:val="000000"/>
          <w:spacing w:val="0"/>
          <w:w w:val="100"/>
          <w:position w:val="0"/>
        </w:rPr>
        <w:t>“</w:t>
      </w:r>
      <w:r>
        <w:rPr>
          <w:color w:val="000000"/>
          <w:spacing w:val="0"/>
          <w:w w:val="100"/>
          <w:position w:val="0"/>
        </w:rPr>
        <w:t>成体改</w:t>
      </w:r>
      <w:r>
        <w:rPr>
          <w:rFonts w:ascii="Times New Roman" w:eastAsia="Times New Roman" w:hAnsi="Times New Roman" w:cs="Times New Roman"/>
          <w:color w:val="000000"/>
          <w:spacing w:val="0"/>
          <w:w w:val="100"/>
          <w:position w:val="0"/>
        </w:rPr>
        <w:t>［1998］</w:t>
      </w:r>
      <w:r>
        <w:rPr>
          <w:color w:val="000000"/>
          <w:spacing w:val="0"/>
          <w:w w:val="100"/>
          <w:position w:val="0"/>
        </w:rPr>
        <w:t>第</w:t>
      </w:r>
      <w:r>
        <w:rPr>
          <w:rFonts w:ascii="Times New Roman" w:eastAsia="Times New Roman" w:hAnsi="Times New Roman" w:cs="Times New Roman"/>
          <w:color w:val="000000"/>
          <w:spacing w:val="0"/>
          <w:w w:val="100"/>
          <w:position w:val="0"/>
        </w:rPr>
        <w:t>28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文批准成立的股份有限公司，取得了成都市工商行政管理局核发的 </w:t>
      </w:r>
      <w:r>
        <w:rPr>
          <w:rFonts w:ascii="Times New Roman" w:eastAsia="Times New Roman" w:hAnsi="Times New Roman" w:cs="Times New Roman"/>
          <w:color w:val="000000"/>
          <w:spacing w:val="0"/>
          <w:w w:val="100"/>
          <w:position w:val="0"/>
        </w:rPr>
        <w:t>510109000045289</w:t>
      </w:r>
      <w:r>
        <w:rPr>
          <w:color w:val="000000"/>
          <w:spacing w:val="0"/>
          <w:w w:val="100"/>
          <w:position w:val="0"/>
        </w:rPr>
        <w:t>号《企业法人营业执照》。公司由中国电子科技集团公司第三十研究所、西南通信研究 所、成都西通开发公司及罗天文等</w:t>
      </w:r>
      <w:r>
        <w:rPr>
          <w:rFonts w:ascii="Times New Roman" w:eastAsia="Times New Roman" w:hAnsi="Times New Roman" w:cs="Times New Roman"/>
          <w:color w:val="000000"/>
          <w:spacing w:val="0"/>
          <w:w w:val="100"/>
          <w:position w:val="0"/>
        </w:rPr>
        <w:t>1418</w:t>
      </w:r>
      <w:r>
        <w:rPr>
          <w:color w:val="000000"/>
          <w:spacing w:val="0"/>
          <w:w w:val="100"/>
          <w:position w:val="0"/>
        </w:rPr>
        <w:t xml:space="preserve">名自然人共同出资以发起设立方式组建，公司注册资本人民币 </w:t>
      </w:r>
      <w:r>
        <w:rPr>
          <w:rFonts w:ascii="Times New Roman" w:eastAsia="Times New Roman" w:hAnsi="Times New Roman" w:cs="Times New Roman"/>
          <w:color w:val="000000"/>
          <w:spacing w:val="0"/>
          <w:w w:val="100"/>
          <w:position w:val="0"/>
        </w:rPr>
        <w:t>1,201.00</w:t>
      </w:r>
      <w:r>
        <w:rPr>
          <w:color w:val="000000"/>
          <w:spacing w:val="0"/>
          <w:w w:val="100"/>
          <w:position w:val="0"/>
        </w:rPr>
        <w:t>万元。</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2000</w:t>
      </w:r>
      <w:r>
        <w:rPr>
          <w:color w:val="000000"/>
          <w:spacing w:val="0"/>
          <w:w w:val="100"/>
          <w:position w:val="0"/>
        </w:rPr>
        <w:t>年实施</w:t>
      </w:r>
      <w:r>
        <w:rPr>
          <w:rFonts w:ascii="Times New Roman" w:eastAsia="Times New Roman" w:hAnsi="Times New Roman" w:cs="Times New Roman"/>
          <w:color w:val="000000"/>
          <w:spacing w:val="0"/>
          <w:w w:val="100"/>
          <w:position w:val="0"/>
        </w:rPr>
        <w:t>1999</w:t>
      </w:r>
      <w:r>
        <w:rPr>
          <w:color w:val="000000"/>
          <w:spacing w:val="0"/>
          <w:w w:val="100"/>
          <w:position w:val="0"/>
        </w:rPr>
        <w:t>年度分配方案，以</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日的累计可供分配利润向全体股东每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 xml:space="preserve">5.6 </w:t>
      </w:r>
      <w:r>
        <w:rPr>
          <w:color w:val="000000"/>
          <w:spacing w:val="0"/>
          <w:w w:val="100"/>
          <w:position w:val="0"/>
        </w:rPr>
        <w:t>股，共计派发股票股利</w:t>
      </w:r>
      <w:r>
        <w:rPr>
          <w:rFonts w:ascii="Times New Roman" w:eastAsia="Times New Roman" w:hAnsi="Times New Roman" w:cs="Times New Roman"/>
          <w:color w:val="000000"/>
          <w:spacing w:val="0"/>
          <w:w w:val="100"/>
          <w:position w:val="0"/>
        </w:rPr>
        <w:t>6,725,600.</w:t>
      </w:r>
      <w:r>
        <w:rPr>
          <w:rFonts w:ascii="Times New Roman" w:eastAsia="Times New Roman" w:hAnsi="Times New Roman" w:cs="Times New Roman"/>
          <w:color w:val="000000"/>
          <w:spacing w:val="0"/>
          <w:w w:val="100"/>
          <w:position w:val="0"/>
        </w:rPr>
        <w:t>00</w:t>
      </w:r>
      <w:r>
        <w:rPr>
          <w:color w:val="000000"/>
          <w:spacing w:val="0"/>
          <w:w w:val="100"/>
          <w:position w:val="0"/>
        </w:rPr>
        <w:t>元，变更后总股本</w:t>
      </w:r>
      <w:r>
        <w:rPr>
          <w:rFonts w:ascii="Times New Roman" w:eastAsia="Times New Roman" w:hAnsi="Times New Roman" w:cs="Times New Roman"/>
          <w:color w:val="000000"/>
          <w:spacing w:val="0"/>
          <w:w w:val="100"/>
          <w:position w:val="0"/>
        </w:rPr>
        <w:t>18,735,600</w:t>
      </w:r>
      <w:r>
        <w:rPr>
          <w:color w:val="000000"/>
          <w:spacing w:val="0"/>
          <w:w w:val="100"/>
          <w:position w:val="0"/>
        </w:rPr>
        <w:t>股。</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2001</w:t>
      </w:r>
      <w:r>
        <w:rPr>
          <w:color w:val="000000"/>
          <w:spacing w:val="0"/>
          <w:w w:val="100"/>
          <w:position w:val="0"/>
        </w:rPr>
        <w:t>年实施</w:t>
      </w:r>
      <w:r>
        <w:rPr>
          <w:rFonts w:ascii="Times New Roman" w:eastAsia="Times New Roman" w:hAnsi="Times New Roman" w:cs="Times New Roman"/>
          <w:color w:val="000000"/>
          <w:spacing w:val="0"/>
          <w:w w:val="100"/>
          <w:position w:val="0"/>
        </w:rPr>
        <w:t>2000</w:t>
      </w:r>
      <w:r>
        <w:rPr>
          <w:color w:val="000000"/>
          <w:spacing w:val="0"/>
          <w:w w:val="100"/>
          <w:position w:val="0"/>
        </w:rPr>
        <w:t>年度分配方案，以</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日的累计可供分配利润向全体股东每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 xml:space="preserve">3 </w:t>
      </w:r>
      <w:r>
        <w:rPr>
          <w:color w:val="000000"/>
          <w:spacing w:val="0"/>
          <w:w w:val="100"/>
          <w:position w:val="0"/>
        </w:rPr>
        <w:t>股，共计派发股票股利</w:t>
      </w:r>
      <w:r>
        <w:rPr>
          <w:rFonts w:ascii="Times New Roman" w:eastAsia="Times New Roman" w:hAnsi="Times New Roman" w:cs="Times New Roman"/>
          <w:color w:val="000000"/>
          <w:spacing w:val="0"/>
          <w:w w:val="100"/>
          <w:position w:val="0"/>
        </w:rPr>
        <w:t>5,620,680.</w:t>
      </w:r>
      <w:r>
        <w:rPr>
          <w:rFonts w:ascii="Times New Roman" w:eastAsia="Times New Roman" w:hAnsi="Times New Roman" w:cs="Times New Roman"/>
          <w:color w:val="000000"/>
          <w:spacing w:val="0"/>
          <w:w w:val="100"/>
          <w:position w:val="0"/>
        </w:rPr>
        <w:t>00</w:t>
      </w:r>
      <w:r>
        <w:rPr>
          <w:color w:val="000000"/>
          <w:spacing w:val="0"/>
          <w:w w:val="100"/>
          <w:position w:val="0"/>
        </w:rPr>
        <w:t>元，变更后总股本</w:t>
      </w:r>
      <w:r>
        <w:rPr>
          <w:rFonts w:ascii="Times New Roman" w:eastAsia="Times New Roman" w:hAnsi="Times New Roman" w:cs="Times New Roman"/>
          <w:color w:val="000000"/>
          <w:spacing w:val="0"/>
          <w:w w:val="100"/>
          <w:position w:val="0"/>
        </w:rPr>
        <w:t>24,356,280</w:t>
      </w:r>
      <w:r>
        <w:rPr>
          <w:color w:val="000000"/>
          <w:spacing w:val="0"/>
          <w:w w:val="100"/>
          <w:position w:val="0"/>
        </w:rPr>
        <w:t>股。</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月公司发起人股东在持有本公司股份满三年后进行合法转让，自然人股东分别转让</w:t>
      </w:r>
      <w:r>
        <w:rPr>
          <w:rFonts w:ascii="Times New Roman" w:eastAsia="Times New Roman" w:hAnsi="Times New Roman" w:cs="Times New Roman"/>
          <w:color w:val="000000"/>
          <w:spacing w:val="0"/>
          <w:w w:val="100"/>
          <w:position w:val="0"/>
        </w:rPr>
        <w:t>860</w:t>
      </w:r>
      <w:r>
        <w:rPr>
          <w:color w:val="000000"/>
          <w:spacing w:val="0"/>
          <w:w w:val="100"/>
          <w:position w:val="0"/>
        </w:rPr>
        <w:t xml:space="preserve">万股和 </w:t>
      </w:r>
      <w:r>
        <w:rPr>
          <w:rFonts w:ascii="Times New Roman" w:eastAsia="Times New Roman" w:hAnsi="Times New Roman" w:cs="Times New Roman"/>
          <w:color w:val="000000"/>
          <w:spacing w:val="0"/>
          <w:w w:val="100"/>
          <w:position w:val="0"/>
        </w:rPr>
        <w:t>120</w:t>
      </w:r>
      <w:r>
        <w:rPr>
          <w:color w:val="000000"/>
          <w:spacing w:val="0"/>
          <w:w w:val="100"/>
          <w:position w:val="0"/>
        </w:rPr>
        <w:t>万股给成都新兴创业投资有限责任公司和成都三实立科技实业有限公司，同时自然人股东内部也进行 了转让，上述股权转让已在成都市工商行政管理局办理备案登记。转让后，股本结构变化为中国电子科技 集团公司第三十研究所持股</w:t>
      </w:r>
      <w:r>
        <w:rPr>
          <w:rFonts w:ascii="Times New Roman" w:eastAsia="Times New Roman" w:hAnsi="Times New Roman" w:cs="Times New Roman"/>
          <w:color w:val="000000"/>
          <w:spacing w:val="0"/>
          <w:w w:val="100"/>
          <w:position w:val="0"/>
        </w:rPr>
        <w:t>42.96%</w:t>
      </w:r>
      <w:r>
        <w:rPr>
          <w:color w:val="000000"/>
          <w:spacing w:val="0"/>
          <w:w w:val="100"/>
          <w:position w:val="0"/>
        </w:rPr>
        <w:t>，成都新兴创业投资有限责任公司持股</w:t>
      </w:r>
      <w:r>
        <w:rPr>
          <w:rFonts w:ascii="Times New Roman" w:eastAsia="Times New Roman" w:hAnsi="Times New Roman" w:cs="Times New Roman"/>
          <w:color w:val="000000"/>
          <w:spacing w:val="0"/>
          <w:w w:val="100"/>
          <w:position w:val="0"/>
        </w:rPr>
        <w:t>35.31%</w:t>
      </w:r>
      <w:r>
        <w:rPr>
          <w:color w:val="000000"/>
          <w:spacing w:val="0"/>
          <w:w w:val="100"/>
          <w:position w:val="0"/>
        </w:rPr>
        <w:t xml:space="preserve">，西南通信研究所持股 </w:t>
      </w:r>
      <w:r>
        <w:rPr>
          <w:rFonts w:ascii="Times New Roman" w:eastAsia="Times New Roman" w:hAnsi="Times New Roman" w:cs="Times New Roman"/>
          <w:color w:val="000000"/>
          <w:spacing w:val="0"/>
          <w:w w:val="100"/>
          <w:position w:val="0"/>
        </w:rPr>
        <w:t>5%</w:t>
      </w:r>
      <w:r>
        <w:rPr>
          <w:color w:val="000000"/>
          <w:spacing w:val="0"/>
          <w:w w:val="100"/>
          <w:position w:val="0"/>
        </w:rPr>
        <w:t>，成都三实立科技实业有限公司持股</w:t>
      </w:r>
      <w:r>
        <w:rPr>
          <w:rFonts w:ascii="Times New Roman" w:eastAsia="Times New Roman" w:hAnsi="Times New Roman" w:cs="Times New Roman"/>
          <w:color w:val="000000"/>
          <w:spacing w:val="0"/>
          <w:w w:val="100"/>
          <w:position w:val="0"/>
        </w:rPr>
        <w:t>4.93%</w:t>
      </w:r>
      <w:r>
        <w:rPr>
          <w:color w:val="000000"/>
          <w:spacing w:val="0"/>
          <w:w w:val="100"/>
          <w:position w:val="0"/>
        </w:rPr>
        <w:t>,成都西通开发公司持股</w:t>
      </w:r>
      <w:r>
        <w:rPr>
          <w:rFonts w:ascii="Times New Roman" w:eastAsia="Times New Roman" w:hAnsi="Times New Roman" w:cs="Times New Roman"/>
          <w:color w:val="000000"/>
          <w:spacing w:val="0"/>
          <w:w w:val="100"/>
          <w:position w:val="0"/>
        </w:rPr>
        <w:t>2.08%</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名自然人股东持股</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72%</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2002</w:t>
      </w:r>
      <w:r>
        <w:rPr>
          <w:color w:val="000000"/>
          <w:spacing w:val="0"/>
          <w:w w:val="100"/>
          <w:position w:val="0"/>
        </w:rPr>
        <w:t>年实施</w:t>
      </w:r>
      <w:r>
        <w:rPr>
          <w:rFonts w:ascii="Times New Roman" w:eastAsia="Times New Roman" w:hAnsi="Times New Roman" w:cs="Times New Roman"/>
          <w:color w:val="000000"/>
          <w:spacing w:val="0"/>
          <w:w w:val="100"/>
          <w:position w:val="0"/>
        </w:rPr>
        <w:t>2001</w:t>
      </w:r>
      <w:r>
        <w:rPr>
          <w:color w:val="000000"/>
          <w:spacing w:val="0"/>
          <w:w w:val="100"/>
          <w:position w:val="0"/>
        </w:rPr>
        <w:t>年度分配方案，以</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日的累计未分配利润向全体股东每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 xml:space="preserve">4.5 </w:t>
      </w:r>
      <w:r>
        <w:rPr>
          <w:color w:val="000000"/>
          <w:spacing w:val="0"/>
          <w:w w:val="100"/>
          <w:position w:val="0"/>
        </w:rPr>
        <w:t>股，共计派发股票股利</w:t>
      </w:r>
      <w:r>
        <w:rPr>
          <w:rFonts w:ascii="Times New Roman" w:eastAsia="Times New Roman" w:hAnsi="Times New Roman" w:cs="Times New Roman"/>
          <w:color w:val="000000"/>
          <w:spacing w:val="0"/>
          <w:w w:val="100"/>
          <w:position w:val="0"/>
        </w:rPr>
        <w:t>10,960,326.00</w:t>
      </w:r>
      <w:r>
        <w:rPr>
          <w:color w:val="000000"/>
          <w:spacing w:val="0"/>
          <w:w w:val="100"/>
          <w:position w:val="0"/>
        </w:rPr>
        <w:t>元，变更后总股本</w:t>
      </w:r>
      <w:r>
        <w:rPr>
          <w:rFonts w:ascii="Times New Roman" w:eastAsia="Times New Roman" w:hAnsi="Times New Roman" w:cs="Times New Roman"/>
          <w:color w:val="000000"/>
          <w:spacing w:val="0"/>
          <w:w w:val="100"/>
          <w:position w:val="0"/>
        </w:rPr>
        <w:t>35,316,606</w:t>
      </w:r>
      <w:r>
        <w:rPr>
          <w:color w:val="000000"/>
          <w:spacing w:val="0"/>
          <w:w w:val="100"/>
          <w:position w:val="0"/>
        </w:rPr>
        <w:t>股。</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2003</w:t>
      </w:r>
      <w:r>
        <w:rPr>
          <w:color w:val="000000"/>
          <w:spacing w:val="0"/>
          <w:w w:val="100"/>
          <w:position w:val="0"/>
        </w:rPr>
        <w:t>年实施</w:t>
      </w:r>
      <w:r>
        <w:rPr>
          <w:rFonts w:ascii="Times New Roman" w:eastAsia="Times New Roman" w:hAnsi="Times New Roman" w:cs="Times New Roman"/>
          <w:color w:val="000000"/>
          <w:spacing w:val="0"/>
          <w:w w:val="100"/>
          <w:position w:val="0"/>
        </w:rPr>
        <w:t>2002</w:t>
      </w:r>
      <w:r>
        <w:rPr>
          <w:color w:val="000000"/>
          <w:spacing w:val="0"/>
          <w:w w:val="100"/>
          <w:position w:val="0"/>
        </w:rPr>
        <w:t>年度分配方案，以</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日的累计未分配利润向全体股东每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.44 </w:t>
      </w:r>
      <w:r>
        <w:rPr>
          <w:color w:val="000000"/>
          <w:spacing w:val="0"/>
          <w:w w:val="100"/>
          <w:position w:val="0"/>
        </w:rPr>
        <w:t>股，共计派发股票股利</w:t>
      </w:r>
      <w:r>
        <w:rPr>
          <w:rFonts w:ascii="Times New Roman" w:eastAsia="Times New Roman" w:hAnsi="Times New Roman" w:cs="Times New Roman"/>
          <w:color w:val="000000"/>
          <w:spacing w:val="0"/>
          <w:w w:val="100"/>
          <w:position w:val="0"/>
        </w:rPr>
        <w:t>5,085,581.00</w:t>
      </w:r>
      <w:r>
        <w:rPr>
          <w:color w:val="000000"/>
          <w:spacing w:val="0"/>
          <w:w w:val="100"/>
          <w:position w:val="0"/>
        </w:rPr>
        <w:t>元，变更后总股本</w:t>
      </w:r>
      <w:r>
        <w:rPr>
          <w:rFonts w:ascii="Times New Roman" w:eastAsia="Times New Roman" w:hAnsi="Times New Roman" w:cs="Times New Roman"/>
          <w:color w:val="000000"/>
          <w:spacing w:val="0"/>
          <w:w w:val="100"/>
          <w:position w:val="0"/>
        </w:rPr>
        <w:t>40,402,187</w:t>
      </w:r>
      <w:r>
        <w:rPr>
          <w:color w:val="000000"/>
          <w:spacing w:val="0"/>
          <w:w w:val="100"/>
          <w:position w:val="0"/>
        </w:rPr>
        <w:t>股。</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月，成都西通开发公司、西南通信研究所根据中国电子科技集团有限公司电科财（</w:t>
      </w:r>
      <w:r>
        <w:rPr>
          <w:rFonts w:ascii="Times New Roman" w:eastAsia="Times New Roman" w:hAnsi="Times New Roman" w:cs="Times New Roman"/>
          <w:color w:val="000000"/>
          <w:spacing w:val="0"/>
          <w:w w:val="100"/>
          <w:position w:val="0"/>
        </w:rPr>
        <w:t>2003</w:t>
      </w:r>
      <w:r>
        <w:rPr>
          <w:color w:val="000000"/>
          <w:spacing w:val="0"/>
          <w:w w:val="100"/>
          <w:position w:val="0"/>
        </w:rPr>
        <w:t>）</w:t>
      </w:r>
      <w:r>
        <w:rPr>
          <w:rFonts w:ascii="Times New Roman" w:eastAsia="Times New Roman" w:hAnsi="Times New Roman" w:cs="Times New Roman"/>
          <w:color w:val="000000"/>
          <w:spacing w:val="0"/>
          <w:w w:val="100"/>
          <w:position w:val="0"/>
        </w:rPr>
        <w:t xml:space="preserve">093 </w:t>
      </w:r>
      <w:r>
        <w:rPr>
          <w:color w:val="000000"/>
          <w:spacing w:val="0"/>
          <w:w w:val="100"/>
          <w:position w:val="0"/>
        </w:rPr>
        <w:t>号文《关于同意中国电子科技集团公司第三十研究所全资公司进行资本结构调整的批复》，分别与中国电 子科技集团公司第三十研究所签订《股权划转协议》，将持有的本公司</w:t>
      </w:r>
      <w:r>
        <w:rPr>
          <w:rFonts w:ascii="Times New Roman" w:eastAsia="Times New Roman" w:hAnsi="Times New Roman" w:cs="Times New Roman"/>
          <w:color w:val="000000"/>
          <w:spacing w:val="0"/>
          <w:w w:val="100"/>
          <w:position w:val="0"/>
        </w:rPr>
        <w:t>841,011</w:t>
      </w:r>
      <w:r>
        <w:rPr>
          <w:color w:val="000000"/>
          <w:spacing w:val="0"/>
          <w:w w:val="100"/>
          <w:position w:val="0"/>
        </w:rPr>
        <w:t>股、</w:t>
      </w:r>
      <w:r>
        <w:rPr>
          <w:rFonts w:ascii="Times New Roman" w:eastAsia="Times New Roman" w:hAnsi="Times New Roman" w:cs="Times New Roman"/>
          <w:color w:val="000000"/>
          <w:spacing w:val="0"/>
          <w:w w:val="100"/>
          <w:position w:val="0"/>
        </w:rPr>
        <w:t>2,018,427</w:t>
      </w:r>
      <w:r>
        <w:rPr>
          <w:color w:val="000000"/>
          <w:spacing w:val="0"/>
          <w:w w:val="100"/>
          <w:position w:val="0"/>
        </w:rPr>
        <w:t>股的股权无偿 划转归中国电子科技集团公司第三十研究所持有。划转后，公司的股权结构为中国电子科技集团公司第三 十研究所持股</w:t>
      </w:r>
      <w:r>
        <w:rPr>
          <w:rFonts w:ascii="Times New Roman" w:eastAsia="Times New Roman" w:hAnsi="Times New Roman" w:cs="Times New Roman"/>
          <w:color w:val="000000"/>
          <w:spacing w:val="0"/>
          <w:w w:val="100"/>
          <w:position w:val="0"/>
        </w:rPr>
        <w:t>50.04%</w:t>
      </w:r>
      <w:r>
        <w:rPr>
          <w:color w:val="000000"/>
          <w:spacing w:val="0"/>
          <w:w w:val="100"/>
          <w:position w:val="0"/>
        </w:rPr>
        <w:t>，成都新兴创业投资有限责任公司持股</w:t>
      </w:r>
      <w:r>
        <w:rPr>
          <w:rFonts w:ascii="Times New Roman" w:eastAsia="Times New Roman" w:hAnsi="Times New Roman" w:cs="Times New Roman"/>
          <w:color w:val="000000"/>
          <w:spacing w:val="0"/>
          <w:w w:val="100"/>
          <w:position w:val="0"/>
        </w:rPr>
        <w:t>35.31%</w:t>
      </w:r>
      <w:r>
        <w:rPr>
          <w:color w:val="000000"/>
          <w:spacing w:val="0"/>
          <w:w w:val="100"/>
          <w:position w:val="0"/>
        </w:rPr>
        <w:t xml:space="preserve">，成都三实立科技实业有限公司持股 </w:t>
      </w:r>
      <w:r>
        <w:rPr>
          <w:rFonts w:ascii="Times New Roman" w:eastAsia="Times New Roman" w:hAnsi="Times New Roman" w:cs="Times New Roman"/>
          <w:color w:val="000000"/>
          <w:spacing w:val="0"/>
          <w:w w:val="100"/>
          <w:position w:val="0"/>
        </w:rPr>
        <w:t>4.93%</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名自然人股东持股</w:t>
      </w:r>
      <w:r>
        <w:rPr>
          <w:rFonts w:ascii="Times New Roman" w:eastAsia="Times New Roman" w:hAnsi="Times New Roman" w:cs="Times New Roman"/>
          <w:color w:val="000000"/>
          <w:spacing w:val="0"/>
          <w:w w:val="100"/>
          <w:position w:val="0"/>
        </w:rPr>
        <w:t>9.72%</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2004</w:t>
      </w:r>
      <w:r>
        <w:rPr>
          <w:color w:val="000000"/>
          <w:spacing w:val="0"/>
          <w:w w:val="100"/>
          <w:position w:val="0"/>
        </w:rPr>
        <w:t>年实施</w:t>
      </w:r>
      <w:r>
        <w:rPr>
          <w:rFonts w:ascii="Times New Roman" w:eastAsia="Times New Roman" w:hAnsi="Times New Roman" w:cs="Times New Roman"/>
          <w:color w:val="000000"/>
          <w:spacing w:val="0"/>
          <w:w w:val="100"/>
          <w:position w:val="0"/>
        </w:rPr>
        <w:t>2003</w:t>
      </w:r>
      <w:r>
        <w:rPr>
          <w:color w:val="000000"/>
          <w:spacing w:val="0"/>
          <w:w w:val="100"/>
          <w:position w:val="0"/>
        </w:rPr>
        <w:t>年度分配方案，用</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日的累计未分配利润向全体股东每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w:t>
      </w:r>
      <w:r>
        <w:rPr>
          <w:color w:val="000000"/>
          <w:spacing w:val="0"/>
          <w:w w:val="100"/>
          <w:position w:val="0"/>
        </w:rPr>
        <w:t>股，共计 派发股票股利</w:t>
      </w:r>
      <w:r>
        <w:rPr>
          <w:rFonts w:ascii="Times New Roman" w:eastAsia="Times New Roman" w:hAnsi="Times New Roman" w:cs="Times New Roman"/>
          <w:color w:val="000000"/>
          <w:spacing w:val="0"/>
          <w:w w:val="100"/>
          <w:position w:val="0"/>
        </w:rPr>
        <w:t>9,696,518.00</w:t>
      </w:r>
      <w:r>
        <w:rPr>
          <w:color w:val="000000"/>
          <w:spacing w:val="0"/>
          <w:w w:val="100"/>
          <w:position w:val="0"/>
        </w:rPr>
        <w:t>元，变更后总股本</w:t>
      </w:r>
      <w:r>
        <w:rPr>
          <w:rFonts w:ascii="Times New Roman" w:eastAsia="Times New Roman" w:hAnsi="Times New Roman" w:cs="Times New Roman"/>
          <w:color w:val="000000"/>
          <w:spacing w:val="0"/>
          <w:w w:val="100"/>
          <w:position w:val="0"/>
        </w:rPr>
        <w:t>50,098,705</w:t>
      </w:r>
      <w:r>
        <w:rPr>
          <w:color w:val="000000"/>
          <w:spacing w:val="0"/>
          <w:w w:val="100"/>
          <w:position w:val="0"/>
        </w:rPr>
        <w:t>股。</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2007</w:t>
      </w:r>
      <w:r>
        <w:rPr>
          <w:color w:val="000000"/>
          <w:spacing w:val="0"/>
          <w:w w:val="100"/>
          <w:position w:val="0"/>
        </w:rPr>
        <w:t>年第三次临时股东大会决议和中国证券监督管理委员会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 xml:space="preserve">证监许 </w:t>
      </w:r>
      <w:r>
        <w:rPr>
          <w:color w:val="000000"/>
          <w:spacing w:val="0"/>
          <w:w w:val="100"/>
          <w:position w:val="0"/>
        </w:rPr>
        <w:t>可</w:t>
      </w:r>
      <w:r>
        <w:rPr>
          <w:rFonts w:ascii="Times New Roman" w:eastAsia="Times New Roman" w:hAnsi="Times New Roman" w:cs="Times New Roman"/>
          <w:color w:val="000000"/>
          <w:spacing w:val="0"/>
          <w:w w:val="100"/>
          <w:position w:val="0"/>
        </w:rPr>
        <w:t>[2008]926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日首次公开发行</w:t>
      </w:r>
      <w:r>
        <w:rPr>
          <w:rFonts w:ascii="Times New Roman" w:eastAsia="Times New Roman" w:hAnsi="Times New Roman" w:cs="Times New Roman"/>
          <w:color w:val="000000"/>
          <w:spacing w:val="0"/>
          <w:w w:val="100"/>
          <w:position w:val="0"/>
        </w:rPr>
        <w:t>17,000,000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股），发行价格 为</w:t>
      </w:r>
      <w:r>
        <w:rPr>
          <w:rFonts w:ascii="Times New Roman" w:eastAsia="Times New Roman" w:hAnsi="Times New Roman" w:cs="Times New Roman"/>
          <w:color w:val="000000"/>
          <w:spacing w:val="0"/>
          <w:w w:val="100"/>
          <w:position w:val="0"/>
        </w:rPr>
        <w:t>12.12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股。公司申请增加股本</w:t>
      </w:r>
      <w:r>
        <w:rPr>
          <w:rFonts w:ascii="Times New Roman" w:eastAsia="Times New Roman" w:hAnsi="Times New Roman" w:cs="Times New Roman"/>
          <w:color w:val="000000"/>
          <w:spacing w:val="0"/>
          <w:w w:val="100"/>
          <w:position w:val="0"/>
        </w:rPr>
        <w:t>17,000,000</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67,098,705</w:t>
      </w:r>
      <w:r>
        <w:rPr>
          <w:color w:val="000000"/>
          <w:spacing w:val="0"/>
          <w:w w:val="100"/>
          <w:position w:val="0"/>
        </w:rPr>
        <w:t>股。</w:t>
      </w:r>
    </w:p>
    <w:p>
      <w:pPr>
        <w:pStyle w:val="Style34"/>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 xml:space="preserve">年公司实施了 </w:t>
      </w:r>
      <w:r>
        <w:rPr>
          <w:rFonts w:ascii="Times New Roman" w:eastAsia="Times New Roman" w:hAnsi="Times New Roman" w:cs="Times New Roman"/>
          <w:color w:val="000000"/>
          <w:spacing w:val="0"/>
          <w:w w:val="100"/>
          <w:position w:val="0"/>
        </w:rPr>
        <w:t>2008</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67,098,705</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80,518,446</w:t>
      </w:r>
      <w:r>
        <w:rPr>
          <w:color w:val="000000"/>
          <w:spacing w:val="0"/>
          <w:w w:val="100"/>
          <w:position w:val="0"/>
        </w:rPr>
        <w:t>股。</w:t>
      </w:r>
    </w:p>
    <w:p>
      <w:pPr>
        <w:pStyle w:val="Style34"/>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 xml:space="preserve">年公司实施了 </w:t>
      </w:r>
      <w:r>
        <w:rPr>
          <w:rFonts w:ascii="Times New Roman" w:eastAsia="Times New Roman" w:hAnsi="Times New Roman" w:cs="Times New Roman"/>
          <w:color w:val="000000"/>
          <w:spacing w:val="0"/>
          <w:w w:val="100"/>
          <w:position w:val="0"/>
        </w:rPr>
        <w:t>2009</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80,518,446</w:t>
      </w:r>
      <w:r>
        <w:rPr>
          <w:color w:val="000000"/>
          <w:spacing w:val="0"/>
          <w:w w:val="100"/>
          <w:position w:val="0"/>
        </w:rPr>
        <w:t>股为基数，以资本 公积金和未分配利润向全体股东每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rFonts w:ascii="Times New Roman" w:eastAsia="Times New Roman" w:hAnsi="Times New Roman" w:cs="Times New Roman"/>
          <w:color w:val="000000"/>
          <w:spacing w:val="0"/>
          <w:w w:val="100"/>
          <w:position w:val="0"/>
        </w:rPr>
        <w:t>5</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132,855,435</w:t>
      </w:r>
      <w:r>
        <w:rPr>
          <w:color w:val="000000"/>
          <w:spacing w:val="0"/>
          <w:w w:val="100"/>
          <w:position w:val="0"/>
        </w:rPr>
        <w:t>股。</w:t>
      </w:r>
    </w:p>
    <w:p>
      <w:pPr>
        <w:pStyle w:val="Style34"/>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年公司实施了</w:t>
      </w:r>
      <w:r>
        <w:rPr>
          <w:rFonts w:ascii="Times New Roman" w:eastAsia="Times New Roman" w:hAnsi="Times New Roman" w:cs="Times New Roman"/>
          <w:color w:val="000000"/>
          <w:spacing w:val="0"/>
          <w:w w:val="100"/>
          <w:position w:val="0"/>
        </w:rPr>
        <w:t>2010</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132,855,435</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172,712,065</w:t>
      </w:r>
      <w:r>
        <w:rPr>
          <w:color w:val="000000"/>
          <w:spacing w:val="0"/>
          <w:w w:val="100"/>
          <w:position w:val="0"/>
        </w:rPr>
        <w:t>股。</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年第一次临时股东大会决议和中国证券监督管理委员会证监许 可</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729</w:t>
      </w:r>
      <w:r>
        <w:rPr>
          <w:color w:val="000000"/>
          <w:spacing w:val="0"/>
          <w:w w:val="100"/>
          <w:position w:val="0"/>
        </w:rPr>
        <w:t>号《关于核准成都卫士通信息产业股份有限公司向中国电子科技集团公司第三十研究所等 发行股份购买资产并募集配套资金的批复》</w:t>
      </w:r>
      <w:r>
        <w:rPr>
          <w:i/>
          <w:iCs/>
          <w:color w:val="000000"/>
          <w:spacing w:val="0"/>
          <w:w w:val="100"/>
          <w:position w:val="0"/>
        </w:rPr>
        <w:t>，</w:t>
      </w:r>
      <w:r>
        <w:rPr>
          <w:color w:val="000000"/>
          <w:spacing w:val="0"/>
          <w:w w:val="100"/>
          <w:position w:val="0"/>
        </w:rPr>
        <w:t>公司采取非公开发行股票的方式向中国电子科技集团公司第 三十研究所、四川蜀祥创业投资有限公司（现更名为四川发展投资有限公司）和成都国信安信息产业基地 有限公司发行股份，申请增加注册资本人民币</w:t>
      </w:r>
      <w:r>
        <w:rPr>
          <w:rFonts w:ascii="Times New Roman" w:eastAsia="Times New Roman" w:hAnsi="Times New Roman" w:cs="Times New Roman"/>
          <w:color w:val="000000"/>
          <w:spacing w:val="0"/>
          <w:w w:val="100"/>
          <w:position w:val="0"/>
        </w:rPr>
        <w:t>32,662,580.00</w:t>
      </w:r>
      <w:r>
        <w:rPr>
          <w:color w:val="000000"/>
          <w:spacing w:val="0"/>
          <w:w w:val="100"/>
          <w:position w:val="0"/>
        </w:rPr>
        <w:t xml:space="preserve">元，变更后的注册资本（股本）为人民币 </w:t>
      </w:r>
      <w:r>
        <w:rPr>
          <w:rFonts w:ascii="Times New Roman" w:eastAsia="Times New Roman" w:hAnsi="Times New Roman" w:cs="Times New Roman"/>
          <w:color w:val="000000"/>
          <w:spacing w:val="0"/>
          <w:w w:val="100"/>
          <w:position w:val="0"/>
        </w:rPr>
        <w:t>205,374,645.00</w:t>
      </w:r>
      <w:r>
        <w:rPr>
          <w:color w:val="000000"/>
          <w:spacing w:val="0"/>
          <w:w w:val="100"/>
          <w:position w:val="0"/>
        </w:rPr>
        <w:t>元。增资后的股权结构为中国电子科技集团公司第三十研究所出资人民币</w:t>
      </w:r>
      <w:r>
        <w:rPr>
          <w:rFonts w:ascii="Times New Roman" w:eastAsia="Times New Roman" w:hAnsi="Times New Roman" w:cs="Times New Roman"/>
          <w:color w:val="000000"/>
          <w:spacing w:val="0"/>
          <w:w w:val="100"/>
          <w:position w:val="0"/>
        </w:rPr>
        <w:t>82,994,968.00</w:t>
      </w:r>
      <w:r>
        <w:rPr>
          <w:color w:val="000000"/>
          <w:spacing w:val="0"/>
          <w:w w:val="100"/>
          <w:position w:val="0"/>
        </w:rPr>
        <w:t>元， 占注册资本</w:t>
      </w:r>
      <w:r>
        <w:rPr>
          <w:rFonts w:ascii="Times New Roman" w:eastAsia="Times New Roman" w:hAnsi="Times New Roman" w:cs="Times New Roman"/>
          <w:color w:val="000000"/>
          <w:spacing w:val="0"/>
          <w:w w:val="100"/>
          <w:position w:val="0"/>
        </w:rPr>
        <w:t>40.40%</w:t>
      </w:r>
      <w:r>
        <w:rPr>
          <w:color w:val="000000"/>
          <w:spacing w:val="0"/>
          <w:w w:val="100"/>
          <w:position w:val="0"/>
        </w:rPr>
        <w:t>；成都国信安信息产业基地有限公司出资人民币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,715,123.00</w:t>
      </w:r>
      <w:r>
        <w:rPr>
          <w:color w:val="000000"/>
          <w:spacing w:val="0"/>
          <w:w w:val="100"/>
          <w:position w:val="0"/>
        </w:rPr>
        <w:t>元，占注册资本</w:t>
      </w:r>
      <w:r>
        <w:rPr>
          <w:rFonts w:ascii="Times New Roman" w:eastAsia="Times New Roman" w:hAnsi="Times New Roman" w:cs="Times New Roman"/>
          <w:color w:val="000000"/>
          <w:spacing w:val="0"/>
          <w:w w:val="100"/>
          <w:position w:val="0"/>
        </w:rPr>
        <w:t>0.84%</w:t>
      </w:r>
      <w:r>
        <w:rPr>
          <w:color w:val="000000"/>
          <w:spacing w:val="0"/>
          <w:w w:val="100"/>
          <w:position w:val="0"/>
        </w:rPr>
        <w:t>；四 川发展投资有限公司出资人民币</w:t>
      </w:r>
      <w:r>
        <w:rPr>
          <w:rFonts w:ascii="Times New Roman" w:eastAsia="Times New Roman" w:hAnsi="Times New Roman" w:cs="Times New Roman"/>
          <w:color w:val="000000"/>
          <w:spacing w:val="0"/>
          <w:w w:val="100"/>
          <w:position w:val="0"/>
        </w:rPr>
        <w:t>8,107,426.00</w:t>
      </w:r>
      <w:r>
        <w:rPr>
          <w:color w:val="000000"/>
          <w:spacing w:val="0"/>
          <w:w w:val="100"/>
          <w:position w:val="0"/>
        </w:rPr>
        <w:t>元，占注册资本</w:t>
      </w:r>
      <w:r>
        <w:rPr>
          <w:rFonts w:ascii="Times New Roman" w:eastAsia="Times New Roman" w:hAnsi="Times New Roman" w:cs="Times New Roman"/>
          <w:color w:val="000000"/>
          <w:spacing w:val="0"/>
          <w:w w:val="100"/>
          <w:position w:val="0"/>
        </w:rPr>
        <w:t xml:space="preserve">3.95% </w:t>
      </w:r>
      <w:r>
        <w:rPr>
          <w:color w:val="000000"/>
          <w:spacing w:val="0"/>
          <w:w w:val="100"/>
          <w:position w:val="0"/>
        </w:rPr>
        <w:t xml:space="preserve">；其他社会公众股出资人民币 </w:t>
      </w:r>
      <w:r>
        <w:rPr>
          <w:rFonts w:ascii="Times New Roman" w:eastAsia="Times New Roman" w:hAnsi="Times New Roman" w:cs="Times New Roman"/>
          <w:color w:val="000000"/>
          <w:spacing w:val="0"/>
          <w:w w:val="100"/>
          <w:position w:val="0"/>
        </w:rPr>
        <w:t>112,557,128.00</w:t>
      </w:r>
      <w:r>
        <w:rPr>
          <w:color w:val="000000"/>
          <w:spacing w:val="0"/>
          <w:w w:val="100"/>
          <w:position w:val="0"/>
        </w:rPr>
        <w:t>元，占注册资本</w:t>
      </w:r>
      <w:r>
        <w:rPr>
          <w:rFonts w:ascii="Times New Roman" w:eastAsia="Times New Roman" w:hAnsi="Times New Roman" w:cs="Times New Roman"/>
          <w:color w:val="000000"/>
          <w:spacing w:val="0"/>
          <w:w w:val="100"/>
          <w:position w:val="0"/>
        </w:rPr>
        <w:t>54.81%</w:t>
      </w:r>
      <w:r>
        <w:rPr>
          <w:color w:val="000000"/>
          <w:spacing w:val="0"/>
          <w:w w:val="100"/>
          <w:position w:val="0"/>
        </w:rPr>
        <w:t>。以上增资已经中天运会计师事务所（特殊普通合伙）审验，并于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日出具中天运〔</w:t>
      </w:r>
      <w:r>
        <w:rPr>
          <w:rFonts w:ascii="Times New Roman" w:eastAsia="Times New Roman" w:hAnsi="Times New Roman" w:cs="Times New Roman"/>
          <w:color w:val="000000"/>
          <w:spacing w:val="0"/>
          <w:w w:val="100"/>
          <w:position w:val="0"/>
        </w:rPr>
        <w:t>2014</w:t>
      </w:r>
      <w:r>
        <w:rPr>
          <w:color w:val="000000"/>
          <w:spacing w:val="0"/>
          <w:w w:val="100"/>
          <w:position w:val="0"/>
        </w:rPr>
        <w:t>〕验字第</w:t>
      </w:r>
      <w:r>
        <w:rPr>
          <w:rFonts w:ascii="Times New Roman" w:eastAsia="Times New Roman" w:hAnsi="Times New Roman" w:cs="Times New Roman"/>
          <w:color w:val="000000"/>
          <w:spacing w:val="0"/>
          <w:w w:val="100"/>
          <w:position w:val="0"/>
        </w:rPr>
        <w:t>90026</w:t>
      </w:r>
      <w:r>
        <w:rPr>
          <w:color w:val="000000"/>
          <w:spacing w:val="0"/>
          <w:w w:val="100"/>
          <w:position w:val="0"/>
        </w:rPr>
        <w:t>号验资报告。</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根据中国证券监督管理委员会《关于核准成都卫士通信息产业股份有限公司向中国电子科技集团第三 十研究所等发行股份购买资产并募集配套资金的批复》（证监许可</w:t>
      </w:r>
      <w:r>
        <w:rPr>
          <w:rFonts w:ascii="Times New Roman" w:eastAsia="Times New Roman" w:hAnsi="Times New Roman" w:cs="Times New Roman"/>
          <w:color w:val="000000"/>
          <w:spacing w:val="0"/>
          <w:w w:val="100"/>
          <w:position w:val="0"/>
        </w:rPr>
        <w:t>[2014]729</w:t>
      </w:r>
      <w:r>
        <w:rPr>
          <w:color w:val="000000"/>
          <w:spacing w:val="0"/>
          <w:w w:val="100"/>
          <w:position w:val="0"/>
        </w:rPr>
        <w:t>号）、《成都卫士通信息产业 股份有限公司二零一四年第一次临时股东大会决议》和《成都卫士通信息产业股份有限公司第五届董事会 第二十四次会议决议》，公司向中国电子科技集团公司第三十研究所非公开发行人民币普通股</w:t>
      </w:r>
      <w:r>
        <w:rPr>
          <w:rFonts w:ascii="Times New Roman" w:eastAsia="Times New Roman" w:hAnsi="Times New Roman" w:cs="Times New Roman"/>
          <w:color w:val="000000"/>
          <w:spacing w:val="0"/>
          <w:w w:val="100"/>
          <w:position w:val="0"/>
        </w:rPr>
        <w:t xml:space="preserve">10,887,028 </w:t>
      </w:r>
      <w:r>
        <w:rPr>
          <w:color w:val="000000"/>
          <w:spacing w:val="0"/>
          <w:w w:val="100"/>
          <w:position w:val="0"/>
        </w:rPr>
        <w:t>股（每股发行价</w:t>
      </w:r>
      <w:r>
        <w:rPr>
          <w:rFonts w:ascii="Times New Roman" w:eastAsia="Times New Roman" w:hAnsi="Times New Roman" w:cs="Times New Roman"/>
          <w:color w:val="000000"/>
          <w:spacing w:val="0"/>
          <w:w w:val="100"/>
          <w:position w:val="0"/>
        </w:rPr>
        <w:t>18.05</w:t>
      </w:r>
      <w:r>
        <w:rPr>
          <w:color w:val="000000"/>
          <w:spacing w:val="0"/>
          <w:w w:val="100"/>
          <w:position w:val="0"/>
        </w:rPr>
        <w:t>元），申请增加注册资本</w:t>
      </w:r>
      <w:r>
        <w:rPr>
          <w:rFonts w:ascii="Times New Roman" w:eastAsia="Times New Roman" w:hAnsi="Times New Roman" w:cs="Times New Roman"/>
          <w:color w:val="000000"/>
          <w:spacing w:val="0"/>
          <w:w w:val="100"/>
          <w:position w:val="0"/>
        </w:rPr>
        <w:t>10,887,028.00</w:t>
      </w:r>
      <w:r>
        <w:rPr>
          <w:color w:val="000000"/>
          <w:spacing w:val="0"/>
          <w:w w:val="100"/>
          <w:position w:val="0"/>
        </w:rPr>
        <w:t xml:space="preserve">元，变更后的注册资本（股本）为人民币 </w:t>
      </w:r>
      <w:r>
        <w:rPr>
          <w:rFonts w:ascii="Times New Roman" w:eastAsia="Times New Roman" w:hAnsi="Times New Roman" w:cs="Times New Roman"/>
          <w:color w:val="000000"/>
          <w:spacing w:val="0"/>
          <w:w w:val="100"/>
          <w:position w:val="0"/>
        </w:rPr>
        <w:t>216,261,673.00</w:t>
      </w:r>
      <w:r>
        <w:rPr>
          <w:color w:val="000000"/>
          <w:spacing w:val="0"/>
          <w:w w:val="100"/>
          <w:position w:val="0"/>
        </w:rPr>
        <w:t>元。增资后的股权结构为中国电子科技集团公司第三十研究所出资人民币</w:t>
      </w:r>
      <w:r>
        <w:rPr>
          <w:rFonts w:ascii="Times New Roman" w:eastAsia="Times New Roman" w:hAnsi="Times New Roman" w:cs="Times New Roman"/>
          <w:color w:val="000000"/>
          <w:spacing w:val="0"/>
          <w:w w:val="100"/>
          <w:position w:val="0"/>
        </w:rPr>
        <w:t>93,881,996.</w:t>
      </w:r>
      <w:r>
        <w:rPr>
          <w:rFonts w:ascii="Times New Roman" w:eastAsia="Times New Roman" w:hAnsi="Times New Roman" w:cs="Times New Roman"/>
          <w:color w:val="000000"/>
          <w:spacing w:val="0"/>
          <w:w w:val="100"/>
          <w:position w:val="0"/>
        </w:rPr>
        <w:t>00</w:t>
      </w:r>
      <w:r>
        <w:rPr>
          <w:color w:val="000000"/>
          <w:spacing w:val="0"/>
          <w:w w:val="100"/>
          <w:position w:val="0"/>
        </w:rPr>
        <w:t>元， 占注册资本</w:t>
      </w:r>
      <w:r>
        <w:rPr>
          <w:rFonts w:ascii="Times New Roman" w:eastAsia="Times New Roman" w:hAnsi="Times New Roman" w:cs="Times New Roman"/>
          <w:color w:val="000000"/>
          <w:spacing w:val="0"/>
          <w:w w:val="100"/>
          <w:position w:val="0"/>
        </w:rPr>
        <w:t>43.41%</w:t>
      </w:r>
      <w:r>
        <w:rPr>
          <w:color w:val="000000"/>
          <w:spacing w:val="0"/>
          <w:w w:val="100"/>
          <w:position w:val="0"/>
        </w:rPr>
        <w:t>；成都国信安信息产业基地有限公司出资人民币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,715,123.00</w:t>
      </w:r>
      <w:r>
        <w:rPr>
          <w:color w:val="000000"/>
          <w:spacing w:val="0"/>
          <w:w w:val="100"/>
          <w:position w:val="0"/>
        </w:rPr>
        <w:t>元，占注册资本</w:t>
      </w:r>
      <w:r>
        <w:rPr>
          <w:rFonts w:ascii="Times New Roman" w:eastAsia="Times New Roman" w:hAnsi="Times New Roman" w:cs="Times New Roman"/>
          <w:color w:val="000000"/>
          <w:spacing w:val="0"/>
          <w:w w:val="100"/>
          <w:position w:val="0"/>
        </w:rPr>
        <w:t>0.79%</w:t>
      </w:r>
      <w:r>
        <w:rPr>
          <w:color w:val="000000"/>
          <w:spacing w:val="0"/>
          <w:w w:val="100"/>
          <w:position w:val="0"/>
        </w:rPr>
        <w:t>；四 川发展投资有限公司出资人民币</w:t>
      </w:r>
      <w:r>
        <w:rPr>
          <w:rFonts w:ascii="Times New Roman" w:eastAsia="Times New Roman" w:hAnsi="Times New Roman" w:cs="Times New Roman"/>
          <w:color w:val="000000"/>
          <w:spacing w:val="0"/>
          <w:w w:val="100"/>
          <w:position w:val="0"/>
        </w:rPr>
        <w:t>8,107,426.00</w:t>
      </w:r>
      <w:r>
        <w:rPr>
          <w:color w:val="000000"/>
          <w:spacing w:val="0"/>
          <w:w w:val="100"/>
          <w:position w:val="0"/>
        </w:rPr>
        <w:t>元，占注册资本</w:t>
      </w:r>
      <w:r>
        <w:rPr>
          <w:rFonts w:ascii="Times New Roman" w:eastAsia="Times New Roman" w:hAnsi="Times New Roman" w:cs="Times New Roman"/>
          <w:color w:val="000000"/>
          <w:spacing w:val="0"/>
          <w:w w:val="100"/>
          <w:position w:val="0"/>
        </w:rPr>
        <w:t xml:space="preserve">3.75% </w:t>
      </w:r>
      <w:r>
        <w:rPr>
          <w:color w:val="000000"/>
          <w:spacing w:val="0"/>
          <w:w w:val="100"/>
          <w:position w:val="0"/>
        </w:rPr>
        <w:t xml:space="preserve">；其他社会公众股出资人民币 </w:t>
      </w:r>
      <w:r>
        <w:rPr>
          <w:rFonts w:ascii="Times New Roman" w:eastAsia="Times New Roman" w:hAnsi="Times New Roman" w:cs="Times New Roman"/>
          <w:color w:val="000000"/>
          <w:spacing w:val="0"/>
          <w:w w:val="100"/>
          <w:position w:val="0"/>
        </w:rPr>
        <w:t>112,557,128.00</w:t>
      </w:r>
      <w:r>
        <w:rPr>
          <w:color w:val="000000"/>
          <w:spacing w:val="0"/>
          <w:w w:val="100"/>
          <w:position w:val="0"/>
        </w:rPr>
        <w:t>元，占注册资本</w:t>
      </w:r>
      <w:r>
        <w:rPr>
          <w:rFonts w:ascii="Times New Roman" w:eastAsia="Times New Roman" w:hAnsi="Times New Roman" w:cs="Times New Roman"/>
          <w:color w:val="000000"/>
          <w:spacing w:val="0"/>
          <w:w w:val="100"/>
          <w:position w:val="0"/>
        </w:rPr>
        <w:t>52.05%</w:t>
      </w:r>
      <w:r>
        <w:rPr>
          <w:color w:val="000000"/>
          <w:spacing w:val="0"/>
          <w:w w:val="100"/>
          <w:position w:val="0"/>
        </w:rPr>
        <w:t>。以上增资已经中天运会计师事务所（特殊普通合伙）审验，并于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日出具中天运〔</w:t>
      </w:r>
      <w:r>
        <w:rPr>
          <w:rFonts w:ascii="Times New Roman" w:eastAsia="Times New Roman" w:hAnsi="Times New Roman" w:cs="Times New Roman"/>
          <w:color w:val="000000"/>
          <w:spacing w:val="0"/>
          <w:w w:val="100"/>
          <w:position w:val="0"/>
        </w:rPr>
        <w:t>2014</w:t>
      </w:r>
      <w:r>
        <w:rPr>
          <w:color w:val="000000"/>
          <w:spacing w:val="0"/>
          <w:w w:val="100"/>
          <w:position w:val="0"/>
        </w:rPr>
        <w:t>〕验字第</w:t>
      </w:r>
      <w:r>
        <w:rPr>
          <w:rFonts w:ascii="Times New Roman" w:eastAsia="Times New Roman" w:hAnsi="Times New Roman" w:cs="Times New Roman"/>
          <w:color w:val="000000"/>
          <w:spacing w:val="0"/>
          <w:w w:val="100"/>
          <w:position w:val="0"/>
        </w:rPr>
        <w:t>90041</w:t>
      </w:r>
      <w:r>
        <w:rPr>
          <w:color w:val="000000"/>
          <w:spacing w:val="0"/>
          <w:w w:val="100"/>
          <w:position w:val="0"/>
        </w:rPr>
        <w:t>号验资报告。本公司上述变更已于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日完成工商 变更登记手续，并取得</w:t>
      </w:r>
      <w:r>
        <w:rPr>
          <w:rFonts w:ascii="Times New Roman" w:eastAsia="Times New Roman" w:hAnsi="Times New Roman" w:cs="Times New Roman"/>
          <w:color w:val="000000"/>
          <w:spacing w:val="0"/>
          <w:w w:val="100"/>
          <w:position w:val="0"/>
        </w:rPr>
        <w:t>510109000045289</w:t>
      </w:r>
      <w:r>
        <w:rPr>
          <w:color w:val="000000"/>
          <w:spacing w:val="0"/>
          <w:w w:val="100"/>
          <w:position w:val="0"/>
        </w:rPr>
        <w:t>号营业执照。</w:t>
      </w:r>
    </w:p>
    <w:p>
      <w:pPr>
        <w:pStyle w:val="Style34"/>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年公司实施了</w:t>
      </w:r>
      <w:r>
        <w:rPr>
          <w:rFonts w:ascii="Times New Roman" w:eastAsia="Times New Roman" w:hAnsi="Times New Roman" w:cs="Times New Roman"/>
          <w:color w:val="000000"/>
          <w:spacing w:val="0"/>
          <w:w w:val="100"/>
          <w:position w:val="0"/>
        </w:rPr>
        <w:t>2014</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216,261,673</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432,523,346</w:t>
      </w:r>
      <w:r>
        <w:rPr>
          <w:color w:val="000000"/>
          <w:spacing w:val="0"/>
          <w:w w:val="100"/>
          <w:position w:val="0"/>
        </w:rPr>
        <w:t>股。</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根据中国证券监督管理委员会《关于核准豁免中国电子科技网络信息安全有限公司要约收购成都卫士 通信息产业股份有限公司股份义务的批复》（证监许可</w:t>
      </w:r>
      <w:r>
        <w:rPr>
          <w:rFonts w:ascii="Times New Roman" w:eastAsia="Times New Roman" w:hAnsi="Times New Roman" w:cs="Times New Roman"/>
          <w:color w:val="000000"/>
          <w:spacing w:val="0"/>
          <w:w w:val="100"/>
          <w:position w:val="0"/>
        </w:rPr>
        <w:t>[2015]2190</w:t>
      </w:r>
      <w:r>
        <w:rPr>
          <w:color w:val="000000"/>
          <w:spacing w:val="0"/>
          <w:w w:val="100"/>
          <w:position w:val="0"/>
        </w:rPr>
        <w:t>号）、国务院国有资产监督管理委员会 《关于无偿划转中国电子科技集团公司第三十研究所和成都国信安信息产业基地有限公司所持成都卫士 通信息产业股份有限公司股份有关问题的批复》（国资产权</w:t>
      </w:r>
      <w:r>
        <w:rPr>
          <w:rFonts w:ascii="Times New Roman" w:eastAsia="Times New Roman" w:hAnsi="Times New Roman" w:cs="Times New Roman"/>
          <w:color w:val="000000"/>
          <w:spacing w:val="0"/>
          <w:w w:val="100"/>
          <w:position w:val="0"/>
        </w:rPr>
        <w:t>[2015]877</w:t>
      </w:r>
      <w:r>
        <w:rPr>
          <w:color w:val="000000"/>
          <w:spacing w:val="0"/>
          <w:w w:val="100"/>
          <w:position w:val="0"/>
        </w:rPr>
        <w:t>号），中国电子科技集团公司第三十 研究所和成都国信安信息产业基地有限公司将其分别持有的公司</w:t>
      </w:r>
      <w:r>
        <w:rPr>
          <w:rFonts w:ascii="Times New Roman" w:eastAsia="Times New Roman" w:hAnsi="Times New Roman" w:cs="Times New Roman"/>
          <w:color w:val="000000"/>
          <w:spacing w:val="0"/>
          <w:w w:val="100"/>
          <w:position w:val="0"/>
        </w:rPr>
        <w:t>18776.399</w:t>
      </w:r>
      <w:r>
        <w:rPr>
          <w:rFonts w:ascii="Times New Roman" w:eastAsia="Times New Roman" w:hAnsi="Times New Roman" w:cs="Times New Roman"/>
          <w:color w:val="000000"/>
          <w:spacing w:val="0"/>
          <w:w w:val="100"/>
          <w:position w:val="0"/>
        </w:rPr>
        <w:t>2</w:t>
      </w:r>
      <w:r>
        <w:rPr>
          <w:color w:val="000000"/>
          <w:spacing w:val="0"/>
          <w:w w:val="100"/>
          <w:position w:val="0"/>
        </w:rPr>
        <w:t>万股股份和</w:t>
      </w:r>
      <w:r>
        <w:rPr>
          <w:rFonts w:ascii="Times New Roman" w:eastAsia="Times New Roman" w:hAnsi="Times New Roman" w:cs="Times New Roman"/>
          <w:color w:val="000000"/>
          <w:spacing w:val="0"/>
          <w:w w:val="100"/>
          <w:position w:val="0"/>
        </w:rPr>
        <w:t>343.0246</w:t>
      </w:r>
      <w:r>
        <w:rPr>
          <w:color w:val="000000"/>
          <w:spacing w:val="0"/>
          <w:w w:val="100"/>
          <w:position w:val="0"/>
        </w:rPr>
        <w:t>万股股 份无偿划转给中国电子科技网络信息安全有限公司持有。本次股份划转后，公司总股本不变，中国电子科 技集团公司第三十研究所和成都国信安信息产业基地有限公司不再持有公司股份，中国电子科技网络信息 安全有限公司持有公司</w:t>
      </w:r>
      <w:r>
        <w:rPr>
          <w:rFonts w:ascii="Times New Roman" w:eastAsia="Times New Roman" w:hAnsi="Times New Roman" w:cs="Times New Roman"/>
          <w:color w:val="000000"/>
          <w:spacing w:val="0"/>
          <w:w w:val="100"/>
          <w:position w:val="0"/>
        </w:rPr>
        <w:t>19,119.4238</w:t>
      </w:r>
      <w:r>
        <w:rPr>
          <w:color w:val="000000"/>
          <w:spacing w:val="0"/>
          <w:w w:val="100"/>
          <w:position w:val="0"/>
        </w:rPr>
        <w:t>万股股份，占总股本的</w:t>
      </w:r>
      <w:r>
        <w:rPr>
          <w:rFonts w:ascii="Times New Roman" w:eastAsia="Times New Roman" w:hAnsi="Times New Roman" w:cs="Times New Roman"/>
          <w:color w:val="000000"/>
          <w:spacing w:val="0"/>
          <w:w w:val="100"/>
          <w:position w:val="0"/>
        </w:rPr>
        <w:t>44.20%</w:t>
      </w:r>
      <w:r>
        <w:rPr>
          <w:color w:val="000000"/>
          <w:spacing w:val="0"/>
          <w:w w:val="100"/>
          <w:position w:val="0"/>
        </w:rPr>
        <w:t>。公司实际控制人未发生变更，仍为中 国电子科技集团有限公司。</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根据中国证券监督管理委员会《关于核准成都卫士通信息产业股份有限公司非公开发行股票的批复》 （证监许可</w:t>
      </w:r>
      <w:r>
        <w:rPr>
          <w:rFonts w:ascii="Times New Roman" w:eastAsia="Times New Roman" w:hAnsi="Times New Roman" w:cs="Times New Roman"/>
          <w:color w:val="000000"/>
          <w:spacing w:val="0"/>
          <w:w w:val="100"/>
          <w:position w:val="0"/>
        </w:rPr>
        <w:t>[2016]3214</w:t>
      </w:r>
      <w:r>
        <w:rPr>
          <w:color w:val="000000"/>
          <w:spacing w:val="0"/>
          <w:w w:val="100"/>
          <w:position w:val="0"/>
        </w:rPr>
        <w:t>号）、国务院国有资产监督管理委员会《关于成都卫士通信息产业股份有限公司非 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股股票有关问题的批复》（国资产权</w:t>
      </w:r>
      <w:r>
        <w:rPr>
          <w:rFonts w:ascii="Times New Roman" w:eastAsia="Times New Roman" w:hAnsi="Times New Roman" w:cs="Times New Roman"/>
          <w:color w:val="000000"/>
          <w:spacing w:val="0"/>
          <w:w w:val="100"/>
          <w:position w:val="0"/>
        </w:rPr>
        <w:t>[2016]294</w:t>
      </w:r>
      <w:r>
        <w:rPr>
          <w:color w:val="000000"/>
          <w:spacing w:val="0"/>
          <w:w w:val="100"/>
          <w:position w:val="0"/>
        </w:rPr>
        <w:t>号），公司通过向特定投资者非公开发行股票 的方式，向</w:t>
      </w:r>
      <w:r>
        <w:rPr>
          <w:rFonts w:ascii="Times New Roman" w:eastAsia="Times New Roman" w:hAnsi="Times New Roman" w:cs="Times New Roman"/>
          <w:color w:val="000000"/>
          <w:spacing w:val="0"/>
          <w:w w:val="100"/>
          <w:position w:val="0"/>
        </w:rPr>
        <w:t>7</w:t>
      </w:r>
      <w:r>
        <w:rPr>
          <w:color w:val="000000"/>
          <w:spacing w:val="0"/>
          <w:w w:val="100"/>
          <w:position w:val="0"/>
        </w:rPr>
        <w:t>名特定对象发行人民币普通股</w:t>
      </w:r>
      <w:r>
        <w:rPr>
          <w:rFonts w:ascii="Times New Roman" w:eastAsia="Times New Roman" w:hAnsi="Times New Roman" w:cs="Times New Roman"/>
          <w:color w:val="000000"/>
          <w:spacing w:val="0"/>
          <w:w w:val="100"/>
          <w:position w:val="0"/>
        </w:rPr>
        <w:t>91,436,672</w:t>
      </w:r>
      <w:r>
        <w:rPr>
          <w:color w:val="000000"/>
          <w:spacing w:val="0"/>
          <w:w w:val="100"/>
          <w:position w:val="0"/>
        </w:rPr>
        <w:t>股 （每股发行价</w:t>
      </w:r>
      <w:r>
        <w:rPr>
          <w:rFonts w:ascii="Times New Roman" w:eastAsia="Times New Roman" w:hAnsi="Times New Roman" w:cs="Times New Roman"/>
          <w:color w:val="000000"/>
          <w:spacing w:val="0"/>
          <w:w w:val="100"/>
          <w:position w:val="0"/>
        </w:rPr>
        <w:t>29.45</w:t>
      </w:r>
      <w:r>
        <w:rPr>
          <w:color w:val="000000"/>
          <w:spacing w:val="0"/>
          <w:w w:val="100"/>
          <w:position w:val="0"/>
        </w:rPr>
        <w:t xml:space="preserve">元），发行完成后公司总股本增 </w:t>
      </w:r>
      <w:r>
        <w:rPr>
          <w:color w:val="000000"/>
          <w:spacing w:val="0"/>
          <w:w w:val="100"/>
          <w:position w:val="0"/>
        </w:rPr>
        <w:t>至</w:t>
      </w:r>
      <w:r>
        <w:rPr>
          <w:rFonts w:ascii="Times New Roman" w:eastAsia="Times New Roman" w:hAnsi="Times New Roman" w:cs="Times New Roman"/>
          <w:color w:val="000000"/>
          <w:spacing w:val="0"/>
          <w:w w:val="100"/>
          <w:position w:val="0"/>
        </w:rPr>
        <w:t>523,960,018</w:t>
      </w:r>
      <w:r>
        <w:rPr>
          <w:color w:val="000000"/>
          <w:spacing w:val="0"/>
          <w:w w:val="100"/>
          <w:position w:val="0"/>
        </w:rPr>
        <w:t>股。以上增资已经中天运会计师事务所（特殊普通合伙）审验，并于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月出具中天运</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验字第</w:t>
      </w:r>
      <w:r>
        <w:rPr>
          <w:rFonts w:ascii="Times New Roman" w:eastAsia="Times New Roman" w:hAnsi="Times New Roman" w:cs="Times New Roman"/>
          <w:color w:val="000000"/>
          <w:spacing w:val="0"/>
          <w:w w:val="100"/>
          <w:position w:val="0"/>
        </w:rPr>
        <w:t>90017</w:t>
      </w:r>
      <w:r>
        <w:rPr>
          <w:color w:val="000000"/>
          <w:spacing w:val="0"/>
          <w:w w:val="100"/>
          <w:position w:val="0"/>
        </w:rPr>
        <w:t>号验资报告。</w:t>
      </w:r>
    </w:p>
    <w:p>
      <w:pPr>
        <w:pStyle w:val="Style3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年公司实施了</w:t>
      </w:r>
      <w:r>
        <w:rPr>
          <w:rFonts w:ascii="Times New Roman" w:eastAsia="Times New Roman" w:hAnsi="Times New Roman" w:cs="Times New Roman"/>
          <w:color w:val="000000"/>
          <w:spacing w:val="0"/>
          <w:w w:val="100"/>
          <w:position w:val="0"/>
        </w:rPr>
        <w:t>2016</w:t>
      </w:r>
      <w:r>
        <w:rPr>
          <w:color w:val="000000"/>
          <w:spacing w:val="0"/>
          <w:w w:val="100"/>
          <w:position w:val="0"/>
        </w:rPr>
        <w:t>年年度利润分配方案，以定向增发后的总股本</w:t>
      </w:r>
      <w:r>
        <w:rPr>
          <w:rFonts w:ascii="Times New Roman" w:eastAsia="Times New Roman" w:hAnsi="Times New Roman" w:cs="Times New Roman"/>
          <w:color w:val="000000"/>
          <w:spacing w:val="0"/>
          <w:w w:val="100"/>
          <w:position w:val="0"/>
        </w:rPr>
        <w:t>523,960,018</w:t>
      </w:r>
      <w:r>
        <w:rPr>
          <w:color w:val="000000"/>
          <w:spacing w:val="0"/>
          <w:w w:val="100"/>
          <w:position w:val="0"/>
        </w:rPr>
        <w:t>股为基数，以资本公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838,336,028</w:t>
      </w:r>
      <w:r>
        <w:rPr>
          <w:color w:val="000000"/>
          <w:spacing w:val="0"/>
          <w:w w:val="100"/>
          <w:position w:val="0"/>
        </w:rPr>
        <w:t>股。</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本公司上述变更已于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日完成工商变更登记手续。</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经过历年的派送红股、配售新股、转增股本及增发新股，截至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 总数</w:t>
      </w:r>
      <w:r>
        <w:rPr>
          <w:rFonts w:ascii="Times New Roman" w:eastAsia="Times New Roman" w:hAnsi="Times New Roman" w:cs="Times New Roman"/>
          <w:color w:val="000000"/>
          <w:spacing w:val="0"/>
          <w:w w:val="100"/>
          <w:position w:val="0"/>
        </w:rPr>
        <w:t>83,833.60</w:t>
      </w:r>
      <w:r>
        <w:rPr>
          <w:color w:val="000000"/>
          <w:spacing w:val="0"/>
          <w:w w:val="100"/>
          <w:position w:val="0"/>
        </w:rPr>
        <w:t>万股，注册资本为</w:t>
      </w:r>
      <w:r>
        <w:rPr>
          <w:rFonts w:ascii="Times New Roman" w:eastAsia="Times New Roman" w:hAnsi="Times New Roman" w:cs="Times New Roman"/>
          <w:color w:val="000000"/>
          <w:spacing w:val="0"/>
          <w:w w:val="100"/>
          <w:position w:val="0"/>
        </w:rPr>
        <w:t>83,833.60</w:t>
      </w:r>
      <w:r>
        <w:rPr>
          <w:color w:val="000000"/>
          <w:spacing w:val="0"/>
          <w:w w:val="100"/>
          <w:position w:val="0"/>
        </w:rPr>
        <w:t xml:space="preserve">万元；注册地：中国（四川）自由贸易试验区成都高新区云华路 </w:t>
      </w:r>
      <w:r>
        <w:rPr>
          <w:rFonts w:ascii="Times New Roman" w:eastAsia="Times New Roman" w:hAnsi="Times New Roman" w:cs="Times New Roman"/>
          <w:color w:val="000000"/>
          <w:spacing w:val="0"/>
          <w:w w:val="100"/>
          <w:position w:val="0"/>
        </w:rPr>
        <w:t>333</w:t>
      </w:r>
      <w:r>
        <w:rPr>
          <w:color w:val="000000"/>
          <w:spacing w:val="0"/>
          <w:w w:val="100"/>
          <w:position w:val="0"/>
        </w:rPr>
        <w:t>号；组织形式：股份有限公司；法定代表人：卿昱；统一社会信用代码：</w:t>
      </w:r>
      <w:r>
        <w:rPr>
          <w:rFonts w:ascii="Times New Roman" w:eastAsia="Times New Roman" w:hAnsi="Times New Roman" w:cs="Times New Roman"/>
          <w:color w:val="000000"/>
          <w:spacing w:val="0"/>
          <w:w w:val="100"/>
          <w:position w:val="0"/>
        </w:rPr>
        <w:t>9151010070927392XM</w:t>
      </w:r>
      <w:r>
        <w:rPr>
          <w:color w:val="000000"/>
          <w:spacing w:val="0"/>
          <w:w w:val="100"/>
          <w:position w:val="0"/>
        </w:rPr>
        <w:t>。</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母公司为中国电子科技网络信息安全有限公司（以下或称</w:t>
      </w:r>
      <w:r>
        <w:rPr>
          <w:rFonts w:ascii="Times New Roman" w:eastAsia="Times New Roman" w:hAnsi="Times New Roman" w:cs="Times New Roman"/>
          <w:color w:val="000000"/>
          <w:spacing w:val="0"/>
          <w:w w:val="100"/>
          <w:position w:val="0"/>
        </w:rPr>
        <w:t>“</w:t>
      </w:r>
      <w:r>
        <w:rPr>
          <w:color w:val="000000"/>
          <w:spacing w:val="0"/>
          <w:w w:val="100"/>
          <w:position w:val="0"/>
        </w:rPr>
        <w:t>中国网安</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最终实际控制人为中国电子 科技集团有限公司（以下简称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电科集团</w:t>
      </w:r>
    </w:p>
    <w:p>
      <w:pPr>
        <w:pStyle w:val="Style34"/>
        <w:keepNext w:val="0"/>
        <w:keepLines w:val="0"/>
        <w:widowControl w:val="0"/>
        <w:numPr>
          <w:ilvl w:val="0"/>
          <w:numId w:val="19"/>
        </w:numPr>
        <w:shd w:val="clear" w:color="auto" w:fill="auto"/>
        <w:bidi w:val="0"/>
        <w:spacing w:before="0" w:after="100" w:line="312" w:lineRule="exact"/>
        <w:ind w:left="0" w:right="0"/>
        <w:jc w:val="both"/>
      </w:pPr>
      <w:bookmarkStart w:id="695" w:name="bookmark695"/>
      <w:bookmarkEnd w:id="695"/>
      <w:r>
        <w:rPr>
          <w:b/>
          <w:bCs/>
          <w:color w:val="000000"/>
          <w:spacing w:val="0"/>
          <w:w w:val="100"/>
          <w:position w:val="0"/>
        </w:rPr>
        <w:t>公司业务性质和主要经营活动</w:t>
      </w:r>
    </w:p>
    <w:p>
      <w:pPr>
        <w:pStyle w:val="Style34"/>
        <w:keepNext w:val="0"/>
        <w:keepLines w:val="0"/>
        <w:widowControl w:val="0"/>
        <w:numPr>
          <w:ilvl w:val="0"/>
          <w:numId w:val="21"/>
        </w:numPr>
        <w:shd w:val="clear" w:color="auto" w:fill="auto"/>
        <w:tabs>
          <w:tab w:pos="727" w:val="left"/>
        </w:tabs>
        <w:bidi w:val="0"/>
        <w:spacing w:before="0" w:after="0" w:line="326" w:lineRule="auto"/>
        <w:ind w:left="0" w:right="0"/>
        <w:jc w:val="both"/>
      </w:pPr>
      <w:bookmarkStart w:id="696" w:name="bookmark696"/>
      <w:bookmarkEnd w:id="696"/>
      <w:r>
        <w:rPr>
          <w:color w:val="000000"/>
          <w:spacing w:val="0"/>
          <w:w w:val="100"/>
          <w:position w:val="0"/>
        </w:rPr>
        <w:t>业务性质</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本公司一直致力于信息安全领域相关安全产品的开发及技术研究。经过</w:t>
      </w:r>
      <w:r>
        <w:rPr>
          <w:rFonts w:ascii="Times New Roman" w:eastAsia="Times New Roman" w:hAnsi="Times New Roman" w:cs="Times New Roman"/>
          <w:color w:val="000000"/>
          <w:spacing w:val="0"/>
          <w:w w:val="100"/>
          <w:position w:val="0"/>
        </w:rPr>
        <w:t>20</w:t>
      </w:r>
      <w:r>
        <w:rPr>
          <w:color w:val="000000"/>
          <w:spacing w:val="0"/>
          <w:w w:val="100"/>
          <w:position w:val="0"/>
        </w:rPr>
        <w:t>余年的耕耘，业务范围已覆 盖安全产品研制、安全服务提供和安全集成。</w:t>
      </w:r>
    </w:p>
    <w:p>
      <w:pPr>
        <w:pStyle w:val="Style34"/>
        <w:keepNext w:val="0"/>
        <w:keepLines w:val="0"/>
        <w:widowControl w:val="0"/>
        <w:numPr>
          <w:ilvl w:val="0"/>
          <w:numId w:val="21"/>
        </w:numPr>
        <w:shd w:val="clear" w:color="auto" w:fill="auto"/>
        <w:tabs>
          <w:tab w:pos="751" w:val="left"/>
        </w:tabs>
        <w:bidi w:val="0"/>
        <w:spacing w:before="0" w:after="0" w:line="312" w:lineRule="exact"/>
        <w:ind w:left="0" w:right="0"/>
        <w:jc w:val="both"/>
      </w:pPr>
      <w:bookmarkStart w:id="697" w:name="bookmark697"/>
      <w:bookmarkEnd w:id="697"/>
      <w:r>
        <w:rPr>
          <w:color w:val="000000"/>
          <w:spacing w:val="0"/>
          <w:w w:val="100"/>
          <w:position w:val="0"/>
        </w:rPr>
        <w:t>主要提供的产品和服务包括</w:t>
      </w:r>
    </w:p>
    <w:p>
      <w:pPr>
        <w:pStyle w:val="Style34"/>
        <w:keepNext w:val="0"/>
        <w:keepLines w:val="0"/>
        <w:widowControl w:val="0"/>
        <w:shd w:val="clear" w:color="auto" w:fill="auto"/>
        <w:tabs>
          <w:tab w:pos="988" w:val="left"/>
        </w:tabs>
        <w:bidi w:val="0"/>
        <w:spacing w:before="0" w:after="0" w:line="312" w:lineRule="exact"/>
        <w:ind w:left="0" w:right="0"/>
        <w:jc w:val="both"/>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rPr>
        <w:t>1</w:t>
      </w:r>
      <w:r>
        <w:rPr>
          <w:color w:val="000000"/>
          <w:spacing w:val="0"/>
          <w:w w:val="100"/>
          <w:position w:val="0"/>
        </w:rPr>
        <w:t>）</w:t>
        <w:tab/>
        <w:t>安全产品，包括密码产品、网络安全产品、计算安全产品、安全管理中心、移动互联网安全产 品、云安全产品、物联网安全和安全应用。产品的云化、自主可控等是重要发展方向。</w:t>
      </w:r>
    </w:p>
    <w:p>
      <w:pPr>
        <w:pStyle w:val="Style34"/>
        <w:keepNext w:val="0"/>
        <w:keepLines w:val="0"/>
        <w:widowControl w:val="0"/>
        <w:numPr>
          <w:ilvl w:val="0"/>
          <w:numId w:val="23"/>
        </w:numPr>
        <w:shd w:val="clear" w:color="auto" w:fill="auto"/>
        <w:tabs>
          <w:tab w:pos="796" w:val="left"/>
        </w:tabs>
        <w:bidi w:val="0"/>
        <w:spacing w:before="0" w:after="0" w:line="312" w:lineRule="exact"/>
        <w:ind w:left="0" w:right="0"/>
        <w:jc w:val="both"/>
      </w:pPr>
      <w:bookmarkStart w:id="699" w:name="bookmark699"/>
      <w:bookmarkEnd w:id="699"/>
      <w:r>
        <w:rPr>
          <w:color w:val="000000"/>
          <w:spacing w:val="0"/>
          <w:w w:val="100"/>
          <w:position w:val="0"/>
        </w:rPr>
        <w:t>密码产品。密码产品是卫士通公司一直以来的核心产品，公司密码产品具有全系列、全产业链的特 点。密码芯片有嵌入式安全</w:t>
      </w:r>
      <w:r>
        <w:rPr>
          <w:rFonts w:ascii="Times New Roman" w:eastAsia="Times New Roman" w:hAnsi="Times New Roman" w:cs="Times New Roman"/>
          <w:color w:val="000000"/>
          <w:spacing w:val="0"/>
          <w:w w:val="100"/>
          <w:position w:val="0"/>
        </w:rPr>
        <w:t>SE IP</w:t>
      </w:r>
      <w:r>
        <w:rPr>
          <w:color w:val="000000"/>
          <w:spacing w:val="0"/>
          <w:w w:val="100"/>
          <w:position w:val="0"/>
        </w:rPr>
        <w:t>、</w:t>
      </w:r>
      <w:r>
        <w:rPr>
          <w:color w:val="000000"/>
          <w:spacing w:val="0"/>
          <w:w w:val="100"/>
          <w:position w:val="0"/>
        </w:rPr>
        <w:t>高速可编程安全芯片、超低功耗安全芯片、移动终端安全芯片和物理噪 声源芯片等；密码模块有</w:t>
      </w:r>
      <w:r>
        <w:rPr>
          <w:rFonts w:ascii="Times New Roman" w:eastAsia="Times New Roman" w:hAnsi="Times New Roman" w:cs="Times New Roman"/>
          <w:color w:val="000000"/>
          <w:spacing w:val="0"/>
          <w:w w:val="100"/>
          <w:position w:val="0"/>
        </w:rPr>
        <w:t>TF</w:t>
      </w:r>
      <w:r>
        <w:rPr>
          <w:color w:val="000000"/>
          <w:spacing w:val="0"/>
          <w:w w:val="100"/>
          <w:position w:val="0"/>
        </w:rPr>
        <w:t>密码模块、</w:t>
      </w:r>
      <w:r>
        <w:rPr>
          <w:rFonts w:ascii="Times New Roman" w:eastAsia="Times New Roman" w:hAnsi="Times New Roman" w:cs="Times New Roman"/>
          <w:color w:val="000000"/>
          <w:spacing w:val="0"/>
          <w:w w:val="100"/>
          <w:position w:val="0"/>
        </w:rPr>
        <w:t>PCI-E</w:t>
      </w:r>
      <w:r>
        <w:rPr>
          <w:color w:val="000000"/>
          <w:spacing w:val="0"/>
          <w:w w:val="100"/>
          <w:position w:val="0"/>
        </w:rPr>
        <w:t>系列密码卡和软件密码模块等；密码整机有金融数据密码机、 服务器密码机、签名验签服务器等；密码系统有密钥管理系统、证书管理系统和密码中间件等。</w:t>
      </w:r>
    </w:p>
    <w:p>
      <w:pPr>
        <w:pStyle w:val="Style34"/>
        <w:keepNext w:val="0"/>
        <w:keepLines w:val="0"/>
        <w:widowControl w:val="0"/>
        <w:numPr>
          <w:ilvl w:val="0"/>
          <w:numId w:val="23"/>
        </w:numPr>
        <w:shd w:val="clear" w:color="auto" w:fill="auto"/>
        <w:tabs>
          <w:tab w:pos="796" w:val="left"/>
        </w:tabs>
        <w:bidi w:val="0"/>
        <w:spacing w:before="0" w:after="0" w:line="312" w:lineRule="exact"/>
        <w:ind w:left="0" w:right="0"/>
        <w:jc w:val="both"/>
      </w:pPr>
      <w:bookmarkStart w:id="700" w:name="bookmark700"/>
      <w:bookmarkEnd w:id="700"/>
      <w:r>
        <w:rPr>
          <w:color w:val="000000"/>
          <w:spacing w:val="0"/>
          <w:w w:val="100"/>
          <w:position w:val="0"/>
        </w:rPr>
        <w:t>网络安全产品。公司重点发展通用、常用和核心的网络安全产品。保障通信网络安全的产品有交换 机、</w:t>
      </w:r>
      <w:r>
        <w:rPr>
          <w:rFonts w:ascii="Times New Roman" w:eastAsia="Times New Roman" w:hAnsi="Times New Roman" w:cs="Times New Roman"/>
          <w:color w:val="000000"/>
          <w:spacing w:val="0"/>
          <w:w w:val="100"/>
          <w:position w:val="0"/>
        </w:rPr>
        <w:t>IPSec VPN</w:t>
      </w:r>
      <w:r>
        <w:rPr>
          <w:color w:val="000000"/>
          <w:spacing w:val="0"/>
          <w:w w:val="100"/>
          <w:position w:val="0"/>
        </w:rPr>
        <w:t>、</w:t>
      </w:r>
      <w:r>
        <w:rPr>
          <w:rFonts w:ascii="Times New Roman" w:eastAsia="Times New Roman" w:hAnsi="Times New Roman" w:cs="Times New Roman"/>
          <w:color w:val="000000"/>
          <w:spacing w:val="0"/>
          <w:w w:val="100"/>
          <w:position w:val="0"/>
        </w:rPr>
        <w:t>SSL VPN</w:t>
      </w:r>
      <w:r>
        <w:rPr>
          <w:color w:val="000000"/>
          <w:spacing w:val="0"/>
          <w:w w:val="100"/>
          <w:position w:val="0"/>
        </w:rPr>
        <w:t>等；保障区域边界安全的产品有防火墙、网络安全隔离与信息单向导入系统、 网络安全隔离与信息交换系统等。</w:t>
      </w:r>
    </w:p>
    <w:p>
      <w:pPr>
        <w:pStyle w:val="Style34"/>
        <w:keepNext w:val="0"/>
        <w:keepLines w:val="0"/>
        <w:widowControl w:val="0"/>
        <w:numPr>
          <w:ilvl w:val="0"/>
          <w:numId w:val="23"/>
        </w:numPr>
        <w:shd w:val="clear" w:color="auto" w:fill="auto"/>
        <w:tabs>
          <w:tab w:pos="796" w:val="left"/>
        </w:tabs>
        <w:bidi w:val="0"/>
        <w:spacing w:before="0" w:after="0" w:line="312" w:lineRule="exact"/>
        <w:ind w:left="0" w:right="0"/>
        <w:jc w:val="both"/>
      </w:pPr>
      <w:bookmarkStart w:id="701" w:name="bookmark701"/>
      <w:bookmarkEnd w:id="701"/>
      <w:r>
        <w:rPr>
          <w:color w:val="000000"/>
          <w:spacing w:val="0"/>
          <w:w w:val="100"/>
          <w:position w:val="0"/>
        </w:rPr>
        <w:t>计算安全产品。包括终端安全产品、数据安全产品和认证授权产品。终端安全产品有主机监控与审 计系统、终端安全登录与文件保护系统等；数据安全产品有电子文档密级标识生成与管理系统和企业网盘 等；认证授权产品有信任服务基础设施、身份认证系统和电子印章系统等。</w:t>
      </w:r>
    </w:p>
    <w:p>
      <w:pPr>
        <w:pStyle w:val="Style34"/>
        <w:keepNext w:val="0"/>
        <w:keepLines w:val="0"/>
        <w:widowControl w:val="0"/>
        <w:numPr>
          <w:ilvl w:val="0"/>
          <w:numId w:val="23"/>
        </w:numPr>
        <w:shd w:val="clear" w:color="auto" w:fill="auto"/>
        <w:tabs>
          <w:tab w:pos="791" w:val="left"/>
        </w:tabs>
        <w:bidi w:val="0"/>
        <w:spacing w:before="0" w:after="0" w:line="312" w:lineRule="exact"/>
        <w:ind w:left="0" w:right="0"/>
        <w:jc w:val="both"/>
      </w:pPr>
      <w:bookmarkStart w:id="702" w:name="bookmark702"/>
      <w:bookmarkEnd w:id="702"/>
      <w:r>
        <w:rPr>
          <w:color w:val="000000"/>
          <w:spacing w:val="0"/>
          <w:w w:val="100"/>
          <w:position w:val="0"/>
        </w:rPr>
        <w:t>安全管理中心。覆盖密码管理、安全管理、系统管理和审计管理，有安全运行监管系统、设备集中 管理中心和高级威胁检测分析系统等产品。</w:t>
      </w:r>
    </w:p>
    <w:p>
      <w:pPr>
        <w:pStyle w:val="Style34"/>
        <w:keepNext w:val="0"/>
        <w:keepLines w:val="0"/>
        <w:widowControl w:val="0"/>
        <w:numPr>
          <w:ilvl w:val="0"/>
          <w:numId w:val="23"/>
        </w:numPr>
        <w:shd w:val="clear" w:color="auto" w:fill="auto"/>
        <w:tabs>
          <w:tab w:pos="796" w:val="left"/>
        </w:tabs>
        <w:bidi w:val="0"/>
        <w:spacing w:before="0" w:after="0" w:line="312" w:lineRule="exact"/>
        <w:ind w:left="0" w:right="0"/>
        <w:jc w:val="both"/>
      </w:pPr>
      <w:bookmarkStart w:id="703" w:name="bookmark703"/>
      <w:bookmarkEnd w:id="703"/>
      <w:r>
        <w:rPr>
          <w:color w:val="000000"/>
          <w:spacing w:val="0"/>
          <w:w w:val="100"/>
          <w:position w:val="0"/>
        </w:rPr>
        <w:t>移动互联网安全产品。从终端、解决方案两个方向规划业务，终端包括手机、平板两类，解决方案 主要针对政府、军工、司法三个行业打造移动办公整体解决方案，并在一些移动办公样板工程中推广整体 保障服务模式，探索业务转型路线；产品围绕</w:t>
      </w:r>
      <w:r>
        <w:rPr>
          <w:rFonts w:ascii="Times New Roman" w:eastAsia="Times New Roman" w:hAnsi="Times New Roman" w:cs="Times New Roman"/>
          <w:color w:val="000000"/>
          <w:spacing w:val="0"/>
          <w:w w:val="100"/>
          <w:position w:val="0"/>
        </w:rPr>
        <w:t>“</w:t>
      </w:r>
      <w:r>
        <w:rPr>
          <w:color w:val="000000"/>
          <w:spacing w:val="0"/>
          <w:w w:val="100"/>
          <w:position w:val="0"/>
        </w:rPr>
        <w:t>安全通信、安全接入、安全管控</w:t>
      </w:r>
      <w:r>
        <w:rPr>
          <w:rFonts w:ascii="Times New Roman" w:eastAsia="Times New Roman" w:hAnsi="Times New Roman" w:cs="Times New Roman"/>
          <w:color w:val="000000"/>
          <w:spacing w:val="0"/>
          <w:w w:val="100"/>
          <w:position w:val="0"/>
        </w:rPr>
        <w:t>”</w:t>
      </w:r>
      <w:r>
        <w:rPr>
          <w:color w:val="000000"/>
          <w:spacing w:val="0"/>
          <w:w w:val="100"/>
          <w:position w:val="0"/>
        </w:rPr>
        <w:t>三个方向进行研制，包括 政务安全手机、政务安全平板、尊御安全手机、安全移动办公系统、</w:t>
      </w:r>
      <w:r>
        <w:rPr>
          <w:rFonts w:ascii="Times New Roman" w:eastAsia="Times New Roman" w:hAnsi="Times New Roman" w:cs="Times New Roman"/>
          <w:color w:val="000000"/>
          <w:spacing w:val="0"/>
          <w:w w:val="100"/>
          <w:position w:val="0"/>
        </w:rPr>
        <w:t>VoLTE</w:t>
      </w:r>
      <w:r>
        <w:rPr>
          <w:color w:val="000000"/>
          <w:spacing w:val="0"/>
          <w:w w:val="100"/>
          <w:position w:val="0"/>
        </w:rPr>
        <w:t>语音加密系统、橙讯即时通信 系统、安全接入平台和移动终端安全管控系统等。</w:t>
      </w:r>
    </w:p>
    <w:p>
      <w:pPr>
        <w:pStyle w:val="Style34"/>
        <w:keepNext w:val="0"/>
        <w:keepLines w:val="0"/>
        <w:widowControl w:val="0"/>
        <w:numPr>
          <w:ilvl w:val="0"/>
          <w:numId w:val="23"/>
        </w:numPr>
        <w:shd w:val="clear" w:color="auto" w:fill="auto"/>
        <w:tabs>
          <w:tab w:pos="786" w:val="left"/>
        </w:tabs>
        <w:bidi w:val="0"/>
        <w:spacing w:before="0" w:after="0" w:line="312" w:lineRule="exact"/>
        <w:ind w:left="0" w:right="0"/>
        <w:jc w:val="both"/>
      </w:pPr>
      <w:bookmarkStart w:id="704" w:name="bookmark704"/>
      <w:bookmarkEnd w:id="704"/>
      <w:r>
        <w:rPr>
          <w:color w:val="000000"/>
          <w:spacing w:val="0"/>
          <w:w w:val="100"/>
          <w:position w:val="0"/>
        </w:rPr>
        <w:t>云安全产品。产品支持和阿里、腾讯、中国电信等主流云厂商的对接，支持公有云、社区云、私有 云和政务云多种部署模式，产品包括云密码机、云密码资源池管理平台、云密钥管理系统和安全云终端等。</w:t>
      </w:r>
    </w:p>
    <w:p>
      <w:pPr>
        <w:pStyle w:val="Style34"/>
        <w:keepNext w:val="0"/>
        <w:keepLines w:val="0"/>
        <w:widowControl w:val="0"/>
        <w:numPr>
          <w:ilvl w:val="0"/>
          <w:numId w:val="23"/>
        </w:numPr>
        <w:shd w:val="clear" w:color="auto" w:fill="auto"/>
        <w:tabs>
          <w:tab w:pos="818" w:val="left"/>
        </w:tabs>
        <w:bidi w:val="0"/>
        <w:spacing w:before="0" w:after="0" w:line="312" w:lineRule="exact"/>
        <w:ind w:left="0" w:right="0"/>
        <w:jc w:val="both"/>
      </w:pPr>
      <w:bookmarkStart w:id="705" w:name="bookmark705"/>
      <w:bookmarkEnd w:id="705"/>
      <w:r>
        <w:rPr>
          <w:color w:val="000000"/>
          <w:spacing w:val="0"/>
          <w:w w:val="100"/>
          <w:position w:val="0"/>
        </w:rPr>
        <w:t>物联网安全产品。在物联网安全领域，重点研制安全视频加密系统和</w:t>
      </w:r>
      <w:r>
        <w:rPr>
          <w:rFonts w:ascii="Times New Roman" w:eastAsia="Times New Roman" w:hAnsi="Times New Roman" w:cs="Times New Roman"/>
          <w:color w:val="000000"/>
          <w:spacing w:val="0"/>
          <w:w w:val="100"/>
          <w:position w:val="0"/>
        </w:rPr>
        <w:t>NB-IoT</w:t>
      </w:r>
      <w:r>
        <w:rPr>
          <w:color w:val="000000"/>
          <w:spacing w:val="0"/>
          <w:w w:val="100"/>
          <w:position w:val="0"/>
        </w:rPr>
        <w:t>加密模组。</w:t>
      </w:r>
    </w:p>
    <w:p>
      <w:pPr>
        <w:pStyle w:val="Style34"/>
        <w:keepNext w:val="0"/>
        <w:keepLines w:val="0"/>
        <w:widowControl w:val="0"/>
        <w:numPr>
          <w:ilvl w:val="0"/>
          <w:numId w:val="23"/>
        </w:numPr>
        <w:shd w:val="clear" w:color="auto" w:fill="auto"/>
        <w:tabs>
          <w:tab w:pos="796" w:val="left"/>
        </w:tabs>
        <w:bidi w:val="0"/>
        <w:spacing w:before="0" w:after="0" w:line="312" w:lineRule="exact"/>
        <w:ind w:left="0" w:right="0"/>
        <w:jc w:val="both"/>
      </w:pPr>
      <w:bookmarkStart w:id="706" w:name="bookmark706"/>
      <w:bookmarkEnd w:id="706"/>
      <w:r>
        <w:rPr>
          <w:color w:val="000000"/>
          <w:spacing w:val="0"/>
          <w:w w:val="100"/>
          <w:position w:val="0"/>
        </w:rPr>
        <w:t>安全应用。是安全与应用深度融合的产品，有可用于通用场景的安全电子邮件系统、安全即时通信 系统、安全会议系统和电子文档安全管理系统等产品；有专用于电子政务的电子印章系统、信任服务基础 设施、电子公文交换系统等；有专用于金融行业的金融数据密码机、金融</w:t>
      </w:r>
      <w:r>
        <w:rPr>
          <w:rFonts w:ascii="Times New Roman" w:eastAsia="Times New Roman" w:hAnsi="Times New Roman" w:cs="Times New Roman"/>
          <w:color w:val="000000"/>
          <w:spacing w:val="0"/>
          <w:w w:val="100"/>
          <w:position w:val="0"/>
        </w:rPr>
        <w:t>IC</w:t>
      </w:r>
      <w:r>
        <w:rPr>
          <w:color w:val="000000"/>
          <w:spacing w:val="0"/>
          <w:w w:val="100"/>
          <w:position w:val="0"/>
        </w:rPr>
        <w:t>卡密钥管理系统；有专用于能 源行业的电力纵向加密认证装置、电力防护加密系统等；有专用于公检法的检察业务系统、公安经侦智能 化工作平台、涉案财物集中管理信息平台、行贿档案综合管理与评估系统等。</w:t>
      </w:r>
    </w:p>
    <w:p>
      <w:pPr>
        <w:pStyle w:val="Style34"/>
        <w:keepNext w:val="0"/>
        <w:keepLines w:val="0"/>
        <w:widowControl w:val="0"/>
        <w:shd w:val="clear" w:color="auto" w:fill="auto"/>
        <w:tabs>
          <w:tab w:pos="904" w:val="left"/>
        </w:tabs>
        <w:bidi w:val="0"/>
        <w:spacing w:before="0" w:after="0" w:line="312" w:lineRule="exact"/>
        <w:ind w:left="0" w:right="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2</w:t>
      </w:r>
      <w:r>
        <w:rPr>
          <w:color w:val="000000"/>
          <w:spacing w:val="0"/>
          <w:w w:val="100"/>
          <w:position w:val="0"/>
        </w:rPr>
        <w:t>）</w:t>
        <w:tab/>
        <w:t>安全服务</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基于公司核心技术和核心产品，依托公司强大的技术支持、专家团队以及公司高安全的安全云平台， </w:t>
      </w:r>
      <w:r>
        <w:rPr>
          <w:color w:val="000000"/>
          <w:spacing w:val="0"/>
          <w:w w:val="100"/>
          <w:position w:val="0"/>
        </w:rPr>
        <w:t>为用户提供安全运维服务、安全运营服务、监测预警服务、风险评估服务和安全咨询服务等。安全运营服 务包括云密码服务、云认证服务、企业微信加密服务、网站安全防护和</w:t>
      </w:r>
      <w:r>
        <w:rPr>
          <w:rFonts w:ascii="Times New Roman" w:eastAsia="Times New Roman" w:hAnsi="Times New Roman" w:cs="Times New Roman"/>
          <w:color w:val="000000"/>
          <w:spacing w:val="0"/>
          <w:w w:val="100"/>
          <w:position w:val="0"/>
        </w:rPr>
        <w:t>SaaS/PaaS/IaaS</w:t>
      </w:r>
      <w:r>
        <w:rPr>
          <w:color w:val="000000"/>
          <w:spacing w:val="0"/>
          <w:w w:val="100"/>
          <w:position w:val="0"/>
        </w:rPr>
        <w:t>服务；监测预警服务 包括安全态势感知与监测预警服务、高级威胁监测服务、互联网舆情监测服务和安全事件分析服务等；风 险评估服务包括系统架构评估、渗透测试和安全加固等。</w:t>
      </w:r>
    </w:p>
    <w:p>
      <w:pPr>
        <w:pStyle w:val="Style34"/>
        <w:keepNext w:val="0"/>
        <w:keepLines w:val="0"/>
        <w:widowControl w:val="0"/>
        <w:shd w:val="clear" w:color="auto" w:fill="auto"/>
        <w:bidi w:val="0"/>
        <w:spacing w:before="0" w:after="0" w:line="313" w:lineRule="exact"/>
        <w:ind w:left="0" w:right="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3</w:t>
      </w:r>
      <w:r>
        <w:rPr>
          <w:color w:val="000000"/>
          <w:spacing w:val="0"/>
          <w:w w:val="100"/>
          <w:position w:val="0"/>
        </w:rPr>
        <w:t>）安全集成</w:t>
      </w:r>
    </w:p>
    <w:p>
      <w:pPr>
        <w:pStyle w:val="Style34"/>
        <w:keepNext w:val="0"/>
        <w:keepLines w:val="0"/>
        <w:widowControl w:val="0"/>
        <w:shd w:val="clear" w:color="auto" w:fill="auto"/>
        <w:bidi w:val="0"/>
        <w:spacing w:before="0" w:after="60" w:line="313" w:lineRule="exact"/>
        <w:ind w:left="0" w:right="0"/>
        <w:jc w:val="both"/>
      </w:pPr>
      <w:r>
        <w:rPr>
          <w:color w:val="000000"/>
          <w:spacing w:val="0"/>
          <w:w w:val="100"/>
          <w:position w:val="0"/>
        </w:rPr>
        <w:t>安全集成业务是公司依托雄厚的技术支持和强大的营销网络为各层次用户提供的系统集成及全生命 周期安全支持与服务，包括项目规划、整体解决方案设计、工程建设、用户培训及安全服务等。</w:t>
      </w:r>
    </w:p>
    <w:p>
      <w:pPr>
        <w:pStyle w:val="Style34"/>
        <w:keepNext w:val="0"/>
        <w:keepLines w:val="0"/>
        <w:widowControl w:val="0"/>
        <w:numPr>
          <w:ilvl w:val="0"/>
          <w:numId w:val="21"/>
        </w:numPr>
        <w:shd w:val="clear" w:color="auto" w:fill="auto"/>
        <w:bidi w:val="0"/>
        <w:spacing w:before="0" w:after="0" w:line="326" w:lineRule="auto"/>
        <w:ind w:left="0" w:right="0"/>
        <w:jc w:val="both"/>
      </w:pPr>
      <w:bookmarkStart w:id="709" w:name="bookmark709"/>
      <w:bookmarkEnd w:id="709"/>
      <w:r>
        <w:rPr>
          <w:color w:val="000000"/>
          <w:spacing w:val="0"/>
          <w:w w:val="100"/>
          <w:position w:val="0"/>
        </w:rPr>
        <w:t>经营范围</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本公司营业范围包括通信保密与信息安全、信息网络与多媒体终端及系统产品的开发、生产、销售、 工程建设（涉及前置审批的批准后方可经营）；税控收款机系列产品、金融及贸易结算电子设备、</w:t>
      </w:r>
      <w:r>
        <w:rPr>
          <w:rFonts w:ascii="Times New Roman" w:eastAsia="Times New Roman" w:hAnsi="Times New Roman" w:cs="Times New Roman"/>
          <w:color w:val="000000"/>
          <w:spacing w:val="0"/>
          <w:w w:val="100"/>
          <w:position w:val="0"/>
        </w:rPr>
        <w:t>IC</w:t>
      </w:r>
      <w:r>
        <w:rPr>
          <w:color w:val="000000"/>
          <w:spacing w:val="0"/>
          <w:w w:val="100"/>
          <w:position w:val="0"/>
        </w:rPr>
        <w:t>卡机 具设备、微型计算机系统产品及相关软件等电子信息技术产品的研制、生产、组装、销售、工程集成和技 术服务；无线通信系统（不含无线电发射设备）、图像设备、电子设备、电子计算机及外围设备、耗材、 电子元器件、专用芯片的研制、生产、销售、工程建设、系统集成及技术咨询与服务；自营和代理各类商 品及技术的进出口业务，但国家限定公司经营或禁止进出口的商品及技术除外。</w:t>
      </w:r>
    </w:p>
    <w:p>
      <w:pPr>
        <w:pStyle w:val="Style34"/>
        <w:keepNext w:val="0"/>
        <w:keepLines w:val="0"/>
        <w:widowControl w:val="0"/>
        <w:numPr>
          <w:ilvl w:val="0"/>
          <w:numId w:val="19"/>
        </w:numPr>
        <w:shd w:val="clear" w:color="auto" w:fill="auto"/>
        <w:tabs>
          <w:tab w:pos="779" w:val="left"/>
        </w:tabs>
        <w:bidi w:val="0"/>
        <w:spacing w:before="0" w:after="0" w:line="313" w:lineRule="exact"/>
        <w:ind w:left="0" w:right="0"/>
        <w:jc w:val="both"/>
      </w:pPr>
      <w:bookmarkStart w:id="710" w:name="bookmark710"/>
      <w:bookmarkEnd w:id="710"/>
      <w:r>
        <w:rPr>
          <w:b/>
          <w:bCs/>
          <w:color w:val="000000"/>
          <w:spacing w:val="0"/>
          <w:w w:val="100"/>
          <w:position w:val="0"/>
        </w:rPr>
        <w:t>财务报表的批准报出</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日批准报出。</w:t>
      </w:r>
    </w:p>
    <w:p>
      <w:pPr>
        <w:pStyle w:val="Style34"/>
        <w:keepNext w:val="0"/>
        <w:keepLines w:val="0"/>
        <w:widowControl w:val="0"/>
        <w:numPr>
          <w:ilvl w:val="0"/>
          <w:numId w:val="19"/>
        </w:numPr>
        <w:shd w:val="clear" w:color="auto" w:fill="auto"/>
        <w:tabs>
          <w:tab w:pos="784" w:val="left"/>
        </w:tabs>
        <w:bidi w:val="0"/>
        <w:spacing w:before="0" w:after="60" w:line="313" w:lineRule="exact"/>
        <w:ind w:left="0" w:right="0"/>
        <w:jc w:val="both"/>
      </w:pPr>
      <w:bookmarkStart w:id="711" w:name="bookmark711"/>
      <w:bookmarkEnd w:id="711"/>
      <w:r>
        <w:rPr>
          <w:b/>
          <w:bCs/>
          <w:color w:val="000000"/>
          <w:spacing w:val="0"/>
          <w:w w:val="100"/>
          <w:position w:val="0"/>
        </w:rPr>
        <w:t>合并财务报表范围</w:t>
      </w:r>
    </w:p>
    <w:p>
      <w:pPr>
        <w:pStyle w:val="Style22"/>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本期纳入合并财务报表范围的子公司共</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户，具体包括:</w:t>
      </w:r>
    </w:p>
    <w:tbl>
      <w:tblPr>
        <w:tblOverlap w:val="never"/>
        <w:jc w:val="center"/>
        <w:tblLayout w:type="fixed"/>
      </w:tblPr>
      <w:tblGrid>
        <w:gridCol w:w="3706"/>
        <w:gridCol w:w="1488"/>
        <w:gridCol w:w="1502"/>
        <w:gridCol w:w="1488"/>
        <w:gridCol w:w="1502"/>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持股比例（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表决权比例（％）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中电科（北京）网络信息安全有限公司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成都卫士通信息安全技术有限公司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卫士通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网络安全技术有限公司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成都三零瑞通移动通信有限公司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99.93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成都三零嘉微电子有限公司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98.49</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中电科（天津）网络信息安全有限公司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w:t>
            </w:r>
          </w:p>
        </w:tc>
      </w:tr>
    </w:tbl>
    <w:p>
      <w:pPr>
        <w:widowControl w:val="0"/>
        <w:spacing w:line="1" w:lineRule="exact"/>
      </w:pPr>
    </w:p>
    <w:p>
      <w:pPr>
        <w:pStyle w:val="Style22"/>
        <w:keepNext w:val="0"/>
        <w:keepLines w:val="0"/>
        <w:widowControl w:val="0"/>
        <w:shd w:val="clear" w:color="auto" w:fill="auto"/>
        <w:bidi w:val="0"/>
        <w:spacing w:before="0" w:after="80" w:line="240" w:lineRule="auto"/>
        <w:ind w:left="24" w:right="0" w:firstLine="0"/>
        <w:jc w:val="left"/>
        <w:rPr>
          <w:sz w:val="20"/>
          <w:szCs w:val="20"/>
        </w:rPr>
      </w:pPr>
      <w:r>
        <w:rPr>
          <w:color w:val="000000"/>
          <w:spacing w:val="0"/>
          <w:w w:val="100"/>
          <w:position w:val="0"/>
          <w:sz w:val="20"/>
          <w:szCs w:val="20"/>
        </w:rPr>
        <w:t>本期纳入合并财务报表范围的主体较上期相比，增加</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户，减少</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户，其中：</w:t>
      </w:r>
    </w:p>
    <w:p>
      <w:pPr>
        <w:pStyle w:val="Style22"/>
        <w:keepNext w:val="0"/>
        <w:keepLines w:val="0"/>
        <w:widowControl w:val="0"/>
        <w:shd w:val="clear" w:color="auto" w:fill="auto"/>
        <w:bidi w:val="0"/>
        <w:spacing w:before="0" w:after="0" w:line="240" w:lineRule="auto"/>
        <w:ind w:left="24"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本期新纳入合并范围的子公司、特殊目的主体、通过受托经营或承租等方式形成控制权的经营实体</w:t>
      </w:r>
    </w:p>
    <w:tbl>
      <w:tblPr>
        <w:tblOverlap w:val="never"/>
        <w:jc w:val="center"/>
        <w:tblLayout w:type="fixed"/>
      </w:tblPr>
      <w:tblGrid>
        <w:gridCol w:w="3826"/>
        <w:gridCol w:w="586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变更原因</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卫士通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网络安全技术有限公司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bl>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本期不再纳入合并范围的子公司、特殊目的主体、通过委托经营或出租等方式丧失控制权的经营实体</w:t>
      </w:r>
    </w:p>
    <w:tbl>
      <w:tblPr>
        <w:tblOverlap w:val="never"/>
        <w:jc w:val="center"/>
        <w:tblLayout w:type="fixed"/>
      </w:tblPr>
      <w:tblGrid>
        <w:gridCol w:w="3826"/>
        <w:gridCol w:w="586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变更原因</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成都三零豪赛网络安全技术有限公司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已成工商注销</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上海卫士通网络安全有限公司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已完成清算及税务注销，正在进行工商注销</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四川卫士通信息安全平台技术有限公司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被子公司成都三零嘉微电子有限公司吸收合并，公司注销</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成都三零盛安信息系统有限公司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被子公司成都三零嘉微电子有限公司吸收合并，公司注销</w:t>
            </w:r>
          </w:p>
        </w:tc>
      </w:tr>
    </w:tbl>
    <w:p>
      <w:pPr>
        <w:pStyle w:val="Style22"/>
        <w:keepNext w:val="0"/>
        <w:keepLines w:val="0"/>
        <w:widowControl w:val="0"/>
        <w:shd w:val="clear" w:color="auto" w:fill="auto"/>
        <w:bidi w:val="0"/>
        <w:spacing w:before="0" w:after="0" w:line="240" w:lineRule="auto"/>
        <w:ind w:left="485" w:right="0" w:firstLine="0"/>
        <w:jc w:val="left"/>
        <w:rPr>
          <w:sz w:val="20"/>
          <w:szCs w:val="20"/>
        </w:rPr>
      </w:pPr>
      <w:r>
        <w:rPr>
          <w:color w:val="000000"/>
          <w:spacing w:val="0"/>
          <w:w w:val="100"/>
          <w:position w:val="0"/>
          <w:sz w:val="20"/>
          <w:szCs w:val="20"/>
        </w:rPr>
        <w:t>合并范围变更主体的具体信息详见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附注八、合并范围的变更</w:t>
      </w:r>
    </w:p>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both"/>
      </w:pPr>
      <w:bookmarkStart w:id="712" w:name="bookmark712"/>
      <w:bookmarkStart w:id="713" w:name="bookmark713"/>
      <w:bookmarkStart w:id="714" w:name="bookmark714"/>
      <w:bookmarkStart w:id="715" w:name="bookmark715"/>
      <w:r>
        <w:rPr>
          <w:color w:val="000000"/>
          <w:spacing w:val="0"/>
          <w:w w:val="100"/>
          <w:position w:val="0"/>
          <w:sz w:val="24"/>
          <w:szCs w:val="24"/>
        </w:rPr>
        <w:t>四</w:t>
      </w:r>
      <w:bookmarkEnd w:id="714"/>
      <w:r>
        <w:rPr>
          <w:color w:val="000000"/>
          <w:spacing w:val="0"/>
          <w:w w:val="100"/>
          <w:position w:val="0"/>
          <w:sz w:val="24"/>
          <w:szCs w:val="24"/>
        </w:rPr>
        <w:t>、财务报表的编制基础</w:t>
      </w:r>
      <w:bookmarkEnd w:id="712"/>
      <w:bookmarkEnd w:id="713"/>
      <w:bookmarkEnd w:id="715"/>
    </w:p>
    <w:p>
      <w:pPr>
        <w:pStyle w:val="Style30"/>
        <w:keepNext/>
        <w:keepLines/>
        <w:widowControl w:val="0"/>
        <w:shd w:val="clear" w:color="auto" w:fill="auto"/>
        <w:bidi w:val="0"/>
        <w:spacing w:before="0" w:after="340" w:line="240"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color w:val="000000"/>
          <w:spacing w:val="0"/>
          <w:w w:val="100"/>
          <w:position w:val="0"/>
        </w:rPr>
        <w:t>、编制基础</w:t>
      </w:r>
      <w:bookmarkEnd w:id="716"/>
      <w:bookmarkEnd w:id="717"/>
      <w:bookmarkEnd w:id="719"/>
    </w:p>
    <w:p>
      <w:pPr>
        <w:pStyle w:val="Style34"/>
        <w:keepNext w:val="0"/>
        <w:keepLines w:val="0"/>
        <w:widowControl w:val="0"/>
        <w:shd w:val="clear" w:color="auto" w:fill="auto"/>
        <w:bidi w:val="0"/>
        <w:spacing w:before="0" w:after="380" w:line="240" w:lineRule="auto"/>
        <w:ind w:left="0" w:right="0"/>
        <w:jc w:val="both"/>
      </w:pPr>
      <w:r>
        <w:rPr>
          <w:color w:val="000000"/>
          <w:spacing w:val="0"/>
          <w:w w:val="100"/>
          <w:position w:val="0"/>
        </w:rPr>
        <w:t xml:space="preserve">本公司根据实际发生的交易和事项，按照财政部颁布的《企业会计准则一基本准则》和具体企业会 </w:t>
      </w:r>
      <w:r>
        <w:rPr>
          <w:color w:val="000000"/>
          <w:spacing w:val="0"/>
          <w:w w:val="100"/>
          <w:position w:val="0"/>
        </w:rPr>
        <w:t>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0"/>
        <w:keepNext/>
        <w:keepLines/>
        <w:widowControl w:val="0"/>
        <w:shd w:val="clear" w:color="auto" w:fill="auto"/>
        <w:bidi w:val="0"/>
        <w:spacing w:before="0" w:after="180" w:line="326" w:lineRule="auto"/>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2</w:t>
      </w:r>
      <w:bookmarkEnd w:id="722"/>
      <w:r>
        <w:rPr>
          <w:color w:val="000000"/>
          <w:spacing w:val="0"/>
          <w:w w:val="100"/>
          <w:position w:val="0"/>
        </w:rPr>
        <w:t>、持续经营</w:t>
      </w:r>
      <w:bookmarkEnd w:id="720"/>
      <w:bookmarkEnd w:id="721"/>
      <w:bookmarkEnd w:id="723"/>
    </w:p>
    <w:p>
      <w:pPr>
        <w:pStyle w:val="Style34"/>
        <w:keepNext w:val="0"/>
        <w:keepLines w:val="0"/>
        <w:widowControl w:val="0"/>
        <w:shd w:val="clear" w:color="auto" w:fill="auto"/>
        <w:bidi w:val="0"/>
        <w:spacing w:before="0" w:after="380" w:line="326" w:lineRule="exact"/>
        <w:ind w:left="0" w:right="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0"/>
        <w:keepNext/>
        <w:keepLines/>
        <w:widowControl w:val="0"/>
        <w:shd w:val="clear" w:color="auto" w:fill="auto"/>
        <w:bidi w:val="0"/>
        <w:spacing w:before="0" w:after="38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sz w:val="24"/>
          <w:szCs w:val="24"/>
        </w:rPr>
        <w:t>五</w:t>
      </w:r>
      <w:bookmarkEnd w:id="726"/>
      <w:r>
        <w:rPr>
          <w:color w:val="000000"/>
          <w:spacing w:val="0"/>
          <w:w w:val="100"/>
          <w:position w:val="0"/>
          <w:sz w:val="24"/>
          <w:szCs w:val="24"/>
        </w:rPr>
        <w:t>、重要会计政策及会计估计</w:t>
      </w:r>
      <w:bookmarkEnd w:id="724"/>
      <w:bookmarkEnd w:id="725"/>
      <w:bookmarkEnd w:id="727"/>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tabs>
          <w:tab w:pos="745" w:val="left"/>
        </w:tabs>
        <w:bidi w:val="0"/>
        <w:spacing w:before="0" w:after="0" w:line="314" w:lineRule="exact"/>
        <w:ind w:left="0" w:right="0"/>
        <w:jc w:val="both"/>
      </w:pPr>
      <w:bookmarkStart w:id="728" w:name="bookmark728"/>
      <w:r>
        <w:rPr>
          <w:rFonts w:ascii="Times New Roman" w:eastAsia="Times New Roman" w:hAnsi="Times New Roman" w:cs="Times New Roman"/>
          <w:color w:val="000000"/>
          <w:spacing w:val="0"/>
          <w:w w:val="100"/>
          <w:position w:val="0"/>
        </w:rPr>
        <w:t>1</w:t>
      </w:r>
      <w:bookmarkEnd w:id="728"/>
      <w:r>
        <w:rPr>
          <w:color w:val="000000"/>
          <w:spacing w:val="0"/>
          <w:w w:val="100"/>
          <w:position w:val="0"/>
        </w:rPr>
        <w:t>、</w:t>
        <w:tab/>
        <w:t xml:space="preserve">本公司根据生产经营特点确定具体会计政策和会计估计，主要体现在存货的计价方法（附注五、 </w:t>
      </w:r>
      <w:r>
        <w:rPr>
          <w:rFonts w:ascii="Times New Roman" w:eastAsia="Times New Roman" w:hAnsi="Times New Roman" w:cs="Times New Roman"/>
          <w:color w:val="000000"/>
          <w:spacing w:val="0"/>
          <w:w w:val="100"/>
          <w:position w:val="0"/>
        </w:rPr>
        <w:t>12</w:t>
      </w:r>
      <w:r>
        <w:rPr>
          <w:color w:val="000000"/>
          <w:spacing w:val="0"/>
          <w:w w:val="100"/>
          <w:position w:val="0"/>
        </w:rPr>
        <w:t>）、应收款项预期信用损失计提的方法（附注五、</w:t>
      </w:r>
      <w:r>
        <w:rPr>
          <w:rFonts w:ascii="Times New Roman" w:eastAsia="Times New Roman" w:hAnsi="Times New Roman" w:cs="Times New Roman"/>
          <w:color w:val="000000"/>
          <w:spacing w:val="0"/>
          <w:w w:val="100"/>
          <w:position w:val="0"/>
        </w:rPr>
        <w:t>9-11</w:t>
      </w:r>
      <w:r>
        <w:rPr>
          <w:color w:val="000000"/>
          <w:spacing w:val="0"/>
          <w:w w:val="100"/>
          <w:position w:val="0"/>
        </w:rPr>
        <w:t>）、固定资产折旧和无形资产摊销（附注五、</w:t>
      </w:r>
      <w:r>
        <w:rPr>
          <w:rFonts w:ascii="Times New Roman" w:eastAsia="Times New Roman" w:hAnsi="Times New Roman" w:cs="Times New Roman"/>
          <w:color w:val="000000"/>
          <w:spacing w:val="0"/>
          <w:w w:val="100"/>
          <w:position w:val="0"/>
        </w:rPr>
        <w:t>16</w:t>
      </w:r>
      <w:r>
        <w:rPr>
          <w:color w:val="000000"/>
          <w:spacing w:val="0"/>
          <w:w w:val="100"/>
          <w:position w:val="0"/>
        </w:rPr>
        <w:t>、 及</w:t>
      </w:r>
      <w:r>
        <w:rPr>
          <w:rFonts w:ascii="Times New Roman" w:eastAsia="Times New Roman" w:hAnsi="Times New Roman" w:cs="Times New Roman"/>
          <w:color w:val="000000"/>
          <w:spacing w:val="0"/>
          <w:w w:val="100"/>
          <w:position w:val="0"/>
        </w:rPr>
        <w:t>19</w:t>
      </w:r>
      <w:r>
        <w:rPr>
          <w:color w:val="000000"/>
          <w:spacing w:val="0"/>
          <w:w w:val="100"/>
          <w:position w:val="0"/>
        </w:rPr>
        <w:t>）、收入的确认时点（附注五、</w:t>
      </w:r>
      <w:r>
        <w:rPr>
          <w:rFonts w:ascii="Times New Roman" w:eastAsia="Times New Roman" w:hAnsi="Times New Roman" w:cs="Times New Roman"/>
          <w:color w:val="000000"/>
          <w:spacing w:val="0"/>
          <w:w w:val="100"/>
          <w:position w:val="0"/>
        </w:rPr>
        <w:t>25</w:t>
      </w:r>
      <w:r>
        <w:rPr>
          <w:color w:val="000000"/>
          <w:spacing w:val="0"/>
          <w:w w:val="100"/>
          <w:position w:val="0"/>
        </w:rPr>
        <w:t>）等。</w:t>
      </w:r>
    </w:p>
    <w:p>
      <w:pPr>
        <w:pStyle w:val="Style34"/>
        <w:keepNext w:val="0"/>
        <w:keepLines w:val="0"/>
        <w:widowControl w:val="0"/>
        <w:shd w:val="clear" w:color="auto" w:fill="auto"/>
        <w:tabs>
          <w:tab w:pos="745" w:val="left"/>
        </w:tabs>
        <w:bidi w:val="0"/>
        <w:spacing w:before="0" w:after="0" w:line="314" w:lineRule="exact"/>
        <w:ind w:left="0" w:right="0"/>
        <w:jc w:val="both"/>
      </w:pPr>
      <w:bookmarkStart w:id="729" w:name="bookmark729"/>
      <w:r>
        <w:rPr>
          <w:rFonts w:ascii="Times New Roman" w:eastAsia="Times New Roman" w:hAnsi="Times New Roman" w:cs="Times New Roman"/>
          <w:color w:val="000000"/>
          <w:spacing w:val="0"/>
          <w:w w:val="100"/>
          <w:position w:val="0"/>
        </w:rPr>
        <w:t>2</w:t>
      </w:r>
      <w:bookmarkEnd w:id="729"/>
      <w:r>
        <w:rPr>
          <w:color w:val="000000"/>
          <w:spacing w:val="0"/>
          <w:w w:val="100"/>
          <w:position w:val="0"/>
        </w:rPr>
        <w:t>、</w:t>
        <w:tab/>
        <w:t>本公司根据历史经验和其他因素，包括对未来事项的合理预期，对所采用的重要会计估计和关键 假设进行持续的评价。下列重要会计估计及关键假设如果发生重大变动，则可能会导致以后会计年度的资 产和负债账面价值的重大影响：</w:t>
      </w:r>
    </w:p>
    <w:p>
      <w:pPr>
        <w:pStyle w:val="Style34"/>
        <w:keepNext w:val="0"/>
        <w:keepLines w:val="0"/>
        <w:widowControl w:val="0"/>
        <w:shd w:val="clear" w:color="auto" w:fill="auto"/>
        <w:tabs>
          <w:tab w:pos="726" w:val="left"/>
        </w:tabs>
        <w:bidi w:val="0"/>
        <w:spacing w:before="0" w:after="0" w:line="314" w:lineRule="exact"/>
        <w:ind w:left="0" w:right="0" w:firstLine="200"/>
        <w:jc w:val="left"/>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1</w:t>
      </w:r>
      <w:r>
        <w:rPr>
          <w:color w:val="000000"/>
          <w:spacing w:val="0"/>
          <w:w w:val="100"/>
          <w:position w:val="0"/>
        </w:rPr>
        <w:t>）</w:t>
        <w:tab/>
        <w:t>应收账款和其他应收款预期信用损失。管理层根据其判断的应收账款和其他应收款的预期信用损失， 以此来估计应收账款和其他应收款减值准备。如发生任何事件或情况变动，显示公司未必可追回有关余额， 则需要使用估计，对应收账款和其他应收款计提减值准备。若预期数字与原来估计数不同，有关差额则会 影响应收账款和其他应收款的账面价值，以及在估计变动期间的减值费用。</w:t>
      </w:r>
    </w:p>
    <w:p>
      <w:pPr>
        <w:pStyle w:val="Style34"/>
        <w:keepNext w:val="0"/>
        <w:keepLines w:val="0"/>
        <w:widowControl w:val="0"/>
        <w:shd w:val="clear" w:color="auto" w:fill="auto"/>
        <w:tabs>
          <w:tab w:pos="726" w:val="left"/>
        </w:tabs>
        <w:bidi w:val="0"/>
        <w:spacing w:before="0" w:after="0" w:line="314" w:lineRule="exact"/>
        <w:ind w:left="0" w:right="0" w:firstLine="200"/>
        <w:jc w:val="left"/>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rPr>
        <w:t>2）</w:t>
        <w:tab/>
      </w:r>
      <w:r>
        <w:rPr>
          <w:color w:val="000000"/>
          <w:spacing w:val="0"/>
          <w:w w:val="100"/>
          <w:position w:val="0"/>
        </w:rPr>
        <w:t>存货减值的估计。在资产负债表日对存货按照成本与可变现净值孰低计量，可变现净值的计算需要 利用假设和估计。如果管理层对估计售价及完工时将要发生的成本及费用等进行重新修订，将影响存货的 可变现净值的估计，该差异将对计提的存货跌价准备产生影响。</w:t>
      </w:r>
    </w:p>
    <w:p>
      <w:pPr>
        <w:pStyle w:val="Style34"/>
        <w:keepNext w:val="0"/>
        <w:keepLines w:val="0"/>
        <w:widowControl w:val="0"/>
        <w:shd w:val="clear" w:color="auto" w:fill="auto"/>
        <w:tabs>
          <w:tab w:pos="664" w:val="left"/>
        </w:tabs>
        <w:bidi w:val="0"/>
        <w:spacing w:before="0" w:after="0" w:line="314" w:lineRule="exact"/>
        <w:ind w:left="0" w:right="0" w:firstLine="280"/>
        <w:jc w:val="both"/>
      </w:pPr>
      <w:bookmarkStart w:id="732" w:name="bookmark732"/>
      <w:r>
        <w:rPr>
          <w:rFonts w:ascii="Times New Roman" w:eastAsia="Times New Roman" w:hAnsi="Times New Roman" w:cs="Times New Roman"/>
          <w:color w:val="000000"/>
          <w:spacing w:val="0"/>
          <w:w w:val="100"/>
          <w:position w:val="0"/>
        </w:rPr>
        <w:t>（</w:t>
      </w:r>
      <w:bookmarkEnd w:id="732"/>
      <w:r>
        <w:rPr>
          <w:rFonts w:ascii="Times New Roman" w:eastAsia="Times New Roman" w:hAnsi="Times New Roman" w:cs="Times New Roman"/>
          <w:color w:val="000000"/>
          <w:spacing w:val="0"/>
          <w:w w:val="100"/>
          <w:position w:val="0"/>
        </w:rPr>
        <w:t>3）</w:t>
        <w:tab/>
      </w:r>
      <w:r>
        <w:rPr>
          <w:color w:val="000000"/>
          <w:spacing w:val="0"/>
          <w:w w:val="100"/>
          <w:position w:val="0"/>
        </w:rPr>
        <w:t>长期资产减值的估计。管理层在判断长期资产是否存在减值时，主要从以下方面进行评估和分析:</w:t>
      </w:r>
      <w:r>
        <w:rPr>
          <w:rFonts w:ascii="Times New Roman" w:eastAsia="Times New Roman" w:hAnsi="Times New Roman" w:cs="Times New Roman"/>
          <w:color w:val="000000"/>
          <w:spacing w:val="0"/>
          <w:w w:val="100"/>
          <w:position w:val="0"/>
        </w:rPr>
        <w:t xml:space="preserve">（1） </w:t>
      </w:r>
      <w:r>
        <w:rPr>
          <w:color w:val="000000"/>
          <w:spacing w:val="0"/>
          <w:w w:val="100"/>
          <w:position w:val="0"/>
        </w:rPr>
        <w:t>影响资产减值的事项是否已经发生；</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资产继续使用或处置而预期可获得的现金流量现值是否低于资产的 账面价值；</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预期未来现金流量现值中使用的重要假设是否适当。</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公司所采用的用于确定减值的相关假设，如未来现金流量现值方法中所采用的盈利状况、折现率及增 长率假设发生变化，可能会对减值测试中所使用的现值产生重大影响，并导致公司的上述长期资产出现减 值。</w:t>
      </w:r>
    </w:p>
    <w:p>
      <w:pPr>
        <w:pStyle w:val="Style34"/>
        <w:keepNext w:val="0"/>
        <w:keepLines w:val="0"/>
        <w:widowControl w:val="0"/>
        <w:shd w:val="clear" w:color="auto" w:fill="auto"/>
        <w:tabs>
          <w:tab w:pos="635" w:val="left"/>
        </w:tabs>
        <w:bidi w:val="0"/>
        <w:spacing w:before="0" w:after="0" w:line="314" w:lineRule="exact"/>
        <w:ind w:left="0" w:right="0" w:firstLine="280"/>
        <w:jc w:val="both"/>
      </w:pPr>
      <w:bookmarkStart w:id="733" w:name="bookmark733"/>
      <w:r>
        <w:rPr>
          <w:rFonts w:ascii="Times New Roman" w:eastAsia="Times New Roman" w:hAnsi="Times New Roman" w:cs="Times New Roman"/>
          <w:color w:val="000000"/>
          <w:spacing w:val="0"/>
          <w:w w:val="100"/>
          <w:position w:val="0"/>
        </w:rPr>
        <w:t>（</w:t>
      </w:r>
      <w:bookmarkEnd w:id="733"/>
      <w:r>
        <w:rPr>
          <w:rFonts w:ascii="Times New Roman" w:eastAsia="Times New Roman" w:hAnsi="Times New Roman" w:cs="Times New Roman"/>
          <w:color w:val="000000"/>
          <w:spacing w:val="0"/>
          <w:w w:val="100"/>
          <w:position w:val="0"/>
        </w:rPr>
        <w:t>4）</w:t>
        <w:tab/>
      </w:r>
      <w:r>
        <w:rPr>
          <w:color w:val="000000"/>
          <w:spacing w:val="0"/>
          <w:w w:val="100"/>
          <w:position w:val="0"/>
        </w:rPr>
        <w:t>固定资产的预计使用寿命与预计净残值。固定资产的预计使用寿命与预计净残值的估计是将性质和功 能类似的固定资产过往的实际使用寿命与实际净残值作为基础。在固定资产使用过程中，其所处的经济环 境、技术环境以及其他环境有可能对固定资产使用寿命与预计净残值产生较大影响。如果固定资产使用寿 命与净残值的预计数与原先估计数有差异，管理层将对其进行适当调整。</w:t>
      </w:r>
    </w:p>
    <w:p>
      <w:pPr>
        <w:pStyle w:val="Style34"/>
        <w:keepNext w:val="0"/>
        <w:keepLines w:val="0"/>
        <w:widowControl w:val="0"/>
        <w:shd w:val="clear" w:color="auto" w:fill="auto"/>
        <w:tabs>
          <w:tab w:pos="635" w:val="left"/>
        </w:tabs>
        <w:bidi w:val="0"/>
        <w:spacing w:before="0" w:after="60" w:line="314" w:lineRule="exact"/>
        <w:ind w:left="0" w:right="0" w:firstLine="280"/>
        <w:jc w:val="both"/>
      </w:pPr>
      <w:bookmarkStart w:id="734" w:name="bookmark734"/>
      <w:r>
        <w:rPr>
          <w:rFonts w:ascii="Times New Roman" w:eastAsia="Times New Roman" w:hAnsi="Times New Roman" w:cs="Times New Roman"/>
          <w:color w:val="000000"/>
          <w:spacing w:val="0"/>
          <w:w w:val="100"/>
          <w:position w:val="0"/>
        </w:rPr>
        <w:t>（</w:t>
      </w:r>
      <w:bookmarkEnd w:id="734"/>
      <w:r>
        <w:rPr>
          <w:rFonts w:ascii="Times New Roman" w:eastAsia="Times New Roman" w:hAnsi="Times New Roman" w:cs="Times New Roman"/>
          <w:color w:val="000000"/>
          <w:spacing w:val="0"/>
          <w:w w:val="100"/>
          <w:position w:val="0"/>
        </w:rPr>
        <w:t>5）</w:t>
        <w:tab/>
      </w:r>
      <w:r>
        <w:rPr>
          <w:color w:val="000000"/>
          <w:spacing w:val="0"/>
          <w:w w:val="100"/>
          <w:position w:val="0"/>
        </w:rPr>
        <w:t>金融资产的公允价值。本公司对没有活跃市场的金融工具，采用包括现金流量折现法等在内的各种估 值技术确定其公允价值。对于法律明令限制本公司在特定期间内处置的金融资产，其公允价值是以市场报 价为基础并根据该工具的特征进行调整。在估值时，本公司需对诸如自身和交易对手的信用风险、市场波 动率和相关性等方面进行估计，这些相关因素假设的变化会对金融工具的公允价值产生影响。</w:t>
      </w:r>
    </w:p>
    <w:p>
      <w:pPr>
        <w:pStyle w:val="Style34"/>
        <w:keepNext w:val="0"/>
        <w:keepLines w:val="0"/>
        <w:widowControl w:val="0"/>
        <w:shd w:val="clear" w:color="auto" w:fill="auto"/>
        <w:tabs>
          <w:tab w:pos="651" w:val="left"/>
        </w:tabs>
        <w:bidi w:val="0"/>
        <w:spacing w:before="0" w:after="0" w:line="326" w:lineRule="auto"/>
        <w:ind w:left="0" w:right="0" w:firstLine="280"/>
        <w:jc w:val="both"/>
      </w:pPr>
      <w:bookmarkStart w:id="735" w:name="bookmark735"/>
      <w:r>
        <w:rPr>
          <w:rFonts w:ascii="Times New Roman" w:eastAsia="Times New Roman" w:hAnsi="Times New Roman" w:cs="Times New Roman"/>
          <w:color w:val="000000"/>
          <w:spacing w:val="0"/>
          <w:w w:val="100"/>
          <w:position w:val="0"/>
        </w:rPr>
        <w:t>（</w:t>
      </w:r>
      <w:bookmarkEnd w:id="735"/>
      <w:r>
        <w:rPr>
          <w:rFonts w:ascii="Times New Roman" w:eastAsia="Times New Roman" w:hAnsi="Times New Roman" w:cs="Times New Roman"/>
          <w:color w:val="000000"/>
          <w:spacing w:val="0"/>
          <w:w w:val="100"/>
          <w:position w:val="0"/>
        </w:rPr>
        <w:t>6）</w:t>
        <w:tab/>
      </w:r>
      <w:r>
        <w:rPr>
          <w:color w:val="000000"/>
          <w:spacing w:val="0"/>
          <w:w w:val="100"/>
          <w:position w:val="0"/>
        </w:rPr>
        <w:t>递延所得税资产和递延所得税负债。</w:t>
      </w:r>
    </w:p>
    <w:p>
      <w:pPr>
        <w:pStyle w:val="Style34"/>
        <w:keepNext w:val="0"/>
        <w:keepLines w:val="0"/>
        <w:widowControl w:val="0"/>
        <w:shd w:val="clear" w:color="auto" w:fill="auto"/>
        <w:tabs>
          <w:tab w:pos="630" w:val="left"/>
        </w:tabs>
        <w:bidi w:val="0"/>
        <w:spacing w:before="0" w:after="120" w:line="314" w:lineRule="exact"/>
        <w:ind w:left="0" w:right="0" w:firstLine="280"/>
        <w:jc w:val="both"/>
      </w:pPr>
      <w:bookmarkStart w:id="736" w:name="bookmark736"/>
      <w:r>
        <w:rPr>
          <w:rFonts w:ascii="Times New Roman" w:eastAsia="Times New Roman" w:hAnsi="Times New Roman" w:cs="Times New Roman"/>
          <w:color w:val="000000"/>
          <w:spacing w:val="0"/>
          <w:w w:val="100"/>
          <w:position w:val="0"/>
        </w:rPr>
        <w:t>（</w:t>
      </w:r>
      <w:bookmarkEnd w:id="736"/>
      <w:r>
        <w:rPr>
          <w:rFonts w:ascii="Times New Roman" w:eastAsia="Times New Roman" w:hAnsi="Times New Roman" w:cs="Times New Roman"/>
          <w:color w:val="000000"/>
          <w:spacing w:val="0"/>
          <w:w w:val="100"/>
          <w:position w:val="0"/>
        </w:rPr>
        <w:t>7）</w:t>
        <w:tab/>
      </w:r>
      <w:r>
        <w:rPr>
          <w:color w:val="000000"/>
          <w:spacing w:val="0"/>
          <w:w w:val="100"/>
          <w:position w:val="0"/>
        </w:rPr>
        <w:t>所得税。在正常的经营活动中，很多交易和事项的最终税务处理都存在不确定性。在计提所得税时需 要作出重大判断。如果这些税务事项的最终认定结果与最初入账的金额存在差异，该差异将对作出上述最 终认定期间的税金金额产生影响。</w:t>
      </w:r>
    </w:p>
    <w:p>
      <w:pPr>
        <w:pStyle w:val="Style30"/>
        <w:keepNext/>
        <w:keepLines/>
        <w:widowControl w:val="0"/>
        <w:shd w:val="clear" w:color="auto" w:fill="auto"/>
        <w:tabs>
          <w:tab w:pos="358" w:val="left"/>
        </w:tabs>
        <w:bidi w:val="0"/>
        <w:spacing w:before="0" w:after="300" w:line="313" w:lineRule="exact"/>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color w:val="000000"/>
          <w:spacing w:val="0"/>
          <w:w w:val="100"/>
          <w:position w:val="0"/>
        </w:rPr>
        <w:t>、</w:t>
        <w:tab/>
        <w:t>遵循企业会计准则的声明</w:t>
      </w:r>
      <w:bookmarkEnd w:id="737"/>
      <w:bookmarkEnd w:id="738"/>
      <w:bookmarkEnd w:id="740"/>
    </w:p>
    <w:p>
      <w:pPr>
        <w:pStyle w:val="Style34"/>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0"/>
        <w:keepNext/>
        <w:keepLines/>
        <w:widowControl w:val="0"/>
        <w:shd w:val="clear" w:color="auto" w:fill="auto"/>
        <w:tabs>
          <w:tab w:pos="368" w:val="left"/>
        </w:tabs>
        <w:bidi w:val="0"/>
        <w:spacing w:before="0" w:after="300" w:line="313" w:lineRule="exact"/>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2</w:t>
      </w:r>
      <w:bookmarkEnd w:id="743"/>
      <w:r>
        <w:rPr>
          <w:color w:val="000000"/>
          <w:spacing w:val="0"/>
          <w:w w:val="100"/>
          <w:position w:val="0"/>
        </w:rPr>
        <w:t>、</w:t>
        <w:tab/>
        <w:t>会计期间</w:t>
      </w:r>
      <w:bookmarkEnd w:id="741"/>
      <w:bookmarkEnd w:id="742"/>
      <w:bookmarkEnd w:id="744"/>
    </w:p>
    <w:p>
      <w:pPr>
        <w:pStyle w:val="Style34"/>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0"/>
        <w:keepNext/>
        <w:keepLines/>
        <w:widowControl w:val="0"/>
        <w:shd w:val="clear" w:color="auto" w:fill="auto"/>
        <w:tabs>
          <w:tab w:pos="368" w:val="left"/>
        </w:tabs>
        <w:bidi w:val="0"/>
        <w:spacing w:before="0" w:after="300" w:line="313" w:lineRule="exact"/>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3</w:t>
      </w:r>
      <w:bookmarkEnd w:id="747"/>
      <w:r>
        <w:rPr>
          <w:color w:val="000000"/>
          <w:spacing w:val="0"/>
          <w:w w:val="100"/>
          <w:position w:val="0"/>
        </w:rPr>
        <w:t>、</w:t>
        <w:tab/>
        <w:t>营业周期</w:t>
      </w:r>
      <w:bookmarkEnd w:id="745"/>
      <w:bookmarkEnd w:id="746"/>
      <w:bookmarkEnd w:id="748"/>
    </w:p>
    <w:p>
      <w:pPr>
        <w:pStyle w:val="Style34"/>
        <w:keepNext w:val="0"/>
        <w:keepLines w:val="0"/>
        <w:widowControl w:val="0"/>
        <w:shd w:val="clear" w:color="auto" w:fill="auto"/>
        <w:bidi w:val="0"/>
        <w:spacing w:before="0" w:after="300" w:line="307" w:lineRule="exact"/>
        <w:ind w:left="0" w:right="0" w:firstLine="420"/>
        <w:jc w:val="both"/>
      </w:pPr>
      <w:r>
        <w:rPr>
          <w:color w:val="000000"/>
          <w:spacing w:val="0"/>
          <w:w w:val="100"/>
          <w:position w:val="0"/>
        </w:rPr>
        <w:t>本公司营业周期是指本公司签订合同，购买用于加工的软硬件资产起至实现现金或现金等价物期间。 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30"/>
        <w:keepNext/>
        <w:keepLines/>
        <w:widowControl w:val="0"/>
        <w:shd w:val="clear" w:color="auto" w:fill="auto"/>
        <w:tabs>
          <w:tab w:pos="368" w:val="left"/>
        </w:tabs>
        <w:bidi w:val="0"/>
        <w:spacing w:before="0" w:after="300" w:line="313" w:lineRule="exact"/>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4</w:t>
      </w:r>
      <w:bookmarkEnd w:id="751"/>
      <w:r>
        <w:rPr>
          <w:color w:val="000000"/>
          <w:spacing w:val="0"/>
          <w:w w:val="100"/>
          <w:position w:val="0"/>
        </w:rPr>
        <w:t>、</w:t>
        <w:tab/>
        <w:t>记账本位币</w:t>
      </w:r>
      <w:bookmarkEnd w:id="749"/>
      <w:bookmarkEnd w:id="750"/>
      <w:bookmarkEnd w:id="752"/>
    </w:p>
    <w:p>
      <w:pPr>
        <w:pStyle w:val="Style34"/>
        <w:keepNext w:val="0"/>
        <w:keepLines w:val="0"/>
        <w:widowControl w:val="0"/>
        <w:shd w:val="clear" w:color="auto" w:fill="auto"/>
        <w:bidi w:val="0"/>
        <w:spacing w:before="0" w:after="300" w:line="313" w:lineRule="exact"/>
        <w:ind w:left="0" w:right="0" w:firstLine="320"/>
        <w:jc w:val="both"/>
      </w:pPr>
      <w:r>
        <w:rPr>
          <w:color w:val="000000"/>
          <w:spacing w:val="0"/>
          <w:w w:val="100"/>
          <w:position w:val="0"/>
        </w:rPr>
        <w:t>本公司采用人民币为记账本位币。</w:t>
      </w:r>
    </w:p>
    <w:p>
      <w:pPr>
        <w:pStyle w:val="Style30"/>
        <w:keepNext/>
        <w:keepLines/>
        <w:widowControl w:val="0"/>
        <w:shd w:val="clear" w:color="auto" w:fill="auto"/>
        <w:tabs>
          <w:tab w:pos="368" w:val="left"/>
        </w:tabs>
        <w:bidi w:val="0"/>
        <w:spacing w:before="0" w:after="300" w:line="313" w:lineRule="exact"/>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5</w:t>
      </w:r>
      <w:bookmarkEnd w:id="755"/>
      <w:r>
        <w:rPr>
          <w:color w:val="000000"/>
          <w:spacing w:val="0"/>
          <w:w w:val="100"/>
          <w:position w:val="0"/>
        </w:rPr>
        <w:t>、</w:t>
        <w:tab/>
        <w:t>同一控制下和非同一控制下企业合并的会计处理方法</w:t>
      </w:r>
      <w:bookmarkEnd w:id="753"/>
      <w:bookmarkEnd w:id="754"/>
      <w:bookmarkEnd w:id="756"/>
    </w:p>
    <w:p>
      <w:pPr>
        <w:pStyle w:val="Style34"/>
        <w:keepNext w:val="0"/>
        <w:keepLines w:val="0"/>
        <w:widowControl w:val="0"/>
        <w:numPr>
          <w:ilvl w:val="0"/>
          <w:numId w:val="25"/>
        </w:numPr>
        <w:shd w:val="clear" w:color="auto" w:fill="auto"/>
        <w:bidi w:val="0"/>
        <w:spacing w:before="0" w:after="0" w:line="313" w:lineRule="exact"/>
        <w:ind w:left="380" w:right="0" w:firstLine="40"/>
        <w:jc w:val="both"/>
      </w:pPr>
      <w:bookmarkStart w:id="757" w:name="bookmark757"/>
      <w:bookmarkEnd w:id="757"/>
      <w:r>
        <w:rPr>
          <w:b/>
          <w:bCs/>
          <w:color w:val="000000"/>
          <w:spacing w:val="0"/>
          <w:w w:val="100"/>
          <w:position w:val="0"/>
        </w:rPr>
        <w:t>分步实现企业合并过程中的各项交易的条款、条件以及经济影响符合以下一种或多种情况，将多次 交易事项作为一揽子交易进行会计处理</w:t>
      </w:r>
    </w:p>
    <w:p>
      <w:pPr>
        <w:pStyle w:val="Style34"/>
        <w:keepNext w:val="0"/>
        <w:keepLines w:val="0"/>
        <w:widowControl w:val="0"/>
        <w:shd w:val="clear" w:color="auto" w:fill="auto"/>
        <w:tabs>
          <w:tab w:pos="808" w:val="left"/>
        </w:tabs>
        <w:bidi w:val="0"/>
        <w:spacing w:before="0" w:after="0" w:line="313" w:lineRule="exact"/>
        <w:ind w:left="0" w:right="0" w:firstLine="32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4"/>
        <w:keepNext w:val="0"/>
        <w:keepLines w:val="0"/>
        <w:widowControl w:val="0"/>
        <w:shd w:val="clear" w:color="auto" w:fill="auto"/>
        <w:tabs>
          <w:tab w:pos="808" w:val="left"/>
        </w:tabs>
        <w:bidi w:val="0"/>
        <w:spacing w:before="0" w:after="0" w:line="313" w:lineRule="exact"/>
        <w:ind w:left="0" w:right="0" w:firstLine="32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4"/>
        <w:keepNext w:val="0"/>
        <w:keepLines w:val="0"/>
        <w:widowControl w:val="0"/>
        <w:shd w:val="clear" w:color="auto" w:fill="auto"/>
        <w:tabs>
          <w:tab w:pos="808" w:val="left"/>
        </w:tabs>
        <w:bidi w:val="0"/>
        <w:spacing w:before="0" w:after="0" w:line="313" w:lineRule="exact"/>
        <w:ind w:left="0" w:right="0" w:firstLine="32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4"/>
        <w:keepNext w:val="0"/>
        <w:keepLines w:val="0"/>
        <w:widowControl w:val="0"/>
        <w:shd w:val="clear" w:color="auto" w:fill="auto"/>
        <w:tabs>
          <w:tab w:pos="808" w:val="left"/>
        </w:tabs>
        <w:bidi w:val="0"/>
        <w:spacing w:before="0" w:after="80" w:line="313" w:lineRule="exact"/>
        <w:ind w:left="0" w:right="0" w:firstLine="32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4"/>
        <w:keepNext w:val="0"/>
        <w:keepLines w:val="0"/>
        <w:widowControl w:val="0"/>
        <w:numPr>
          <w:ilvl w:val="0"/>
          <w:numId w:val="25"/>
        </w:numPr>
        <w:shd w:val="clear" w:color="auto" w:fill="auto"/>
        <w:tabs>
          <w:tab w:pos="729" w:val="left"/>
        </w:tabs>
        <w:bidi w:val="0"/>
        <w:spacing w:before="0" w:after="0" w:line="326" w:lineRule="auto"/>
        <w:ind w:left="0" w:right="0" w:firstLine="380"/>
        <w:jc w:val="both"/>
      </w:pPr>
      <w:bookmarkStart w:id="762" w:name="bookmark762"/>
      <w:bookmarkEnd w:id="762"/>
      <w:r>
        <w:rPr>
          <w:b/>
          <w:bCs/>
          <w:color w:val="000000"/>
          <w:spacing w:val="0"/>
          <w:w w:val="100"/>
          <w:position w:val="0"/>
        </w:rPr>
        <w:t>同一控制下的企业合并</w:t>
      </w:r>
    </w:p>
    <w:p>
      <w:pPr>
        <w:pStyle w:val="Style34"/>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4"/>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4"/>
        <w:keepNext w:val="0"/>
        <w:keepLines w:val="0"/>
        <w:widowControl w:val="0"/>
        <w:shd w:val="clear" w:color="auto" w:fill="auto"/>
        <w:bidi w:val="0"/>
        <w:spacing w:before="0" w:after="80" w:line="313" w:lineRule="exact"/>
        <w:ind w:left="0" w:right="0" w:firstLine="42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34"/>
        <w:keepNext w:val="0"/>
        <w:keepLines w:val="0"/>
        <w:widowControl w:val="0"/>
        <w:numPr>
          <w:ilvl w:val="0"/>
          <w:numId w:val="25"/>
        </w:numPr>
        <w:shd w:val="clear" w:color="auto" w:fill="auto"/>
        <w:tabs>
          <w:tab w:pos="729" w:val="left"/>
        </w:tabs>
        <w:bidi w:val="0"/>
        <w:spacing w:before="0" w:after="0" w:line="326" w:lineRule="auto"/>
        <w:ind w:left="0" w:right="0" w:firstLine="380"/>
        <w:jc w:val="both"/>
      </w:pPr>
      <w:bookmarkStart w:id="763" w:name="bookmark763"/>
      <w:bookmarkEnd w:id="763"/>
      <w:r>
        <w:rPr>
          <w:b/>
          <w:bCs/>
          <w:color w:val="000000"/>
          <w:spacing w:val="0"/>
          <w:w w:val="100"/>
          <w:position w:val="0"/>
        </w:rPr>
        <w:t>非同一控制下的企业合并</w:t>
      </w:r>
    </w:p>
    <w:p>
      <w:pPr>
        <w:pStyle w:val="Style34"/>
        <w:keepNext w:val="0"/>
        <w:keepLines w:val="0"/>
        <w:widowControl w:val="0"/>
        <w:shd w:val="clear" w:color="auto" w:fill="auto"/>
        <w:bidi w:val="0"/>
        <w:spacing w:before="0" w:after="0" w:line="313" w:lineRule="exact"/>
        <w:ind w:left="0" w:right="0" w:firstLine="42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34"/>
        <w:keepNext w:val="0"/>
        <w:keepLines w:val="0"/>
        <w:widowControl w:val="0"/>
        <w:numPr>
          <w:ilvl w:val="0"/>
          <w:numId w:val="27"/>
        </w:numPr>
        <w:shd w:val="clear" w:color="auto" w:fill="auto"/>
        <w:bidi w:val="0"/>
        <w:spacing w:before="0" w:after="300" w:line="313" w:lineRule="exact"/>
        <w:ind w:left="0" w:right="0" w:firstLine="420"/>
        <w:jc w:val="both"/>
      </w:pPr>
      <w:bookmarkStart w:id="764" w:name="bookmark764"/>
      <w:bookmarkEnd w:id="764"/>
      <w:r>
        <w:rPr>
          <w:color w:val="000000"/>
          <w:spacing w:val="0"/>
          <w:w w:val="100"/>
          <w:position w:val="0"/>
        </w:rPr>
        <w:t>企业合并合同或协议已获本公司内部权力机构通过。</w:t>
      </w:r>
    </w:p>
    <w:p>
      <w:pPr>
        <w:pStyle w:val="Style34"/>
        <w:keepNext w:val="0"/>
        <w:keepLines w:val="0"/>
        <w:widowControl w:val="0"/>
        <w:numPr>
          <w:ilvl w:val="0"/>
          <w:numId w:val="27"/>
        </w:numPr>
        <w:shd w:val="clear" w:color="auto" w:fill="auto"/>
        <w:tabs>
          <w:tab w:pos="840" w:val="left"/>
        </w:tabs>
        <w:bidi w:val="0"/>
        <w:spacing w:before="0" w:after="0" w:line="312" w:lineRule="exact"/>
        <w:ind w:left="0" w:right="0"/>
        <w:jc w:val="both"/>
      </w:pPr>
      <w:bookmarkStart w:id="765" w:name="bookmark765"/>
      <w:bookmarkEnd w:id="765"/>
      <w:r>
        <w:rPr>
          <w:color w:val="000000"/>
          <w:spacing w:val="0"/>
          <w:w w:val="100"/>
          <w:position w:val="0"/>
        </w:rPr>
        <w:t>企业合并事项需要经过国家有关主管部门审批的，已获得批准。</w:t>
      </w:r>
    </w:p>
    <w:p>
      <w:pPr>
        <w:pStyle w:val="Style34"/>
        <w:keepNext w:val="0"/>
        <w:keepLines w:val="0"/>
        <w:widowControl w:val="0"/>
        <w:numPr>
          <w:ilvl w:val="0"/>
          <w:numId w:val="27"/>
        </w:numPr>
        <w:shd w:val="clear" w:color="auto" w:fill="auto"/>
        <w:tabs>
          <w:tab w:pos="840" w:val="left"/>
        </w:tabs>
        <w:bidi w:val="0"/>
        <w:spacing w:before="0" w:after="0" w:line="312" w:lineRule="exact"/>
        <w:ind w:left="0" w:right="0"/>
        <w:jc w:val="both"/>
      </w:pPr>
      <w:bookmarkStart w:id="766" w:name="bookmark766"/>
      <w:bookmarkEnd w:id="766"/>
      <w:r>
        <w:rPr>
          <w:color w:val="000000"/>
          <w:spacing w:val="0"/>
          <w:w w:val="100"/>
          <w:position w:val="0"/>
        </w:rPr>
        <w:t>已办理了必要的财产权转移手续。</w:t>
      </w:r>
    </w:p>
    <w:p>
      <w:pPr>
        <w:pStyle w:val="Style34"/>
        <w:keepNext w:val="0"/>
        <w:keepLines w:val="0"/>
        <w:widowControl w:val="0"/>
        <w:numPr>
          <w:ilvl w:val="0"/>
          <w:numId w:val="27"/>
        </w:numPr>
        <w:shd w:val="clear" w:color="auto" w:fill="auto"/>
        <w:tabs>
          <w:tab w:pos="840" w:val="left"/>
        </w:tabs>
        <w:bidi w:val="0"/>
        <w:spacing w:before="0" w:after="0" w:line="312" w:lineRule="exact"/>
        <w:ind w:left="0" w:right="0"/>
        <w:jc w:val="both"/>
      </w:pPr>
      <w:bookmarkStart w:id="767" w:name="bookmark767"/>
      <w:bookmarkEnd w:id="767"/>
      <w:r>
        <w:rPr>
          <w:color w:val="000000"/>
          <w:spacing w:val="0"/>
          <w:w w:val="100"/>
          <w:position w:val="0"/>
        </w:rPr>
        <w:t>本公司已支付了合并价款的大部分，并且有能力、有计划支付剩余款项。</w:t>
      </w:r>
    </w:p>
    <w:p>
      <w:pPr>
        <w:pStyle w:val="Style34"/>
        <w:keepNext w:val="0"/>
        <w:keepLines w:val="0"/>
        <w:widowControl w:val="0"/>
        <w:numPr>
          <w:ilvl w:val="0"/>
          <w:numId w:val="27"/>
        </w:numPr>
        <w:shd w:val="clear" w:color="auto" w:fill="auto"/>
        <w:tabs>
          <w:tab w:pos="840" w:val="left"/>
        </w:tabs>
        <w:bidi w:val="0"/>
        <w:spacing w:before="0" w:after="0" w:line="312" w:lineRule="exact"/>
        <w:ind w:left="0" w:right="0"/>
        <w:jc w:val="both"/>
      </w:pPr>
      <w:bookmarkStart w:id="768" w:name="bookmark768"/>
      <w:bookmarkEnd w:id="768"/>
      <w:r>
        <w:rPr>
          <w:color w:val="000000"/>
          <w:spacing w:val="0"/>
          <w:w w:val="100"/>
          <w:position w:val="0"/>
        </w:rPr>
        <w:t>本公司实际上已经控制了被购买方的财务和经营政策，并享有相应的利益、承担相应的风险。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34"/>
        <w:keepNext w:val="0"/>
        <w:keepLines w:val="0"/>
        <w:widowControl w:val="0"/>
        <w:numPr>
          <w:ilvl w:val="0"/>
          <w:numId w:val="25"/>
        </w:numPr>
        <w:shd w:val="clear" w:color="auto" w:fill="auto"/>
        <w:bidi w:val="0"/>
        <w:spacing w:before="0" w:after="0" w:line="326" w:lineRule="auto"/>
        <w:ind w:left="0" w:right="0"/>
        <w:jc w:val="both"/>
      </w:pPr>
      <w:bookmarkStart w:id="769" w:name="bookmark769"/>
      <w:bookmarkEnd w:id="769"/>
      <w:r>
        <w:rPr>
          <w:b/>
          <w:bCs/>
          <w:color w:val="000000"/>
          <w:spacing w:val="0"/>
          <w:w w:val="100"/>
          <w:position w:val="0"/>
        </w:rPr>
        <w:t>为合并发生的相关费用</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0"/>
        <w:keepNext/>
        <w:keepLines/>
        <w:widowControl w:val="0"/>
        <w:shd w:val="clear" w:color="auto" w:fill="auto"/>
        <w:bidi w:val="0"/>
        <w:spacing w:before="0" w:after="280" w:line="326"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6</w:t>
      </w:r>
      <w:bookmarkEnd w:id="772"/>
      <w:r>
        <w:rPr>
          <w:color w:val="000000"/>
          <w:spacing w:val="0"/>
          <w:w w:val="100"/>
          <w:position w:val="0"/>
        </w:rPr>
        <w:t>、合并财务报表的编制方法</w:t>
      </w:r>
      <w:bookmarkEnd w:id="770"/>
      <w:bookmarkEnd w:id="771"/>
      <w:bookmarkEnd w:id="773"/>
    </w:p>
    <w:p>
      <w:pPr>
        <w:pStyle w:val="Style30"/>
        <w:keepNext/>
        <w:keepLines/>
        <w:widowControl w:val="0"/>
        <w:numPr>
          <w:ilvl w:val="0"/>
          <w:numId w:val="29"/>
        </w:numPr>
        <w:shd w:val="clear" w:color="auto" w:fill="auto"/>
        <w:tabs>
          <w:tab w:pos="757" w:val="left"/>
        </w:tabs>
        <w:bidi w:val="0"/>
        <w:spacing w:before="0" w:after="0" w:line="336" w:lineRule="auto"/>
        <w:ind w:left="0" w:right="0" w:firstLine="420"/>
        <w:jc w:val="both"/>
      </w:pPr>
      <w:bookmarkStart w:id="770" w:name="bookmark770"/>
      <w:bookmarkStart w:id="771" w:name="bookmark771"/>
      <w:bookmarkStart w:id="774" w:name="bookmark774"/>
      <w:bookmarkEnd w:id="774"/>
      <w:r>
        <w:rPr>
          <w:color w:val="000000"/>
          <w:spacing w:val="0"/>
          <w:w w:val="100"/>
          <w:position w:val="0"/>
        </w:rPr>
        <w:t>合并范围</w:t>
      </w:r>
      <w:bookmarkEnd w:id="770"/>
      <w:bookmarkEnd w:id="771"/>
    </w:p>
    <w:p>
      <w:pPr>
        <w:pStyle w:val="Style34"/>
        <w:keepNext w:val="0"/>
        <w:keepLines w:val="0"/>
        <w:widowControl w:val="0"/>
        <w:shd w:val="clear" w:color="auto" w:fill="auto"/>
        <w:bidi w:val="0"/>
        <w:spacing w:before="0" w:after="80" w:line="322" w:lineRule="exact"/>
        <w:ind w:left="0" w:right="0"/>
        <w:jc w:val="both"/>
      </w:pPr>
      <w:r>
        <w:rPr>
          <w:color w:val="000000"/>
          <w:spacing w:val="0"/>
          <w:w w:val="100"/>
          <w:position w:val="0"/>
        </w:rPr>
        <w:t>本公司合并财务报表的合并范围以控制为基础确定，所有子公司（包括本公司所控制的单独主体）均 纳入合并财务报表。</w:t>
      </w:r>
    </w:p>
    <w:p>
      <w:pPr>
        <w:pStyle w:val="Style34"/>
        <w:keepNext w:val="0"/>
        <w:keepLines w:val="0"/>
        <w:widowControl w:val="0"/>
        <w:numPr>
          <w:ilvl w:val="0"/>
          <w:numId w:val="29"/>
        </w:numPr>
        <w:shd w:val="clear" w:color="auto" w:fill="auto"/>
        <w:tabs>
          <w:tab w:pos="767" w:val="left"/>
        </w:tabs>
        <w:bidi w:val="0"/>
        <w:spacing w:before="0" w:after="0" w:line="326" w:lineRule="auto"/>
        <w:ind w:left="0" w:right="0" w:firstLine="420"/>
        <w:jc w:val="both"/>
      </w:pPr>
      <w:bookmarkStart w:id="775" w:name="bookmark775"/>
      <w:bookmarkEnd w:id="775"/>
      <w:r>
        <w:rPr>
          <w:b/>
          <w:bCs/>
          <w:color w:val="000000"/>
          <w:spacing w:val="0"/>
          <w:w w:val="100"/>
          <w:position w:val="0"/>
        </w:rPr>
        <w:t>合并程序</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4"/>
        <w:keepNext w:val="0"/>
        <w:keepLines w:val="0"/>
        <w:widowControl w:val="0"/>
        <w:shd w:val="clear" w:color="auto" w:fill="auto"/>
        <w:bidi w:val="0"/>
        <w:spacing w:before="0" w:after="80" w:line="293" w:lineRule="exact"/>
        <w:ind w:left="0" w:right="0"/>
        <w:jc w:val="both"/>
      </w:pPr>
      <w:r>
        <w:rPr>
          <w:color w:val="000000"/>
          <w:spacing w:val="0"/>
          <w:w w:val="100"/>
          <w:position w:val="0"/>
        </w:rPr>
        <w:t>对于非同一控制下企业合并取得的子公司，以购买日可辨认净资产公允价值为基础对其财务报表进行 调整</w:t>
      </w:r>
    </w:p>
    <w:p>
      <w:pPr>
        <w:pStyle w:val="Style34"/>
        <w:keepNext w:val="0"/>
        <w:keepLines w:val="0"/>
        <w:widowControl w:val="0"/>
        <w:shd w:val="clear" w:color="auto" w:fill="auto"/>
        <w:bidi w:val="0"/>
        <w:spacing w:before="0" w:after="0" w:line="326" w:lineRule="auto"/>
        <w:ind w:left="0" w:right="0" w:firstLine="360"/>
        <w:jc w:val="both"/>
      </w:pPr>
      <w:bookmarkStart w:id="776" w:name="bookmark776"/>
      <w:r>
        <w:rPr>
          <w:rFonts w:ascii="Times New Roman" w:eastAsia="Times New Roman" w:hAnsi="Times New Roman" w:cs="Times New Roman"/>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34"/>
        <w:keepNext w:val="0"/>
        <w:keepLines w:val="0"/>
        <w:widowControl w:val="0"/>
        <w:shd w:val="clear" w:color="auto" w:fill="auto"/>
        <w:bidi w:val="0"/>
        <w:spacing w:before="0" w:after="0" w:line="312" w:lineRule="exact"/>
        <w:ind w:left="0" w:right="0" w:firstLine="420"/>
        <w:jc w:val="both"/>
      </w:pPr>
      <w:r>
        <w:rPr>
          <w:color w:val="000000"/>
          <w:spacing w:val="0"/>
          <w:w w:val="100"/>
          <w:position w:val="0"/>
        </w:rPr>
        <w:t xml:space="preserve">在报告期内，若因同一控制下企业合并增加子公司或业务的，则调整合并资产负债表的期初数；将子 </w:t>
      </w:r>
      <w:r>
        <w:rPr>
          <w:color w:val="000000"/>
          <w:spacing w:val="0"/>
          <w:w w:val="100"/>
          <w:position w:val="0"/>
        </w:rPr>
        <w:t>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4"/>
        <w:keepNext w:val="0"/>
        <w:keepLines w:val="0"/>
        <w:widowControl w:val="0"/>
        <w:shd w:val="clear" w:color="auto" w:fill="auto"/>
        <w:bidi w:val="0"/>
        <w:spacing w:before="0" w:after="80" w:line="313" w:lineRule="exact"/>
        <w:ind w:left="0" w:right="0" w:firstLine="36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2</w:t>
      </w:r>
      <w:r>
        <w:rPr>
          <w:color w:val="000000"/>
          <w:spacing w:val="0"/>
          <w:w w:val="100"/>
          <w:position w:val="0"/>
        </w:rPr>
        <w:t>）处置子公司或业务</w:t>
      </w:r>
    </w:p>
    <w:p>
      <w:pPr>
        <w:pStyle w:val="Style34"/>
        <w:keepNext w:val="0"/>
        <w:keepLines w:val="0"/>
        <w:widowControl w:val="0"/>
        <w:shd w:val="clear" w:color="auto" w:fill="auto"/>
        <w:tabs>
          <w:tab w:pos="768" w:val="left"/>
        </w:tabs>
        <w:bidi w:val="0"/>
        <w:spacing w:before="0" w:after="0" w:line="326" w:lineRule="auto"/>
        <w:ind w:left="0" w:right="0"/>
        <w:jc w:val="both"/>
      </w:pPr>
      <w:bookmarkStart w:id="778" w:name="bookmark778"/>
      <w:r>
        <w:rPr>
          <w:rFonts w:ascii="Times New Roman" w:eastAsia="Times New Roman" w:hAnsi="Times New Roman" w:cs="Times New Roman"/>
          <w:color w:val="000000"/>
          <w:spacing w:val="0"/>
          <w:w w:val="100"/>
          <w:position w:val="0"/>
        </w:rPr>
        <w:t>1</w:t>
      </w:r>
      <w:bookmarkEnd w:id="778"/>
      <w:r>
        <w:rPr>
          <w:color w:val="000000"/>
          <w:spacing w:val="0"/>
          <w:w w:val="100"/>
          <w:position w:val="0"/>
        </w:rPr>
        <w:t>）</w:t>
        <w:tab/>
        <w:t>一般处理方法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4"/>
        <w:keepNext w:val="0"/>
        <w:keepLines w:val="0"/>
        <w:widowControl w:val="0"/>
        <w:shd w:val="clear" w:color="auto" w:fill="auto"/>
        <w:tabs>
          <w:tab w:pos="792" w:val="left"/>
        </w:tabs>
        <w:bidi w:val="0"/>
        <w:spacing w:before="0" w:after="0" w:line="326" w:lineRule="auto"/>
        <w:ind w:left="0" w:right="0"/>
        <w:jc w:val="both"/>
      </w:pPr>
      <w:bookmarkStart w:id="779" w:name="bookmark779"/>
      <w:r>
        <w:rPr>
          <w:rFonts w:ascii="Times New Roman" w:eastAsia="Times New Roman" w:hAnsi="Times New Roman" w:cs="Times New Roman"/>
          <w:color w:val="000000"/>
          <w:spacing w:val="0"/>
          <w:w w:val="100"/>
          <w:position w:val="0"/>
        </w:rPr>
        <w:t>2</w:t>
      </w:r>
      <w:bookmarkEnd w:id="779"/>
      <w:r>
        <w:rPr>
          <w:color w:val="000000"/>
          <w:spacing w:val="0"/>
          <w:w w:val="100"/>
          <w:position w:val="0"/>
        </w:rPr>
        <w:t>）</w:t>
        <w:tab/>
        <w:t>分步处置子公司</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4"/>
        <w:keepNext w:val="0"/>
        <w:keepLines w:val="0"/>
        <w:widowControl w:val="0"/>
        <w:numPr>
          <w:ilvl w:val="0"/>
          <w:numId w:val="31"/>
        </w:numPr>
        <w:shd w:val="clear" w:color="auto" w:fill="auto"/>
        <w:tabs>
          <w:tab w:pos="777" w:val="left"/>
        </w:tabs>
        <w:bidi w:val="0"/>
        <w:spacing w:before="0" w:after="0" w:line="326" w:lineRule="auto"/>
        <w:ind w:left="0" w:right="0"/>
        <w:jc w:val="both"/>
      </w:pPr>
      <w:bookmarkStart w:id="780" w:name="bookmark780"/>
      <w:bookmarkEnd w:id="780"/>
      <w:r>
        <w:rPr>
          <w:color w:val="000000"/>
          <w:spacing w:val="0"/>
          <w:w w:val="100"/>
          <w:position w:val="0"/>
        </w:rPr>
        <w:t>这些交易是同时或者在考虑了彼此影响的情况下订立的；</w:t>
      </w:r>
    </w:p>
    <w:p>
      <w:pPr>
        <w:pStyle w:val="Style34"/>
        <w:keepNext w:val="0"/>
        <w:keepLines w:val="0"/>
        <w:widowControl w:val="0"/>
        <w:numPr>
          <w:ilvl w:val="0"/>
          <w:numId w:val="31"/>
        </w:numPr>
        <w:shd w:val="clear" w:color="auto" w:fill="auto"/>
        <w:tabs>
          <w:tab w:pos="777" w:val="left"/>
        </w:tabs>
        <w:bidi w:val="0"/>
        <w:spacing w:before="0" w:after="0" w:line="326" w:lineRule="auto"/>
        <w:ind w:left="0" w:right="0"/>
        <w:jc w:val="both"/>
      </w:pPr>
      <w:bookmarkStart w:id="781" w:name="bookmark781"/>
      <w:bookmarkEnd w:id="781"/>
      <w:r>
        <w:rPr>
          <w:color w:val="000000"/>
          <w:spacing w:val="0"/>
          <w:w w:val="100"/>
          <w:position w:val="0"/>
        </w:rPr>
        <w:t>这些交易整体才能达成一项完整的商业结果；</w:t>
      </w:r>
    </w:p>
    <w:p>
      <w:pPr>
        <w:pStyle w:val="Style34"/>
        <w:keepNext w:val="0"/>
        <w:keepLines w:val="0"/>
        <w:widowControl w:val="0"/>
        <w:numPr>
          <w:ilvl w:val="0"/>
          <w:numId w:val="31"/>
        </w:numPr>
        <w:shd w:val="clear" w:color="auto" w:fill="auto"/>
        <w:tabs>
          <w:tab w:pos="777" w:val="left"/>
        </w:tabs>
        <w:bidi w:val="0"/>
        <w:spacing w:before="0" w:after="0" w:line="326" w:lineRule="auto"/>
        <w:ind w:left="0" w:right="0"/>
        <w:jc w:val="both"/>
      </w:pPr>
      <w:bookmarkStart w:id="782" w:name="bookmark782"/>
      <w:bookmarkEnd w:id="782"/>
      <w:r>
        <w:rPr>
          <w:color w:val="000000"/>
          <w:spacing w:val="0"/>
          <w:w w:val="100"/>
          <w:position w:val="0"/>
        </w:rPr>
        <w:t>一项交易的发生取决于其他至少一项交易的发生；</w:t>
      </w:r>
    </w:p>
    <w:p>
      <w:pPr>
        <w:pStyle w:val="Style34"/>
        <w:keepNext w:val="0"/>
        <w:keepLines w:val="0"/>
        <w:widowControl w:val="0"/>
        <w:numPr>
          <w:ilvl w:val="0"/>
          <w:numId w:val="31"/>
        </w:numPr>
        <w:shd w:val="clear" w:color="auto" w:fill="auto"/>
        <w:tabs>
          <w:tab w:pos="782" w:val="left"/>
        </w:tabs>
        <w:bidi w:val="0"/>
        <w:spacing w:before="0" w:after="0" w:line="326" w:lineRule="auto"/>
        <w:ind w:left="0" w:right="0"/>
        <w:jc w:val="both"/>
      </w:pPr>
      <w:bookmarkStart w:id="783" w:name="bookmark783"/>
      <w:bookmarkEnd w:id="783"/>
      <w:r>
        <w:rPr>
          <w:color w:val="000000"/>
          <w:spacing w:val="0"/>
          <w:w w:val="100"/>
          <w:position w:val="0"/>
        </w:rPr>
        <w:t>一项交易单独看是不经济的，但是和其他交易一并考虑时是经济的。</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4"/>
        <w:keepNext w:val="0"/>
        <w:keepLines w:val="0"/>
        <w:widowControl w:val="0"/>
        <w:shd w:val="clear" w:color="auto" w:fill="auto"/>
        <w:bidi w:val="0"/>
        <w:spacing w:before="0" w:after="0" w:line="313" w:lineRule="exact"/>
        <w:ind w:left="0" w:right="0" w:firstLine="28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3</w:t>
      </w:r>
      <w:r>
        <w:rPr>
          <w:color w:val="000000"/>
          <w:spacing w:val="0"/>
          <w:w w:val="100"/>
          <w:position w:val="0"/>
        </w:rPr>
        <w:t>）购买子公司少数股权</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4"/>
        <w:keepNext w:val="0"/>
        <w:keepLines w:val="0"/>
        <w:widowControl w:val="0"/>
        <w:shd w:val="clear" w:color="auto" w:fill="auto"/>
        <w:bidi w:val="0"/>
        <w:spacing w:before="0" w:after="0" w:line="317" w:lineRule="exact"/>
        <w:ind w:left="0" w:right="0" w:firstLine="28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4</w:t>
      </w:r>
      <w:r>
        <w:rPr>
          <w:color w:val="000000"/>
          <w:spacing w:val="0"/>
          <w:w w:val="100"/>
          <w:position w:val="0"/>
        </w:rPr>
        <w:t>）不丧失控制权的情况下部分处置对子公司的股权投资</w:t>
      </w:r>
    </w:p>
    <w:p>
      <w:pPr>
        <w:pStyle w:val="Style34"/>
        <w:keepNext w:val="0"/>
        <w:keepLines w:val="0"/>
        <w:widowControl w:val="0"/>
        <w:shd w:val="clear" w:color="auto" w:fill="auto"/>
        <w:bidi w:val="0"/>
        <w:spacing w:before="0" w:after="280" w:line="317" w:lineRule="exact"/>
        <w:ind w:left="0" w:right="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0"/>
        <w:keepNext/>
        <w:keepLines/>
        <w:widowControl w:val="0"/>
        <w:shd w:val="clear" w:color="auto" w:fill="auto"/>
        <w:tabs>
          <w:tab w:pos="363" w:val="left"/>
        </w:tabs>
        <w:bidi w:val="0"/>
        <w:spacing w:before="0" w:after="280" w:line="313" w:lineRule="exact"/>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7</w:t>
      </w:r>
      <w:bookmarkEnd w:id="788"/>
      <w:r>
        <w:rPr>
          <w:color w:val="000000"/>
          <w:spacing w:val="0"/>
          <w:w w:val="100"/>
          <w:position w:val="0"/>
        </w:rPr>
        <w:t>、</w:t>
        <w:tab/>
        <w:t>现金及现金等价物的确定标准</w:t>
      </w:r>
      <w:bookmarkEnd w:id="786"/>
      <w:bookmarkEnd w:id="787"/>
      <w:bookmarkEnd w:id="789"/>
    </w:p>
    <w:p>
      <w:pPr>
        <w:pStyle w:val="Style34"/>
        <w:keepNext w:val="0"/>
        <w:keepLines w:val="0"/>
        <w:widowControl w:val="0"/>
        <w:shd w:val="clear" w:color="auto" w:fill="auto"/>
        <w:bidi w:val="0"/>
        <w:spacing w:before="0" w:after="280" w:line="312" w:lineRule="exact"/>
        <w:ind w:left="0" w:right="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0"/>
        <w:keepNext/>
        <w:keepLines/>
        <w:widowControl w:val="0"/>
        <w:shd w:val="clear" w:color="auto" w:fill="auto"/>
        <w:tabs>
          <w:tab w:pos="368" w:val="left"/>
        </w:tabs>
        <w:bidi w:val="0"/>
        <w:spacing w:before="0" w:after="280" w:line="313" w:lineRule="exact"/>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8</w:t>
      </w:r>
      <w:bookmarkEnd w:id="792"/>
      <w:r>
        <w:rPr>
          <w:color w:val="000000"/>
          <w:spacing w:val="0"/>
          <w:w w:val="100"/>
          <w:position w:val="0"/>
        </w:rPr>
        <w:t>、</w:t>
        <w:tab/>
        <w:t>金融工具</w:t>
      </w:r>
      <w:bookmarkEnd w:id="790"/>
      <w:bookmarkEnd w:id="791"/>
      <w:bookmarkEnd w:id="793"/>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在本公司成为金融工具合同的一方时确认一项金融资产或金融负债。</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实际利率法是指计算金融资产或金融负债的摊余成本以及将利息收入或利息费用分摊计入各会计期 间的方法。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 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numPr>
          <w:ilvl w:val="0"/>
          <w:numId w:val="33"/>
        </w:numPr>
        <w:shd w:val="clear" w:color="auto" w:fill="auto"/>
        <w:bidi w:val="0"/>
        <w:spacing w:before="0" w:after="0" w:line="313" w:lineRule="exact"/>
        <w:ind w:left="0" w:right="0"/>
        <w:jc w:val="both"/>
      </w:pPr>
      <w:bookmarkStart w:id="794" w:name="bookmark794"/>
      <w:bookmarkEnd w:id="794"/>
      <w:r>
        <w:rPr>
          <w:b/>
          <w:bCs/>
          <w:color w:val="000000"/>
          <w:spacing w:val="0"/>
          <w:w w:val="100"/>
          <w:position w:val="0"/>
        </w:rPr>
        <w:t>金融资产分类和计量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本公司根据所管理金融资产的业务模式和金融资产的合同现金流量特征，将金融资产划分为以下三 类：</w:t>
      </w:r>
    </w:p>
    <w:p>
      <w:pPr>
        <w:pStyle w:val="Style34"/>
        <w:keepNext w:val="0"/>
        <w:keepLines w:val="0"/>
        <w:widowControl w:val="0"/>
        <w:shd w:val="clear" w:color="auto" w:fill="auto"/>
        <w:tabs>
          <w:tab w:pos="773" w:val="left"/>
        </w:tabs>
        <w:bidi w:val="0"/>
        <w:spacing w:before="0" w:after="0" w:line="313" w:lineRule="exact"/>
        <w:ind w:left="0" w:right="0" w:firstLine="28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34"/>
        <w:keepNext w:val="0"/>
        <w:keepLines w:val="0"/>
        <w:widowControl w:val="0"/>
        <w:shd w:val="clear" w:color="auto" w:fill="auto"/>
        <w:tabs>
          <w:tab w:pos="773" w:val="left"/>
        </w:tabs>
        <w:bidi w:val="0"/>
        <w:spacing w:before="0" w:after="0" w:line="313" w:lineRule="exact"/>
        <w:ind w:left="0" w:right="0" w:firstLine="28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w:t>
      </w:r>
    </w:p>
    <w:p>
      <w:pPr>
        <w:pStyle w:val="Style34"/>
        <w:keepNext w:val="0"/>
        <w:keepLines w:val="0"/>
        <w:widowControl w:val="0"/>
        <w:shd w:val="clear" w:color="auto" w:fill="auto"/>
        <w:tabs>
          <w:tab w:pos="773" w:val="left"/>
        </w:tabs>
        <w:bidi w:val="0"/>
        <w:spacing w:before="0" w:after="0" w:line="313" w:lineRule="exact"/>
        <w:ind w:left="0" w:right="0" w:firstLine="28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以公允价值计量且其变动计入当期损益的金融资产。</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34"/>
        <w:keepNext w:val="0"/>
        <w:keepLines w:val="0"/>
        <w:widowControl w:val="0"/>
        <w:shd w:val="clear" w:color="auto" w:fill="auto"/>
        <w:bidi w:val="0"/>
        <w:spacing w:before="0" w:after="0" w:line="313" w:lineRule="exact"/>
        <w:ind w:left="0" w:right="0" w:firstLine="28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）分类为以摊余成本计量的金融资产</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余成本计量的金融资产。本公司分类为以摊余成本计量的金融资产包括货币资金、应收票据及应收账款、 其他应收款等。</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34"/>
        <w:keepNext w:val="0"/>
        <w:keepLines w:val="0"/>
        <w:widowControl w:val="0"/>
        <w:shd w:val="clear" w:color="auto" w:fill="auto"/>
        <w:bidi w:val="0"/>
        <w:spacing w:before="0" w:after="140" w:line="313" w:lineRule="exact"/>
        <w:ind w:left="0" w:right="0"/>
        <w:jc w:val="both"/>
      </w:pPr>
      <w:bookmarkStart w:id="799" w:name="bookmark799"/>
      <w:r>
        <w:rPr>
          <w:rFonts w:ascii="Times New Roman" w:eastAsia="Times New Roman" w:hAnsi="Times New Roman" w:cs="Times New Roman"/>
          <w:color w:val="000000"/>
          <w:spacing w:val="0"/>
          <w:w w:val="100"/>
          <w:position w:val="0"/>
        </w:rPr>
        <w:t>1</w:t>
      </w:r>
      <w:bookmarkEnd w:id="799"/>
      <w:r>
        <w:rPr>
          <w:color w:val="000000"/>
          <w:spacing w:val="0"/>
          <w:w w:val="100"/>
          <w:position w:val="0"/>
        </w:rPr>
        <w:t>）对于购入或源生的已发生信用减值的金融资产，本公司自初始确认起，按照该金融资产的摊余成 本和经信用调整的实际利率计算确定其利息收入。</w:t>
      </w:r>
    </w:p>
    <w:p>
      <w:pPr>
        <w:pStyle w:val="Style34"/>
        <w:keepNext w:val="0"/>
        <w:keepLines w:val="0"/>
        <w:widowControl w:val="0"/>
        <w:shd w:val="clear" w:color="auto" w:fill="auto"/>
        <w:bidi w:val="0"/>
        <w:spacing w:before="0" w:after="0" w:line="314" w:lineRule="exact"/>
        <w:ind w:left="0" w:right="0"/>
        <w:jc w:val="both"/>
      </w:pPr>
      <w:bookmarkStart w:id="800" w:name="bookmark800"/>
      <w:r>
        <w:rPr>
          <w:rFonts w:ascii="Times New Roman" w:eastAsia="Times New Roman" w:hAnsi="Times New Roman" w:cs="Times New Roman"/>
          <w:color w:val="000000"/>
          <w:spacing w:val="0"/>
          <w:w w:val="100"/>
          <w:position w:val="0"/>
        </w:rPr>
        <w:t>2</w:t>
      </w:r>
      <w:bookmarkEnd w:id="800"/>
      <w:r>
        <w:rPr>
          <w:color w:val="000000"/>
          <w:spacing w:val="0"/>
          <w:w w:val="100"/>
          <w:position w:val="0"/>
        </w:rPr>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34"/>
        <w:keepNext w:val="0"/>
        <w:keepLines w:val="0"/>
        <w:widowControl w:val="0"/>
        <w:shd w:val="clear" w:color="auto" w:fill="auto"/>
        <w:tabs>
          <w:tab w:pos="827" w:val="left"/>
        </w:tabs>
        <w:bidi w:val="0"/>
        <w:spacing w:before="0" w:after="0" w:line="314" w:lineRule="exact"/>
        <w:ind w:left="0" w:right="0" w:firstLine="36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34"/>
        <w:keepNext w:val="0"/>
        <w:keepLines w:val="0"/>
        <w:widowControl w:val="0"/>
        <w:shd w:val="clear" w:color="auto" w:fill="auto"/>
        <w:tabs>
          <w:tab w:pos="827" w:val="left"/>
        </w:tabs>
        <w:bidi w:val="0"/>
        <w:spacing w:before="0" w:after="0" w:line="314" w:lineRule="exact"/>
        <w:ind w:left="0" w:right="0" w:firstLine="36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34"/>
        <w:keepNext w:val="0"/>
        <w:keepLines w:val="0"/>
        <w:widowControl w:val="0"/>
        <w:shd w:val="clear" w:color="auto" w:fill="auto"/>
        <w:tabs>
          <w:tab w:pos="827" w:val="left"/>
        </w:tabs>
        <w:bidi w:val="0"/>
        <w:spacing w:before="0" w:after="0" w:line="314" w:lineRule="exact"/>
        <w:ind w:left="0" w:right="0" w:firstLine="36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本公司对此类金融资产根据其流动性在交易性金融资产、其他非流动金融资产项目列报。</w:t>
      </w:r>
    </w:p>
    <w:p>
      <w:pPr>
        <w:pStyle w:val="Style34"/>
        <w:keepNext w:val="0"/>
        <w:keepLines w:val="0"/>
        <w:widowControl w:val="0"/>
        <w:shd w:val="clear" w:color="auto" w:fill="auto"/>
        <w:tabs>
          <w:tab w:pos="827" w:val="left"/>
        </w:tabs>
        <w:bidi w:val="0"/>
        <w:spacing w:before="0" w:after="0" w:line="314" w:lineRule="exact"/>
        <w:ind w:left="0" w:right="0" w:firstLine="36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34"/>
        <w:keepNext w:val="0"/>
        <w:keepLines w:val="0"/>
        <w:widowControl w:val="0"/>
        <w:shd w:val="clear" w:color="auto" w:fill="auto"/>
        <w:tabs>
          <w:tab w:pos="739" w:val="left"/>
        </w:tabs>
        <w:bidi w:val="0"/>
        <w:spacing w:before="0" w:after="0" w:line="314" w:lineRule="exact"/>
        <w:ind w:left="0" w:right="0" w:firstLine="380"/>
        <w:jc w:val="both"/>
      </w:pPr>
      <w:bookmarkStart w:id="805" w:name="bookmark805"/>
      <w:r>
        <w:rPr>
          <w:rFonts w:ascii="Times New Roman" w:eastAsia="Times New Roman" w:hAnsi="Times New Roman" w:cs="Times New Roman"/>
          <w:color w:val="000000"/>
          <w:spacing w:val="0"/>
          <w:w w:val="100"/>
          <w:position w:val="0"/>
        </w:rPr>
        <w:t>1</w:t>
      </w:r>
      <w:bookmarkEnd w:id="805"/>
      <w:r>
        <w:rPr>
          <w:color w:val="000000"/>
          <w:spacing w:val="0"/>
          <w:w w:val="100"/>
          <w:position w:val="0"/>
        </w:rPr>
        <w:t>）</w:t>
        <w:tab/>
        <w:t>嵌入衍生工具不会对混合合同的现金流量产生重大改变。</w:t>
      </w:r>
    </w:p>
    <w:p>
      <w:pPr>
        <w:pStyle w:val="Style34"/>
        <w:keepNext w:val="0"/>
        <w:keepLines w:val="0"/>
        <w:widowControl w:val="0"/>
        <w:shd w:val="clear" w:color="auto" w:fill="auto"/>
        <w:bidi w:val="0"/>
        <w:spacing w:before="0" w:after="0" w:line="314" w:lineRule="exact"/>
        <w:ind w:left="0" w:right="0"/>
        <w:jc w:val="both"/>
      </w:pPr>
      <w:bookmarkStart w:id="806" w:name="bookmark806"/>
      <w:r>
        <w:rPr>
          <w:rFonts w:ascii="Times New Roman" w:eastAsia="Times New Roman" w:hAnsi="Times New Roman" w:cs="Times New Roman"/>
          <w:color w:val="000000"/>
          <w:spacing w:val="0"/>
          <w:w w:val="100"/>
          <w:position w:val="0"/>
        </w:rPr>
        <w:t>2</w:t>
      </w:r>
      <w:bookmarkEnd w:id="806"/>
      <w:r>
        <w:rPr>
          <w:color w:val="000000"/>
          <w:spacing w:val="0"/>
          <w:w w:val="100"/>
          <w:position w:val="0"/>
        </w:rPr>
        <w:t>） 在初次确定类似的混合合同是否需要分拆时，几乎不需分析就能明确其包含的嵌入衍生工具不应 分拆。如嵌入贷款的提前还款权，允许持有人以接近摊余成本的金额提前偿还贷款，该提前还款权不需要 分拆。</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4"/>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本公司对此类金融资产根据其流动性在交易性金融资产、其他非流动金融资产项目列报。</w:t>
      </w:r>
    </w:p>
    <w:p>
      <w:pPr>
        <w:pStyle w:val="Style34"/>
        <w:keepNext w:val="0"/>
        <w:keepLines w:val="0"/>
        <w:widowControl w:val="0"/>
        <w:numPr>
          <w:ilvl w:val="0"/>
          <w:numId w:val="33"/>
        </w:numPr>
        <w:shd w:val="clear" w:color="auto" w:fill="auto"/>
        <w:bidi w:val="0"/>
        <w:spacing w:before="0" w:after="0" w:line="329" w:lineRule="auto"/>
        <w:ind w:left="0" w:right="0" w:firstLine="380"/>
        <w:jc w:val="both"/>
      </w:pPr>
      <w:bookmarkStart w:id="807" w:name="bookmark807"/>
      <w:bookmarkEnd w:id="807"/>
      <w:r>
        <w:rPr>
          <w:b/>
          <w:bCs/>
          <w:color w:val="000000"/>
          <w:spacing w:val="0"/>
          <w:w w:val="100"/>
          <w:position w:val="0"/>
        </w:rPr>
        <w:t>金融负债分类和计量</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金融负债的后续计量取决于其分类：</w:t>
      </w:r>
    </w:p>
    <w:p>
      <w:pPr>
        <w:pStyle w:val="Style34"/>
        <w:keepNext w:val="0"/>
        <w:keepLines w:val="0"/>
        <w:widowControl w:val="0"/>
        <w:shd w:val="clear" w:color="auto" w:fill="auto"/>
        <w:bidi w:val="0"/>
        <w:spacing w:before="0" w:after="0" w:line="314" w:lineRule="exact"/>
        <w:ind w:left="0" w:right="0" w:firstLine="36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34"/>
        <w:keepNext w:val="0"/>
        <w:keepLines w:val="0"/>
        <w:widowControl w:val="0"/>
        <w:shd w:val="clear" w:color="auto" w:fill="auto"/>
        <w:bidi w:val="0"/>
        <w:spacing w:before="0" w:after="80" w:line="314" w:lineRule="exact"/>
        <w:ind w:left="0" w:right="0" w:firstLine="42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34"/>
        <w:keepNext w:val="0"/>
        <w:keepLines w:val="0"/>
        <w:widowControl w:val="0"/>
        <w:shd w:val="clear" w:color="auto" w:fill="auto"/>
        <w:tabs>
          <w:tab w:pos="718" w:val="left"/>
        </w:tabs>
        <w:bidi w:val="0"/>
        <w:spacing w:before="0" w:after="0" w:line="329" w:lineRule="auto"/>
        <w:ind w:left="0" w:right="0" w:firstLine="360"/>
        <w:jc w:val="both"/>
      </w:pPr>
      <w:bookmarkStart w:id="809" w:name="bookmark809"/>
      <w:r>
        <w:rPr>
          <w:rFonts w:ascii="Times New Roman" w:eastAsia="Times New Roman" w:hAnsi="Times New Roman" w:cs="Times New Roman"/>
          <w:color w:val="000000"/>
          <w:spacing w:val="0"/>
          <w:w w:val="100"/>
          <w:position w:val="0"/>
        </w:rPr>
        <w:t>1</w:t>
      </w:r>
      <w:bookmarkEnd w:id="809"/>
      <w:r>
        <w:rPr>
          <w:color w:val="000000"/>
          <w:spacing w:val="0"/>
          <w:w w:val="100"/>
          <w:position w:val="0"/>
        </w:rPr>
        <w:t>）</w:t>
        <w:tab/>
        <w:t>能够消除或显著减少会计错配。</w:t>
      </w:r>
    </w:p>
    <w:p>
      <w:pPr>
        <w:pStyle w:val="Style34"/>
        <w:keepNext w:val="0"/>
        <w:keepLines w:val="0"/>
        <w:widowControl w:val="0"/>
        <w:shd w:val="clear" w:color="auto" w:fill="auto"/>
        <w:bidi w:val="0"/>
        <w:spacing w:before="0" w:after="0" w:line="314" w:lineRule="exact"/>
        <w:ind w:left="0" w:right="0" w:firstLine="360"/>
        <w:jc w:val="both"/>
      </w:pPr>
      <w:bookmarkStart w:id="810" w:name="bookmark810"/>
      <w:r>
        <w:rPr>
          <w:rFonts w:ascii="Times New Roman" w:eastAsia="Times New Roman" w:hAnsi="Times New Roman" w:cs="Times New Roman"/>
          <w:color w:val="000000"/>
          <w:spacing w:val="0"/>
          <w:w w:val="100"/>
          <w:position w:val="0"/>
        </w:rPr>
        <w:t>2</w:t>
      </w:r>
      <w:bookmarkEnd w:id="810"/>
      <w:r>
        <w:rPr>
          <w:color w:val="000000"/>
          <w:spacing w:val="0"/>
          <w:w w:val="100"/>
          <w:position w:val="0"/>
        </w:rPr>
        <w:t>） 根据正式书面文件载明的企业风险管理或投资策略，以公允价值为基础对金融负债组合或金融资产 和金融负债组合进行管理和业绩评价，并在企业内部以此为基础向关键管理人员报告。</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34"/>
        <w:keepNext w:val="0"/>
        <w:keepLines w:val="0"/>
        <w:widowControl w:val="0"/>
        <w:shd w:val="clear" w:color="auto" w:fill="auto"/>
        <w:bidi w:val="0"/>
        <w:spacing w:before="0" w:after="0" w:line="314" w:lineRule="exact"/>
        <w:ind w:left="0" w:right="0" w:firstLine="28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）其他金融负债</w:t>
      </w:r>
    </w:p>
    <w:p>
      <w:pPr>
        <w:pStyle w:val="Style34"/>
        <w:keepNext w:val="0"/>
        <w:keepLines w:val="0"/>
        <w:widowControl w:val="0"/>
        <w:shd w:val="clear" w:color="auto" w:fill="auto"/>
        <w:bidi w:val="0"/>
        <w:spacing w:before="0" w:after="80" w:line="314" w:lineRule="exact"/>
        <w:ind w:left="0" w:right="0" w:firstLine="42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34"/>
        <w:keepNext w:val="0"/>
        <w:keepLines w:val="0"/>
        <w:widowControl w:val="0"/>
        <w:shd w:val="clear" w:color="auto" w:fill="auto"/>
        <w:tabs>
          <w:tab w:pos="718" w:val="left"/>
        </w:tabs>
        <w:bidi w:val="0"/>
        <w:spacing w:before="0" w:after="0" w:line="329" w:lineRule="auto"/>
        <w:ind w:left="0" w:right="0" w:firstLine="360"/>
        <w:jc w:val="both"/>
      </w:pPr>
      <w:bookmarkStart w:id="812" w:name="bookmark812"/>
      <w:r>
        <w:rPr>
          <w:rFonts w:ascii="Times New Roman" w:eastAsia="Times New Roman" w:hAnsi="Times New Roman" w:cs="Times New Roman"/>
          <w:color w:val="000000"/>
          <w:spacing w:val="0"/>
          <w:w w:val="100"/>
          <w:position w:val="0"/>
        </w:rPr>
        <w:t>1</w:t>
      </w:r>
      <w:bookmarkEnd w:id="812"/>
      <w:r>
        <w:rPr>
          <w:color w:val="000000"/>
          <w:spacing w:val="0"/>
          <w:w w:val="100"/>
          <w:position w:val="0"/>
        </w:rPr>
        <w:t>）</w:t>
        <w:tab/>
        <w:t>以公允价值计量且其变动计入当期损益的金融负债。</w:t>
      </w:r>
    </w:p>
    <w:p>
      <w:pPr>
        <w:pStyle w:val="Style34"/>
        <w:keepNext w:val="0"/>
        <w:keepLines w:val="0"/>
        <w:widowControl w:val="0"/>
        <w:shd w:val="clear" w:color="auto" w:fill="auto"/>
        <w:tabs>
          <w:tab w:pos="742" w:val="left"/>
        </w:tabs>
        <w:bidi w:val="0"/>
        <w:spacing w:before="0" w:after="0" w:line="326" w:lineRule="auto"/>
        <w:ind w:left="0" w:right="0" w:firstLine="360"/>
        <w:jc w:val="both"/>
      </w:pPr>
      <w:bookmarkStart w:id="813" w:name="bookmark813"/>
      <w:r>
        <w:rPr>
          <w:rFonts w:ascii="Times New Roman" w:eastAsia="Times New Roman" w:hAnsi="Times New Roman" w:cs="Times New Roman"/>
          <w:color w:val="000000"/>
          <w:spacing w:val="0"/>
          <w:w w:val="100"/>
          <w:position w:val="0"/>
        </w:rPr>
        <w:t>2</w:t>
      </w:r>
      <w:bookmarkEnd w:id="813"/>
      <w:r>
        <w:rPr>
          <w:color w:val="000000"/>
          <w:spacing w:val="0"/>
          <w:w w:val="100"/>
          <w:position w:val="0"/>
        </w:rPr>
        <w:t>）</w:t>
        <w:tab/>
        <w:t>金融资产转移不符合终止确认条件或继续涉入被转移金融资产所形成的金融负债。</w:t>
      </w:r>
    </w:p>
    <w:p>
      <w:pPr>
        <w:pStyle w:val="Style34"/>
        <w:keepNext w:val="0"/>
        <w:keepLines w:val="0"/>
        <w:widowControl w:val="0"/>
        <w:shd w:val="clear" w:color="auto" w:fill="auto"/>
        <w:tabs>
          <w:tab w:pos="738" w:val="left"/>
        </w:tabs>
        <w:bidi w:val="0"/>
        <w:spacing w:before="0" w:after="0" w:line="313" w:lineRule="exact"/>
        <w:ind w:left="0" w:right="0" w:firstLine="360"/>
        <w:jc w:val="both"/>
      </w:pPr>
      <w:bookmarkStart w:id="814" w:name="bookmark814"/>
      <w:r>
        <w:rPr>
          <w:rFonts w:ascii="Times New Roman" w:eastAsia="Times New Roman" w:hAnsi="Times New Roman" w:cs="Times New Roman"/>
          <w:color w:val="000000"/>
          <w:spacing w:val="0"/>
          <w:w w:val="100"/>
          <w:position w:val="0"/>
        </w:rPr>
        <w:t>3</w:t>
      </w:r>
      <w:bookmarkEnd w:id="814"/>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 款承诺。</w:t>
      </w:r>
    </w:p>
    <w:p>
      <w:pPr>
        <w:pStyle w:val="Style34"/>
        <w:keepNext w:val="0"/>
        <w:keepLines w:val="0"/>
        <w:widowControl w:val="0"/>
        <w:shd w:val="clear" w:color="auto" w:fill="auto"/>
        <w:bidi w:val="0"/>
        <w:spacing w:before="0" w:after="200" w:line="313" w:lineRule="exact"/>
        <w:ind w:left="0" w:right="0" w:firstLine="42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34"/>
        <w:keepNext w:val="0"/>
        <w:keepLines w:val="0"/>
        <w:widowControl w:val="0"/>
        <w:numPr>
          <w:ilvl w:val="0"/>
          <w:numId w:val="33"/>
        </w:numPr>
        <w:shd w:val="clear" w:color="auto" w:fill="auto"/>
        <w:bidi w:val="0"/>
        <w:spacing w:before="0" w:after="0" w:line="329" w:lineRule="auto"/>
        <w:ind w:left="0" w:right="0" w:firstLine="380"/>
        <w:jc w:val="both"/>
      </w:pPr>
      <w:bookmarkStart w:id="815" w:name="bookmark815"/>
      <w:bookmarkEnd w:id="815"/>
      <w:r>
        <w:rPr>
          <w:b/>
          <w:bCs/>
          <w:color w:val="000000"/>
          <w:spacing w:val="0"/>
          <w:w w:val="100"/>
          <w:position w:val="0"/>
        </w:rPr>
        <w:t>金融资产和金融负债的终止确认</w:t>
      </w:r>
    </w:p>
    <w:p>
      <w:pPr>
        <w:pStyle w:val="Style34"/>
        <w:keepNext w:val="0"/>
        <w:keepLines w:val="0"/>
        <w:widowControl w:val="0"/>
        <w:shd w:val="clear" w:color="auto" w:fill="auto"/>
        <w:bidi w:val="0"/>
        <w:spacing w:before="0" w:after="80" w:line="314" w:lineRule="exact"/>
        <w:ind w:left="0" w:right="0" w:firstLine="38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1</w:t>
      </w:r>
      <w:r>
        <w:rPr>
          <w:color w:val="000000"/>
          <w:spacing w:val="0"/>
          <w:w w:val="100"/>
          <w:position w:val="0"/>
        </w:rPr>
        <w:t>） 金融资产满足下列条件之一的，终止确认金融资产，即从其账户和资产负债表内予以转销：</w:t>
      </w:r>
    </w:p>
    <w:p>
      <w:pPr>
        <w:pStyle w:val="Style34"/>
        <w:keepNext w:val="0"/>
        <w:keepLines w:val="0"/>
        <w:widowControl w:val="0"/>
        <w:shd w:val="clear" w:color="auto" w:fill="auto"/>
        <w:tabs>
          <w:tab w:pos="738" w:val="left"/>
        </w:tabs>
        <w:bidi w:val="0"/>
        <w:spacing w:before="0" w:after="0" w:line="329" w:lineRule="auto"/>
        <w:ind w:left="0" w:right="0" w:firstLine="380"/>
        <w:jc w:val="left"/>
      </w:pPr>
      <w:bookmarkStart w:id="817" w:name="bookmark817"/>
      <w:r>
        <w:rPr>
          <w:rFonts w:ascii="Times New Roman" w:eastAsia="Times New Roman" w:hAnsi="Times New Roman" w:cs="Times New Roman"/>
          <w:color w:val="000000"/>
          <w:spacing w:val="0"/>
          <w:w w:val="100"/>
          <w:position w:val="0"/>
        </w:rPr>
        <w:t>1</w:t>
      </w:r>
      <w:bookmarkEnd w:id="817"/>
      <w:r>
        <w:rPr>
          <w:color w:val="000000"/>
          <w:spacing w:val="0"/>
          <w:w w:val="100"/>
          <w:position w:val="0"/>
        </w:rPr>
        <w:t>）</w:t>
        <w:tab/>
        <w:t>收取该金融资产现金流量的合同权利终止。</w:t>
      </w:r>
    </w:p>
    <w:p>
      <w:pPr>
        <w:pStyle w:val="Style34"/>
        <w:keepNext w:val="0"/>
        <w:keepLines w:val="0"/>
        <w:widowControl w:val="0"/>
        <w:shd w:val="clear" w:color="auto" w:fill="auto"/>
        <w:tabs>
          <w:tab w:pos="762" w:val="left"/>
        </w:tabs>
        <w:bidi w:val="0"/>
        <w:spacing w:before="0" w:after="0" w:line="329" w:lineRule="auto"/>
        <w:ind w:left="0" w:right="0" w:firstLine="380"/>
        <w:jc w:val="left"/>
      </w:pPr>
      <w:bookmarkStart w:id="818" w:name="bookmark818"/>
      <w:r>
        <w:rPr>
          <w:rFonts w:ascii="Times New Roman" w:eastAsia="Times New Roman" w:hAnsi="Times New Roman" w:cs="Times New Roman"/>
          <w:color w:val="000000"/>
          <w:spacing w:val="0"/>
          <w:w w:val="100"/>
          <w:position w:val="0"/>
        </w:rPr>
        <w:t>2</w:t>
      </w:r>
      <w:bookmarkEnd w:id="818"/>
      <w:r>
        <w:rPr>
          <w:color w:val="000000"/>
          <w:spacing w:val="0"/>
          <w:w w:val="100"/>
          <w:position w:val="0"/>
        </w:rPr>
        <w:t>）</w:t>
        <w:tab/>
        <w:t>该金融资产已转移，且该转移满足金融资产终止确认的规定。</w:t>
      </w:r>
    </w:p>
    <w:p>
      <w:pPr>
        <w:pStyle w:val="Style34"/>
        <w:keepNext w:val="0"/>
        <w:keepLines w:val="0"/>
        <w:widowControl w:val="0"/>
        <w:shd w:val="clear" w:color="auto" w:fill="auto"/>
        <w:tabs>
          <w:tab w:pos="908" w:val="left"/>
        </w:tabs>
        <w:bidi w:val="0"/>
        <w:spacing w:before="0" w:after="0" w:line="314" w:lineRule="exact"/>
        <w:ind w:left="0" w:right="0" w:firstLine="42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金融负债（或其一部分）的现时义务已经解除的，则终止确认该金融负债（或该部分金融负债）。</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 xml:space="preserve">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w:t>
      </w:r>
      <w:r>
        <w:rPr>
          <w:color w:val="000000"/>
          <w:spacing w:val="0"/>
          <w:w w:val="100"/>
          <w:position w:val="0"/>
        </w:rPr>
        <w:t>间的差额，计入当期损益。</w:t>
      </w:r>
    </w:p>
    <w:p>
      <w:pPr>
        <w:pStyle w:val="Style34"/>
        <w:keepNext w:val="0"/>
        <w:keepLines w:val="0"/>
        <w:widowControl w:val="0"/>
        <w:shd w:val="clear" w:color="auto" w:fill="auto"/>
        <w:bidi w:val="0"/>
        <w:spacing w:before="0" w:after="80" w:line="316" w:lineRule="exact"/>
        <w:ind w:left="0" w:right="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34"/>
        <w:keepNext w:val="0"/>
        <w:keepLines w:val="0"/>
        <w:widowControl w:val="0"/>
        <w:numPr>
          <w:ilvl w:val="0"/>
          <w:numId w:val="33"/>
        </w:numPr>
        <w:shd w:val="clear" w:color="auto" w:fill="auto"/>
        <w:bidi w:val="0"/>
        <w:spacing w:before="0" w:after="0" w:line="331" w:lineRule="auto"/>
        <w:ind w:left="0" w:right="0" w:firstLine="380"/>
        <w:jc w:val="both"/>
      </w:pPr>
      <w:bookmarkStart w:id="820" w:name="bookmark820"/>
      <w:bookmarkEnd w:id="820"/>
      <w:r>
        <w:rPr>
          <w:b/>
          <w:bCs/>
          <w:color w:val="000000"/>
          <w:spacing w:val="0"/>
          <w:w w:val="100"/>
          <w:position w:val="0"/>
        </w:rPr>
        <w:t>金融资产转移的确认依据和计量方法</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本公司在发生金融资产转移时，评估其保留金融资产所有权上的风险和报酬的程度，并分别下列情形 处理：</w:t>
      </w:r>
    </w:p>
    <w:p>
      <w:pPr>
        <w:pStyle w:val="Style34"/>
        <w:keepNext w:val="0"/>
        <w:keepLines w:val="0"/>
        <w:widowControl w:val="0"/>
        <w:shd w:val="clear" w:color="auto" w:fill="auto"/>
        <w:bidi w:val="0"/>
        <w:spacing w:before="0" w:after="0" w:line="316" w:lineRule="exact"/>
        <w:ind w:left="0" w:right="0" w:firstLine="32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 转移了金融资产所有权上几乎所有风险和报酬的，则终止确认该金融资产，并将转移中产生或保 留的权利和义务单独确认为资产或负债。</w:t>
      </w:r>
    </w:p>
    <w:p>
      <w:pPr>
        <w:pStyle w:val="Style34"/>
        <w:keepNext w:val="0"/>
        <w:keepLines w:val="0"/>
        <w:widowControl w:val="0"/>
        <w:shd w:val="clear" w:color="auto" w:fill="auto"/>
        <w:bidi w:val="0"/>
        <w:spacing w:before="0" w:after="0" w:line="316" w:lineRule="exact"/>
        <w:ind w:left="0" w:right="0" w:firstLine="32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2</w:t>
      </w:r>
      <w:r>
        <w:rPr>
          <w:color w:val="000000"/>
          <w:spacing w:val="0"/>
          <w:w w:val="100"/>
          <w:position w:val="0"/>
        </w:rPr>
        <w:t>） 保留了金融资产所有权上几乎所有风险和报酬的，则继续确认该金融资产。</w:t>
      </w:r>
    </w:p>
    <w:p>
      <w:pPr>
        <w:pStyle w:val="Style34"/>
        <w:keepNext w:val="0"/>
        <w:keepLines w:val="0"/>
        <w:widowControl w:val="0"/>
        <w:shd w:val="clear" w:color="auto" w:fill="auto"/>
        <w:tabs>
          <w:tab w:pos="901" w:val="left"/>
        </w:tabs>
        <w:bidi w:val="0"/>
        <w:spacing w:before="0" w:after="0" w:line="316" w:lineRule="exact"/>
        <w:ind w:left="0" w:right="0" w:firstLine="32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 其他情形），则根据其是否保留了对金融资产的控制，分别下列情形处理：</w:t>
      </w:r>
    </w:p>
    <w:p>
      <w:pPr>
        <w:pStyle w:val="Style34"/>
        <w:keepNext w:val="0"/>
        <w:keepLines w:val="0"/>
        <w:widowControl w:val="0"/>
        <w:shd w:val="clear" w:color="auto" w:fill="auto"/>
        <w:tabs>
          <w:tab w:pos="800" w:val="left"/>
        </w:tabs>
        <w:bidi w:val="0"/>
        <w:spacing w:before="0" w:after="0" w:line="316" w:lineRule="exact"/>
        <w:ind w:left="0" w:right="0"/>
        <w:jc w:val="both"/>
      </w:pPr>
      <w:bookmarkStart w:id="824" w:name="bookmark824"/>
      <w:r>
        <w:rPr>
          <w:rFonts w:ascii="Times New Roman" w:eastAsia="Times New Roman" w:hAnsi="Times New Roman" w:cs="Times New Roman"/>
          <w:color w:val="000000"/>
          <w:spacing w:val="0"/>
          <w:w w:val="100"/>
          <w:position w:val="0"/>
        </w:rPr>
        <w:t>1</w:t>
      </w:r>
      <w:bookmarkEnd w:id="824"/>
      <w:r>
        <w:rPr>
          <w:color w:val="000000"/>
          <w:spacing w:val="0"/>
          <w:w w:val="100"/>
          <w:position w:val="0"/>
        </w:rPr>
        <w:t>）</w:t>
        <w:tab/>
        <w:t>未保留对该金融资产控制的，则终止确认该金融资产，并将转移中产生或保留的权利和义务单独 确认为资产或负债。</w:t>
      </w:r>
    </w:p>
    <w:p>
      <w:pPr>
        <w:pStyle w:val="Style34"/>
        <w:keepNext w:val="0"/>
        <w:keepLines w:val="0"/>
        <w:widowControl w:val="0"/>
        <w:shd w:val="clear" w:color="auto" w:fill="auto"/>
        <w:bidi w:val="0"/>
        <w:spacing w:before="0" w:after="0" w:line="316" w:lineRule="exact"/>
        <w:ind w:left="0" w:right="0"/>
        <w:jc w:val="both"/>
      </w:pPr>
      <w:bookmarkStart w:id="825" w:name="bookmark825"/>
      <w:r>
        <w:rPr>
          <w:rFonts w:ascii="Times New Roman" w:eastAsia="Times New Roman" w:hAnsi="Times New Roman" w:cs="Times New Roman"/>
          <w:color w:val="000000"/>
          <w:spacing w:val="0"/>
          <w:w w:val="100"/>
          <w:position w:val="0"/>
        </w:rPr>
        <w:t>2</w:t>
      </w:r>
      <w:bookmarkEnd w:id="825"/>
      <w:r>
        <w:rPr>
          <w:color w:val="000000"/>
          <w:spacing w:val="0"/>
          <w:w w:val="100"/>
          <w:position w:val="0"/>
        </w:rPr>
        <w:t>） 保留了对该金融资产控制的，则按照其继续涉入被转移金融资产的程度继续确认有关金融资产， 并相应确认相关负债。继续涉入被转移金融资产的程度，是指本公司承担的被转移金融资产价值变动风险 或报酬的程度。</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34"/>
        <w:keepNext w:val="0"/>
        <w:keepLines w:val="0"/>
        <w:widowControl w:val="0"/>
        <w:shd w:val="clear" w:color="auto" w:fill="auto"/>
        <w:tabs>
          <w:tab w:pos="813" w:val="left"/>
        </w:tabs>
        <w:bidi w:val="0"/>
        <w:spacing w:before="0" w:after="80" w:line="316" w:lineRule="exact"/>
        <w:ind w:left="0" w:right="0" w:firstLine="320"/>
        <w:jc w:val="left"/>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34"/>
        <w:keepNext w:val="0"/>
        <w:keepLines w:val="0"/>
        <w:widowControl w:val="0"/>
        <w:shd w:val="clear" w:color="auto" w:fill="auto"/>
        <w:tabs>
          <w:tab w:pos="693" w:val="left"/>
        </w:tabs>
        <w:bidi w:val="0"/>
        <w:spacing w:before="0" w:after="0" w:line="331" w:lineRule="auto"/>
        <w:ind w:left="0" w:right="0" w:firstLine="320"/>
        <w:jc w:val="left"/>
      </w:pPr>
      <w:bookmarkStart w:id="827" w:name="bookmark827"/>
      <w:r>
        <w:rPr>
          <w:rFonts w:ascii="Times New Roman" w:eastAsia="Times New Roman" w:hAnsi="Times New Roman" w:cs="Times New Roman"/>
          <w:color w:val="000000"/>
          <w:spacing w:val="0"/>
          <w:w w:val="100"/>
          <w:position w:val="0"/>
        </w:rPr>
        <w:t>1</w:t>
      </w:r>
      <w:bookmarkEnd w:id="827"/>
      <w:r>
        <w:rPr>
          <w:color w:val="000000"/>
          <w:spacing w:val="0"/>
          <w:w w:val="100"/>
          <w:position w:val="0"/>
        </w:rPr>
        <w:t>）</w:t>
        <w:tab/>
        <w:t>被转移金融资产在终止确认日的账面价值。</w:t>
      </w:r>
    </w:p>
    <w:p>
      <w:pPr>
        <w:pStyle w:val="Style34"/>
        <w:keepNext w:val="0"/>
        <w:keepLines w:val="0"/>
        <w:widowControl w:val="0"/>
        <w:shd w:val="clear" w:color="auto" w:fill="auto"/>
        <w:tabs>
          <w:tab w:pos="699" w:val="left"/>
        </w:tabs>
        <w:bidi w:val="0"/>
        <w:spacing w:before="0" w:after="0" w:line="316" w:lineRule="exact"/>
        <w:ind w:left="0" w:right="0" w:firstLine="320"/>
        <w:jc w:val="left"/>
      </w:pPr>
      <w:bookmarkStart w:id="828" w:name="bookmark828"/>
      <w:r>
        <w:rPr>
          <w:rFonts w:ascii="Times New Roman" w:eastAsia="Times New Roman" w:hAnsi="Times New Roman" w:cs="Times New Roman"/>
          <w:color w:val="000000"/>
          <w:spacing w:val="0"/>
          <w:w w:val="100"/>
          <w:position w:val="0"/>
        </w:rPr>
        <w:t>2</w:t>
      </w:r>
      <w:bookmarkEnd w:id="828"/>
      <w:r>
        <w:rPr>
          <w:color w:val="000000"/>
          <w:spacing w:val="0"/>
          <w:w w:val="100"/>
          <w:position w:val="0"/>
        </w:rPr>
        <w:t>）</w:t>
        <w:tab/>
        <w:t>因转移金融资产而收到的对价，与原直接计入其他综合收益的公允价值变动累计额中对应终止确认 部分的金额（涉及转移的金融资产为以公允价值计量且其变动计入其他综合收益的金融资产）之和。</w:t>
      </w:r>
    </w:p>
    <w:p>
      <w:pPr>
        <w:pStyle w:val="Style34"/>
        <w:keepNext w:val="0"/>
        <w:keepLines w:val="0"/>
        <w:widowControl w:val="0"/>
        <w:shd w:val="clear" w:color="auto" w:fill="auto"/>
        <w:tabs>
          <w:tab w:pos="920" w:val="left"/>
        </w:tabs>
        <w:bidi w:val="0"/>
        <w:spacing w:before="0" w:after="80" w:line="316" w:lineRule="exact"/>
        <w:ind w:left="0" w:right="0" w:firstLine="320"/>
        <w:jc w:val="left"/>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金融资产部分转移且该被转移部分整体满足终止确认条件的，将转移前金融资产整体的账面价值， 在终止确认部分和继续确认部分（在此种情形下，所保留的服务资产应当视同继续确认金融资产的一部分） 之间，按照转移日各自的相对公允价值进行分摊，并将下列两项金额的差额计入当期损益：</w:t>
      </w:r>
    </w:p>
    <w:p>
      <w:pPr>
        <w:pStyle w:val="Style34"/>
        <w:keepNext w:val="0"/>
        <w:keepLines w:val="0"/>
        <w:widowControl w:val="0"/>
        <w:shd w:val="clear" w:color="auto" w:fill="auto"/>
        <w:tabs>
          <w:tab w:pos="693" w:val="left"/>
        </w:tabs>
        <w:bidi w:val="0"/>
        <w:spacing w:before="0" w:after="0" w:line="331" w:lineRule="auto"/>
        <w:ind w:left="0" w:right="0" w:firstLine="320"/>
        <w:jc w:val="left"/>
      </w:pPr>
      <w:bookmarkStart w:id="830" w:name="bookmark830"/>
      <w:r>
        <w:rPr>
          <w:rFonts w:ascii="Times New Roman" w:eastAsia="Times New Roman" w:hAnsi="Times New Roman" w:cs="Times New Roman"/>
          <w:color w:val="000000"/>
          <w:spacing w:val="0"/>
          <w:w w:val="100"/>
          <w:position w:val="0"/>
        </w:rPr>
        <w:t>1</w:t>
      </w:r>
      <w:bookmarkEnd w:id="830"/>
      <w:r>
        <w:rPr>
          <w:color w:val="000000"/>
          <w:spacing w:val="0"/>
          <w:w w:val="100"/>
          <w:position w:val="0"/>
        </w:rPr>
        <w:t>）</w:t>
        <w:tab/>
        <w:t>终止确认部分在终止确认日的账面价值。</w:t>
      </w:r>
    </w:p>
    <w:p>
      <w:pPr>
        <w:pStyle w:val="Style34"/>
        <w:keepNext w:val="0"/>
        <w:keepLines w:val="0"/>
        <w:widowControl w:val="0"/>
        <w:shd w:val="clear" w:color="auto" w:fill="auto"/>
        <w:tabs>
          <w:tab w:pos="704" w:val="left"/>
        </w:tabs>
        <w:bidi w:val="0"/>
        <w:spacing w:before="0" w:after="0" w:line="316" w:lineRule="exact"/>
        <w:ind w:left="0" w:right="0" w:firstLine="320"/>
        <w:jc w:val="left"/>
      </w:pPr>
      <w:bookmarkStart w:id="831" w:name="bookmark831"/>
      <w:r>
        <w:rPr>
          <w:rFonts w:ascii="Times New Roman" w:eastAsia="Times New Roman" w:hAnsi="Times New Roman" w:cs="Times New Roman"/>
          <w:color w:val="000000"/>
          <w:spacing w:val="0"/>
          <w:w w:val="100"/>
          <w:position w:val="0"/>
        </w:rPr>
        <w:t>2</w:t>
      </w:r>
      <w:bookmarkEnd w:id="831"/>
      <w:r>
        <w:rPr>
          <w:color w:val="000000"/>
          <w:spacing w:val="0"/>
          <w:w w:val="100"/>
          <w:position w:val="0"/>
        </w:rPr>
        <w:t>）</w:t>
        <w:tab/>
        <w:t>终止确认部分收到的对价，与原计入其他综合收益的公允价值变动累计额中对应终止确认部分的金 额（涉及转移的金融资产为以公允价值计量且其变动计入其他综合收益的金融资产）之和。</w:t>
      </w:r>
    </w:p>
    <w:p>
      <w:pPr>
        <w:pStyle w:val="Style34"/>
        <w:keepNext w:val="0"/>
        <w:keepLines w:val="0"/>
        <w:widowControl w:val="0"/>
        <w:shd w:val="clear" w:color="auto" w:fill="auto"/>
        <w:bidi w:val="0"/>
        <w:spacing w:before="0" w:after="80" w:line="316" w:lineRule="exact"/>
        <w:ind w:left="0" w:right="0" w:firstLine="0"/>
        <w:jc w:val="left"/>
      </w:pPr>
      <w:r>
        <w:rPr>
          <w:color w:val="000000"/>
          <w:spacing w:val="0"/>
          <w:w w:val="100"/>
          <w:position w:val="0"/>
        </w:rPr>
        <w:t>金融资产转移不满足终止确认条件的，继续确认该金融资产，所收到的对价确认为一项金融</w:t>
      </w:r>
    </w:p>
    <w:p>
      <w:pPr>
        <w:pStyle w:val="Style34"/>
        <w:keepNext w:val="0"/>
        <w:keepLines w:val="0"/>
        <w:widowControl w:val="0"/>
        <w:numPr>
          <w:ilvl w:val="0"/>
          <w:numId w:val="33"/>
        </w:numPr>
        <w:shd w:val="clear" w:color="auto" w:fill="auto"/>
        <w:tabs>
          <w:tab w:pos="714" w:val="left"/>
        </w:tabs>
        <w:bidi w:val="0"/>
        <w:spacing w:before="0" w:after="0" w:line="329" w:lineRule="auto"/>
        <w:ind w:left="0" w:right="0" w:firstLine="380"/>
        <w:jc w:val="both"/>
      </w:pPr>
      <w:bookmarkStart w:id="832" w:name="bookmark832"/>
      <w:bookmarkEnd w:id="832"/>
      <w:r>
        <w:rPr>
          <w:b/>
          <w:bCs/>
          <w:color w:val="000000"/>
          <w:spacing w:val="0"/>
          <w:w w:val="100"/>
          <w:position w:val="0"/>
        </w:rPr>
        <w:t>金融资产和金融负债公允价值的确定方法</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34"/>
        <w:keepNext w:val="0"/>
        <w:keepLines w:val="0"/>
        <w:widowControl w:val="0"/>
        <w:shd w:val="clear" w:color="auto" w:fill="auto"/>
        <w:bidi w:val="0"/>
        <w:spacing w:before="0" w:after="80" w:line="316" w:lineRule="exact"/>
        <w:ind w:left="0" w:right="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34"/>
        <w:keepNext w:val="0"/>
        <w:keepLines w:val="0"/>
        <w:widowControl w:val="0"/>
        <w:numPr>
          <w:ilvl w:val="0"/>
          <w:numId w:val="33"/>
        </w:numPr>
        <w:shd w:val="clear" w:color="auto" w:fill="auto"/>
        <w:tabs>
          <w:tab w:pos="714" w:val="left"/>
        </w:tabs>
        <w:bidi w:val="0"/>
        <w:spacing w:before="0" w:after="0" w:line="329" w:lineRule="auto"/>
        <w:ind w:left="0" w:right="0" w:firstLine="380"/>
        <w:jc w:val="both"/>
      </w:pPr>
      <w:bookmarkStart w:id="833" w:name="bookmark833"/>
      <w:bookmarkEnd w:id="833"/>
      <w:r>
        <w:rPr>
          <w:b/>
          <w:bCs/>
          <w:color w:val="000000"/>
          <w:spacing w:val="0"/>
          <w:w w:val="100"/>
          <w:position w:val="0"/>
        </w:rPr>
        <w:t>金融工具减值</w:t>
      </w:r>
    </w:p>
    <w:p>
      <w:pPr>
        <w:pStyle w:val="Style34"/>
        <w:keepNext w:val="0"/>
        <w:keepLines w:val="0"/>
        <w:widowControl w:val="0"/>
        <w:shd w:val="clear" w:color="auto" w:fill="auto"/>
        <w:bidi w:val="0"/>
        <w:spacing w:before="0" w:after="80" w:line="316" w:lineRule="exact"/>
        <w:ind w:left="0" w:right="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对由收入准则规范的交易形成的应收款项，本公司运用简化计量方法，按照相当于整个存续期内预期 信用损失的金额计量损失准备。</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34"/>
        <w:keepNext w:val="0"/>
        <w:keepLines w:val="0"/>
        <w:widowControl w:val="0"/>
        <w:shd w:val="clear" w:color="auto" w:fill="auto"/>
        <w:tabs>
          <w:tab w:pos="884" w:val="left"/>
        </w:tabs>
        <w:bidi w:val="0"/>
        <w:spacing w:before="0" w:after="0" w:line="314" w:lineRule="exact"/>
        <w:ind w:left="0" w:right="0" w:firstLine="32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如果该金融工具的信用风险自初始确认后并未显著增加，处于第一阶段，则按照相当于该金融工 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34"/>
        <w:keepNext w:val="0"/>
        <w:keepLines w:val="0"/>
        <w:widowControl w:val="0"/>
        <w:shd w:val="clear" w:color="auto" w:fill="auto"/>
        <w:bidi w:val="0"/>
        <w:spacing w:before="0" w:after="0" w:line="314" w:lineRule="exact"/>
        <w:ind w:left="0" w:right="0" w:firstLine="32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 如果该金融工具的信用风险自初始确认后已显著增加但尚未发生信用减值的，处于第二阶段，则 按照相当于该金融工具整个存续期内预期信用损失的金额计量其损失准备，并按照账面余额和实际利率计 算利息收入。</w:t>
      </w:r>
    </w:p>
    <w:p>
      <w:pPr>
        <w:pStyle w:val="Style34"/>
        <w:keepNext w:val="0"/>
        <w:keepLines w:val="0"/>
        <w:widowControl w:val="0"/>
        <w:shd w:val="clear" w:color="auto" w:fill="auto"/>
        <w:tabs>
          <w:tab w:pos="884" w:val="left"/>
        </w:tabs>
        <w:bidi w:val="0"/>
        <w:spacing w:before="0" w:after="0" w:line="314" w:lineRule="exact"/>
        <w:ind w:left="0" w:right="0" w:firstLine="32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3</w:t>
      </w:r>
      <w:r>
        <w:rPr>
          <w:color w:val="000000"/>
          <w:spacing w:val="0"/>
          <w:w w:val="100"/>
          <w:position w:val="0"/>
        </w:rPr>
        <w:t>）</w:t>
        <w:tab/>
        <w:t>如果该金融工具自初始确认后已经发生信用减值的，处于第三阶段，本公司按照相当于该金融工 具整个存续期内预期信用损失的金额计量其损失准备，并按照摊余成本和实际利率计算利息收入。</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34"/>
        <w:keepNext w:val="0"/>
        <w:keepLines w:val="0"/>
        <w:widowControl w:val="0"/>
        <w:shd w:val="clear" w:color="auto" w:fill="auto"/>
        <w:tabs>
          <w:tab w:pos="782" w:val="left"/>
        </w:tabs>
        <w:bidi w:val="0"/>
        <w:spacing w:before="0" w:after="0" w:line="314" w:lineRule="exact"/>
        <w:ind w:left="0" w:right="0" w:firstLine="32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34"/>
        <w:keepNext w:val="0"/>
        <w:keepLines w:val="0"/>
        <w:widowControl w:val="0"/>
        <w:shd w:val="clear" w:color="auto" w:fill="auto"/>
        <w:bidi w:val="0"/>
        <w:spacing w:before="0" w:after="80" w:line="314" w:lineRule="exact"/>
        <w:ind w:left="0" w:right="0"/>
        <w:jc w:val="both"/>
      </w:pPr>
      <w:r>
        <w:rPr>
          <w:color w:val="000000"/>
          <w:spacing w:val="0"/>
          <w:w w:val="100"/>
          <w:position w:val="0"/>
        </w:rPr>
        <w:t>本公司在评估信用风险是否显著增加时会考虑如下因素：</w:t>
      </w:r>
    </w:p>
    <w:p>
      <w:pPr>
        <w:pStyle w:val="Style34"/>
        <w:keepNext w:val="0"/>
        <w:keepLines w:val="0"/>
        <w:widowControl w:val="0"/>
        <w:shd w:val="clear" w:color="auto" w:fill="auto"/>
        <w:tabs>
          <w:tab w:pos="777" w:val="left"/>
        </w:tabs>
        <w:bidi w:val="0"/>
        <w:spacing w:before="0" w:after="0" w:line="329" w:lineRule="auto"/>
        <w:ind w:left="0" w:right="0"/>
        <w:jc w:val="both"/>
      </w:pPr>
      <w:bookmarkStart w:id="838" w:name="bookmark838"/>
      <w:r>
        <w:rPr>
          <w:rFonts w:ascii="Times New Roman" w:eastAsia="Times New Roman" w:hAnsi="Times New Roman" w:cs="Times New Roman"/>
          <w:color w:val="000000"/>
          <w:spacing w:val="0"/>
          <w:w w:val="100"/>
          <w:position w:val="0"/>
        </w:rPr>
        <w:t>1</w:t>
      </w:r>
      <w:bookmarkEnd w:id="838"/>
      <w:r>
        <w:rPr>
          <w:color w:val="000000"/>
          <w:spacing w:val="0"/>
          <w:w w:val="100"/>
          <w:position w:val="0"/>
        </w:rPr>
        <w:t>）</w:t>
        <w:tab/>
        <w:t>债务人经营成果实际或预期是否发生显著变化；</w:t>
      </w:r>
    </w:p>
    <w:p>
      <w:pPr>
        <w:pStyle w:val="Style34"/>
        <w:keepNext w:val="0"/>
        <w:keepLines w:val="0"/>
        <w:widowControl w:val="0"/>
        <w:shd w:val="clear" w:color="auto" w:fill="auto"/>
        <w:bidi w:val="0"/>
        <w:spacing w:before="0" w:after="0" w:line="329" w:lineRule="auto"/>
        <w:ind w:left="0" w:right="0"/>
        <w:jc w:val="both"/>
      </w:pPr>
      <w:bookmarkStart w:id="839" w:name="bookmark839"/>
      <w:r>
        <w:rPr>
          <w:rFonts w:ascii="Times New Roman" w:eastAsia="Times New Roman" w:hAnsi="Times New Roman" w:cs="Times New Roman"/>
          <w:color w:val="000000"/>
          <w:spacing w:val="0"/>
          <w:w w:val="100"/>
          <w:position w:val="0"/>
        </w:rPr>
        <w:t>2</w:t>
      </w:r>
      <w:bookmarkEnd w:id="839"/>
      <w:r>
        <w:rPr>
          <w:color w:val="000000"/>
          <w:spacing w:val="0"/>
          <w:w w:val="100"/>
          <w:position w:val="0"/>
        </w:rPr>
        <w:t>） 债务人所处的监管、经济或技术环境是否发生显著不利变化；</w:t>
      </w:r>
    </w:p>
    <w:p>
      <w:pPr>
        <w:pStyle w:val="Style34"/>
        <w:keepNext w:val="0"/>
        <w:keepLines w:val="0"/>
        <w:widowControl w:val="0"/>
        <w:shd w:val="clear" w:color="auto" w:fill="auto"/>
        <w:bidi w:val="0"/>
        <w:spacing w:before="0" w:after="80" w:line="314" w:lineRule="exact"/>
        <w:ind w:left="0" w:right="0"/>
        <w:jc w:val="both"/>
      </w:pPr>
      <w:bookmarkStart w:id="840" w:name="bookmark840"/>
      <w:r>
        <w:rPr>
          <w:rFonts w:ascii="Times New Roman" w:eastAsia="Times New Roman" w:hAnsi="Times New Roman" w:cs="Times New Roman"/>
          <w:color w:val="000000"/>
          <w:spacing w:val="0"/>
          <w:w w:val="100"/>
          <w:position w:val="0"/>
        </w:rPr>
        <w:t>3</w:t>
      </w:r>
      <w:bookmarkEnd w:id="840"/>
      <w:r>
        <w:rPr>
          <w:color w:val="000000"/>
          <w:spacing w:val="0"/>
          <w:w w:val="100"/>
          <w:position w:val="0"/>
        </w:rPr>
        <w:t>） 作为债务抵押的担保物价值或第三方提供的担保或信用增级质量是否发生显著变化，这些变化预 期将降低债务人按合同规定期限还款的经济动机或者影响违约概率；</w:t>
      </w:r>
    </w:p>
    <w:p>
      <w:pPr>
        <w:pStyle w:val="Style34"/>
        <w:keepNext w:val="0"/>
        <w:keepLines w:val="0"/>
        <w:widowControl w:val="0"/>
        <w:shd w:val="clear" w:color="auto" w:fill="auto"/>
        <w:tabs>
          <w:tab w:pos="801" w:val="left"/>
        </w:tabs>
        <w:bidi w:val="0"/>
        <w:spacing w:before="0" w:after="0" w:line="329" w:lineRule="auto"/>
        <w:ind w:left="0" w:right="0"/>
        <w:jc w:val="both"/>
      </w:pPr>
      <w:bookmarkStart w:id="841" w:name="bookmark841"/>
      <w:r>
        <w:rPr>
          <w:rFonts w:ascii="Times New Roman" w:eastAsia="Times New Roman" w:hAnsi="Times New Roman" w:cs="Times New Roman"/>
          <w:color w:val="000000"/>
          <w:spacing w:val="0"/>
          <w:w w:val="100"/>
          <w:position w:val="0"/>
        </w:rPr>
        <w:t>4</w:t>
      </w:r>
      <w:bookmarkEnd w:id="841"/>
      <w:r>
        <w:rPr>
          <w:color w:val="000000"/>
          <w:spacing w:val="0"/>
          <w:w w:val="100"/>
          <w:position w:val="0"/>
        </w:rPr>
        <w:t>）</w:t>
        <w:tab/>
        <w:t>债务人预期表现和还款行为是否发生显著变化；</w:t>
      </w:r>
    </w:p>
    <w:p>
      <w:pPr>
        <w:pStyle w:val="Style34"/>
        <w:keepNext w:val="0"/>
        <w:keepLines w:val="0"/>
        <w:widowControl w:val="0"/>
        <w:shd w:val="clear" w:color="auto" w:fill="auto"/>
        <w:tabs>
          <w:tab w:pos="801" w:val="left"/>
        </w:tabs>
        <w:bidi w:val="0"/>
        <w:spacing w:before="0" w:after="0" w:line="329" w:lineRule="auto"/>
        <w:ind w:left="0" w:right="0"/>
        <w:jc w:val="both"/>
      </w:pPr>
      <w:bookmarkStart w:id="842" w:name="bookmark842"/>
      <w:r>
        <w:rPr>
          <w:rFonts w:ascii="Times New Roman" w:eastAsia="Times New Roman" w:hAnsi="Times New Roman" w:cs="Times New Roman"/>
          <w:color w:val="000000"/>
          <w:spacing w:val="0"/>
          <w:w w:val="100"/>
          <w:position w:val="0"/>
        </w:rPr>
        <w:t>5</w:t>
      </w:r>
      <w:bookmarkEnd w:id="842"/>
      <w:r>
        <w:rPr>
          <w:color w:val="000000"/>
          <w:spacing w:val="0"/>
          <w:w w:val="100"/>
          <w:position w:val="0"/>
        </w:rPr>
        <w:t>）</w:t>
        <w:tab/>
        <w:t>本公司对金融工具信用管理方法是否发生变化等。</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34"/>
        <w:keepNext w:val="0"/>
        <w:keepLines w:val="0"/>
        <w:widowControl w:val="0"/>
        <w:shd w:val="clear" w:color="auto" w:fill="auto"/>
        <w:tabs>
          <w:tab w:pos="782" w:val="left"/>
        </w:tabs>
        <w:bidi w:val="0"/>
        <w:spacing w:before="0" w:after="80" w:line="314" w:lineRule="exact"/>
        <w:ind w:left="0" w:right="0" w:firstLine="32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34"/>
        <w:keepNext w:val="0"/>
        <w:keepLines w:val="0"/>
        <w:widowControl w:val="0"/>
        <w:shd w:val="clear" w:color="auto" w:fill="auto"/>
        <w:bidi w:val="0"/>
        <w:spacing w:before="0" w:after="80" w:line="317" w:lineRule="exact"/>
        <w:ind w:left="0" w:right="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34"/>
        <w:keepNext w:val="0"/>
        <w:keepLines w:val="0"/>
        <w:widowControl w:val="0"/>
        <w:shd w:val="clear" w:color="auto" w:fill="auto"/>
        <w:tabs>
          <w:tab w:pos="808" w:val="left"/>
        </w:tabs>
        <w:bidi w:val="0"/>
        <w:spacing w:before="0" w:after="0" w:line="331" w:lineRule="auto"/>
        <w:ind w:left="0" w:right="0"/>
        <w:jc w:val="both"/>
      </w:pPr>
      <w:bookmarkStart w:id="844" w:name="bookmark844"/>
      <w:r>
        <w:rPr>
          <w:rFonts w:ascii="Times New Roman" w:eastAsia="Times New Roman" w:hAnsi="Times New Roman" w:cs="Times New Roman"/>
          <w:color w:val="000000"/>
          <w:spacing w:val="0"/>
          <w:w w:val="100"/>
          <w:position w:val="0"/>
        </w:rPr>
        <w:t>1</w:t>
      </w:r>
      <w:bookmarkEnd w:id="844"/>
      <w:r>
        <w:rPr>
          <w:color w:val="000000"/>
          <w:spacing w:val="0"/>
          <w:w w:val="100"/>
          <w:position w:val="0"/>
        </w:rPr>
        <w:t>）</w:t>
        <w:tab/>
        <w:t>发行方或债务人发生重大财务困难；</w:t>
      </w:r>
    </w:p>
    <w:p>
      <w:pPr>
        <w:pStyle w:val="Style34"/>
        <w:keepNext w:val="0"/>
        <w:keepLines w:val="0"/>
        <w:widowControl w:val="0"/>
        <w:shd w:val="clear" w:color="auto" w:fill="auto"/>
        <w:tabs>
          <w:tab w:pos="832" w:val="left"/>
        </w:tabs>
        <w:bidi w:val="0"/>
        <w:spacing w:before="0" w:after="0" w:line="331" w:lineRule="auto"/>
        <w:ind w:left="0" w:right="0"/>
        <w:jc w:val="both"/>
      </w:pPr>
      <w:bookmarkStart w:id="845" w:name="bookmark845"/>
      <w:r>
        <w:rPr>
          <w:rFonts w:ascii="Times New Roman" w:eastAsia="Times New Roman" w:hAnsi="Times New Roman" w:cs="Times New Roman"/>
          <w:color w:val="000000"/>
          <w:spacing w:val="0"/>
          <w:w w:val="100"/>
          <w:position w:val="0"/>
        </w:rPr>
        <w:t>2</w:t>
      </w:r>
      <w:bookmarkEnd w:id="845"/>
      <w:r>
        <w:rPr>
          <w:color w:val="000000"/>
          <w:spacing w:val="0"/>
          <w:w w:val="100"/>
          <w:position w:val="0"/>
        </w:rPr>
        <w:t>）</w:t>
        <w:tab/>
        <w:t>债务人违反合同，如偿付利息或本金违约或逾期等；</w:t>
      </w:r>
    </w:p>
    <w:p>
      <w:pPr>
        <w:pStyle w:val="Style34"/>
        <w:keepNext w:val="0"/>
        <w:keepLines w:val="0"/>
        <w:widowControl w:val="0"/>
        <w:shd w:val="clear" w:color="auto" w:fill="auto"/>
        <w:tabs>
          <w:tab w:pos="800" w:val="left"/>
        </w:tabs>
        <w:bidi w:val="0"/>
        <w:spacing w:before="0" w:after="80" w:line="317" w:lineRule="exact"/>
        <w:ind w:left="0" w:right="0"/>
        <w:jc w:val="both"/>
      </w:pPr>
      <w:bookmarkStart w:id="846" w:name="bookmark846"/>
      <w:r>
        <w:rPr>
          <w:rFonts w:ascii="Times New Roman" w:eastAsia="Times New Roman" w:hAnsi="Times New Roman" w:cs="Times New Roman"/>
          <w:color w:val="000000"/>
          <w:spacing w:val="0"/>
          <w:w w:val="100"/>
          <w:position w:val="0"/>
        </w:rPr>
        <w:t>3</w:t>
      </w:r>
      <w:bookmarkEnd w:id="846"/>
      <w:r>
        <w:rPr>
          <w:color w:val="000000"/>
          <w:spacing w:val="0"/>
          <w:w w:val="100"/>
          <w:position w:val="0"/>
        </w:rPr>
        <w:t>）</w:t>
        <w:tab/>
        <w:t>债权人出于与债务人财务困难有关的经济或合同考虑，给予债务人在任何其他情况下都不会做出 的让步；</w:t>
      </w:r>
    </w:p>
    <w:p>
      <w:pPr>
        <w:pStyle w:val="Style34"/>
        <w:keepNext w:val="0"/>
        <w:keepLines w:val="0"/>
        <w:widowControl w:val="0"/>
        <w:shd w:val="clear" w:color="auto" w:fill="auto"/>
        <w:tabs>
          <w:tab w:pos="832" w:val="left"/>
        </w:tabs>
        <w:bidi w:val="0"/>
        <w:spacing w:before="0" w:after="0" w:line="331" w:lineRule="auto"/>
        <w:ind w:left="0" w:right="0"/>
        <w:jc w:val="both"/>
      </w:pPr>
      <w:bookmarkStart w:id="847" w:name="bookmark847"/>
      <w:r>
        <w:rPr>
          <w:rFonts w:ascii="Times New Roman" w:eastAsia="Times New Roman" w:hAnsi="Times New Roman" w:cs="Times New Roman"/>
          <w:color w:val="000000"/>
          <w:spacing w:val="0"/>
          <w:w w:val="100"/>
          <w:position w:val="0"/>
        </w:rPr>
        <w:t>4</w:t>
      </w:r>
      <w:bookmarkEnd w:id="847"/>
      <w:r>
        <w:rPr>
          <w:color w:val="000000"/>
          <w:spacing w:val="0"/>
          <w:w w:val="100"/>
          <w:position w:val="0"/>
        </w:rPr>
        <w:t>）</w:t>
        <w:tab/>
        <w:t>债务人很可能破产或进行其他财务重组；</w:t>
      </w:r>
    </w:p>
    <w:p>
      <w:pPr>
        <w:pStyle w:val="Style34"/>
        <w:keepNext w:val="0"/>
        <w:keepLines w:val="0"/>
        <w:widowControl w:val="0"/>
        <w:shd w:val="clear" w:color="auto" w:fill="auto"/>
        <w:tabs>
          <w:tab w:pos="807" w:val="left"/>
        </w:tabs>
        <w:bidi w:val="0"/>
        <w:spacing w:before="0" w:after="0" w:line="331" w:lineRule="auto"/>
        <w:ind w:left="0" w:right="0" w:firstLine="420"/>
        <w:jc w:val="left"/>
      </w:pPr>
      <w:bookmarkStart w:id="848" w:name="bookmark848"/>
      <w:r>
        <w:rPr>
          <w:rFonts w:ascii="Times New Roman" w:eastAsia="Times New Roman" w:hAnsi="Times New Roman" w:cs="Times New Roman"/>
          <w:color w:val="000000"/>
          <w:spacing w:val="0"/>
          <w:w w:val="100"/>
          <w:position w:val="0"/>
        </w:rPr>
        <w:t>5</w:t>
      </w:r>
      <w:bookmarkEnd w:id="848"/>
      <w:r>
        <w:rPr>
          <w:color w:val="000000"/>
          <w:spacing w:val="0"/>
          <w:w w:val="100"/>
          <w:position w:val="0"/>
        </w:rPr>
        <w:t>）</w:t>
        <w:tab/>
        <w:t>发行方或债务人财务困难导致该金融资产的活跃市场消失；</w:t>
      </w:r>
    </w:p>
    <w:p>
      <w:pPr>
        <w:pStyle w:val="Style34"/>
        <w:keepNext w:val="0"/>
        <w:keepLines w:val="0"/>
        <w:widowControl w:val="0"/>
        <w:shd w:val="clear" w:color="auto" w:fill="auto"/>
        <w:bidi w:val="0"/>
        <w:spacing w:before="0" w:after="0" w:line="317" w:lineRule="exact"/>
        <w:ind w:left="0" w:right="0" w:firstLine="420"/>
        <w:jc w:val="left"/>
      </w:pPr>
      <w:r>
        <w:rPr>
          <w:color w:val="000000"/>
          <w:spacing w:val="0"/>
          <w:w w:val="100"/>
          <w:position w:val="0"/>
        </w:rPr>
        <w:t>以大幅折扣购买或源生一项金融资产，该折扣反映了发生信用损失的事实。</w:t>
      </w:r>
    </w:p>
    <w:p>
      <w:pPr>
        <w:pStyle w:val="Style34"/>
        <w:keepNext w:val="0"/>
        <w:keepLines w:val="0"/>
        <w:widowControl w:val="0"/>
        <w:shd w:val="clear" w:color="auto" w:fill="auto"/>
        <w:bidi w:val="0"/>
        <w:spacing w:before="0" w:after="80" w:line="317" w:lineRule="exact"/>
        <w:ind w:left="0" w:right="0" w:firstLine="420"/>
        <w:jc w:val="left"/>
      </w:pPr>
      <w:r>
        <w:rPr>
          <w:color w:val="000000"/>
          <w:spacing w:val="0"/>
          <w:w w:val="100"/>
          <w:position w:val="0"/>
        </w:rPr>
        <w:t>金融资产发生信用减值，有可能是多个事件的共同作用所致，未必是可单独识别的事件所致。</w:t>
      </w:r>
    </w:p>
    <w:p>
      <w:pPr>
        <w:pStyle w:val="Style34"/>
        <w:keepNext w:val="0"/>
        <w:keepLines w:val="0"/>
        <w:widowControl w:val="0"/>
        <w:shd w:val="clear" w:color="auto" w:fill="auto"/>
        <w:tabs>
          <w:tab w:pos="813" w:val="left"/>
        </w:tabs>
        <w:bidi w:val="0"/>
        <w:spacing w:before="0" w:after="0" w:line="315" w:lineRule="exact"/>
        <w:ind w:left="0" w:right="0" w:firstLine="32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34"/>
        <w:keepNext w:val="0"/>
        <w:keepLines w:val="0"/>
        <w:widowControl w:val="0"/>
        <w:shd w:val="clear" w:color="auto" w:fill="auto"/>
        <w:bidi w:val="0"/>
        <w:spacing w:before="0" w:after="0" w:line="315" w:lineRule="exact"/>
        <w:ind w:left="0" w:right="0"/>
        <w:jc w:val="left"/>
      </w:pPr>
      <w:r>
        <w:rPr>
          <w:color w:val="000000"/>
          <w:spacing w:val="0"/>
          <w:w w:val="100"/>
          <w:position w:val="0"/>
        </w:rPr>
        <w:t>本公司以共同信用风险特征为依据，将金融工具分为不同组合。本公司采用的共同信用风险特征包括： 金融工具类型、信用风险评级、账龄组合、逾期账龄组合、合同结算周期、债务人所处行业等。相关金融 工具的单项评估标准和组合信用风险特征详见相关金融工具的会计政策。</w:t>
      </w:r>
    </w:p>
    <w:p>
      <w:pPr>
        <w:pStyle w:val="Style34"/>
        <w:keepNext w:val="0"/>
        <w:keepLines w:val="0"/>
        <w:widowControl w:val="0"/>
        <w:shd w:val="clear" w:color="auto" w:fill="auto"/>
        <w:bidi w:val="0"/>
        <w:spacing w:before="0" w:after="80" w:line="315" w:lineRule="exact"/>
        <w:ind w:left="0" w:right="0"/>
        <w:jc w:val="left"/>
      </w:pPr>
      <w:r>
        <w:rPr>
          <w:color w:val="000000"/>
          <w:spacing w:val="0"/>
          <w:w w:val="100"/>
          <w:position w:val="0"/>
        </w:rPr>
        <w:t>本公司按照下列方法确定相关金融工具的预期信用损失：</w:t>
      </w:r>
    </w:p>
    <w:p>
      <w:pPr>
        <w:pStyle w:val="Style34"/>
        <w:keepNext w:val="0"/>
        <w:keepLines w:val="0"/>
        <w:widowControl w:val="0"/>
        <w:shd w:val="clear" w:color="auto" w:fill="auto"/>
        <w:bidi w:val="0"/>
        <w:spacing w:before="0" w:after="0" w:line="329" w:lineRule="auto"/>
        <w:ind w:left="0" w:right="0"/>
        <w:jc w:val="left"/>
      </w:pPr>
      <w:bookmarkStart w:id="850" w:name="bookmark850"/>
      <w:r>
        <w:rPr>
          <w:rFonts w:ascii="Times New Roman" w:eastAsia="Times New Roman" w:hAnsi="Times New Roman" w:cs="Times New Roman"/>
          <w:color w:val="000000"/>
          <w:spacing w:val="0"/>
          <w:w w:val="100"/>
          <w:position w:val="0"/>
        </w:rPr>
        <w:t>1</w:t>
      </w:r>
      <w:bookmarkEnd w:id="850"/>
      <w:r>
        <w:rPr>
          <w:color w:val="000000"/>
          <w:spacing w:val="0"/>
          <w:w w:val="100"/>
          <w:position w:val="0"/>
        </w:rPr>
        <w:t>） 对于金融资产，信用损失为本公司应收取的合同现金流量与预期收取的现金流量之间差额的现值。</w:t>
      </w:r>
    </w:p>
    <w:p>
      <w:pPr>
        <w:pStyle w:val="Style34"/>
        <w:keepNext w:val="0"/>
        <w:keepLines w:val="0"/>
        <w:widowControl w:val="0"/>
        <w:shd w:val="clear" w:color="auto" w:fill="auto"/>
        <w:tabs>
          <w:tab w:pos="810" w:val="left"/>
        </w:tabs>
        <w:bidi w:val="0"/>
        <w:spacing w:before="0" w:after="0" w:line="315" w:lineRule="exact"/>
        <w:ind w:left="0" w:right="0"/>
        <w:jc w:val="left"/>
      </w:pPr>
      <w:bookmarkStart w:id="851" w:name="bookmark851"/>
      <w:r>
        <w:rPr>
          <w:rFonts w:ascii="Times New Roman" w:eastAsia="Times New Roman" w:hAnsi="Times New Roman" w:cs="Times New Roman"/>
          <w:color w:val="000000"/>
          <w:spacing w:val="0"/>
          <w:w w:val="100"/>
          <w:position w:val="0"/>
        </w:rPr>
        <w:t>2</w:t>
      </w:r>
      <w:bookmarkEnd w:id="851"/>
      <w:r>
        <w:rPr>
          <w:color w:val="000000"/>
          <w:spacing w:val="0"/>
          <w:w w:val="100"/>
          <w:position w:val="0"/>
        </w:rPr>
        <w:t>）</w:t>
        <w:tab/>
        <w:t>对于财务担保合同，信用损失为本公司就该合同持有人发生的信用损失向其做出赔付的预计付款 额，减去本公司预期向该合同持有人、债务人或任何其他方收取的金额之间差额的现值。</w:t>
      </w:r>
    </w:p>
    <w:p>
      <w:pPr>
        <w:pStyle w:val="Style34"/>
        <w:keepNext w:val="0"/>
        <w:keepLines w:val="0"/>
        <w:widowControl w:val="0"/>
        <w:shd w:val="clear" w:color="auto" w:fill="auto"/>
        <w:tabs>
          <w:tab w:pos="810" w:val="left"/>
        </w:tabs>
        <w:bidi w:val="0"/>
        <w:spacing w:before="0" w:after="0" w:line="315" w:lineRule="exact"/>
        <w:ind w:left="0" w:right="0"/>
        <w:jc w:val="left"/>
      </w:pPr>
      <w:bookmarkStart w:id="852" w:name="bookmark852"/>
      <w:r>
        <w:rPr>
          <w:rFonts w:ascii="Times New Roman" w:eastAsia="Times New Roman" w:hAnsi="Times New Roman" w:cs="Times New Roman"/>
          <w:color w:val="000000"/>
          <w:spacing w:val="0"/>
          <w:w w:val="100"/>
          <w:position w:val="0"/>
        </w:rPr>
        <w:t>3</w:t>
      </w:r>
      <w:bookmarkEnd w:id="852"/>
      <w:r>
        <w:rPr>
          <w:color w:val="000000"/>
          <w:spacing w:val="0"/>
          <w:w w:val="100"/>
          <w:position w:val="0"/>
        </w:rPr>
        <w:t>）</w:t>
        <w:tab/>
        <w:t>对于资产负债表日已发生信用减值但并非购买或源生已发生信用减值的金融资产，信用损失为该 金融资产账面余额与按原实际利率折现的估计未来现金流量的现值之间的差额。</w:t>
      </w:r>
    </w:p>
    <w:p>
      <w:pPr>
        <w:pStyle w:val="Style34"/>
        <w:keepNext w:val="0"/>
        <w:keepLines w:val="0"/>
        <w:widowControl w:val="0"/>
        <w:shd w:val="clear" w:color="auto" w:fill="auto"/>
        <w:bidi w:val="0"/>
        <w:spacing w:before="0" w:after="80" w:line="315" w:lineRule="exact"/>
        <w:ind w:left="0" w:right="0"/>
        <w:jc w:val="left"/>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34"/>
        <w:keepNext w:val="0"/>
        <w:keepLines w:val="0"/>
        <w:widowControl w:val="0"/>
        <w:shd w:val="clear" w:color="auto" w:fill="auto"/>
        <w:tabs>
          <w:tab w:pos="813" w:val="left"/>
        </w:tabs>
        <w:bidi w:val="0"/>
        <w:spacing w:before="0" w:after="0" w:line="315" w:lineRule="exact"/>
        <w:ind w:left="0" w:right="0" w:firstLine="32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4</w:t>
      </w:r>
      <w:r>
        <w:rPr>
          <w:color w:val="000000"/>
          <w:spacing w:val="0"/>
          <w:w w:val="100"/>
          <w:position w:val="0"/>
        </w:rPr>
        <w:t>）</w:t>
        <w:tab/>
        <w:t>减记金融资产</w:t>
      </w:r>
    </w:p>
    <w:p>
      <w:pPr>
        <w:pStyle w:val="Style34"/>
        <w:keepNext w:val="0"/>
        <w:keepLines w:val="0"/>
        <w:widowControl w:val="0"/>
        <w:shd w:val="clear" w:color="auto" w:fill="auto"/>
        <w:bidi w:val="0"/>
        <w:spacing w:before="0" w:after="80" w:line="346" w:lineRule="exact"/>
        <w:ind w:left="0" w:right="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34"/>
        <w:keepNext w:val="0"/>
        <w:keepLines w:val="0"/>
        <w:widowControl w:val="0"/>
        <w:numPr>
          <w:ilvl w:val="0"/>
          <w:numId w:val="33"/>
        </w:numPr>
        <w:shd w:val="clear" w:color="auto" w:fill="auto"/>
        <w:bidi w:val="0"/>
        <w:spacing w:before="0" w:after="0" w:line="326" w:lineRule="auto"/>
        <w:ind w:left="0" w:right="0"/>
        <w:jc w:val="both"/>
      </w:pPr>
      <w:bookmarkStart w:id="854" w:name="bookmark854"/>
      <w:bookmarkEnd w:id="854"/>
      <w:r>
        <w:rPr>
          <w:b/>
          <w:bCs/>
          <w:color w:val="000000"/>
          <w:spacing w:val="0"/>
          <w:w w:val="100"/>
          <w:position w:val="0"/>
        </w:rPr>
        <w:t>金融资产及金融负债的抵销</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4"/>
        <w:keepNext w:val="0"/>
        <w:keepLines w:val="0"/>
        <w:widowControl w:val="0"/>
        <w:shd w:val="clear" w:color="auto" w:fill="auto"/>
        <w:bidi w:val="0"/>
        <w:spacing w:before="0" w:after="0" w:line="312" w:lineRule="exact"/>
        <w:ind w:left="0" w:right="0" w:firstLine="42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 本公司具有抵销已确认金额的法定权利，且该种法定权利是当前可执行的；</w:t>
      </w:r>
    </w:p>
    <w:p>
      <w:pPr>
        <w:pStyle w:val="Style34"/>
        <w:keepNext w:val="0"/>
        <w:keepLines w:val="0"/>
        <w:widowControl w:val="0"/>
        <w:shd w:val="clear" w:color="auto" w:fill="auto"/>
        <w:tabs>
          <w:tab w:pos="908" w:val="left"/>
        </w:tabs>
        <w:bidi w:val="0"/>
        <w:spacing w:before="0" w:after="380" w:line="312" w:lineRule="exact"/>
        <w:ind w:left="0" w:right="0" w:firstLine="42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0"/>
        <w:keepNext/>
        <w:keepLines/>
        <w:widowControl w:val="0"/>
        <w:shd w:val="clear" w:color="auto" w:fill="auto"/>
        <w:bidi w:val="0"/>
        <w:spacing w:before="0" w:after="180" w:line="329"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9</w:t>
      </w:r>
      <w:bookmarkEnd w:id="859"/>
      <w:r>
        <w:rPr>
          <w:color w:val="000000"/>
          <w:spacing w:val="0"/>
          <w:w w:val="100"/>
          <w:position w:val="0"/>
        </w:rPr>
        <w:t>、应收票据</w:t>
      </w:r>
      <w:bookmarkEnd w:id="857"/>
      <w:bookmarkEnd w:id="858"/>
      <w:bookmarkEnd w:id="860"/>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本公司对应收票据的预期信用损失的确定方法及会计处理方法详见本附注五、</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本公司对在单项工具层面能以合理成本评估预期信用损失的充分证据的应收票据单独确定其信用 损失。</w:t>
      </w:r>
    </w:p>
    <w:p>
      <w:pPr>
        <w:pStyle w:val="Style34"/>
        <w:keepNext w:val="0"/>
        <w:keepLines w:val="0"/>
        <w:widowControl w:val="0"/>
        <w:shd w:val="clear" w:color="auto" w:fill="auto"/>
        <w:tabs>
          <w:tab w:pos="6288" w:val="left"/>
        </w:tabs>
        <w:bidi w:val="0"/>
        <w:spacing w:before="0" w:after="0" w:line="317" w:lineRule="exact"/>
        <w:ind w:left="0" w:right="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w:t>
        <w:tab/>
        <w:t>应收票据划分为若干组合，在组合基</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础上计算预期信用损失。确定组合的依据如下：</w:t>
      </w:r>
    </w:p>
    <w:tbl>
      <w:tblPr>
        <w:tblOverlap w:val="never"/>
        <w:jc w:val="center"/>
        <w:tblLayout w:type="fixed"/>
      </w:tblPr>
      <w:tblGrid>
        <w:gridCol w:w="1531"/>
        <w:gridCol w:w="4915"/>
        <w:gridCol w:w="3240"/>
      </w:tblGrid>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bl>
    <w:p>
      <w:pPr>
        <w:widowControl w:val="0"/>
        <w:spacing w:line="1" w:lineRule="exact"/>
      </w:pPr>
    </w:p>
    <w:tbl>
      <w:tblPr>
        <w:tblOverlap w:val="never"/>
        <w:jc w:val="center"/>
        <w:tblLayout w:type="fixed"/>
      </w:tblPr>
      <w:tblGrid>
        <w:gridCol w:w="1531"/>
        <w:gridCol w:w="4915"/>
        <w:gridCol w:w="3240"/>
      </w:tblGrid>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无风险银行承兑票 据组合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出票人具有较高的信用评级，历史上未发生票据违约，信用损 失风险极低，在短期内履行其支付合同现金流量义务的能力很 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参考历史信用损失经验，结合当前状况以 及对未来经济状况的预期计量坏账准备</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关联企业商业承兑 票据组合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出票人为电科集团及其下属企业，历史上未发生票据违约，信 用损失风险极低。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参考历史信用损失经验，结合当前状况以 及对未来经济状况的预期计量坏账准备</w:t>
            </w:r>
          </w:p>
        </w:tc>
      </w:tr>
      <w:tr>
        <w:trPr>
          <w:trHeight w:val="6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其他商业承兑票据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出票人为非电科集团及其下属企业。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参考历史信用损失经验，结合当前状况以 及对未来经济状况的预期计量坏账准备</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0</w:t>
      </w:r>
      <w:r>
        <w:rPr>
          <w:color w:val="000000"/>
          <w:spacing w:val="0"/>
          <w:w w:val="100"/>
          <w:position w:val="0"/>
        </w:rPr>
        <w:t>、应收账款</w:t>
      </w:r>
      <w:bookmarkEnd w:id="861"/>
      <w:bookmarkEnd w:id="862"/>
      <w:bookmarkEnd w:id="864"/>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本公司对应收账款的预期信用损失的确定方法及会计处理方法详见本附注五、</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本公司对在单项工具层面能以合理成本评估预期信用损失的充分证据的应收账款单独确定其信用损 失。</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center"/>
        <w:tblLayout w:type="fixed"/>
      </w:tblPr>
      <w:tblGrid>
        <w:gridCol w:w="1531"/>
        <w:gridCol w:w="5069"/>
        <w:gridCol w:w="308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本公司根据以往的历史经验对应收款项预期信用损失计提比例作 出合理估计，参考应收款项的账龄进行信用风险组合分类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按账龄与整个存续期预期信用损失率 对照表计提</w:t>
            </w:r>
          </w:p>
        </w:tc>
      </w:tr>
    </w:tbl>
    <w:p>
      <w:pPr>
        <w:widowControl w:val="0"/>
        <w:spacing w:after="299" w:line="1" w:lineRule="exact"/>
      </w:pPr>
    </w:p>
    <w:p>
      <w:pPr>
        <w:pStyle w:val="Style30"/>
        <w:keepNext/>
        <w:keepLines/>
        <w:widowControl w:val="0"/>
        <w:shd w:val="clear" w:color="auto" w:fill="auto"/>
        <w:bidi w:val="0"/>
        <w:spacing w:before="0" w:after="42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865"/>
      <w:bookmarkEnd w:id="866"/>
      <w:bookmarkEnd w:id="86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34"/>
        <w:keepNext w:val="0"/>
        <w:keepLines w:val="0"/>
        <w:widowControl w:val="0"/>
        <w:shd w:val="clear" w:color="auto" w:fill="auto"/>
        <w:bidi w:val="0"/>
        <w:spacing w:before="0" w:after="0" w:line="319" w:lineRule="exact"/>
        <w:ind w:left="0" w:right="0"/>
        <w:jc w:val="left"/>
      </w:pPr>
      <w:r>
        <w:rPr>
          <w:color w:val="000000"/>
          <w:spacing w:val="0"/>
          <w:w w:val="100"/>
          <w:position w:val="0"/>
        </w:rPr>
        <w:t>本公司对其他应收款的预期信用损失的确定方法及会计处理方法详见本附注五、</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金融工具减值。 本公司对在单项工具层面能以合理成本评估预期信用损失的充分证据的其他应收款单独确定其信用 损失。</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center"/>
        <w:tblLayout w:type="fixed"/>
      </w:tblPr>
      <w:tblGrid>
        <w:gridCol w:w="1531"/>
        <w:gridCol w:w="5069"/>
        <w:gridCol w:w="308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押金及个人业务借 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根据业务性质，认定无信用风险，主要包括押金及个人业务借款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参考历史信用损失经验不计提预期信 用损失</w:t>
            </w:r>
          </w:p>
        </w:tc>
      </w:tr>
      <w:tr>
        <w:trPr>
          <w:trHeight w:val="9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包括除上述组合之外的其他预收款，本公司根据以往的历史经验 对其他应收款计提比例作出最佳估计，参考其他应收款的账龄进 行信用风险组合分类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按账龄与整个存续期预期信用损失率 对照表计提</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69"/>
      <w:bookmarkEnd w:id="870"/>
      <w:bookmarkEnd w:id="871"/>
    </w:p>
    <w:p>
      <w:pPr>
        <w:pStyle w:val="Style30"/>
        <w:keepNext/>
        <w:keepLines/>
        <w:widowControl w:val="0"/>
        <w:numPr>
          <w:ilvl w:val="0"/>
          <w:numId w:val="35"/>
        </w:numPr>
        <w:shd w:val="clear" w:color="auto" w:fill="auto"/>
        <w:tabs>
          <w:tab w:pos="765" w:val="left"/>
        </w:tabs>
        <w:bidi w:val="0"/>
        <w:spacing w:before="0" w:after="0" w:line="312" w:lineRule="exact"/>
        <w:ind w:left="0" w:right="0" w:firstLine="440"/>
        <w:jc w:val="both"/>
      </w:pPr>
      <w:bookmarkStart w:id="869" w:name="bookmark869"/>
      <w:bookmarkStart w:id="870" w:name="bookmark870"/>
      <w:bookmarkStart w:id="872" w:name="bookmark872"/>
      <w:bookmarkEnd w:id="872"/>
      <w:r>
        <w:rPr>
          <w:color w:val="000000"/>
          <w:spacing w:val="0"/>
          <w:w w:val="100"/>
          <w:position w:val="0"/>
        </w:rPr>
        <w:t>存货的分类</w:t>
      </w:r>
      <w:bookmarkEnd w:id="869"/>
      <w:bookmarkEnd w:id="870"/>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或提供劳务过程中耗用的材料和物料等。主要包括原材料、周转材料、在产品、自制半成品、产成品（库 存商品）、发出商品等。</w:t>
      </w:r>
    </w:p>
    <w:p>
      <w:pPr>
        <w:pStyle w:val="Style34"/>
        <w:keepNext w:val="0"/>
        <w:keepLines w:val="0"/>
        <w:widowControl w:val="0"/>
        <w:numPr>
          <w:ilvl w:val="0"/>
          <w:numId w:val="35"/>
        </w:numPr>
        <w:shd w:val="clear" w:color="auto" w:fill="auto"/>
        <w:tabs>
          <w:tab w:pos="779" w:val="left"/>
        </w:tabs>
        <w:bidi w:val="0"/>
        <w:spacing w:before="0" w:after="0" w:line="312" w:lineRule="exact"/>
        <w:ind w:left="0" w:right="0"/>
        <w:jc w:val="left"/>
      </w:pPr>
      <w:bookmarkStart w:id="873" w:name="bookmark873"/>
      <w:bookmarkEnd w:id="873"/>
      <w:r>
        <w:rPr>
          <w:b/>
          <w:bCs/>
          <w:color w:val="000000"/>
          <w:spacing w:val="0"/>
          <w:w w:val="100"/>
          <w:position w:val="0"/>
        </w:rPr>
        <w:t>存货的计价方法</w:t>
      </w:r>
    </w:p>
    <w:p>
      <w:pPr>
        <w:pStyle w:val="Style34"/>
        <w:keepNext w:val="0"/>
        <w:keepLines w:val="0"/>
        <w:widowControl w:val="0"/>
        <w:shd w:val="clear" w:color="auto" w:fill="auto"/>
        <w:bidi w:val="0"/>
        <w:spacing w:before="0" w:after="300" w:line="312" w:lineRule="exact"/>
        <w:ind w:left="0" w:right="0"/>
        <w:jc w:val="left"/>
      </w:pPr>
      <w:r>
        <w:rPr>
          <w:color w:val="000000"/>
          <w:spacing w:val="0"/>
          <w:w w:val="100"/>
          <w:position w:val="0"/>
        </w:rPr>
        <w:t>存货在取得时，按成本进行初始计量，包括采购成本、加工成本和其他成本。</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存货发出时，按先进先出法计价。</w:t>
      </w:r>
    </w:p>
    <w:p>
      <w:pPr>
        <w:pStyle w:val="Style34"/>
        <w:keepNext w:val="0"/>
        <w:keepLines w:val="0"/>
        <w:widowControl w:val="0"/>
        <w:numPr>
          <w:ilvl w:val="0"/>
          <w:numId w:val="35"/>
        </w:numPr>
        <w:shd w:val="clear" w:color="auto" w:fill="auto"/>
        <w:tabs>
          <w:tab w:pos="774" w:val="left"/>
        </w:tabs>
        <w:bidi w:val="0"/>
        <w:spacing w:before="0" w:after="0" w:line="312" w:lineRule="exact"/>
        <w:ind w:left="0" w:right="0"/>
        <w:jc w:val="both"/>
      </w:pPr>
      <w:bookmarkStart w:id="874" w:name="bookmark874"/>
      <w:bookmarkEnd w:id="874"/>
      <w:r>
        <w:rPr>
          <w:b/>
          <w:bCs/>
          <w:color w:val="000000"/>
          <w:spacing w:val="0"/>
          <w:w w:val="100"/>
          <w:position w:val="0"/>
        </w:rPr>
        <w:t>存货可变现净值的确定依据及存货跌价准备的计提方法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34"/>
        <w:keepNext w:val="0"/>
        <w:keepLines w:val="0"/>
        <w:widowControl w:val="0"/>
        <w:numPr>
          <w:ilvl w:val="0"/>
          <w:numId w:val="35"/>
        </w:numPr>
        <w:shd w:val="clear" w:color="auto" w:fill="auto"/>
        <w:tabs>
          <w:tab w:pos="784" w:val="left"/>
        </w:tabs>
        <w:bidi w:val="0"/>
        <w:spacing w:before="0" w:after="0" w:line="312" w:lineRule="exact"/>
        <w:ind w:left="0" w:right="0"/>
        <w:jc w:val="both"/>
      </w:pPr>
      <w:bookmarkStart w:id="875" w:name="bookmark875"/>
      <w:bookmarkEnd w:id="875"/>
      <w:r>
        <w:rPr>
          <w:b/>
          <w:bCs/>
          <w:color w:val="000000"/>
          <w:spacing w:val="0"/>
          <w:w w:val="100"/>
          <w:position w:val="0"/>
        </w:rPr>
        <w:t>存货的盘存制度</w:t>
      </w:r>
    </w:p>
    <w:p>
      <w:pPr>
        <w:pStyle w:val="Style34"/>
        <w:keepNext w:val="0"/>
        <w:keepLines w:val="0"/>
        <w:widowControl w:val="0"/>
        <w:shd w:val="clear" w:color="auto" w:fill="auto"/>
        <w:bidi w:val="0"/>
        <w:spacing w:before="0" w:after="0" w:line="312" w:lineRule="exact"/>
        <w:ind w:left="0" w:right="0"/>
        <w:jc w:val="both"/>
      </w:pPr>
      <w:bookmarkStart w:id="876" w:name="bookmark876"/>
      <w:r>
        <w:rPr>
          <w:color w:val="000000"/>
          <w:spacing w:val="0"/>
          <w:w w:val="100"/>
          <w:position w:val="0"/>
        </w:rPr>
        <w:t>采</w:t>
      </w:r>
      <w:bookmarkEnd w:id="876"/>
      <w:r>
        <w:rPr>
          <w:color w:val="000000"/>
          <w:spacing w:val="0"/>
          <w:w w:val="100"/>
          <w:position w:val="0"/>
        </w:rPr>
        <w:t>用永续盘存制。</w:t>
      </w:r>
    </w:p>
    <w:p>
      <w:pPr>
        <w:pStyle w:val="Style34"/>
        <w:keepNext w:val="0"/>
        <w:keepLines w:val="0"/>
        <w:widowControl w:val="0"/>
        <w:numPr>
          <w:ilvl w:val="0"/>
          <w:numId w:val="35"/>
        </w:numPr>
        <w:shd w:val="clear" w:color="auto" w:fill="auto"/>
        <w:tabs>
          <w:tab w:pos="784" w:val="left"/>
        </w:tabs>
        <w:bidi w:val="0"/>
        <w:spacing w:before="0" w:after="0" w:line="312" w:lineRule="exact"/>
        <w:ind w:left="0" w:right="0"/>
        <w:jc w:val="both"/>
      </w:pPr>
      <w:bookmarkStart w:id="877" w:name="bookmark877"/>
      <w:bookmarkEnd w:id="877"/>
      <w:r>
        <w:rPr>
          <w:b/>
          <w:bCs/>
          <w:color w:val="000000"/>
          <w:spacing w:val="0"/>
          <w:w w:val="100"/>
          <w:position w:val="0"/>
        </w:rPr>
        <w:t>低值易耗品和包装物的摊销方法</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低值易耗品和包装物均采用一次转销法。</w:t>
      </w:r>
    </w:p>
    <w:p>
      <w:pPr>
        <w:pStyle w:val="Style30"/>
        <w:keepNext/>
        <w:keepLines/>
        <w:widowControl w:val="0"/>
        <w:shd w:val="clear" w:color="auto" w:fill="auto"/>
        <w:tabs>
          <w:tab w:pos="469" w:val="left"/>
        </w:tabs>
        <w:bidi w:val="0"/>
        <w:spacing w:before="0" w:after="200" w:line="329"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878"/>
      <w:bookmarkEnd w:id="879"/>
      <w:bookmarkEnd w:id="881"/>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本公司已向客户转让商品而有权收取对价的权利，且该权利取决于时间流逝之外的其他因素的，确认 为合同资产。本公司拥有的无条件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w:t>
      </w:r>
    </w:p>
    <w:p>
      <w:pPr>
        <w:pStyle w:val="Style34"/>
        <w:keepNext w:val="0"/>
        <w:keepLines w:val="0"/>
        <w:widowControl w:val="0"/>
        <w:shd w:val="clear" w:color="auto" w:fill="auto"/>
        <w:bidi w:val="0"/>
        <w:spacing w:before="0" w:after="380" w:line="317" w:lineRule="exact"/>
        <w:ind w:left="0" w:right="0"/>
        <w:jc w:val="both"/>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0"/>
        <w:keepNext/>
        <w:keepLines/>
        <w:widowControl w:val="0"/>
        <w:shd w:val="clear" w:color="auto" w:fill="auto"/>
        <w:tabs>
          <w:tab w:pos="469" w:val="left"/>
        </w:tabs>
        <w:bidi w:val="0"/>
        <w:spacing w:before="0" w:after="280" w:line="329"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882"/>
      <w:bookmarkEnd w:id="883"/>
      <w:bookmarkEnd w:id="885"/>
    </w:p>
    <w:p>
      <w:pPr>
        <w:pStyle w:val="Style30"/>
        <w:keepNext/>
        <w:keepLines/>
        <w:widowControl w:val="0"/>
        <w:numPr>
          <w:ilvl w:val="0"/>
          <w:numId w:val="37"/>
        </w:numPr>
        <w:shd w:val="clear" w:color="auto" w:fill="auto"/>
        <w:tabs>
          <w:tab w:pos="759" w:val="left"/>
        </w:tabs>
        <w:bidi w:val="0"/>
        <w:spacing w:before="0" w:after="0" w:line="329" w:lineRule="auto"/>
        <w:ind w:left="0" w:right="0" w:firstLine="420"/>
        <w:jc w:val="left"/>
      </w:pPr>
      <w:bookmarkStart w:id="882" w:name="bookmark882"/>
      <w:bookmarkStart w:id="883" w:name="bookmark883"/>
      <w:bookmarkStart w:id="886" w:name="bookmark886"/>
      <w:bookmarkEnd w:id="886"/>
      <w:r>
        <w:rPr>
          <w:color w:val="000000"/>
          <w:spacing w:val="0"/>
          <w:w w:val="100"/>
          <w:position w:val="0"/>
        </w:rPr>
        <w:t>合同履约成本</w:t>
      </w:r>
      <w:bookmarkEnd w:id="882"/>
      <w:bookmarkEnd w:id="883"/>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本公司对于为履行合同发生的成本，不属于除收入准则外的其他企业会计准则范围且同时满足下列条 件的作为合同履约成本确认为一项资产：</w:t>
      </w:r>
    </w:p>
    <w:p>
      <w:pPr>
        <w:pStyle w:val="Style34"/>
        <w:keepNext w:val="0"/>
        <w:keepLines w:val="0"/>
        <w:widowControl w:val="0"/>
        <w:shd w:val="clear" w:color="auto" w:fill="auto"/>
        <w:tabs>
          <w:tab w:pos="1016" w:val="left"/>
        </w:tabs>
        <w:bidi w:val="0"/>
        <w:spacing w:before="0" w:after="0" w:line="314" w:lineRule="exact"/>
        <w:ind w:left="0" w:right="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该成本与一份当前或预期取得的合同直接相关，包括直接人工、直接材料、制造费用（或类似 费用）、明确由客户承担的成本以及仅因该合同而发生的其他成本；</w:t>
      </w:r>
    </w:p>
    <w:p>
      <w:pPr>
        <w:pStyle w:val="Style34"/>
        <w:keepNext w:val="0"/>
        <w:keepLines w:val="0"/>
        <w:widowControl w:val="0"/>
        <w:shd w:val="clear" w:color="auto" w:fill="auto"/>
        <w:tabs>
          <w:tab w:pos="908" w:val="left"/>
        </w:tabs>
        <w:bidi w:val="0"/>
        <w:spacing w:before="0" w:after="0" w:line="314" w:lineRule="exact"/>
        <w:ind w:left="0" w:right="0" w:firstLine="42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该成本增加了企业未来用于履行履约义务的资源。</w:t>
      </w:r>
    </w:p>
    <w:p>
      <w:pPr>
        <w:pStyle w:val="Style34"/>
        <w:keepNext w:val="0"/>
        <w:keepLines w:val="0"/>
        <w:widowControl w:val="0"/>
        <w:shd w:val="clear" w:color="auto" w:fill="auto"/>
        <w:tabs>
          <w:tab w:pos="908" w:val="left"/>
        </w:tabs>
        <w:bidi w:val="0"/>
        <w:spacing w:before="0" w:after="0" w:line="314" w:lineRule="exact"/>
        <w:ind w:left="0" w:right="0" w:firstLine="42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34"/>
        <w:keepNext w:val="0"/>
        <w:keepLines w:val="0"/>
        <w:widowControl w:val="0"/>
        <w:shd w:val="clear" w:color="auto" w:fill="auto"/>
        <w:bidi w:val="0"/>
        <w:spacing w:before="0" w:after="80" w:line="314" w:lineRule="exact"/>
        <w:ind w:left="0" w:right="0" w:firstLine="420"/>
        <w:jc w:val="left"/>
      </w:pPr>
      <w:r>
        <w:rPr>
          <w:color w:val="000000"/>
          <w:spacing w:val="0"/>
          <w:w w:val="100"/>
          <w:position w:val="0"/>
        </w:rPr>
        <w:t>该资产根据其初始确认时摊销期限是否超过一个正常营业周期在存货或其他非流动资产中列报。</w:t>
      </w:r>
    </w:p>
    <w:p>
      <w:pPr>
        <w:pStyle w:val="Style34"/>
        <w:keepNext w:val="0"/>
        <w:keepLines w:val="0"/>
        <w:widowControl w:val="0"/>
        <w:numPr>
          <w:ilvl w:val="0"/>
          <w:numId w:val="37"/>
        </w:numPr>
        <w:shd w:val="clear" w:color="auto" w:fill="auto"/>
        <w:tabs>
          <w:tab w:pos="789" w:val="left"/>
        </w:tabs>
        <w:bidi w:val="0"/>
        <w:spacing w:before="0" w:after="0" w:line="329" w:lineRule="auto"/>
        <w:ind w:left="0" w:right="0"/>
        <w:jc w:val="both"/>
      </w:pPr>
      <w:bookmarkStart w:id="890" w:name="bookmark890"/>
      <w:bookmarkEnd w:id="890"/>
      <w:r>
        <w:rPr>
          <w:b/>
          <w:bCs/>
          <w:color w:val="000000"/>
          <w:spacing w:val="0"/>
          <w:w w:val="100"/>
          <w:position w:val="0"/>
        </w:rPr>
        <w:t>合同取得成本</w:t>
      </w:r>
    </w:p>
    <w:p>
      <w:pPr>
        <w:pStyle w:val="Style34"/>
        <w:keepNext w:val="0"/>
        <w:keepLines w:val="0"/>
        <w:widowControl w:val="0"/>
        <w:shd w:val="clear" w:color="auto" w:fill="auto"/>
        <w:bidi w:val="0"/>
        <w:spacing w:before="0" w:after="80" w:line="314" w:lineRule="exact"/>
        <w:ind w:left="0" w:right="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34"/>
        <w:keepNext w:val="0"/>
        <w:keepLines w:val="0"/>
        <w:widowControl w:val="0"/>
        <w:numPr>
          <w:ilvl w:val="0"/>
          <w:numId w:val="37"/>
        </w:numPr>
        <w:shd w:val="clear" w:color="auto" w:fill="auto"/>
        <w:tabs>
          <w:tab w:pos="789" w:val="left"/>
        </w:tabs>
        <w:bidi w:val="0"/>
        <w:spacing w:before="0" w:after="0" w:line="329" w:lineRule="auto"/>
        <w:ind w:left="0" w:right="0"/>
        <w:jc w:val="both"/>
      </w:pPr>
      <w:bookmarkStart w:id="891" w:name="bookmark891"/>
      <w:bookmarkEnd w:id="891"/>
      <w:r>
        <w:rPr>
          <w:b/>
          <w:bCs/>
          <w:color w:val="000000"/>
          <w:spacing w:val="0"/>
          <w:w w:val="100"/>
          <w:position w:val="0"/>
        </w:rPr>
        <w:t>合同成本摊销</w:t>
      </w:r>
    </w:p>
    <w:p>
      <w:pPr>
        <w:pStyle w:val="Style34"/>
        <w:keepNext w:val="0"/>
        <w:keepLines w:val="0"/>
        <w:widowControl w:val="0"/>
        <w:shd w:val="clear" w:color="auto" w:fill="auto"/>
        <w:bidi w:val="0"/>
        <w:spacing w:before="0" w:after="80" w:line="314" w:lineRule="exact"/>
        <w:ind w:left="0" w:right="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34"/>
        <w:keepNext w:val="0"/>
        <w:keepLines w:val="0"/>
        <w:widowControl w:val="0"/>
        <w:numPr>
          <w:ilvl w:val="0"/>
          <w:numId w:val="37"/>
        </w:numPr>
        <w:shd w:val="clear" w:color="auto" w:fill="auto"/>
        <w:tabs>
          <w:tab w:pos="789" w:val="left"/>
        </w:tabs>
        <w:bidi w:val="0"/>
        <w:spacing w:before="0" w:after="0" w:line="329" w:lineRule="auto"/>
        <w:ind w:left="0" w:right="0"/>
        <w:jc w:val="both"/>
      </w:pPr>
      <w:bookmarkStart w:id="892" w:name="bookmark892"/>
      <w:bookmarkEnd w:id="892"/>
      <w:r>
        <w:rPr>
          <w:b/>
          <w:bCs/>
          <w:color w:val="000000"/>
          <w:spacing w:val="0"/>
          <w:w w:val="100"/>
          <w:position w:val="0"/>
        </w:rPr>
        <w:t>合同成本减值</w:t>
      </w:r>
    </w:p>
    <w:p>
      <w:pPr>
        <w:pStyle w:val="Style34"/>
        <w:keepNext w:val="0"/>
        <w:keepLines w:val="0"/>
        <w:widowControl w:val="0"/>
        <w:shd w:val="clear" w:color="auto" w:fill="auto"/>
        <w:bidi w:val="0"/>
        <w:spacing w:before="0" w:after="360" w:line="314" w:lineRule="exact"/>
        <w:ind w:left="0" w:right="0"/>
        <w:jc w:val="both"/>
      </w:pPr>
      <w:r>
        <w:rPr>
          <w:color w:val="000000"/>
          <w:spacing w:val="0"/>
          <w:w w:val="100"/>
          <w:position w:val="0"/>
        </w:rPr>
        <w:t xml:space="preserve">上述与合同成本有关的资产，账面价值高于本公司因转让与该资产相关的商品预期能够取得剩余对价 </w:t>
      </w:r>
      <w:r>
        <w:rPr>
          <w:color w:val="000000"/>
          <w:spacing w:val="0"/>
          <w:w w:val="100"/>
          <w:position w:val="0"/>
        </w:rPr>
        <w:t>与为转让该相关商品估计将要发生的成本的差额的，超出部分应当计提减值准备，并确认为资产减值损失。 计提减值准备后，如果以前期间减值的因素发生变化，使得上述两项差额高于该资产账面价值的，转 回原已计提的资产减值准备，并计入当期损益，但转回后的资产账面价值不超过假定不计提减值准备情况 下该资产在转回日的账面价值。</w:t>
      </w:r>
    </w:p>
    <w:p>
      <w:pPr>
        <w:pStyle w:val="Style30"/>
        <w:keepNext/>
        <w:keepLines/>
        <w:widowControl w:val="0"/>
        <w:shd w:val="clear" w:color="auto" w:fill="auto"/>
        <w:bidi w:val="0"/>
        <w:spacing w:before="0" w:after="280" w:line="326"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893"/>
      <w:bookmarkEnd w:id="894"/>
      <w:bookmarkEnd w:id="896"/>
    </w:p>
    <w:p>
      <w:pPr>
        <w:pStyle w:val="Style30"/>
        <w:keepNext/>
        <w:keepLines/>
        <w:widowControl w:val="0"/>
        <w:numPr>
          <w:ilvl w:val="0"/>
          <w:numId w:val="39"/>
        </w:numPr>
        <w:shd w:val="clear" w:color="auto" w:fill="auto"/>
        <w:tabs>
          <w:tab w:pos="750" w:val="left"/>
        </w:tabs>
        <w:bidi w:val="0"/>
        <w:spacing w:before="0" w:after="0" w:line="326" w:lineRule="auto"/>
        <w:ind w:left="0" w:right="0" w:firstLine="440"/>
        <w:jc w:val="both"/>
      </w:pPr>
      <w:bookmarkStart w:id="893" w:name="bookmark893"/>
      <w:bookmarkStart w:id="894" w:name="bookmark894"/>
      <w:bookmarkStart w:id="897" w:name="bookmark897"/>
      <w:bookmarkEnd w:id="897"/>
      <w:r>
        <w:rPr>
          <w:color w:val="000000"/>
          <w:spacing w:val="0"/>
          <w:w w:val="100"/>
          <w:position w:val="0"/>
        </w:rPr>
        <w:t>初始投资成本的确定</w:t>
      </w:r>
      <w:bookmarkEnd w:id="893"/>
      <w:bookmarkEnd w:id="894"/>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4"/>
        <w:keepNext w:val="0"/>
        <w:keepLines w:val="0"/>
        <w:widowControl w:val="0"/>
        <w:shd w:val="clear" w:color="auto" w:fill="auto"/>
        <w:bidi w:val="0"/>
        <w:spacing w:before="0" w:after="80" w:line="314" w:lineRule="exact"/>
        <w:ind w:left="0" w:right="0"/>
        <w:jc w:val="both"/>
      </w:pPr>
      <w:r>
        <w:rPr>
          <w:color w:val="000000"/>
          <w:spacing w:val="0"/>
          <w:w w:val="100"/>
          <w:position w:val="0"/>
        </w:rPr>
        <w:t>通过债务重组取得的长期股权投资，其初始投资成本按照公允价值为基础确定。</w:t>
      </w:r>
    </w:p>
    <w:p>
      <w:pPr>
        <w:pStyle w:val="Style34"/>
        <w:keepNext w:val="0"/>
        <w:keepLines w:val="0"/>
        <w:widowControl w:val="0"/>
        <w:numPr>
          <w:ilvl w:val="0"/>
          <w:numId w:val="39"/>
        </w:numPr>
        <w:shd w:val="clear" w:color="auto" w:fill="auto"/>
        <w:tabs>
          <w:tab w:pos="760" w:val="left"/>
        </w:tabs>
        <w:bidi w:val="0"/>
        <w:spacing w:before="0" w:after="0" w:line="326" w:lineRule="auto"/>
        <w:ind w:left="0" w:right="0"/>
        <w:jc w:val="both"/>
      </w:pPr>
      <w:bookmarkStart w:id="898" w:name="bookmark898"/>
      <w:bookmarkEnd w:id="898"/>
      <w:r>
        <w:rPr>
          <w:b/>
          <w:bCs/>
          <w:color w:val="000000"/>
          <w:spacing w:val="0"/>
          <w:w w:val="100"/>
          <w:position w:val="0"/>
        </w:rPr>
        <w:t>后续计量及损益确认</w:t>
      </w:r>
    </w:p>
    <w:p>
      <w:pPr>
        <w:pStyle w:val="Style34"/>
        <w:keepNext w:val="0"/>
        <w:keepLines w:val="0"/>
        <w:widowControl w:val="0"/>
        <w:shd w:val="clear" w:color="auto" w:fill="auto"/>
        <w:tabs>
          <w:tab w:pos="899" w:val="left"/>
        </w:tabs>
        <w:bidi w:val="0"/>
        <w:spacing w:before="0" w:after="0" w:line="314" w:lineRule="exact"/>
        <w:ind w:left="0" w:right="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1</w:t>
      </w:r>
      <w:r>
        <w:rPr>
          <w:color w:val="000000"/>
          <w:spacing w:val="0"/>
          <w:w w:val="100"/>
          <w:position w:val="0"/>
        </w:rPr>
        <w:t>）</w:t>
        <w:tab/>
        <w:t>成本法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34"/>
        <w:keepNext w:val="0"/>
        <w:keepLines w:val="0"/>
        <w:widowControl w:val="0"/>
        <w:shd w:val="clear" w:color="auto" w:fill="auto"/>
        <w:tabs>
          <w:tab w:pos="899" w:val="left"/>
        </w:tabs>
        <w:bidi w:val="0"/>
        <w:spacing w:before="0" w:after="0" w:line="314" w:lineRule="exact"/>
        <w:ind w:left="0" w:right="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权益法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4"/>
        <w:keepNext w:val="0"/>
        <w:keepLines w:val="0"/>
        <w:widowControl w:val="0"/>
        <w:shd w:val="clear" w:color="auto" w:fill="auto"/>
        <w:bidi w:val="0"/>
        <w:spacing w:before="0" w:after="180" w:line="314" w:lineRule="exact"/>
        <w:ind w:left="0" w:right="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34"/>
        <w:keepNext w:val="0"/>
        <w:keepLines w:val="0"/>
        <w:widowControl w:val="0"/>
        <w:numPr>
          <w:ilvl w:val="0"/>
          <w:numId w:val="39"/>
        </w:numPr>
        <w:shd w:val="clear" w:color="auto" w:fill="auto"/>
        <w:tabs>
          <w:tab w:pos="769" w:val="left"/>
        </w:tabs>
        <w:bidi w:val="0"/>
        <w:spacing w:before="0" w:after="0" w:line="309" w:lineRule="exact"/>
        <w:ind w:left="0" w:right="0" w:firstLine="420"/>
        <w:jc w:val="both"/>
      </w:pPr>
      <w:bookmarkStart w:id="901" w:name="bookmark901"/>
      <w:bookmarkEnd w:id="901"/>
      <w:r>
        <w:rPr>
          <w:b/>
          <w:bCs/>
          <w:color w:val="000000"/>
          <w:spacing w:val="0"/>
          <w:w w:val="100"/>
          <w:position w:val="0"/>
        </w:rPr>
        <w:t>长期股权投资核算方法的转换</w:t>
      </w:r>
    </w:p>
    <w:p>
      <w:pPr>
        <w:pStyle w:val="Style34"/>
        <w:keepNext w:val="0"/>
        <w:keepLines w:val="0"/>
        <w:widowControl w:val="0"/>
        <w:shd w:val="clear" w:color="auto" w:fill="auto"/>
        <w:tabs>
          <w:tab w:pos="813" w:val="left"/>
        </w:tabs>
        <w:bidi w:val="0"/>
        <w:spacing w:before="0" w:after="0" w:line="309" w:lineRule="exact"/>
        <w:ind w:left="0" w:right="0" w:firstLine="32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公允价值计量转权益法核算</w:t>
      </w:r>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号一金融工具确认和计量》确定的原持有的股权投资的公允价值加上新增 投资成本之和，作为改按权益法核算的初始投资成本。</w:t>
      </w:r>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原持有的股权投资分类为可供出售金融资产的，其公允价值与账面价值之间的差额，以及原计入其他 综合收益的累计公允价值变动转入改按权益法核算的当期损益。</w:t>
      </w:r>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34"/>
        <w:keepNext w:val="0"/>
        <w:keepLines w:val="0"/>
        <w:widowControl w:val="0"/>
        <w:shd w:val="clear" w:color="auto" w:fill="auto"/>
        <w:tabs>
          <w:tab w:pos="813" w:val="left"/>
        </w:tabs>
        <w:bidi w:val="0"/>
        <w:spacing w:before="0" w:after="0" w:line="309" w:lineRule="exact"/>
        <w:ind w:left="0" w:right="0" w:firstLine="320"/>
        <w:jc w:val="left"/>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w:t>
        <w:tab/>
        <w:t>公允价值计量或权益法核算转成本法核算</w:t>
      </w:r>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34"/>
        <w:keepNext w:val="0"/>
        <w:keepLines w:val="0"/>
        <w:widowControl w:val="0"/>
        <w:shd w:val="clear" w:color="auto" w:fill="auto"/>
        <w:bidi w:val="0"/>
        <w:spacing w:before="0" w:after="0" w:line="283" w:lineRule="exact"/>
        <w:ind w:left="0" w:right="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 计处理的，原计入其他综合收益的累计公允价值变动在改按成本法核算时转入当期损益。</w:t>
      </w:r>
    </w:p>
    <w:p>
      <w:pPr>
        <w:pStyle w:val="Style34"/>
        <w:keepNext w:val="0"/>
        <w:keepLines w:val="0"/>
        <w:widowControl w:val="0"/>
        <w:shd w:val="clear" w:color="auto" w:fill="auto"/>
        <w:tabs>
          <w:tab w:pos="813" w:val="left"/>
        </w:tabs>
        <w:bidi w:val="0"/>
        <w:spacing w:before="0" w:after="0" w:line="317" w:lineRule="exact"/>
        <w:ind w:left="0" w:right="0" w:firstLine="32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权益法核算转公允价值计量</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 值与账面价值之间的差额计入当期损益。</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34"/>
        <w:keepNext w:val="0"/>
        <w:keepLines w:val="0"/>
        <w:widowControl w:val="0"/>
        <w:shd w:val="clear" w:color="auto" w:fill="auto"/>
        <w:tabs>
          <w:tab w:pos="813" w:val="left"/>
        </w:tabs>
        <w:bidi w:val="0"/>
        <w:spacing w:before="0" w:after="0" w:line="313" w:lineRule="exact"/>
        <w:ind w:left="0" w:right="0" w:firstLine="32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4</w:t>
      </w:r>
      <w:r>
        <w:rPr>
          <w:color w:val="000000"/>
          <w:spacing w:val="0"/>
          <w:w w:val="100"/>
          <w:position w:val="0"/>
        </w:rPr>
        <w:t>）</w:t>
        <w:tab/>
        <w:t>成本法转权益法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34"/>
        <w:keepNext w:val="0"/>
        <w:keepLines w:val="0"/>
        <w:widowControl w:val="0"/>
        <w:shd w:val="clear" w:color="auto" w:fill="auto"/>
        <w:tabs>
          <w:tab w:pos="813" w:val="left"/>
        </w:tabs>
        <w:bidi w:val="0"/>
        <w:spacing w:before="0" w:after="0" w:line="313" w:lineRule="exact"/>
        <w:ind w:left="0" w:right="0" w:firstLine="32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5</w:t>
      </w:r>
      <w:r>
        <w:rPr>
          <w:color w:val="000000"/>
          <w:spacing w:val="0"/>
          <w:w w:val="100"/>
          <w:position w:val="0"/>
        </w:rPr>
        <w:t>）</w:t>
        <w:tab/>
        <w:t>成本法转公允价值计量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 确认和计量》的有关规定进行会计处理，其在丧失控制之日的公允价值与账面价值间的差额计入当期损益。</w:t>
      </w:r>
    </w:p>
    <w:p>
      <w:pPr>
        <w:pStyle w:val="Style34"/>
        <w:keepNext w:val="0"/>
        <w:keepLines w:val="0"/>
        <w:widowControl w:val="0"/>
        <w:numPr>
          <w:ilvl w:val="0"/>
          <w:numId w:val="39"/>
        </w:numPr>
        <w:shd w:val="clear" w:color="auto" w:fill="auto"/>
        <w:tabs>
          <w:tab w:pos="789" w:val="left"/>
        </w:tabs>
        <w:bidi w:val="0"/>
        <w:spacing w:before="0" w:after="0" w:line="313" w:lineRule="exact"/>
        <w:ind w:left="0" w:right="0"/>
        <w:jc w:val="both"/>
      </w:pPr>
      <w:bookmarkStart w:id="907" w:name="bookmark907"/>
      <w:bookmarkEnd w:id="907"/>
      <w:r>
        <w:rPr>
          <w:b/>
          <w:bCs/>
          <w:color w:val="000000"/>
          <w:spacing w:val="0"/>
          <w:w w:val="100"/>
          <w:position w:val="0"/>
        </w:rPr>
        <w:t>长期股权投资的处置</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4"/>
        <w:keepNext w:val="0"/>
        <w:keepLines w:val="0"/>
        <w:widowControl w:val="0"/>
        <w:shd w:val="clear" w:color="auto" w:fill="auto"/>
        <w:tabs>
          <w:tab w:pos="798" w:val="left"/>
        </w:tabs>
        <w:bidi w:val="0"/>
        <w:spacing w:before="0" w:after="0" w:line="313" w:lineRule="exact"/>
        <w:ind w:left="0" w:right="0" w:firstLine="320"/>
        <w:jc w:val="left"/>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4"/>
        <w:keepNext w:val="0"/>
        <w:keepLines w:val="0"/>
        <w:widowControl w:val="0"/>
        <w:shd w:val="clear" w:color="auto" w:fill="auto"/>
        <w:tabs>
          <w:tab w:pos="798" w:val="left"/>
        </w:tabs>
        <w:bidi w:val="0"/>
        <w:spacing w:before="0" w:after="0" w:line="313" w:lineRule="exact"/>
        <w:ind w:left="0" w:right="0" w:firstLine="320"/>
        <w:jc w:val="left"/>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4"/>
        <w:keepNext w:val="0"/>
        <w:keepLines w:val="0"/>
        <w:widowControl w:val="0"/>
        <w:shd w:val="clear" w:color="auto" w:fill="auto"/>
        <w:tabs>
          <w:tab w:pos="898" w:val="left"/>
        </w:tabs>
        <w:bidi w:val="0"/>
        <w:spacing w:before="0" w:after="0" w:line="313" w:lineRule="exact"/>
        <w:ind w:left="0" w:right="0" w:firstLine="420"/>
        <w:jc w:val="both"/>
      </w:pPr>
      <w:bookmarkStart w:id="910" w:name="bookmark910"/>
      <w:r>
        <w:rPr>
          <w:rFonts w:ascii="Times New Roman" w:eastAsia="Times New Roman" w:hAnsi="Times New Roman" w:cs="Times New Roman"/>
          <w:color w:val="000000"/>
          <w:spacing w:val="0"/>
          <w:w w:val="100"/>
          <w:position w:val="0"/>
        </w:rPr>
        <w:t>（</w:t>
      </w:r>
      <w:bookmarkEnd w:id="910"/>
      <w:r>
        <w:rPr>
          <w:rFonts w:ascii="Times New Roman" w:eastAsia="Times New Roman" w:hAnsi="Times New Roman" w:cs="Times New Roman"/>
          <w:color w:val="000000"/>
          <w:spacing w:val="0"/>
          <w:w w:val="100"/>
          <w:position w:val="0"/>
        </w:rPr>
        <w:t>3）</w:t>
        <w:tab/>
      </w:r>
      <w:r>
        <w:rPr>
          <w:color w:val="000000"/>
          <w:spacing w:val="0"/>
          <w:w w:val="100"/>
          <w:position w:val="0"/>
        </w:rPr>
        <w:t>一项交易的发生取决于其他至少一项交易的发生；</w:t>
      </w:r>
    </w:p>
    <w:p>
      <w:pPr>
        <w:pStyle w:val="Style34"/>
        <w:keepNext w:val="0"/>
        <w:keepLines w:val="0"/>
        <w:widowControl w:val="0"/>
        <w:shd w:val="clear" w:color="auto" w:fill="auto"/>
        <w:tabs>
          <w:tab w:pos="841" w:val="left"/>
        </w:tabs>
        <w:bidi w:val="0"/>
        <w:spacing w:before="0" w:after="0" w:line="313" w:lineRule="exact"/>
        <w:ind w:left="0" w:right="0" w:firstLine="420"/>
        <w:jc w:val="both"/>
      </w:pPr>
      <w:bookmarkStart w:id="911" w:name="bookmark911"/>
      <w:r>
        <w:rPr>
          <w:rFonts w:ascii="Times New Roman" w:eastAsia="Times New Roman" w:hAnsi="Times New Roman" w:cs="Times New Roman"/>
          <w:color w:val="000000"/>
          <w:spacing w:val="0"/>
          <w:w w:val="100"/>
          <w:position w:val="0"/>
        </w:rPr>
        <w:t>（</w:t>
      </w:r>
      <w:bookmarkEnd w:id="911"/>
      <w:r>
        <w:rPr>
          <w:rFonts w:ascii="Times New Roman" w:eastAsia="Times New Roman" w:hAnsi="Times New Roman" w:cs="Times New Roman"/>
          <w:color w:val="000000"/>
          <w:spacing w:val="0"/>
          <w:w w:val="100"/>
          <w:position w:val="0"/>
        </w:rPr>
        <w:t>4）</w:t>
        <w:tab/>
      </w:r>
      <w:r>
        <w:rPr>
          <w:color w:val="000000"/>
          <w:spacing w:val="0"/>
          <w:w w:val="100"/>
          <w:position w:val="0"/>
        </w:rPr>
        <w:t>一项交易单独看是不经济的，但是和其他交易一并考虑时是经济的。</w:t>
      </w:r>
    </w:p>
    <w:p>
      <w:pPr>
        <w:pStyle w:val="Style34"/>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34"/>
        <w:keepNext w:val="0"/>
        <w:keepLines w:val="0"/>
        <w:widowControl w:val="0"/>
        <w:shd w:val="clear" w:color="auto" w:fill="auto"/>
        <w:bidi w:val="0"/>
        <w:spacing w:before="0" w:after="0" w:line="313" w:lineRule="exact"/>
        <w:ind w:left="0" w:right="0" w:firstLine="520"/>
        <w:jc w:val="both"/>
      </w:pPr>
      <w:bookmarkStart w:id="912" w:name="bookmark912"/>
      <w:r>
        <w:rPr>
          <w:rFonts w:ascii="Times New Roman" w:eastAsia="Times New Roman" w:hAnsi="Times New Roman" w:cs="Times New Roman"/>
          <w:color w:val="000000"/>
          <w:spacing w:val="0"/>
          <w:w w:val="100"/>
          <w:position w:val="0"/>
        </w:rPr>
        <w:t>1</w:t>
      </w:r>
      <w:bookmarkEnd w:id="912"/>
      <w:r>
        <w:rPr>
          <w:color w:val="000000"/>
          <w:spacing w:val="0"/>
          <w:w w:val="100"/>
          <w:position w:val="0"/>
        </w:rPr>
        <w:t>） 在个别财务报表中，对于处置的股权，其账面价值与实际取得价款之间的差额计入当期损益。处 置后的剩余股权能够对被投资单位实施共同控制或施加重大影响的，改按权益法核算，并对该剩余股权视 同自取得时即采用权益法核算进行调整；处置后的剩余股权不能对被投资单位实施共同控制或施加重大影 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号——金融工具确认和计量》的有关规定进行会计处理，其在丧失控制之 日的公允价值与账面价值间的差额计入当期损益。</w:t>
      </w:r>
    </w:p>
    <w:p>
      <w:pPr>
        <w:pStyle w:val="Style34"/>
        <w:keepNext w:val="0"/>
        <w:keepLines w:val="0"/>
        <w:widowControl w:val="0"/>
        <w:shd w:val="clear" w:color="auto" w:fill="auto"/>
        <w:bidi w:val="0"/>
        <w:spacing w:before="0" w:after="0" w:line="313" w:lineRule="exact"/>
        <w:ind w:left="0" w:right="0" w:firstLine="520"/>
        <w:jc w:val="both"/>
      </w:pPr>
      <w:bookmarkStart w:id="913" w:name="bookmark913"/>
      <w:r>
        <w:rPr>
          <w:rFonts w:ascii="Times New Roman" w:eastAsia="Times New Roman" w:hAnsi="Times New Roman" w:cs="Times New Roman"/>
          <w:color w:val="000000"/>
          <w:spacing w:val="0"/>
          <w:w w:val="100"/>
          <w:position w:val="0"/>
        </w:rPr>
        <w:t>2</w:t>
      </w:r>
      <w:bookmarkEnd w:id="913"/>
      <w:r>
        <w:rPr>
          <w:color w:val="000000"/>
          <w:spacing w:val="0"/>
          <w:w w:val="100"/>
          <w:position w:val="0"/>
        </w:rPr>
        <w:t>） 在合并财务报表中，对于在丧失对子公司控制权以前的各项交易，处置价款与处置长期股权投资 相应对享有子公司自购买日或合并日开始持续计算的净资产份额之间的差额，调整资本公积（股本溢价），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34"/>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4"/>
        <w:keepNext w:val="0"/>
        <w:keepLines w:val="0"/>
        <w:widowControl w:val="0"/>
        <w:shd w:val="clear" w:color="auto" w:fill="auto"/>
        <w:tabs>
          <w:tab w:pos="836" w:val="left"/>
        </w:tabs>
        <w:bidi w:val="0"/>
        <w:spacing w:before="0" w:after="0" w:line="313" w:lineRule="exact"/>
        <w:ind w:left="0" w:right="0" w:firstLine="520"/>
        <w:jc w:val="both"/>
      </w:pPr>
      <w:bookmarkStart w:id="914" w:name="bookmark914"/>
      <w:r>
        <w:rPr>
          <w:rFonts w:ascii="Times New Roman" w:eastAsia="Times New Roman" w:hAnsi="Times New Roman" w:cs="Times New Roman"/>
          <w:color w:val="000000"/>
          <w:spacing w:val="0"/>
          <w:w w:val="100"/>
          <w:position w:val="0"/>
        </w:rPr>
        <w:t>1</w:t>
      </w:r>
      <w:bookmarkEnd w:id="914"/>
      <w:r>
        <w:rPr>
          <w:color w:val="000000"/>
          <w:spacing w:val="0"/>
          <w:w w:val="100"/>
          <w:position w:val="0"/>
        </w:rPr>
        <w:t>）</w:t>
        <w:tab/>
        <w:t>在个别财务报表中，在丧失控制权之前每一次处置价款与处置的股权对应的长期股权投资账面价 值之间的差额，确认为其他综合收益，在丧失控制权时一并转入丧失控制权当期的损益。</w:t>
      </w:r>
    </w:p>
    <w:p>
      <w:pPr>
        <w:pStyle w:val="Style34"/>
        <w:keepNext w:val="0"/>
        <w:keepLines w:val="0"/>
        <w:widowControl w:val="0"/>
        <w:shd w:val="clear" w:color="auto" w:fill="auto"/>
        <w:tabs>
          <w:tab w:pos="836" w:val="left"/>
        </w:tabs>
        <w:bidi w:val="0"/>
        <w:spacing w:before="0" w:after="80" w:line="313" w:lineRule="exact"/>
        <w:ind w:left="0" w:right="0" w:firstLine="520"/>
        <w:jc w:val="both"/>
      </w:pPr>
      <w:bookmarkStart w:id="915" w:name="bookmark915"/>
      <w:r>
        <w:rPr>
          <w:rFonts w:ascii="Times New Roman" w:eastAsia="Times New Roman" w:hAnsi="Times New Roman" w:cs="Times New Roman"/>
          <w:color w:val="000000"/>
          <w:spacing w:val="0"/>
          <w:w w:val="100"/>
          <w:position w:val="0"/>
        </w:rPr>
        <w:t>2</w:t>
      </w:r>
      <w:bookmarkEnd w:id="915"/>
      <w:r>
        <w:rPr>
          <w:color w:val="000000"/>
          <w:spacing w:val="0"/>
          <w:w w:val="100"/>
          <w:position w:val="0"/>
        </w:rPr>
        <w:t>）</w:t>
        <w:tab/>
        <w:t>在合并财务报表中，在丧失控制权之前每一次处置价款与处置投资对应的享有该子公司净资产份 额的差额，确认为其他综合收益，在丧失控制权时一并转入丧失控制权当期的损益。</w:t>
      </w:r>
    </w:p>
    <w:p>
      <w:pPr>
        <w:pStyle w:val="Style34"/>
        <w:keepNext w:val="0"/>
        <w:keepLines w:val="0"/>
        <w:widowControl w:val="0"/>
        <w:numPr>
          <w:ilvl w:val="0"/>
          <w:numId w:val="39"/>
        </w:numPr>
        <w:shd w:val="clear" w:color="auto" w:fill="auto"/>
        <w:bidi w:val="0"/>
        <w:spacing w:before="0" w:after="0" w:line="326" w:lineRule="auto"/>
        <w:ind w:left="0" w:right="0" w:firstLine="360"/>
        <w:jc w:val="both"/>
      </w:pPr>
      <w:bookmarkStart w:id="916" w:name="bookmark916"/>
      <w:bookmarkEnd w:id="916"/>
      <w:r>
        <w:rPr>
          <w:b/>
          <w:bCs/>
          <w:color w:val="000000"/>
          <w:spacing w:val="0"/>
          <w:w w:val="100"/>
          <w:position w:val="0"/>
        </w:rPr>
        <w:t>共同控制、重大影响的判断标准</w:t>
      </w:r>
    </w:p>
    <w:p>
      <w:pPr>
        <w:pStyle w:val="Style34"/>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34"/>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34"/>
        <w:keepNext w:val="0"/>
        <w:keepLines w:val="0"/>
        <w:widowControl w:val="0"/>
        <w:shd w:val="clear" w:color="auto" w:fill="auto"/>
        <w:bidi w:val="0"/>
        <w:spacing w:before="0" w:after="380" w:line="313" w:lineRule="exact"/>
        <w:ind w:left="0" w:right="0" w:firstLine="42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 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 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0"/>
        <w:keepNext/>
        <w:keepLines/>
        <w:widowControl w:val="0"/>
        <w:shd w:val="clear" w:color="auto" w:fill="auto"/>
        <w:bidi w:val="0"/>
        <w:spacing w:before="0" w:after="220" w:line="326"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917"/>
      <w:bookmarkEnd w:id="918"/>
      <w:bookmarkEnd w:id="920"/>
    </w:p>
    <w:p>
      <w:pPr>
        <w:pStyle w:val="Style40"/>
        <w:keepNext/>
        <w:keepLines/>
        <w:widowControl w:val="0"/>
        <w:shd w:val="clear" w:color="auto" w:fill="auto"/>
        <w:bidi w:val="0"/>
        <w:spacing w:before="0" w:after="280" w:line="313" w:lineRule="exact"/>
        <w:ind w:left="0" w:right="0" w:firstLine="0"/>
        <w:jc w:val="both"/>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1"/>
      <w:bookmarkEnd w:id="922"/>
      <w:bookmarkEnd w:id="924"/>
    </w:p>
    <w:p>
      <w:pPr>
        <w:pStyle w:val="Style24"/>
        <w:keepNext w:val="0"/>
        <w:keepLines w:val="0"/>
        <w:widowControl w:val="0"/>
        <w:numPr>
          <w:ilvl w:val="0"/>
          <w:numId w:val="41"/>
        </w:numPr>
        <w:shd w:val="clear" w:color="auto" w:fill="auto"/>
        <w:bidi w:val="0"/>
        <w:spacing w:before="0" w:after="0" w:line="319" w:lineRule="exact"/>
        <w:ind w:left="0" w:right="0" w:firstLine="420"/>
        <w:jc w:val="both"/>
      </w:pPr>
      <w:bookmarkStart w:id="925" w:name="bookmark925"/>
      <w:bookmarkEnd w:id="925"/>
      <w:r>
        <w:rPr>
          <w:color w:val="000000"/>
          <w:spacing w:val="0"/>
          <w:w w:val="100"/>
          <w:position w:val="0"/>
        </w:rPr>
        <w:t xml:space="preserve"> 固定资产确认条件固定资产指为生产商品、提供劳务、出租或经营管理而持有，并且使用寿命超过一个会计年度的 有形资产。固定资产在同时满足下列条件时予以确认：（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 的成本能够可靠地计量。</w:t>
      </w:r>
    </w:p>
    <w:p>
      <w:pPr>
        <w:pStyle w:val="Style24"/>
        <w:keepNext w:val="0"/>
        <w:keepLines w:val="0"/>
        <w:widowControl w:val="0"/>
        <w:numPr>
          <w:ilvl w:val="0"/>
          <w:numId w:val="41"/>
        </w:numPr>
        <w:shd w:val="clear" w:color="auto" w:fill="auto"/>
        <w:bidi w:val="0"/>
        <w:spacing w:before="0" w:after="360" w:line="312" w:lineRule="exact"/>
        <w:ind w:left="0" w:right="0" w:firstLine="420"/>
        <w:jc w:val="both"/>
      </w:pPr>
      <w:bookmarkStart w:id="926" w:name="bookmark926"/>
      <w:bookmarkEnd w:id="926"/>
      <w:r>
        <w:rPr>
          <w:color w:val="000000"/>
          <w:spacing w:val="0"/>
          <w:w w:val="100"/>
          <w:position w:val="0"/>
        </w:rPr>
        <w:t xml:space="preserve"> 固定资产初始计量本公司固定资产按成本进行初始计量。（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）外购的固定资产的成本包括买价、进口关税等相关税 费，以及为使固定资产达到预定可使用状态前所发生的可直接归属于该资产的其他支出。（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）自行建造固定资产的成本，由 建造该项资产达到预定可使用状态前所发生的必要支出构成。（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）投资者投入的固定资产，按投资合同或协议约定的价值作 为入账价值，但合同或协议约定价值不公允的按公允价值入账。（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）购买固定资产的价款超过正常信用条件延期支付，实质 </w:t>
      </w:r>
      <w:r>
        <w:rPr>
          <w:color w:val="000000"/>
          <w:spacing w:val="0"/>
          <w:w w:val="100"/>
          <w:position w:val="0"/>
        </w:rPr>
        <w:t>上具有融资性质的，固定资产的成本以购买价款的现值为基础确定。实际支付的价款与购买价款的现值之间的差额，除应予 资本化的以外，在信用期间内计入当期损益。</w:t>
      </w:r>
    </w:p>
    <w:p>
      <w:pPr>
        <w:pStyle w:val="Style34"/>
        <w:keepNext w:val="0"/>
        <w:keepLines w:val="0"/>
        <w:widowControl w:val="0"/>
        <w:shd w:val="clear" w:color="auto" w:fill="auto"/>
        <w:bidi w:val="0"/>
        <w:spacing w:before="0" w:after="360" w:line="240" w:lineRule="auto"/>
        <w:ind w:left="0" w:right="0" w:firstLine="140"/>
        <w:jc w:val="left"/>
      </w:pPr>
      <w:bookmarkStart w:id="927" w:name="bookmark927"/>
      <w:r>
        <w:rPr>
          <w:b/>
          <w:bCs/>
          <w:color w:val="000000"/>
          <w:spacing w:val="0"/>
          <w:w w:val="100"/>
          <w:position w:val="0"/>
        </w:rPr>
        <w:t>⑵折旧方法</w:t>
      </w:r>
      <w:bookmarkEnd w:id="927"/>
    </w:p>
    <w:tbl>
      <w:tblPr>
        <w:tblOverlap w:val="never"/>
        <w:jc w:val="center"/>
        <w:tblLayout w:type="fixed"/>
      </w:tblPr>
      <w:tblGrid>
        <w:gridCol w:w="1930"/>
        <w:gridCol w:w="1910"/>
        <w:gridCol w:w="1925"/>
        <w:gridCol w:w="1906"/>
        <w:gridCol w:w="197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2.11%-4.75%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288"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固定资产折旧按其入账价值减去预计净残值后在预计使用</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寿命内计提。对计提了减值准备的固定资</w:t>
            </w:r>
          </w:p>
        </w:tc>
      </w:tr>
    </w:tbl>
    <w:p>
      <w:pPr>
        <w:pStyle w:val="Style34"/>
        <w:keepNext w:val="0"/>
        <w:keepLines w:val="0"/>
        <w:widowControl w:val="0"/>
        <w:shd w:val="clear" w:color="auto" w:fill="auto"/>
        <w:bidi w:val="0"/>
        <w:spacing w:before="0" w:after="0" w:line="326" w:lineRule="exact"/>
        <w:ind w:left="0" w:right="0" w:firstLine="0"/>
        <w:jc w:val="both"/>
      </w:pPr>
      <w:r>
        <w:rPr>
          <w:color w:val="000000"/>
          <w:spacing w:val="0"/>
          <w:w w:val="100"/>
          <w:position w:val="0"/>
        </w:rPr>
        <w:t>产，则在未来期间按扣除减值准备后的账面价值及依据尚可使用年限确定折旧额；已提足折旧仍继续使用 的固定资产不计提折旧。</w:t>
      </w:r>
    </w:p>
    <w:p>
      <w:pPr>
        <w:pStyle w:val="Style34"/>
        <w:keepNext w:val="0"/>
        <w:keepLines w:val="0"/>
        <w:widowControl w:val="0"/>
        <w:shd w:val="clear" w:color="auto" w:fill="auto"/>
        <w:bidi w:val="0"/>
        <w:spacing w:before="0" w:after="280" w:line="322" w:lineRule="exact"/>
        <w:ind w:left="0" w:right="0"/>
        <w:jc w:val="both"/>
      </w:pPr>
      <w:r>
        <w:rPr>
          <w:color w:val="000000"/>
          <w:spacing w:val="0"/>
          <w:w w:val="100"/>
          <w:position w:val="0"/>
        </w:rPr>
        <w:t>本公司根据固定资产的性质和使用情况，确定固定资产的使用寿命和预计净残值。并在年度终了，对 固定资产的使用寿命、预计净残值和折旧方法进行复核，如与原先估计数存在差异的，进行相应的调整。</w:t>
      </w:r>
    </w:p>
    <w:p>
      <w:pPr>
        <w:pStyle w:val="Style40"/>
        <w:keepNext/>
        <w:keepLines/>
        <w:widowControl w:val="0"/>
        <w:shd w:val="clear" w:color="auto" w:fill="auto"/>
        <w:bidi w:val="0"/>
        <w:spacing w:before="0" w:after="280" w:line="313" w:lineRule="exact"/>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28"/>
      <w:bookmarkEnd w:id="929"/>
      <w:bookmarkEnd w:id="931"/>
    </w:p>
    <w:p>
      <w:pPr>
        <w:pStyle w:val="Style24"/>
        <w:keepNext w:val="0"/>
        <w:keepLines w:val="0"/>
        <w:widowControl w:val="0"/>
        <w:shd w:val="clear" w:color="auto" w:fill="auto"/>
        <w:bidi w:val="0"/>
        <w:spacing w:before="0" w:after="360" w:line="314" w:lineRule="exact"/>
        <w:ind w:left="0" w:right="0" w:firstLine="42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 有权转移给本公司。（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 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 产性质特殊，如果不作较大改造，只有本公司才能使用。融资租赁租入的固定资产，按租赁开始日租赁资产公允价值与最低 租赁付款额的现值两者中较低者，作为入账价值。最低租赁付款额作为长期应付款的入账价值，其差额作为未确认融资费用。 在租赁谈判和签订租赁合同过程中发生的，可归属于租赁项目的手续费、律师费、差旅费、印花税等初始直接费用，计入租 入资产价值。未确认融资费用在租赁期内各个期间采用实际利率法进行分摊。本公司采用与自有固定资产相一致的折旧政策 计提融资租入固定资产折旧。能够合理确定租赁期届满时取得租赁资产所有权的，在租赁资产使用寿命内计提折旧。无法合 理确定租赁期届满时能够取得租赁资产所有权的，在租赁期与租赁资产使用寿命两者中较短的期间内计提折旧。</w:t>
      </w:r>
    </w:p>
    <w:p>
      <w:pPr>
        <w:pStyle w:val="Style30"/>
        <w:keepNext/>
        <w:keepLines/>
        <w:widowControl w:val="0"/>
        <w:shd w:val="clear" w:color="auto" w:fill="auto"/>
        <w:bidi w:val="0"/>
        <w:spacing w:before="0" w:after="280" w:line="326"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bookmarkEnd w:id="934"/>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932"/>
      <w:bookmarkEnd w:id="933"/>
      <w:bookmarkEnd w:id="935"/>
    </w:p>
    <w:p>
      <w:pPr>
        <w:pStyle w:val="Style30"/>
        <w:keepNext/>
        <w:keepLines/>
        <w:widowControl w:val="0"/>
        <w:numPr>
          <w:ilvl w:val="0"/>
          <w:numId w:val="43"/>
        </w:numPr>
        <w:shd w:val="clear" w:color="auto" w:fill="auto"/>
        <w:tabs>
          <w:tab w:pos="669" w:val="left"/>
        </w:tabs>
        <w:bidi w:val="0"/>
        <w:spacing w:before="0" w:after="0" w:line="326" w:lineRule="auto"/>
        <w:ind w:left="0" w:right="0" w:firstLine="380"/>
        <w:jc w:val="both"/>
      </w:pPr>
      <w:bookmarkStart w:id="932" w:name="bookmark932"/>
      <w:bookmarkStart w:id="933" w:name="bookmark933"/>
      <w:bookmarkStart w:id="936" w:name="bookmark936"/>
      <w:bookmarkEnd w:id="936"/>
      <w:r>
        <w:rPr>
          <w:color w:val="000000"/>
          <w:spacing w:val="0"/>
          <w:w w:val="100"/>
          <w:position w:val="0"/>
        </w:rPr>
        <w:t>在建工程初始计量</w:t>
      </w:r>
      <w:bookmarkEnd w:id="932"/>
      <w:bookmarkEnd w:id="933"/>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34"/>
        <w:keepNext w:val="0"/>
        <w:keepLines w:val="0"/>
        <w:widowControl w:val="0"/>
        <w:numPr>
          <w:ilvl w:val="0"/>
          <w:numId w:val="43"/>
        </w:numPr>
        <w:shd w:val="clear" w:color="auto" w:fill="auto"/>
        <w:tabs>
          <w:tab w:pos="679" w:val="left"/>
        </w:tabs>
        <w:bidi w:val="0"/>
        <w:spacing w:before="0" w:after="0" w:line="326" w:lineRule="auto"/>
        <w:ind w:left="0" w:right="0" w:firstLine="380"/>
        <w:jc w:val="left"/>
      </w:pPr>
      <w:bookmarkStart w:id="937" w:name="bookmark937"/>
      <w:bookmarkEnd w:id="937"/>
      <w:r>
        <w:rPr>
          <w:b/>
          <w:bCs/>
          <w:color w:val="000000"/>
          <w:spacing w:val="0"/>
          <w:w w:val="100"/>
          <w:position w:val="0"/>
        </w:rPr>
        <w:t>在建工程结转为固定资产的标准和时点</w:t>
      </w:r>
    </w:p>
    <w:p>
      <w:pPr>
        <w:pStyle w:val="Style34"/>
        <w:keepNext w:val="0"/>
        <w:keepLines w:val="0"/>
        <w:widowControl w:val="0"/>
        <w:shd w:val="clear" w:color="auto" w:fill="auto"/>
        <w:bidi w:val="0"/>
        <w:spacing w:before="0" w:after="320" w:line="313" w:lineRule="exact"/>
        <w:ind w:left="0" w:right="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定资产的折旧，待办理竣工决算后，再按实际成本调整原来的暂估价值，但不调整原已计提的折旧额。</w:t>
      </w:r>
    </w:p>
    <w:p>
      <w:pPr>
        <w:pStyle w:val="Style30"/>
        <w:keepNext/>
        <w:keepLines/>
        <w:widowControl w:val="0"/>
        <w:shd w:val="clear" w:color="auto" w:fill="auto"/>
        <w:bidi w:val="0"/>
        <w:spacing w:before="0" w:after="30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938"/>
      <w:bookmarkEnd w:id="939"/>
      <w:bookmarkEnd w:id="941"/>
    </w:p>
    <w:p>
      <w:pPr>
        <w:pStyle w:val="Style30"/>
        <w:keepNext/>
        <w:keepLines/>
        <w:widowControl w:val="0"/>
        <w:numPr>
          <w:ilvl w:val="0"/>
          <w:numId w:val="45"/>
        </w:numPr>
        <w:shd w:val="clear" w:color="auto" w:fill="auto"/>
        <w:tabs>
          <w:tab w:pos="759" w:val="left"/>
        </w:tabs>
        <w:bidi w:val="0"/>
        <w:spacing w:before="0" w:after="0" w:line="314" w:lineRule="exact"/>
        <w:ind w:left="0" w:right="0" w:firstLine="420"/>
        <w:jc w:val="both"/>
      </w:pPr>
      <w:bookmarkStart w:id="938" w:name="bookmark938"/>
      <w:bookmarkStart w:id="939" w:name="bookmark939"/>
      <w:bookmarkStart w:id="942" w:name="bookmark942"/>
      <w:bookmarkEnd w:id="942"/>
      <w:r>
        <w:rPr>
          <w:color w:val="000000"/>
          <w:spacing w:val="0"/>
          <w:w w:val="100"/>
          <w:position w:val="0"/>
        </w:rPr>
        <w:t>借款费用资本化的确认原则</w:t>
      </w:r>
      <w:bookmarkEnd w:id="938"/>
      <w:bookmarkEnd w:id="939"/>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借款费用同时满足下列条件时开始资本化：</w:t>
      </w:r>
    </w:p>
    <w:p>
      <w:pPr>
        <w:pStyle w:val="Style34"/>
        <w:keepNext w:val="0"/>
        <w:keepLines w:val="0"/>
        <w:widowControl w:val="0"/>
        <w:shd w:val="clear" w:color="auto" w:fill="auto"/>
        <w:tabs>
          <w:tab w:pos="1021" w:val="left"/>
        </w:tabs>
        <w:bidi w:val="0"/>
        <w:spacing w:before="0" w:after="0" w:line="314" w:lineRule="exact"/>
        <w:ind w:left="0" w:right="0" w:firstLine="42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4"/>
        <w:keepNext w:val="0"/>
        <w:keepLines w:val="0"/>
        <w:widowControl w:val="0"/>
        <w:shd w:val="clear" w:color="auto" w:fill="auto"/>
        <w:tabs>
          <w:tab w:pos="908" w:val="left"/>
        </w:tabs>
        <w:bidi w:val="0"/>
        <w:spacing w:before="0" w:after="0" w:line="314" w:lineRule="exact"/>
        <w:ind w:left="0" w:right="0" w:firstLine="42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4"/>
        <w:keepNext w:val="0"/>
        <w:keepLines w:val="0"/>
        <w:widowControl w:val="0"/>
        <w:shd w:val="clear" w:color="auto" w:fill="auto"/>
        <w:tabs>
          <w:tab w:pos="908" w:val="left"/>
        </w:tabs>
        <w:bidi w:val="0"/>
        <w:spacing w:before="0" w:after="0" w:line="314" w:lineRule="exact"/>
        <w:ind w:left="0" w:right="0" w:firstLine="42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4"/>
        <w:keepNext w:val="0"/>
        <w:keepLines w:val="0"/>
        <w:widowControl w:val="0"/>
        <w:numPr>
          <w:ilvl w:val="0"/>
          <w:numId w:val="45"/>
        </w:numPr>
        <w:shd w:val="clear" w:color="auto" w:fill="auto"/>
        <w:tabs>
          <w:tab w:pos="769" w:val="left"/>
        </w:tabs>
        <w:bidi w:val="0"/>
        <w:spacing w:before="0" w:after="0" w:line="314" w:lineRule="exact"/>
        <w:ind w:left="0" w:right="0" w:firstLine="420"/>
        <w:jc w:val="both"/>
      </w:pPr>
      <w:bookmarkStart w:id="946" w:name="bookmark946"/>
      <w:bookmarkEnd w:id="946"/>
      <w:r>
        <w:rPr>
          <w:b/>
          <w:bCs/>
          <w:color w:val="000000"/>
          <w:spacing w:val="0"/>
          <w:w w:val="100"/>
          <w:position w:val="0"/>
        </w:rPr>
        <w:t>借款费用资本化期间</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资本化期间，指从借款费用开始资本化时点到停止资本化时点的期间，借款费用暂停资本化的期间不 包括在内。</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当购建或者生产符合资本化条件的资产达到预定可使用或者可销售状态时，借款费用停止资本化。</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当购建或者生产符合资本化条件的资产中部分项目分别完工且可单独使用时，该部分资产借款费用停 止资本化。</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4"/>
        <w:keepNext w:val="0"/>
        <w:keepLines w:val="0"/>
        <w:widowControl w:val="0"/>
        <w:numPr>
          <w:ilvl w:val="0"/>
          <w:numId w:val="45"/>
        </w:numPr>
        <w:shd w:val="clear" w:color="auto" w:fill="auto"/>
        <w:tabs>
          <w:tab w:pos="769" w:val="left"/>
        </w:tabs>
        <w:bidi w:val="0"/>
        <w:spacing w:before="0" w:after="0" w:line="314" w:lineRule="exact"/>
        <w:ind w:left="0" w:right="0" w:firstLine="420"/>
        <w:jc w:val="both"/>
      </w:pPr>
      <w:bookmarkStart w:id="947" w:name="bookmark947"/>
      <w:bookmarkEnd w:id="947"/>
      <w:r>
        <w:rPr>
          <w:b/>
          <w:bCs/>
          <w:color w:val="000000"/>
          <w:spacing w:val="0"/>
          <w:w w:val="100"/>
          <w:position w:val="0"/>
        </w:rPr>
        <w:t>暂停资本化期间</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4"/>
        <w:keepNext w:val="0"/>
        <w:keepLines w:val="0"/>
        <w:widowControl w:val="0"/>
        <w:numPr>
          <w:ilvl w:val="0"/>
          <w:numId w:val="45"/>
        </w:numPr>
        <w:shd w:val="clear" w:color="auto" w:fill="auto"/>
        <w:tabs>
          <w:tab w:pos="769" w:val="left"/>
        </w:tabs>
        <w:bidi w:val="0"/>
        <w:spacing w:before="0" w:after="0" w:line="314" w:lineRule="exact"/>
        <w:ind w:left="0" w:right="0" w:firstLine="420"/>
        <w:jc w:val="both"/>
      </w:pPr>
      <w:bookmarkStart w:id="948" w:name="bookmark948"/>
      <w:bookmarkEnd w:id="948"/>
      <w:r>
        <w:rPr>
          <w:b/>
          <w:bCs/>
          <w:color w:val="000000"/>
          <w:spacing w:val="0"/>
          <w:w w:val="100"/>
          <w:position w:val="0"/>
        </w:rPr>
        <w:t>借款费用资本化金额的计算方法</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根据累计资产支出超过专门借款部分的资产支出加权平均数（按每月月末平均）乘以所占用一般借款 的资本化率，计算确定一般借款应予资本化的利息金额。资本化率根据一般借款加权平均利率计算确定。</w:t>
      </w:r>
    </w:p>
    <w:p>
      <w:pPr>
        <w:pStyle w:val="Style34"/>
        <w:keepNext w:val="0"/>
        <w:keepLines w:val="0"/>
        <w:widowControl w:val="0"/>
        <w:shd w:val="clear" w:color="auto" w:fill="auto"/>
        <w:bidi w:val="0"/>
        <w:spacing w:before="0" w:after="300" w:line="314" w:lineRule="exact"/>
        <w:ind w:left="0" w:right="0" w:firstLine="420"/>
        <w:jc w:val="both"/>
      </w:pPr>
      <w:r>
        <w:rPr>
          <w:color w:val="000000"/>
          <w:spacing w:val="0"/>
          <w:w w:val="100"/>
          <w:position w:val="0"/>
        </w:rPr>
        <w:t>借款存在折价或者溢价的，按照实际利率法确定每一会计期间应摊销的折价或者溢价金额，调整每期 利息金额。</w:t>
      </w:r>
    </w:p>
    <w:p>
      <w:pPr>
        <w:pStyle w:val="Style30"/>
        <w:keepNext/>
        <w:keepLines/>
        <w:widowControl w:val="0"/>
        <w:shd w:val="clear" w:color="auto" w:fill="auto"/>
        <w:bidi w:val="0"/>
        <w:spacing w:before="0" w:after="300" w:line="314" w:lineRule="exact"/>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1</w:t>
      </w:r>
      <w:bookmarkEnd w:id="951"/>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49"/>
      <w:bookmarkEnd w:id="950"/>
      <w:bookmarkEnd w:id="952"/>
    </w:p>
    <w:p>
      <w:pPr>
        <w:pStyle w:val="Style40"/>
        <w:keepNext/>
        <w:keepLines/>
        <w:widowControl w:val="0"/>
        <w:shd w:val="clear" w:color="auto" w:fill="auto"/>
        <w:bidi w:val="0"/>
        <w:spacing w:before="0" w:after="300" w:line="314" w:lineRule="exact"/>
        <w:ind w:left="0" w:right="0" w:firstLine="0"/>
        <w:jc w:val="both"/>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53"/>
      <w:bookmarkEnd w:id="954"/>
      <w:bookmarkEnd w:id="956"/>
    </w:p>
    <w:p>
      <w:pPr>
        <w:pStyle w:val="Style34"/>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无形资产是指本公司拥有或者控制的没有实物形态的可辨认非货币性资产，包括软件、专利权及非专 利技术。</w:t>
      </w:r>
    </w:p>
    <w:p>
      <w:pPr>
        <w:pStyle w:val="Style34"/>
        <w:keepNext w:val="0"/>
        <w:keepLines w:val="0"/>
        <w:widowControl w:val="0"/>
        <w:numPr>
          <w:ilvl w:val="0"/>
          <w:numId w:val="47"/>
        </w:numPr>
        <w:shd w:val="clear" w:color="auto" w:fill="auto"/>
        <w:bidi w:val="0"/>
        <w:spacing w:before="0" w:after="0" w:line="315" w:lineRule="exact"/>
        <w:ind w:left="0" w:right="0" w:firstLine="420"/>
        <w:jc w:val="both"/>
      </w:pPr>
      <w:bookmarkStart w:id="957" w:name="bookmark957"/>
      <w:bookmarkEnd w:id="957"/>
      <w:r>
        <w:rPr>
          <w:b/>
          <w:bCs/>
          <w:color w:val="000000"/>
          <w:spacing w:val="0"/>
          <w:w w:val="100"/>
          <w:position w:val="0"/>
        </w:rPr>
        <w:t>无形资产的初始计量</w:t>
      </w:r>
    </w:p>
    <w:p>
      <w:pPr>
        <w:pStyle w:val="Style34"/>
        <w:keepNext w:val="0"/>
        <w:keepLines w:val="0"/>
        <w:widowControl w:val="0"/>
        <w:shd w:val="clear" w:color="auto" w:fill="auto"/>
        <w:bidi w:val="0"/>
        <w:spacing w:before="0" w:after="140" w:line="315" w:lineRule="exact"/>
        <w:ind w:left="0" w:right="0" w:firstLine="42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4"/>
        <w:keepNext w:val="0"/>
        <w:keepLines w:val="0"/>
        <w:widowControl w:val="0"/>
        <w:numPr>
          <w:ilvl w:val="0"/>
          <w:numId w:val="47"/>
        </w:numPr>
        <w:shd w:val="clear" w:color="auto" w:fill="auto"/>
        <w:bidi w:val="0"/>
        <w:spacing w:before="0" w:after="0" w:line="310" w:lineRule="exact"/>
        <w:ind w:left="0" w:right="0"/>
        <w:jc w:val="both"/>
      </w:pPr>
      <w:bookmarkStart w:id="958" w:name="bookmark958"/>
      <w:bookmarkEnd w:id="958"/>
      <w:r>
        <w:rPr>
          <w:b/>
          <w:bCs/>
          <w:color w:val="000000"/>
          <w:spacing w:val="0"/>
          <w:w w:val="100"/>
          <w:position w:val="0"/>
        </w:rPr>
        <w:t>无形资产的后续计量</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shd w:val="clear" w:color="auto" w:fill="FFFFFF"/>
        </w:rPr>
        <w:t>本公司在取得无形资产时分析判断其使用寿命，划分为使用寿命有限和使用寿命不确定的无形资产。</w:t>
      </w:r>
    </w:p>
    <w:p>
      <w:pPr>
        <w:pStyle w:val="Style34"/>
        <w:keepNext w:val="0"/>
        <w:keepLines w:val="0"/>
        <w:widowControl w:val="0"/>
        <w:shd w:val="clear" w:color="auto" w:fill="auto"/>
        <w:bidi w:val="0"/>
        <w:spacing w:before="0" w:after="0" w:line="310" w:lineRule="exact"/>
        <w:ind w:left="0" w:right="0" w:firstLine="30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22"/>
        <w:keepNext w:val="0"/>
        <w:keepLines w:val="0"/>
        <w:widowControl w:val="0"/>
        <w:shd w:val="clear" w:color="auto" w:fill="auto"/>
        <w:bidi w:val="0"/>
        <w:spacing w:before="0" w:after="0" w:line="317" w:lineRule="exact"/>
        <w:ind w:left="19" w:right="0" w:firstLine="0"/>
        <w:jc w:val="left"/>
        <w:rPr>
          <w:sz w:val="20"/>
          <w:szCs w:val="20"/>
        </w:rPr>
      </w:pPr>
      <w:r>
        <w:rPr>
          <w:color w:val="000000"/>
          <w:spacing w:val="0"/>
          <w:w w:val="100"/>
          <w:position w:val="0"/>
          <w:sz w:val="20"/>
          <w:szCs w:val="20"/>
        </w:rPr>
        <w:t>对于使用寿命有限的无形资产，在为企业带来经济利益的期限内按直线法摊销。使用寿命有限的无形 资产预计寿命及依据如下：</w:t>
      </w:r>
    </w:p>
    <w:tbl>
      <w:tblPr>
        <w:tblOverlap w:val="never"/>
        <w:jc w:val="center"/>
        <w:tblLayout w:type="fixed"/>
      </w:tblPr>
      <w:tblGrid>
        <w:gridCol w:w="3226"/>
        <w:gridCol w:w="2150"/>
        <w:gridCol w:w="431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每期末，对使用寿命有限的无形资产的使用寿命及摊销方法进行复核，如与原先估计数存在差异的, 进行相应的调整。</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经复核，本期期末无形资产的使用寿命及摊销方法与以前估计未有不同。</w:t>
      </w:r>
    </w:p>
    <w:p>
      <w:pPr>
        <w:pStyle w:val="Style34"/>
        <w:keepNext w:val="0"/>
        <w:keepLines w:val="0"/>
        <w:widowControl w:val="0"/>
        <w:shd w:val="clear" w:color="auto" w:fill="auto"/>
        <w:bidi w:val="0"/>
        <w:spacing w:before="0" w:after="0" w:line="312" w:lineRule="exact"/>
        <w:ind w:left="0" w:right="0" w:firstLine="30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）使用寿命不确定的无形资产</w:t>
      </w:r>
    </w:p>
    <w:p>
      <w:pPr>
        <w:pStyle w:val="Style34"/>
        <w:keepNext w:val="0"/>
        <w:keepLines w:val="0"/>
        <w:widowControl w:val="0"/>
        <w:shd w:val="clear" w:color="auto" w:fill="auto"/>
        <w:bidi w:val="0"/>
        <w:spacing w:before="0" w:after="300" w:line="312" w:lineRule="exact"/>
        <w:ind w:left="0" w:right="0"/>
        <w:jc w:val="both"/>
      </w:pPr>
      <w:r>
        <w:rPr>
          <w:color w:val="000000"/>
          <w:spacing w:val="0"/>
          <w:w w:val="100"/>
          <w:position w:val="0"/>
        </w:rPr>
        <w:t>无法预见无形资产为企业带来经济利益期限的，视为使用寿命不确定的无形资产。对于使用寿命不确 定的无形资产，在持有期间内不摊销，每期末对无形资产的寿命进行复核。如果期末重新复核后仍为不确 定的，在每个会计期间继续进行减值测试。</w:t>
      </w:r>
    </w:p>
    <w:p>
      <w:pPr>
        <w:pStyle w:val="Style40"/>
        <w:keepNext/>
        <w:keepLines/>
        <w:widowControl w:val="0"/>
        <w:shd w:val="clear" w:color="auto" w:fill="auto"/>
        <w:bidi w:val="0"/>
        <w:spacing w:before="0" w:after="300" w:line="313" w:lineRule="exact"/>
        <w:ind w:left="0" w:right="0" w:firstLine="0"/>
        <w:jc w:val="both"/>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61"/>
      <w:bookmarkEnd w:id="962"/>
      <w:bookmarkEnd w:id="964"/>
    </w:p>
    <w:p>
      <w:pPr>
        <w:pStyle w:val="Style40"/>
        <w:keepNext/>
        <w:keepLines/>
        <w:widowControl w:val="0"/>
        <w:numPr>
          <w:ilvl w:val="0"/>
          <w:numId w:val="49"/>
        </w:numPr>
        <w:shd w:val="clear" w:color="auto" w:fill="auto"/>
        <w:tabs>
          <w:tab w:pos="625" w:val="left"/>
        </w:tabs>
        <w:bidi w:val="0"/>
        <w:spacing w:before="0" w:after="0" w:line="313" w:lineRule="exact"/>
        <w:ind w:left="0" w:right="0" w:firstLine="300"/>
        <w:jc w:val="both"/>
      </w:pPr>
      <w:bookmarkStart w:id="961" w:name="bookmark961"/>
      <w:bookmarkStart w:id="962" w:name="bookmark962"/>
      <w:bookmarkStart w:id="965" w:name="bookmark965"/>
      <w:bookmarkEnd w:id="965"/>
      <w:r>
        <w:rPr>
          <w:color w:val="000000"/>
          <w:spacing w:val="0"/>
          <w:w w:val="100"/>
          <w:position w:val="0"/>
        </w:rPr>
        <w:t>划分公司内部研究开发项目的研究阶段和开发阶段具体标准</w:t>
      </w:r>
      <w:bookmarkEnd w:id="961"/>
      <w:bookmarkEnd w:id="962"/>
    </w:p>
    <w:p>
      <w:pPr>
        <w:pStyle w:val="Style34"/>
        <w:keepNext w:val="0"/>
        <w:keepLines w:val="0"/>
        <w:widowControl w:val="0"/>
        <w:shd w:val="clear" w:color="auto" w:fill="auto"/>
        <w:bidi w:val="0"/>
        <w:spacing w:before="0" w:after="0" w:line="313" w:lineRule="exact"/>
        <w:ind w:left="0" w:right="0" w:firstLine="32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4"/>
        <w:keepNext w:val="0"/>
        <w:keepLines w:val="0"/>
        <w:widowControl w:val="0"/>
        <w:shd w:val="clear" w:color="auto" w:fill="auto"/>
        <w:bidi w:val="0"/>
        <w:spacing w:before="0" w:after="80" w:line="313" w:lineRule="exact"/>
        <w:ind w:left="0" w:right="0" w:firstLine="320"/>
        <w:jc w:val="both"/>
      </w:pPr>
      <w:r>
        <w:rPr>
          <w:color w:val="000000"/>
          <w:spacing w:val="0"/>
          <w:w w:val="100"/>
          <w:position w:val="0"/>
        </w:rPr>
        <w:t>内部研究开发项目研究阶段的支出，在发生时计入当期损益。</w:t>
      </w:r>
    </w:p>
    <w:p>
      <w:pPr>
        <w:pStyle w:val="Style34"/>
        <w:keepNext w:val="0"/>
        <w:keepLines w:val="0"/>
        <w:widowControl w:val="0"/>
        <w:numPr>
          <w:ilvl w:val="0"/>
          <w:numId w:val="49"/>
        </w:numPr>
        <w:shd w:val="clear" w:color="auto" w:fill="auto"/>
        <w:tabs>
          <w:tab w:pos="669" w:val="left"/>
        </w:tabs>
        <w:bidi w:val="0"/>
        <w:spacing w:before="0" w:after="0" w:line="326" w:lineRule="auto"/>
        <w:ind w:left="0" w:right="0" w:firstLine="320"/>
        <w:jc w:val="both"/>
      </w:pPr>
      <w:bookmarkStart w:id="966" w:name="bookmark966"/>
      <w:bookmarkEnd w:id="966"/>
      <w:r>
        <w:rPr>
          <w:b/>
          <w:bCs/>
          <w:color w:val="000000"/>
          <w:spacing w:val="0"/>
          <w:w w:val="100"/>
          <w:position w:val="0"/>
        </w:rPr>
        <w:t>开发阶段支出符合资本化的具体标准</w:t>
      </w:r>
    </w:p>
    <w:p>
      <w:pPr>
        <w:pStyle w:val="Style34"/>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内部研究开发项目开发阶段的支出，同时满足下列条件时确认为无形资产：</w:t>
      </w:r>
    </w:p>
    <w:p>
      <w:pPr>
        <w:pStyle w:val="Style34"/>
        <w:keepNext w:val="0"/>
        <w:keepLines w:val="0"/>
        <w:widowControl w:val="0"/>
        <w:shd w:val="clear" w:color="auto" w:fill="auto"/>
        <w:tabs>
          <w:tab w:pos="808" w:val="left"/>
        </w:tabs>
        <w:bidi w:val="0"/>
        <w:spacing w:before="0" w:after="0" w:line="313" w:lineRule="exact"/>
        <w:ind w:left="0" w:right="0" w:firstLine="32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4"/>
        <w:keepNext w:val="0"/>
        <w:keepLines w:val="0"/>
        <w:widowControl w:val="0"/>
        <w:shd w:val="clear" w:color="auto" w:fill="auto"/>
        <w:tabs>
          <w:tab w:pos="808" w:val="left"/>
        </w:tabs>
        <w:bidi w:val="0"/>
        <w:spacing w:before="0" w:after="0" w:line="313" w:lineRule="exact"/>
        <w:ind w:left="0" w:right="0" w:firstLine="32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4"/>
        <w:keepNext w:val="0"/>
        <w:keepLines w:val="0"/>
        <w:widowControl w:val="0"/>
        <w:shd w:val="clear" w:color="auto" w:fill="auto"/>
        <w:tabs>
          <w:tab w:pos="901" w:val="left"/>
        </w:tabs>
        <w:bidi w:val="0"/>
        <w:spacing w:before="0" w:after="0" w:line="313" w:lineRule="exact"/>
        <w:ind w:left="0" w:right="0" w:firstLine="32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无形资产产生经济利益的方式，包括能够证明运用该无形资产生产的产品存在市场或无形资产自 身存在市场，无形资产将在内部使用的，能够证明其有用性；</w:t>
      </w:r>
    </w:p>
    <w:p>
      <w:pPr>
        <w:pStyle w:val="Style34"/>
        <w:keepNext w:val="0"/>
        <w:keepLines w:val="0"/>
        <w:widowControl w:val="0"/>
        <w:shd w:val="clear" w:color="auto" w:fill="auto"/>
        <w:tabs>
          <w:tab w:pos="901" w:val="left"/>
        </w:tabs>
        <w:bidi w:val="0"/>
        <w:spacing w:before="0" w:after="0" w:line="313" w:lineRule="exact"/>
        <w:ind w:left="0" w:right="0" w:firstLine="32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有足够的技术、财务资源和其他资源支持，以完成该无形资产的开发，并有能力使用或出售该无 形资产；</w:t>
      </w:r>
    </w:p>
    <w:p>
      <w:pPr>
        <w:pStyle w:val="Style34"/>
        <w:keepNext w:val="0"/>
        <w:keepLines w:val="0"/>
        <w:widowControl w:val="0"/>
        <w:shd w:val="clear" w:color="auto" w:fill="auto"/>
        <w:tabs>
          <w:tab w:pos="808" w:val="left"/>
        </w:tabs>
        <w:bidi w:val="0"/>
        <w:spacing w:before="0" w:after="0" w:line="313" w:lineRule="exact"/>
        <w:ind w:left="0" w:right="0" w:firstLine="32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内部研究开发支出的资本化时点：研发项目经过前期市场调研和项目可行性论证，报经公司批准立项 后发生的开发费用计入开发支出，予以转资本化。</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不满足上述条件的开发阶段的支出，于发生时计入当期损益。以前期间已计入损益的开发支出不在以 后期间重新确认为资产。已资本化的开发阶段的支出在资产负债表上列示为开发支出，自该项目达到预定 用途之日起转为无形资产。</w:t>
      </w:r>
    </w:p>
    <w:p>
      <w:pPr>
        <w:pStyle w:val="Style30"/>
        <w:keepNext/>
        <w:keepLines/>
        <w:widowControl w:val="0"/>
        <w:shd w:val="clear" w:color="auto" w:fill="auto"/>
        <w:tabs>
          <w:tab w:pos="478" w:val="left"/>
        </w:tabs>
        <w:bidi w:val="0"/>
        <w:spacing w:before="0" w:after="300" w:line="312" w:lineRule="exact"/>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972"/>
      <w:bookmarkEnd w:id="973"/>
      <w:bookmarkEnd w:id="975"/>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因企业合并所形成的商誉和使用寿命不确定的无形资产，无论是否存在减值迹象，每年都进行减值测 试。</w:t>
      </w:r>
    </w:p>
    <w:p>
      <w:pPr>
        <w:pStyle w:val="Style34"/>
        <w:keepNext w:val="0"/>
        <w:keepLines w:val="0"/>
        <w:widowControl w:val="0"/>
        <w:shd w:val="clear" w:color="auto" w:fill="auto"/>
        <w:bidi w:val="0"/>
        <w:spacing w:before="0" w:after="300" w:line="312" w:lineRule="exact"/>
        <w:ind w:left="0" w:right="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0"/>
        <w:keepNext/>
        <w:keepLines/>
        <w:widowControl w:val="0"/>
        <w:shd w:val="clear" w:color="auto" w:fill="auto"/>
        <w:tabs>
          <w:tab w:pos="478" w:val="left"/>
        </w:tabs>
        <w:bidi w:val="0"/>
        <w:spacing w:before="0" w:line="312" w:lineRule="exact"/>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76"/>
      <w:bookmarkEnd w:id="977"/>
      <w:bookmarkEnd w:id="979"/>
    </w:p>
    <w:p>
      <w:pPr>
        <w:pStyle w:val="Style30"/>
        <w:keepNext/>
        <w:keepLines/>
        <w:widowControl w:val="0"/>
        <w:numPr>
          <w:ilvl w:val="0"/>
          <w:numId w:val="51"/>
        </w:numPr>
        <w:shd w:val="clear" w:color="auto" w:fill="auto"/>
        <w:tabs>
          <w:tab w:pos="659" w:val="left"/>
        </w:tabs>
        <w:bidi w:val="0"/>
        <w:spacing w:before="0" w:after="0" w:line="326" w:lineRule="auto"/>
        <w:ind w:left="0" w:right="0" w:firstLine="320"/>
        <w:jc w:val="both"/>
      </w:pPr>
      <w:bookmarkStart w:id="976" w:name="bookmark976"/>
      <w:bookmarkStart w:id="977" w:name="bookmark977"/>
      <w:bookmarkStart w:id="980" w:name="bookmark980"/>
      <w:bookmarkEnd w:id="980"/>
      <w:r>
        <w:rPr>
          <w:color w:val="000000"/>
          <w:spacing w:val="0"/>
          <w:w w:val="100"/>
          <w:position w:val="0"/>
        </w:rPr>
        <w:t>摊销方法</w:t>
      </w:r>
      <w:bookmarkEnd w:id="976"/>
      <w:bookmarkEnd w:id="977"/>
    </w:p>
    <w:p>
      <w:pPr>
        <w:pStyle w:val="Style34"/>
        <w:keepNext w:val="0"/>
        <w:keepLines w:val="0"/>
        <w:widowControl w:val="0"/>
        <w:shd w:val="clear" w:color="auto" w:fill="auto"/>
        <w:bidi w:val="0"/>
        <w:spacing w:before="0" w:after="80" w:line="312" w:lineRule="exact"/>
        <w:ind w:left="0" w:right="0" w:firstLine="32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年以上的各项费用。长 期待摊费用在受益期内按直线法分期摊销。</w:t>
      </w:r>
    </w:p>
    <w:p>
      <w:pPr>
        <w:pStyle w:val="Style34"/>
        <w:keepNext w:val="0"/>
        <w:keepLines w:val="0"/>
        <w:widowControl w:val="0"/>
        <w:numPr>
          <w:ilvl w:val="0"/>
          <w:numId w:val="51"/>
        </w:numPr>
        <w:shd w:val="clear" w:color="auto" w:fill="auto"/>
        <w:tabs>
          <w:tab w:pos="669" w:val="left"/>
        </w:tabs>
        <w:bidi w:val="0"/>
        <w:spacing w:before="0" w:after="0" w:line="326" w:lineRule="auto"/>
        <w:ind w:left="0" w:right="0" w:firstLine="320"/>
        <w:jc w:val="left"/>
      </w:pPr>
      <w:bookmarkStart w:id="981" w:name="bookmark981"/>
      <w:bookmarkEnd w:id="981"/>
      <w:r>
        <w:rPr>
          <w:b/>
          <w:bCs/>
          <w:color w:val="000000"/>
          <w:spacing w:val="0"/>
          <w:w w:val="100"/>
          <w:position w:val="0"/>
        </w:rPr>
        <w:t>摊销年限</w:t>
      </w:r>
    </w:p>
    <w:p>
      <w:pPr>
        <w:pStyle w:val="Style34"/>
        <w:keepNext w:val="0"/>
        <w:keepLines w:val="0"/>
        <w:widowControl w:val="0"/>
        <w:shd w:val="clear" w:color="auto" w:fill="auto"/>
        <w:bidi w:val="0"/>
        <w:spacing w:before="0" w:after="300" w:line="312" w:lineRule="exact"/>
        <w:ind w:left="0" w:right="0" w:firstLine="320"/>
        <w:jc w:val="left"/>
      </w:pPr>
      <w:r>
        <w:rPr>
          <w:color w:val="000000"/>
          <w:spacing w:val="0"/>
          <w:w w:val="100"/>
          <w:position w:val="0"/>
        </w:rPr>
        <w:t>按预期受益期限进行摊销。</w:t>
      </w:r>
    </w:p>
    <w:p>
      <w:pPr>
        <w:pStyle w:val="Style30"/>
        <w:keepNext/>
        <w:keepLines/>
        <w:widowControl w:val="0"/>
        <w:shd w:val="clear" w:color="auto" w:fill="auto"/>
        <w:tabs>
          <w:tab w:pos="478" w:val="left"/>
        </w:tabs>
        <w:bidi w:val="0"/>
        <w:spacing w:before="0" w:after="300" w:line="312" w:lineRule="exact"/>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2</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982"/>
      <w:bookmarkEnd w:id="983"/>
      <w:bookmarkEnd w:id="985"/>
    </w:p>
    <w:p>
      <w:pPr>
        <w:pStyle w:val="Style34"/>
        <w:keepNext w:val="0"/>
        <w:keepLines w:val="0"/>
        <w:widowControl w:val="0"/>
        <w:shd w:val="clear" w:color="auto" w:fill="auto"/>
        <w:bidi w:val="0"/>
        <w:spacing w:before="0" w:after="300" w:line="312" w:lineRule="exact"/>
        <w:ind w:left="0" w:right="0" w:firstLine="320"/>
        <w:jc w:val="left"/>
      </w:pPr>
      <w:r>
        <w:rPr>
          <w:color w:val="000000"/>
          <w:spacing w:val="0"/>
          <w:w w:val="100"/>
          <w:position w:val="0"/>
        </w:rPr>
        <w:t>本公司将已收或应收客户对价而应向客户转让商品的义务部分确认为合同负债。</w:t>
      </w:r>
    </w:p>
    <w:p>
      <w:pPr>
        <w:pStyle w:val="Style30"/>
        <w:keepNext/>
        <w:keepLines/>
        <w:widowControl w:val="0"/>
        <w:shd w:val="clear" w:color="auto" w:fill="auto"/>
        <w:tabs>
          <w:tab w:pos="478" w:val="left"/>
        </w:tabs>
        <w:bidi w:val="0"/>
        <w:spacing w:before="0" w:after="300" w:line="312" w:lineRule="exact"/>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986"/>
      <w:bookmarkEnd w:id="987"/>
      <w:bookmarkEnd w:id="989"/>
    </w:p>
    <w:p>
      <w:pPr>
        <w:pStyle w:val="Style40"/>
        <w:keepNext/>
        <w:keepLines/>
        <w:widowControl w:val="0"/>
        <w:shd w:val="clear" w:color="auto" w:fill="auto"/>
        <w:tabs>
          <w:tab w:pos="483" w:val="left"/>
        </w:tabs>
        <w:bidi w:val="0"/>
        <w:spacing w:before="0" w:after="300" w:line="312" w:lineRule="exact"/>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90"/>
      <w:bookmarkEnd w:id="991"/>
      <w:bookmarkEnd w:id="993"/>
    </w:p>
    <w:p>
      <w:pPr>
        <w:pStyle w:val="Style34"/>
        <w:keepNext w:val="0"/>
        <w:keepLines w:val="0"/>
        <w:widowControl w:val="0"/>
        <w:shd w:val="clear" w:color="auto" w:fill="auto"/>
        <w:bidi w:val="0"/>
        <w:spacing w:before="0" w:after="300" w:line="310" w:lineRule="exact"/>
        <w:ind w:left="0" w:right="0"/>
        <w:jc w:val="both"/>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40"/>
        <w:keepNext/>
        <w:keepLines/>
        <w:widowControl w:val="0"/>
        <w:shd w:val="clear" w:color="auto" w:fill="auto"/>
        <w:tabs>
          <w:tab w:pos="483" w:val="left"/>
        </w:tabs>
        <w:bidi w:val="0"/>
        <w:spacing w:before="0" w:after="300" w:line="312" w:lineRule="exact"/>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94"/>
      <w:bookmarkEnd w:id="995"/>
      <w:bookmarkEnd w:id="997"/>
    </w:p>
    <w:p>
      <w:pPr>
        <w:pStyle w:val="Style34"/>
        <w:keepNext w:val="0"/>
        <w:keepLines w:val="0"/>
        <w:widowControl w:val="0"/>
        <w:shd w:val="clear" w:color="auto" w:fill="auto"/>
        <w:bidi w:val="0"/>
        <w:spacing w:before="0" w:after="300" w:line="312" w:lineRule="exact"/>
        <w:ind w:left="0" w:right="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本公司的离职后福利计划全部为设定提存计划。</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离职后福利设定提存计划主要为参加由各地劳动及社会保障机构组织实施的社会基本养老保险、失业 保险等；除了社会基本养老保险、失业保险之外，</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日之后退休的员工可以自原参加本公司设立 的年金计划。在职工为本公司提供服务的会计期间，将根据设定提存计划计算的应缴存金额确认为负债， 并计入当期损益或相关资产成本。</w:t>
      </w:r>
    </w:p>
    <w:p>
      <w:pPr>
        <w:pStyle w:val="Style34"/>
        <w:keepNext w:val="0"/>
        <w:keepLines w:val="0"/>
        <w:widowControl w:val="0"/>
        <w:shd w:val="clear" w:color="auto" w:fill="auto"/>
        <w:bidi w:val="0"/>
        <w:spacing w:before="0" w:after="280" w:line="312" w:lineRule="exact"/>
        <w:ind w:left="0" w:right="0" w:firstLine="420"/>
        <w:jc w:val="left"/>
      </w:pPr>
      <w:r>
        <w:rPr>
          <w:color w:val="000000"/>
          <w:spacing w:val="0"/>
          <w:w w:val="100"/>
          <w:position w:val="0"/>
        </w:rPr>
        <w:t>本公司按照国家规定的标准和年金计划定期缴付上述款项后，不再有其他的支付义务。</w:t>
      </w:r>
    </w:p>
    <w:p>
      <w:pPr>
        <w:pStyle w:val="Style40"/>
        <w:keepNext/>
        <w:keepLines/>
        <w:widowControl w:val="0"/>
        <w:shd w:val="clear" w:color="auto" w:fill="auto"/>
        <w:tabs>
          <w:tab w:pos="498" w:val="left"/>
        </w:tabs>
        <w:bidi w:val="0"/>
        <w:spacing w:before="0" w:after="280" w:line="314" w:lineRule="exact"/>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1"/>
      <w:bookmarkEnd w:id="998"/>
      <w:bookmarkEnd w:id="999"/>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34"/>
        <w:keepNext w:val="0"/>
        <w:keepLines w:val="0"/>
        <w:widowControl w:val="0"/>
        <w:shd w:val="clear" w:color="auto" w:fill="auto"/>
        <w:bidi w:val="0"/>
        <w:spacing w:before="0" w:after="280" w:line="314" w:lineRule="exact"/>
        <w:ind w:left="0" w:right="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40"/>
        <w:keepNext/>
        <w:keepLines/>
        <w:widowControl w:val="0"/>
        <w:shd w:val="clear" w:color="auto" w:fill="auto"/>
        <w:tabs>
          <w:tab w:pos="498" w:val="left"/>
        </w:tabs>
        <w:bidi w:val="0"/>
        <w:spacing w:before="0" w:after="280" w:line="314" w:lineRule="exact"/>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02"/>
      <w:bookmarkEnd w:id="1003"/>
      <w:bookmarkEnd w:id="1005"/>
    </w:p>
    <w:p>
      <w:pPr>
        <w:pStyle w:val="Style34"/>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其他长期职工福利是指除短期薪酬、离职后福利、辞退福利之外的其他所有职工福利。</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对符合设定提存计划条件的其他长期职工福利，在职工为本公司提供服务的会计期间，将应缴存金额 确认为负债，并计入当期损益或相关资产成本；除上述情形外的其他长期职工福利，在资产负债表日使用 预期累计福利单位法进行精算，将设定受益计划产生的福利义务归属于职工提供服务的期间，并计入当期 损益或相关资产成本。</w:t>
      </w:r>
    </w:p>
    <w:p>
      <w:pPr>
        <w:pStyle w:val="Style30"/>
        <w:keepNext/>
        <w:keepLines/>
        <w:widowControl w:val="0"/>
        <w:shd w:val="clear" w:color="auto" w:fill="auto"/>
        <w:bidi w:val="0"/>
        <w:spacing w:before="0" w:after="280" w:line="329"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、预计负债</w:t>
      </w:r>
      <w:bookmarkEnd w:id="1006"/>
      <w:bookmarkEnd w:id="1007"/>
      <w:bookmarkEnd w:id="1009"/>
    </w:p>
    <w:p>
      <w:pPr>
        <w:pStyle w:val="Style30"/>
        <w:keepNext/>
        <w:keepLines/>
        <w:widowControl w:val="0"/>
        <w:numPr>
          <w:ilvl w:val="0"/>
          <w:numId w:val="53"/>
        </w:numPr>
        <w:shd w:val="clear" w:color="auto" w:fill="auto"/>
        <w:tabs>
          <w:tab w:pos="759" w:val="left"/>
        </w:tabs>
        <w:bidi w:val="0"/>
        <w:spacing w:before="0" w:after="0" w:line="329" w:lineRule="auto"/>
        <w:ind w:left="0" w:right="0" w:firstLine="420"/>
        <w:jc w:val="both"/>
      </w:pPr>
      <w:bookmarkStart w:id="1006" w:name="bookmark1006"/>
      <w:bookmarkStart w:id="1007" w:name="bookmark1007"/>
      <w:bookmarkStart w:id="1010" w:name="bookmark1010"/>
      <w:bookmarkEnd w:id="1010"/>
      <w:r>
        <w:rPr>
          <w:color w:val="000000"/>
          <w:spacing w:val="0"/>
          <w:w w:val="100"/>
          <w:position w:val="0"/>
        </w:rPr>
        <w:t>预计负债的确认标准</w:t>
      </w:r>
      <w:bookmarkEnd w:id="1006"/>
      <w:bookmarkEnd w:id="1007"/>
    </w:p>
    <w:p>
      <w:pPr>
        <w:pStyle w:val="Style34"/>
        <w:keepNext w:val="0"/>
        <w:keepLines w:val="0"/>
        <w:widowControl w:val="0"/>
        <w:shd w:val="clear" w:color="auto" w:fill="auto"/>
        <w:bidi w:val="0"/>
        <w:spacing w:before="0" w:after="0" w:line="314" w:lineRule="exact"/>
        <w:ind w:left="0" w:right="0" w:firstLine="360"/>
        <w:jc w:val="left"/>
      </w:pPr>
      <w:r>
        <w:rPr>
          <w:color w:val="000000"/>
          <w:spacing w:val="0"/>
          <w:w w:val="100"/>
          <w:position w:val="0"/>
        </w:rPr>
        <w:t>与或有事项相关的义务同时满足下列条件时，本公司确认为预计负债：</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该义务是本公司承担的现时义务；</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履行该义务很可能导致经济利益流出本公司；</w:t>
      </w:r>
    </w:p>
    <w:p>
      <w:pPr>
        <w:pStyle w:val="Style34"/>
        <w:keepNext w:val="0"/>
        <w:keepLines w:val="0"/>
        <w:widowControl w:val="0"/>
        <w:shd w:val="clear" w:color="auto" w:fill="auto"/>
        <w:bidi w:val="0"/>
        <w:spacing w:before="0" w:after="80" w:line="314" w:lineRule="exact"/>
        <w:ind w:left="0" w:right="0"/>
        <w:jc w:val="both"/>
      </w:pPr>
      <w:r>
        <w:rPr>
          <w:color w:val="000000"/>
          <w:spacing w:val="0"/>
          <w:w w:val="100"/>
          <w:position w:val="0"/>
        </w:rPr>
        <w:t>该义务的金额能够可靠地计量。</w:t>
      </w:r>
    </w:p>
    <w:p>
      <w:pPr>
        <w:pStyle w:val="Style34"/>
        <w:keepNext w:val="0"/>
        <w:keepLines w:val="0"/>
        <w:widowControl w:val="0"/>
        <w:numPr>
          <w:ilvl w:val="0"/>
          <w:numId w:val="53"/>
        </w:numPr>
        <w:shd w:val="clear" w:color="auto" w:fill="auto"/>
        <w:tabs>
          <w:tab w:pos="789" w:val="left"/>
        </w:tabs>
        <w:bidi w:val="0"/>
        <w:spacing w:before="0" w:after="0" w:line="329" w:lineRule="auto"/>
        <w:ind w:left="0" w:right="0"/>
        <w:jc w:val="both"/>
      </w:pPr>
      <w:bookmarkStart w:id="1011" w:name="bookmark1011"/>
      <w:bookmarkEnd w:id="1011"/>
      <w:r>
        <w:rPr>
          <w:b/>
          <w:bCs/>
          <w:color w:val="000000"/>
          <w:spacing w:val="0"/>
          <w:w w:val="100"/>
          <w:position w:val="0"/>
        </w:rPr>
        <w:t>预计负债的计量方法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本公司预计负债按履行相关现时义务所需的支出的最佳估计数进行初始计量。</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最佳估计数分别以下情况处理：</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4"/>
        <w:keepNext w:val="0"/>
        <w:keepLines w:val="0"/>
        <w:widowControl w:val="0"/>
        <w:shd w:val="clear" w:color="auto" w:fill="auto"/>
        <w:bidi w:val="0"/>
        <w:spacing w:before="0" w:after="280" w:line="314" w:lineRule="exact"/>
        <w:ind w:left="0" w:right="0"/>
        <w:jc w:val="both"/>
      </w:pPr>
      <w:r>
        <w:rPr>
          <w:color w:val="000000"/>
          <w:spacing w:val="0"/>
          <w:w w:val="100"/>
          <w:position w:val="0"/>
        </w:rPr>
        <w:t>所需支出不存在一个连续范围（或区间）</w:t>
      </w:r>
      <w:r>
        <w:rPr>
          <w:i/>
          <w:iCs/>
          <w:color w:val="000000"/>
          <w:spacing w:val="0"/>
          <w:w w:val="100"/>
          <w:position w:val="0"/>
        </w:rPr>
        <w:t>，</w:t>
      </w:r>
      <w:r>
        <w:rPr>
          <w:color w:val="000000"/>
          <w:spacing w:val="0"/>
          <w:w w:val="100"/>
          <w:position w:val="0"/>
        </w:rPr>
        <w:t>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4"/>
        <w:keepNext w:val="0"/>
        <w:keepLines w:val="0"/>
        <w:widowControl w:val="0"/>
        <w:shd w:val="clear" w:color="auto" w:fill="auto"/>
        <w:bidi w:val="0"/>
        <w:spacing w:before="0" w:after="380" w:line="307" w:lineRule="exact"/>
        <w:ind w:left="0" w:right="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0"/>
        <w:keepNext/>
        <w:keepLines/>
        <w:widowControl w:val="0"/>
        <w:shd w:val="clear" w:color="auto" w:fill="auto"/>
        <w:tabs>
          <w:tab w:pos="535" w:val="left"/>
        </w:tabs>
        <w:bidi w:val="0"/>
        <w:spacing w:before="0" w:after="300" w:line="326"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1012"/>
      <w:bookmarkEnd w:id="1013"/>
      <w:bookmarkEnd w:id="1015"/>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本公司的收入主要来源于如下业务类型：</w:t>
      </w:r>
    </w:p>
    <w:p>
      <w:pPr>
        <w:pStyle w:val="Style34"/>
        <w:keepNext w:val="0"/>
        <w:keepLines w:val="0"/>
        <w:widowControl w:val="0"/>
        <w:shd w:val="clear" w:color="auto" w:fill="auto"/>
        <w:tabs>
          <w:tab w:pos="908" w:val="left"/>
        </w:tabs>
        <w:bidi w:val="0"/>
        <w:spacing w:before="0" w:after="0" w:line="312" w:lineRule="exact"/>
        <w:ind w:left="0" w:right="0" w:firstLine="420"/>
        <w:jc w:val="left"/>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w:t>
        <w:tab/>
        <w:t>通信设备制造与软件开发产品销售收入；</w:t>
      </w:r>
    </w:p>
    <w:p>
      <w:pPr>
        <w:pStyle w:val="Style34"/>
        <w:keepNext w:val="0"/>
        <w:keepLines w:val="0"/>
        <w:widowControl w:val="0"/>
        <w:shd w:val="clear" w:color="auto" w:fill="auto"/>
        <w:tabs>
          <w:tab w:pos="908" w:val="left"/>
        </w:tabs>
        <w:bidi w:val="0"/>
        <w:spacing w:before="0" w:after="0" w:line="312" w:lineRule="exact"/>
        <w:ind w:left="0" w:right="0" w:firstLine="420"/>
        <w:jc w:val="left"/>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w:t>
        <w:tab/>
        <w:t>提供信息系统集成及信息技术服务收入。</w:t>
      </w:r>
    </w:p>
    <w:p>
      <w:pPr>
        <w:pStyle w:val="Style34"/>
        <w:keepNext w:val="0"/>
        <w:keepLines w:val="0"/>
        <w:widowControl w:val="0"/>
        <w:numPr>
          <w:ilvl w:val="0"/>
          <w:numId w:val="55"/>
        </w:numPr>
        <w:shd w:val="clear" w:color="auto" w:fill="auto"/>
        <w:tabs>
          <w:tab w:pos="745" w:val="left"/>
        </w:tabs>
        <w:bidi w:val="0"/>
        <w:spacing w:before="0" w:after="0" w:line="312" w:lineRule="exact"/>
        <w:ind w:left="0" w:right="0" w:firstLine="420"/>
        <w:jc w:val="left"/>
      </w:pPr>
      <w:bookmarkStart w:id="1018" w:name="bookmark1018"/>
      <w:bookmarkEnd w:id="1018"/>
      <w:r>
        <w:rPr>
          <w:b/>
          <w:bCs/>
          <w:color w:val="000000"/>
          <w:spacing w:val="0"/>
          <w:w w:val="100"/>
          <w:position w:val="0"/>
        </w:rPr>
        <w:t>收入确认的一般原则</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履约义务，是指合同中本公司向客户转让可明确区分商品或服务的承诺。</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取得相关商品控制权，是指能够主导该商品的使用并从中获得几乎全部的经济利益。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客户在本公司履约的同时即取得并消耗本公司履约所带 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本公司履约过程中所产出的商品具有不 可替代用途，且本公司在整个合同期间内有权就累计至今已完成的履约部分收取款项。否则，本公司在客 户取得相关商品或服务控制权的时点确认收入。</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对于在某一时段内履行的履约义务，本公司根据商品和劳务的性质，采用产出法</w:t>
      </w:r>
      <w:r>
        <w:rPr>
          <w:rFonts w:ascii="Times New Roman" w:eastAsia="Times New Roman" w:hAnsi="Times New Roman" w:cs="Times New Roman"/>
          <w:color w:val="000000"/>
          <w:spacing w:val="0"/>
          <w:w w:val="100"/>
          <w:position w:val="0"/>
        </w:rPr>
        <w:t>/</w:t>
      </w:r>
      <w:r>
        <w:rPr>
          <w:color w:val="000000"/>
          <w:spacing w:val="0"/>
          <w:w w:val="100"/>
          <w:position w:val="0"/>
        </w:rPr>
        <w:t>投入法确定恰当的履 约进度。产出法是根据已转移给客户的商品对于客户的价值确定履约进度（投入法是根据公司为履行履约 义务的投入确定履约进度）。当履约进度不能合理确定时，公司已经发生的成本预计能够得到补偿的，按 照已经发生的成本金额确认收入，直到履约进度能够合理确定为止。</w:t>
      </w:r>
    </w:p>
    <w:p>
      <w:pPr>
        <w:pStyle w:val="Style34"/>
        <w:keepNext w:val="0"/>
        <w:keepLines w:val="0"/>
        <w:widowControl w:val="0"/>
        <w:numPr>
          <w:ilvl w:val="0"/>
          <w:numId w:val="55"/>
        </w:numPr>
        <w:shd w:val="clear" w:color="auto" w:fill="auto"/>
        <w:tabs>
          <w:tab w:pos="779" w:val="left"/>
        </w:tabs>
        <w:bidi w:val="0"/>
        <w:spacing w:before="0" w:after="0" w:line="312" w:lineRule="exact"/>
        <w:ind w:left="0" w:right="0"/>
        <w:jc w:val="both"/>
      </w:pPr>
      <w:bookmarkStart w:id="1019" w:name="bookmark1019"/>
      <w:bookmarkEnd w:id="1019"/>
      <w:r>
        <w:rPr>
          <w:b/>
          <w:bCs/>
          <w:color w:val="000000"/>
          <w:spacing w:val="0"/>
          <w:w w:val="100"/>
          <w:position w:val="0"/>
        </w:rPr>
        <w:t>收入确认的具体方法</w:t>
      </w:r>
    </w:p>
    <w:p>
      <w:pPr>
        <w:pStyle w:val="Style34"/>
        <w:keepNext w:val="0"/>
        <w:keepLines w:val="0"/>
        <w:widowControl w:val="0"/>
        <w:shd w:val="clear" w:color="auto" w:fill="auto"/>
        <w:bidi w:val="0"/>
        <w:spacing w:before="0" w:after="60" w:line="312" w:lineRule="exact"/>
        <w:ind w:left="0" w:right="0"/>
        <w:jc w:val="both"/>
      </w:pPr>
      <w:r>
        <w:rPr>
          <w:color w:val="000000"/>
          <w:spacing w:val="0"/>
          <w:w w:val="100"/>
          <w:position w:val="0"/>
        </w:rPr>
        <w:t>公司有两大业务板块，一是通信设备制造与软件开发产品销售，二是提供信息系统集成及信息技术服 务。依据该公司自身的经营模式和结算方式，各类业务销售收入确认的具体方法披露如下：</w:t>
      </w:r>
    </w:p>
    <w:p>
      <w:pPr>
        <w:pStyle w:val="Style34"/>
        <w:keepNext w:val="0"/>
        <w:keepLines w:val="0"/>
        <w:widowControl w:val="0"/>
        <w:shd w:val="clear" w:color="auto" w:fill="auto"/>
        <w:tabs>
          <w:tab w:pos="870" w:val="left"/>
        </w:tabs>
        <w:bidi w:val="0"/>
        <w:spacing w:before="0" w:after="0" w:line="326" w:lineRule="auto"/>
        <w:ind w:left="0" w:right="0"/>
        <w:jc w:val="both"/>
      </w:pPr>
      <w:bookmarkStart w:id="1020" w:name="bookmark1020"/>
      <w:r>
        <w:rPr>
          <w:rFonts w:ascii="Times New Roman" w:eastAsia="Times New Roman" w:hAnsi="Times New Roman" w:cs="Times New Roman"/>
          <w:color w:val="000000"/>
          <w:spacing w:val="0"/>
          <w:w w:val="100"/>
          <w:position w:val="0"/>
        </w:rPr>
        <w:t>（</w:t>
      </w:r>
      <w:bookmarkEnd w:id="1020"/>
      <w:r>
        <w:rPr>
          <w:rFonts w:ascii="Times New Roman" w:eastAsia="Times New Roman" w:hAnsi="Times New Roman" w:cs="Times New Roman"/>
          <w:color w:val="000000"/>
          <w:spacing w:val="0"/>
          <w:w w:val="100"/>
          <w:position w:val="0"/>
        </w:rPr>
        <w:t>1）</w:t>
        <w:tab/>
      </w:r>
      <w:r>
        <w:rPr>
          <w:color w:val="000000"/>
          <w:spacing w:val="0"/>
          <w:w w:val="100"/>
          <w:position w:val="0"/>
        </w:rPr>
        <w:t>通信设备制造与软件开发产品销售业务</w:t>
      </w:r>
    </w:p>
    <w:p>
      <w:pPr>
        <w:pStyle w:val="Style34"/>
        <w:keepNext w:val="0"/>
        <w:keepLines w:val="0"/>
        <w:widowControl w:val="0"/>
        <w:shd w:val="clear" w:color="auto" w:fill="auto"/>
        <w:bidi w:val="0"/>
        <w:spacing w:before="0" w:after="60" w:line="312" w:lineRule="exact"/>
        <w:ind w:left="0" w:right="0"/>
        <w:jc w:val="both"/>
      </w:pPr>
      <w:r>
        <w:rPr>
          <w:color w:val="000000"/>
          <w:spacing w:val="0"/>
          <w:w w:val="100"/>
          <w:position w:val="0"/>
        </w:rPr>
        <w:t>公司通信设备制造与软件开发产品销售业务属于在某一时点履行的履约义务，销售收入在公司将产品 运送至合同约定交货地点并由客户接受、已收取价款或取得收款权利且相关的经济利益很可能流入时确 认。</w:t>
      </w:r>
    </w:p>
    <w:p>
      <w:pPr>
        <w:pStyle w:val="Style34"/>
        <w:keepNext w:val="0"/>
        <w:keepLines w:val="0"/>
        <w:widowControl w:val="0"/>
        <w:shd w:val="clear" w:color="auto" w:fill="auto"/>
        <w:tabs>
          <w:tab w:pos="870" w:val="left"/>
        </w:tabs>
        <w:bidi w:val="0"/>
        <w:spacing w:before="0" w:after="0" w:line="326" w:lineRule="auto"/>
        <w:ind w:left="0" w:right="0"/>
        <w:jc w:val="both"/>
      </w:pPr>
      <w:bookmarkStart w:id="1021" w:name="bookmark1021"/>
      <w:r>
        <w:rPr>
          <w:rFonts w:ascii="Times New Roman" w:eastAsia="Times New Roman" w:hAnsi="Times New Roman" w:cs="Times New Roman"/>
          <w:color w:val="000000"/>
          <w:spacing w:val="0"/>
          <w:w w:val="100"/>
          <w:position w:val="0"/>
        </w:rPr>
        <w:t>（</w:t>
      </w:r>
      <w:bookmarkEnd w:id="1021"/>
      <w:r>
        <w:rPr>
          <w:rFonts w:ascii="Times New Roman" w:eastAsia="Times New Roman" w:hAnsi="Times New Roman" w:cs="Times New Roman"/>
          <w:color w:val="000000"/>
          <w:spacing w:val="0"/>
          <w:w w:val="100"/>
          <w:position w:val="0"/>
        </w:rPr>
        <w:t>2）</w:t>
        <w:tab/>
      </w:r>
      <w:r>
        <w:rPr>
          <w:color w:val="000000"/>
          <w:spacing w:val="0"/>
          <w:w w:val="100"/>
          <w:position w:val="0"/>
        </w:rPr>
        <w:t>提供信息系统集成及信息技术服务</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公司提供提供信息系统集成及信息技术服务属于在某一时段内履行的履约义务，根据已发生成本占预 计总成本的比例确定提供服务的履约进度，并按履约进度确认收入。履约进度不能合理确定时，公司已经 发生的成本预计能够得到补偿的，按照已经发生的成本金额确认收入，直到履约进度能够合理确定为止。</w:t>
      </w:r>
    </w:p>
    <w:p>
      <w:pPr>
        <w:pStyle w:val="Style30"/>
        <w:keepNext/>
        <w:keepLines/>
        <w:widowControl w:val="0"/>
        <w:shd w:val="clear" w:color="auto" w:fill="auto"/>
        <w:tabs>
          <w:tab w:pos="535" w:val="left"/>
        </w:tabs>
        <w:bidi w:val="0"/>
        <w:spacing w:before="0" w:after="300" w:line="326"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022"/>
      <w:bookmarkEnd w:id="1023"/>
      <w:bookmarkEnd w:id="1025"/>
    </w:p>
    <w:p>
      <w:pPr>
        <w:pStyle w:val="Style30"/>
        <w:keepNext/>
        <w:keepLines/>
        <w:widowControl w:val="0"/>
        <w:shd w:val="clear" w:color="auto" w:fill="auto"/>
        <w:bidi w:val="0"/>
        <w:spacing w:before="0" w:after="0" w:line="329" w:lineRule="auto"/>
        <w:ind w:left="0" w:right="0" w:firstLine="420"/>
        <w:jc w:val="left"/>
      </w:pPr>
      <w:bookmarkStart w:id="1022" w:name="bookmark1022"/>
      <w:bookmarkStart w:id="1023" w:name="bookmark1023"/>
      <w:r>
        <w:rPr>
          <w:rFonts w:ascii="Times New Roman" w:eastAsia="Times New Roman" w:hAnsi="Times New Roman" w:cs="Times New Roman"/>
          <w:color w:val="000000"/>
          <w:spacing w:val="0"/>
          <w:w w:val="100"/>
          <w:position w:val="0"/>
        </w:rPr>
        <w:t>1.</w:t>
      </w:r>
      <w:r>
        <w:rPr>
          <w:color w:val="000000"/>
          <w:spacing w:val="0"/>
          <w:w w:val="100"/>
          <w:position w:val="0"/>
        </w:rPr>
        <w:t>类型</w:t>
      </w:r>
      <w:bookmarkEnd w:id="1022"/>
      <w:bookmarkEnd w:id="1023"/>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对于政府文件未明确补助对象的政府补助，公司根据实际补助对象划分为与资产相关的政府补助或与 收益相关的政府补助，相关判断依据说明详见本财务报表附注七之递延收益</w:t>
      </w:r>
      <w:r>
        <w:rPr>
          <w:rFonts w:ascii="Times New Roman" w:eastAsia="Times New Roman" w:hAnsi="Times New Roman" w:cs="Times New Roman"/>
          <w:color w:val="000000"/>
          <w:spacing w:val="0"/>
          <w:w w:val="100"/>
          <w:position w:val="0"/>
        </w:rPr>
        <w:t>/</w:t>
      </w:r>
      <w:r>
        <w:rPr>
          <w:color w:val="000000"/>
          <w:spacing w:val="0"/>
          <w:w w:val="100"/>
          <w:position w:val="0"/>
        </w:rPr>
        <w:t>营业外收入项目注释。</w:t>
      </w:r>
    </w:p>
    <w:p>
      <w:pPr>
        <w:pStyle w:val="Style34"/>
        <w:keepNext w:val="0"/>
        <w:keepLines w:val="0"/>
        <w:widowControl w:val="0"/>
        <w:shd w:val="clear" w:color="auto" w:fill="auto"/>
        <w:bidi w:val="0"/>
        <w:spacing w:before="0" w:after="60" w:line="314" w:lineRule="exact"/>
        <w:ind w:left="0" w:right="0"/>
        <w:jc w:val="both"/>
      </w:pPr>
      <w:r>
        <w:rPr>
          <w:color w:val="000000"/>
          <w:spacing w:val="0"/>
          <w:w w:val="100"/>
          <w:position w:val="0"/>
        </w:rPr>
        <w:t xml:space="preserve">与资产相关的政府补助，是指本公司取得的、用于购建或以其他方式形成长期资产的政府补助。与收 </w:t>
      </w:r>
      <w:r>
        <w:rPr>
          <w:color w:val="000000"/>
          <w:spacing w:val="0"/>
          <w:w w:val="100"/>
          <w:position w:val="0"/>
        </w:rPr>
        <w:t>益相关的政府补助，是指除与资产相关的政府补助之外的政府补助。</w:t>
      </w:r>
    </w:p>
    <w:p>
      <w:pPr>
        <w:pStyle w:val="Style34"/>
        <w:keepNext w:val="0"/>
        <w:keepLines w:val="0"/>
        <w:widowControl w:val="0"/>
        <w:numPr>
          <w:ilvl w:val="0"/>
          <w:numId w:val="57"/>
        </w:numPr>
        <w:shd w:val="clear" w:color="auto" w:fill="auto"/>
        <w:tabs>
          <w:tab w:pos="789" w:val="left"/>
        </w:tabs>
        <w:bidi w:val="0"/>
        <w:spacing w:before="0" w:after="0" w:line="326" w:lineRule="auto"/>
        <w:ind w:left="0" w:right="0"/>
        <w:jc w:val="both"/>
      </w:pPr>
      <w:bookmarkStart w:id="1026" w:name="bookmark1026"/>
      <w:bookmarkEnd w:id="1026"/>
      <w:r>
        <w:rPr>
          <w:b/>
          <w:bCs/>
          <w:color w:val="000000"/>
          <w:spacing w:val="0"/>
          <w:w w:val="100"/>
          <w:position w:val="0"/>
        </w:rPr>
        <w:t>政府补助的确认</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34"/>
        <w:keepNext w:val="0"/>
        <w:keepLines w:val="0"/>
        <w:widowControl w:val="0"/>
        <w:shd w:val="clear" w:color="auto" w:fill="auto"/>
        <w:bidi w:val="0"/>
        <w:spacing w:before="0" w:after="60" w:line="313" w:lineRule="exact"/>
        <w:ind w:left="0" w:right="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 直接计入当期损益。</w:t>
      </w:r>
    </w:p>
    <w:p>
      <w:pPr>
        <w:pStyle w:val="Style34"/>
        <w:keepNext w:val="0"/>
        <w:keepLines w:val="0"/>
        <w:widowControl w:val="0"/>
        <w:numPr>
          <w:ilvl w:val="0"/>
          <w:numId w:val="57"/>
        </w:numPr>
        <w:shd w:val="clear" w:color="auto" w:fill="auto"/>
        <w:tabs>
          <w:tab w:pos="789" w:val="left"/>
        </w:tabs>
        <w:bidi w:val="0"/>
        <w:spacing w:before="0" w:after="0" w:line="326" w:lineRule="auto"/>
        <w:ind w:left="0" w:right="0"/>
        <w:jc w:val="both"/>
      </w:pPr>
      <w:bookmarkStart w:id="1027" w:name="bookmark1027"/>
      <w:bookmarkEnd w:id="1027"/>
      <w:r>
        <w:rPr>
          <w:b/>
          <w:bCs/>
          <w:color w:val="000000"/>
          <w:spacing w:val="0"/>
          <w:w w:val="100"/>
          <w:position w:val="0"/>
        </w:rPr>
        <w:t>会计处理方法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本公司根据经济业务的实质，确定某一类政府补助业务应当采用总额法进行会计处理。通常情况下， 本公司对于同类或类似政府补助业务只选用一种方法，且对该业务一贯地运用该方法。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与资产相关的政府补助，确认为递延收益，按照所建造或购买的资产使用年限内按照合理、系统的方 法分期计入损益；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与收益相关的政府补助，用于补偿企业以后期间的相关费用或损失的，确认为递延收益，在确认相关 费用或损失的期间计入当期损益；用于补偿企业已发生的相关费用或损失的，取得时直接计入当期损益。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与企业日常活动相关的政府补助计入其他收益；与企业日常活动无关的政府补助计入营业外收支。</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30"/>
        <w:keepNext/>
        <w:keepLines/>
        <w:widowControl w:val="0"/>
        <w:shd w:val="clear" w:color="auto" w:fill="auto"/>
        <w:bidi w:val="0"/>
        <w:spacing w:before="0" w:after="220" w:line="329" w:lineRule="auto"/>
        <w:ind w:left="0" w:right="0" w:firstLine="0"/>
        <w:jc w:val="both"/>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2</w:t>
      </w:r>
      <w:bookmarkEnd w:id="1030"/>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28"/>
      <w:bookmarkEnd w:id="1029"/>
      <w:bookmarkEnd w:id="1031"/>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34"/>
        <w:keepNext w:val="0"/>
        <w:keepLines w:val="0"/>
        <w:widowControl w:val="0"/>
        <w:numPr>
          <w:ilvl w:val="0"/>
          <w:numId w:val="59"/>
        </w:numPr>
        <w:shd w:val="clear" w:color="auto" w:fill="auto"/>
        <w:tabs>
          <w:tab w:pos="765" w:val="left"/>
        </w:tabs>
        <w:bidi w:val="0"/>
        <w:spacing w:before="0" w:after="0" w:line="314" w:lineRule="exact"/>
        <w:ind w:left="0" w:right="0"/>
        <w:jc w:val="both"/>
      </w:pPr>
      <w:bookmarkStart w:id="1032" w:name="bookmark1032"/>
      <w:bookmarkEnd w:id="1032"/>
      <w:r>
        <w:rPr>
          <w:b/>
          <w:bCs/>
          <w:color w:val="000000"/>
          <w:spacing w:val="0"/>
          <w:w w:val="100"/>
          <w:position w:val="0"/>
        </w:rPr>
        <w:t>确认递延所得税资产的依据</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 不影响会计利润也不影响应纳税所得额或可抵扣亏损。</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4"/>
        <w:keepNext w:val="0"/>
        <w:keepLines w:val="0"/>
        <w:widowControl w:val="0"/>
        <w:numPr>
          <w:ilvl w:val="0"/>
          <w:numId w:val="59"/>
        </w:numPr>
        <w:shd w:val="clear" w:color="auto" w:fill="auto"/>
        <w:tabs>
          <w:tab w:pos="759" w:val="left"/>
        </w:tabs>
        <w:bidi w:val="0"/>
        <w:spacing w:before="0" w:after="0" w:line="314" w:lineRule="exact"/>
        <w:ind w:left="0" w:right="0" w:firstLine="420"/>
        <w:jc w:val="both"/>
      </w:pPr>
      <w:bookmarkStart w:id="1033" w:name="bookmark1033"/>
      <w:bookmarkEnd w:id="1033"/>
      <w:r>
        <w:rPr>
          <w:b/>
          <w:bCs/>
          <w:color w:val="000000"/>
          <w:spacing w:val="0"/>
          <w:w w:val="100"/>
          <w:position w:val="0"/>
        </w:rPr>
        <w:t>确认递延所得税负债的依据</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公司将当期与以前期间应交未交的应纳税暂时性差异确认为递延所得税负债。但不包括：</w:t>
      </w:r>
    </w:p>
    <w:p>
      <w:pPr>
        <w:pStyle w:val="Style34"/>
        <w:keepNext w:val="0"/>
        <w:keepLines w:val="0"/>
        <w:widowControl w:val="0"/>
        <w:shd w:val="clear" w:color="auto" w:fill="auto"/>
        <w:tabs>
          <w:tab w:pos="813" w:val="left"/>
        </w:tabs>
        <w:bidi w:val="0"/>
        <w:spacing w:before="0" w:after="0" w:line="314" w:lineRule="exact"/>
        <w:ind w:left="0" w:right="0" w:firstLine="32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34"/>
        <w:keepNext w:val="0"/>
        <w:keepLines w:val="0"/>
        <w:widowControl w:val="0"/>
        <w:shd w:val="clear" w:color="auto" w:fill="auto"/>
        <w:tabs>
          <w:tab w:pos="920" w:val="left"/>
        </w:tabs>
        <w:bidi w:val="0"/>
        <w:spacing w:before="0" w:after="0" w:line="314" w:lineRule="exact"/>
        <w:ind w:left="0" w:right="0" w:firstLine="32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非企业合并形成的交易或事项，且该交易或事项发生时既不影响会计利润，也不影响应纳税所得 额（或可抵扣亏损）所形成的暂时性差异；</w:t>
      </w:r>
    </w:p>
    <w:p>
      <w:pPr>
        <w:pStyle w:val="Style34"/>
        <w:keepNext w:val="0"/>
        <w:keepLines w:val="0"/>
        <w:widowControl w:val="0"/>
        <w:shd w:val="clear" w:color="auto" w:fill="auto"/>
        <w:tabs>
          <w:tab w:pos="915" w:val="left"/>
        </w:tabs>
        <w:bidi w:val="0"/>
        <w:spacing w:before="0" w:after="0" w:line="314" w:lineRule="exact"/>
        <w:ind w:left="0" w:right="0" w:firstLine="32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对于与子公司、联营企业投资相关的应纳税暂时性差异，该暂时性差异转回的时间能够控制并且 该暂时性差异在可预见的未来很可能不会转回。</w:t>
      </w:r>
    </w:p>
    <w:p>
      <w:pPr>
        <w:pStyle w:val="Style34"/>
        <w:keepNext w:val="0"/>
        <w:keepLines w:val="0"/>
        <w:widowControl w:val="0"/>
        <w:numPr>
          <w:ilvl w:val="0"/>
          <w:numId w:val="59"/>
        </w:numPr>
        <w:shd w:val="clear" w:color="auto" w:fill="auto"/>
        <w:tabs>
          <w:tab w:pos="759" w:val="left"/>
        </w:tabs>
        <w:bidi w:val="0"/>
        <w:spacing w:before="0" w:after="0" w:line="314" w:lineRule="exact"/>
        <w:ind w:left="0" w:right="0" w:firstLine="420"/>
        <w:jc w:val="both"/>
      </w:pPr>
      <w:bookmarkStart w:id="1037" w:name="bookmark1037"/>
      <w:bookmarkEnd w:id="1037"/>
      <w:r>
        <w:rPr>
          <w:b/>
          <w:bCs/>
          <w:color w:val="000000"/>
          <w:spacing w:val="0"/>
          <w:w w:val="100"/>
          <w:position w:val="0"/>
        </w:rPr>
        <w:t>同时满足下列条件时，将递延所得税资产及递延所得税负债以抵销后的净额列示</w:t>
      </w:r>
    </w:p>
    <w:p>
      <w:pPr>
        <w:pStyle w:val="Style34"/>
        <w:keepNext w:val="0"/>
        <w:keepLines w:val="0"/>
        <w:widowControl w:val="0"/>
        <w:shd w:val="clear" w:color="auto" w:fill="auto"/>
        <w:tabs>
          <w:tab w:pos="908" w:val="left"/>
        </w:tabs>
        <w:bidi w:val="0"/>
        <w:spacing w:before="0" w:after="0" w:line="314" w:lineRule="exact"/>
        <w:ind w:left="0" w:right="0" w:firstLine="42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34"/>
        <w:keepNext w:val="0"/>
        <w:keepLines w:val="0"/>
        <w:widowControl w:val="0"/>
        <w:shd w:val="clear" w:color="auto" w:fill="auto"/>
        <w:tabs>
          <w:tab w:pos="488" w:val="left"/>
        </w:tabs>
        <w:bidi w:val="0"/>
        <w:spacing w:before="0" w:after="380" w:line="314" w:lineRule="exact"/>
        <w:ind w:left="0" w:right="0" w:firstLine="42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递延所得税资产和递延所得税负债是与同一税收征管部门对同一纳税主体征收的所得税相关或 </w:t>
      </w:r>
      <w:r>
        <w:rPr>
          <w:color w:val="000000"/>
          <w:spacing w:val="0"/>
          <w:w w:val="100"/>
          <w:position w:val="0"/>
        </w:rPr>
        <w:t>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30"/>
        <w:keepNext/>
        <w:keepLines/>
        <w:widowControl w:val="0"/>
        <w:shd w:val="clear" w:color="auto" w:fill="auto"/>
        <w:tabs>
          <w:tab w:pos="478" w:val="left"/>
        </w:tabs>
        <w:bidi w:val="0"/>
        <w:spacing w:before="0" w:after="200" w:line="329"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2</w:t>
      </w:r>
      <w:bookmarkEnd w:id="1042"/>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040"/>
      <w:bookmarkEnd w:id="1041"/>
      <w:bookmarkEnd w:id="1043"/>
    </w:p>
    <w:p>
      <w:pPr>
        <w:pStyle w:val="Style40"/>
        <w:keepNext/>
        <w:keepLines/>
        <w:widowControl w:val="0"/>
        <w:shd w:val="clear" w:color="auto" w:fill="auto"/>
        <w:tabs>
          <w:tab w:pos="483" w:val="left"/>
        </w:tabs>
        <w:bidi w:val="0"/>
        <w:spacing w:before="0" w:after="280" w:line="316" w:lineRule="exact"/>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44"/>
      <w:bookmarkEnd w:id="1045"/>
      <w:bookmarkEnd w:id="1047"/>
    </w:p>
    <w:p>
      <w:pPr>
        <w:pStyle w:val="Style34"/>
        <w:keepNext w:val="0"/>
        <w:keepLines w:val="0"/>
        <w:widowControl w:val="0"/>
        <w:shd w:val="clear" w:color="auto" w:fill="auto"/>
        <w:tabs>
          <w:tab w:pos="928" w:val="left"/>
        </w:tabs>
        <w:bidi w:val="0"/>
        <w:spacing w:before="0" w:after="0" w:line="316" w:lineRule="exact"/>
        <w:ind w:left="0" w:right="0"/>
        <w:jc w:val="both"/>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经营租入资产</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4"/>
        <w:keepNext w:val="0"/>
        <w:keepLines w:val="0"/>
        <w:widowControl w:val="0"/>
        <w:shd w:val="clear" w:color="auto" w:fill="auto"/>
        <w:tabs>
          <w:tab w:pos="928" w:val="left"/>
        </w:tabs>
        <w:bidi w:val="0"/>
        <w:spacing w:before="0" w:after="0" w:line="316" w:lineRule="exact"/>
        <w:ind w:left="0" w:right="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w:t>
        <w:tab/>
        <w:t>经营租出资产</w:t>
      </w:r>
    </w:p>
    <w:p>
      <w:pPr>
        <w:pStyle w:val="Style34"/>
        <w:keepNext w:val="0"/>
        <w:keepLines w:val="0"/>
        <w:widowControl w:val="0"/>
        <w:shd w:val="clear" w:color="auto" w:fill="auto"/>
        <w:bidi w:val="0"/>
        <w:spacing w:before="0" w:after="0" w:line="316" w:lineRule="exact"/>
        <w:ind w:left="0" w:right="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34"/>
        <w:keepNext w:val="0"/>
        <w:keepLines w:val="0"/>
        <w:widowControl w:val="0"/>
        <w:shd w:val="clear" w:color="auto" w:fill="auto"/>
        <w:bidi w:val="0"/>
        <w:spacing w:before="0" w:after="280" w:line="316" w:lineRule="exact"/>
        <w:ind w:left="0" w:right="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40"/>
        <w:keepNext/>
        <w:keepLines/>
        <w:widowControl w:val="0"/>
        <w:shd w:val="clear" w:color="auto" w:fill="auto"/>
        <w:tabs>
          <w:tab w:pos="483" w:val="left"/>
        </w:tabs>
        <w:bidi w:val="0"/>
        <w:spacing w:before="0" w:after="280" w:line="316" w:lineRule="exact"/>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50"/>
      <w:bookmarkEnd w:id="1051"/>
      <w:bookmarkEnd w:id="1053"/>
    </w:p>
    <w:p>
      <w:pPr>
        <w:pStyle w:val="Style34"/>
        <w:keepNext w:val="0"/>
        <w:keepLines w:val="0"/>
        <w:widowControl w:val="0"/>
        <w:shd w:val="clear" w:color="auto" w:fill="auto"/>
        <w:tabs>
          <w:tab w:pos="1026" w:val="left"/>
        </w:tabs>
        <w:bidi w:val="0"/>
        <w:spacing w:before="0" w:after="0" w:line="322" w:lineRule="exact"/>
        <w:ind w:left="0" w:right="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34"/>
        <w:keepNext w:val="0"/>
        <w:keepLines w:val="0"/>
        <w:widowControl w:val="0"/>
        <w:shd w:val="clear" w:color="auto" w:fill="auto"/>
        <w:bidi w:val="0"/>
        <w:spacing w:before="0" w:after="0" w:line="322" w:lineRule="exact"/>
        <w:ind w:left="0" w:right="0"/>
        <w:jc w:val="left"/>
      </w:pPr>
      <w:r>
        <w:rPr>
          <w:color w:val="000000"/>
          <w:spacing w:val="0"/>
          <w:w w:val="100"/>
          <w:position w:val="0"/>
        </w:rPr>
        <w:t>公司采用实际利率法对未确认的融资费用，在资产租赁期间内摊销，计入财务费用。</w:t>
      </w:r>
    </w:p>
    <w:p>
      <w:pPr>
        <w:pStyle w:val="Style34"/>
        <w:keepNext w:val="0"/>
        <w:keepLines w:val="0"/>
        <w:widowControl w:val="0"/>
        <w:shd w:val="clear" w:color="auto" w:fill="auto"/>
        <w:bidi w:val="0"/>
        <w:spacing w:before="0" w:after="380" w:line="317" w:lineRule="exact"/>
        <w:ind w:left="0" w:right="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 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30"/>
        <w:keepNext/>
        <w:keepLines/>
        <w:widowControl w:val="0"/>
        <w:shd w:val="clear" w:color="auto" w:fill="auto"/>
        <w:tabs>
          <w:tab w:pos="478" w:val="left"/>
        </w:tabs>
        <w:bidi w:val="0"/>
        <w:spacing w:before="0" w:after="200" w:line="329"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bookmarkEnd w:id="1058"/>
      <w:r>
        <w:rPr>
          <w:rFonts w:ascii="Times New Roman" w:eastAsia="Times New Roman" w:hAnsi="Times New Roman" w:cs="Times New Roman"/>
          <w:color w:val="000000"/>
          <w:spacing w:val="0"/>
          <w:w w:val="100"/>
          <w:position w:val="0"/>
        </w:rPr>
        <w:t>9</w:t>
      </w:r>
      <w:r>
        <w:rPr>
          <w:color w:val="000000"/>
          <w:spacing w:val="0"/>
          <w:w w:val="100"/>
          <w:position w:val="0"/>
        </w:rPr>
        <w:t>、</w:t>
        <w:tab/>
        <w:t>重要会计政策和会计估计变更</w:t>
      </w:r>
      <w:bookmarkEnd w:id="1056"/>
      <w:bookmarkEnd w:id="1057"/>
      <w:bookmarkEnd w:id="1059"/>
    </w:p>
    <w:p>
      <w:pPr>
        <w:pStyle w:val="Style40"/>
        <w:keepNext/>
        <w:keepLines/>
        <w:widowControl w:val="0"/>
        <w:shd w:val="clear" w:color="auto" w:fill="auto"/>
        <w:bidi w:val="0"/>
        <w:spacing w:before="0" w:after="380" w:line="316" w:lineRule="exact"/>
        <w:ind w:left="0" w:right="0" w:firstLine="0"/>
        <w:jc w:val="left"/>
      </w:pPr>
      <w:bookmarkStart w:id="1060" w:name="bookmark1060"/>
      <w:bookmarkStart w:id="1061" w:name="bookmark1061"/>
      <w:bookmarkStart w:id="1062" w:name="bookmark10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0"/>
      <w:bookmarkEnd w:id="1061"/>
      <w:bookmarkEnd w:id="1062"/>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112"/>
        <w:gridCol w:w="2558"/>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日，财政部发布《关于修订印发</w:t>
            </w:r>
            <w:r>
              <w:rPr>
                <w:color w:val="000000"/>
                <w:spacing w:val="0"/>
                <w:w w:val="100"/>
                <w:position w:val="0"/>
                <w:sz w:val="18"/>
                <w:szCs w:val="18"/>
              </w:rPr>
              <w:t>〈</w:t>
            </w:r>
            <w:r>
              <w:rPr>
                <w:color w:val="000000"/>
                <w:spacing w:val="0"/>
                <w:w w:val="100"/>
                <w:position w:val="0"/>
              </w:rPr>
              <w:t>企业会计准则 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i/>
                <w:iCs/>
                <w:color w:val="000000"/>
                <w:spacing w:val="0"/>
                <w:w w:val="100"/>
                <w:position w:val="0"/>
                <w:sz w:val="18"/>
                <w:szCs w:val="18"/>
              </w:rPr>
              <w:t>，</w:t>
            </w:r>
            <w:r>
              <w:rPr>
                <w:color w:val="000000"/>
                <w:spacing w:val="0"/>
                <w:w w:val="100"/>
                <w:position w:val="0"/>
              </w:rPr>
              <w:t>要求在境内 外同时上市的企业以及在境外上市并采用国际财务报告准则或企 业会计准则编制财务报表的企业自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 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 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日第七届董事会 第七次会议、第七届监事第六次 会议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公司按照新收入准则要 求，自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日起执行新收入准则。</w:t>
            </w:r>
          </w:p>
        </w:tc>
      </w:tr>
    </w:tbl>
    <w:p>
      <w:pPr>
        <w:pStyle w:val="Style22"/>
        <w:keepNext w:val="0"/>
        <w:keepLines w:val="0"/>
        <w:widowControl w:val="0"/>
        <w:shd w:val="clear" w:color="auto" w:fill="auto"/>
        <w:bidi w:val="0"/>
        <w:spacing w:before="0" w:after="60" w:line="240" w:lineRule="auto"/>
        <w:ind w:left="413" w:right="0" w:firstLine="0"/>
        <w:jc w:val="left"/>
        <w:rPr>
          <w:sz w:val="20"/>
          <w:szCs w:val="20"/>
        </w:rPr>
      </w:pPr>
      <w:r>
        <w:rPr>
          <w:b/>
          <w:bCs/>
          <w:color w:val="000000"/>
          <w:spacing w:val="0"/>
          <w:w w:val="100"/>
          <w:position w:val="0"/>
          <w:sz w:val="20"/>
          <w:szCs w:val="20"/>
        </w:rPr>
        <w:t>执行新收入准则对本公司的影响</w:t>
      </w:r>
    </w:p>
    <w:p>
      <w:pPr>
        <w:pStyle w:val="Style22"/>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日起执行财政部</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年修订的《企业会计准则第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收入》</w:t>
      </w:r>
      <w:r>
        <w:rPr>
          <w:i/>
          <w:iCs/>
          <w:color w:val="000000"/>
          <w:spacing w:val="0"/>
          <w:w w:val="100"/>
          <w:position w:val="0"/>
          <w:sz w:val="20"/>
          <w:szCs w:val="20"/>
        </w:rPr>
        <w:t>，</w:t>
      </w:r>
      <w:r>
        <w:rPr>
          <w:color w:val="000000"/>
          <w:spacing w:val="0"/>
          <w:w w:val="100"/>
          <w:position w:val="0"/>
          <w:sz w:val="20"/>
          <w:szCs w:val="20"/>
        </w:rPr>
        <w:t>变更后的会计政策</w:t>
      </w:r>
    </w:p>
    <w:p>
      <w:pPr>
        <w:widowControl w:val="0"/>
        <w:spacing w:after="59" w:line="1" w:lineRule="exact"/>
      </w:pPr>
    </w:p>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详见附注五。</w:t>
      </w:r>
    </w:p>
    <w:p>
      <w:pPr>
        <w:pStyle w:val="Style34"/>
        <w:keepNext w:val="0"/>
        <w:keepLines w:val="0"/>
        <w:widowControl w:val="0"/>
        <w:shd w:val="clear" w:color="auto" w:fill="auto"/>
        <w:bidi w:val="0"/>
        <w:spacing w:before="0" w:after="0" w:line="240" w:lineRule="auto"/>
        <w:ind w:left="0" w:right="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 </w:t>
      </w:r>
      <w:r>
        <w:rPr>
          <w:color w:val="000000"/>
          <w:spacing w:val="0"/>
          <w:w w:val="100"/>
          <w:position w:val="0"/>
        </w:rPr>
        <w:t>留存收益及财务报表其他相关项目金额，对可比期间信息不予调整。</w:t>
      </w:r>
    </w:p>
    <w:p>
      <w:pPr>
        <w:pStyle w:val="Style34"/>
        <w:keepNext w:val="0"/>
        <w:keepLines w:val="0"/>
        <w:widowControl w:val="0"/>
        <w:shd w:val="clear" w:color="auto" w:fill="auto"/>
        <w:bidi w:val="0"/>
        <w:spacing w:before="0" w:after="40" w:line="314" w:lineRule="exact"/>
        <w:ind w:left="0" w:right="0"/>
        <w:jc w:val="both"/>
      </w:pPr>
      <w:r>
        <w:rPr>
          <w:color w:val="000000"/>
          <w:spacing w:val="0"/>
          <w:w w:val="100"/>
          <w:position w:val="0"/>
        </w:rPr>
        <w:t>在执行新收入准则时，本公司仅对首次执行日尚未执行完成的合同的累计影响数进行调整；对于最早 可比期间期初之前或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年年初之前发生的合同变更未进行追溯调整，而是根据合同变更的最终安排，识 别已履行的和尚未履行的履约义务、确定交易价格以及在已履行的和尚未履行的履约义务之间分摊交易价 格。</w:t>
      </w:r>
    </w:p>
    <w:p>
      <w:pPr>
        <w:pStyle w:val="Style34"/>
        <w:keepNext w:val="0"/>
        <w:keepLines w:val="0"/>
        <w:widowControl w:val="0"/>
        <w:shd w:val="clear" w:color="auto" w:fill="auto"/>
        <w:bidi w:val="0"/>
        <w:spacing w:before="0" w:after="40" w:line="240" w:lineRule="auto"/>
        <w:ind w:left="0" w:right="0"/>
        <w:jc w:val="both"/>
      </w:pPr>
      <w:r>
        <w:rPr>
          <w:color w:val="000000"/>
          <w:spacing w:val="0"/>
          <w:w w:val="100"/>
          <w:position w:val="0"/>
        </w:rPr>
        <w:t>执行新收入准则对本期期初资产负债表相关项目的影响列示如下:</w:t>
      </w:r>
    </w:p>
    <w:tbl>
      <w:tblPr>
        <w:tblOverlap w:val="never"/>
        <w:jc w:val="center"/>
        <w:tblLayout w:type="fixed"/>
      </w:tblPr>
      <w:tblGrid>
        <w:gridCol w:w="2074"/>
        <w:gridCol w:w="1786"/>
        <w:gridCol w:w="1382"/>
        <w:gridCol w:w="1373"/>
        <w:gridCol w:w="1363"/>
        <w:gridCol w:w="1709"/>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重新计量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1,519,745,709.28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-97,894,445.31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-97,894,445.31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1,421,851,263.97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97,894,445.31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97,894,445.31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97,894,445.31</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105,159,492.79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-105,159,492.79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-105,159,492.79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93,358,508.82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93,358,508.82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93,358,508.82</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11,800,983.97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11,800,983.97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11,800,983.97</w:t>
            </w:r>
          </w:p>
        </w:tc>
      </w:tr>
    </w:tbl>
    <w:p>
      <w:pPr>
        <w:pStyle w:val="Style34"/>
        <w:keepNext w:val="0"/>
        <w:keepLines w:val="0"/>
        <w:widowControl w:val="0"/>
        <w:shd w:val="clear" w:color="auto" w:fill="auto"/>
        <w:bidi w:val="0"/>
        <w:spacing w:before="0" w:after="40" w:line="317" w:lineRule="exact"/>
        <w:ind w:left="0" w:right="0"/>
        <w:jc w:val="both"/>
      </w:pPr>
      <w:r>
        <w:rPr>
          <w:color w:val="000000"/>
          <w:spacing w:val="0"/>
          <w:w w:val="100"/>
          <w:position w:val="0"/>
        </w:rPr>
        <w:t>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日，本公司根据工程项目履约进度确认的收入金额超过已办理结算价款的部分和特 许经营安排下建造期间自合同授予方收取确定金额的金融资产，被重分类为合同资产，其中预计</w:t>
      </w:r>
      <w:r>
        <w:rPr>
          <w:rFonts w:ascii="Times New Roman" w:eastAsia="Times New Roman" w:hAnsi="Times New Roman" w:cs="Times New Roman"/>
          <w:color w:val="000000"/>
          <w:spacing w:val="0"/>
          <w:w w:val="100"/>
          <w:position w:val="0"/>
        </w:rPr>
        <w:t>1</w:t>
      </w:r>
      <w:r>
        <w:rPr>
          <w:color w:val="000000"/>
          <w:spacing w:val="0"/>
          <w:w w:val="100"/>
          <w:position w:val="0"/>
        </w:rPr>
        <w:t>年以上 收回的款项列报为其他非流动资产。本公司的预收款项被重分类至合同负债和其他流动负债。</w:t>
      </w:r>
    </w:p>
    <w:p>
      <w:pPr>
        <w:pStyle w:val="Style34"/>
        <w:keepNext w:val="0"/>
        <w:keepLines w:val="0"/>
        <w:widowControl w:val="0"/>
        <w:shd w:val="clear" w:color="auto" w:fill="auto"/>
        <w:bidi w:val="0"/>
        <w:spacing w:before="0" w:after="40" w:line="240" w:lineRule="auto"/>
        <w:ind w:left="0" w:right="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日合并资产负债表的影响如下:</w:t>
      </w:r>
    </w:p>
    <w:tbl>
      <w:tblPr>
        <w:tblOverlap w:val="never"/>
        <w:jc w:val="center"/>
        <w:tblLayout w:type="fixed"/>
      </w:tblPr>
      <w:tblGrid>
        <w:gridCol w:w="2410"/>
        <w:gridCol w:w="2410"/>
        <w:gridCol w:w="2395"/>
        <w:gridCol w:w="247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1,274,671255.83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1,392,257,895.92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-117,586,640.09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117,586,640.09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117,586,640.09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353,555,857.12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-353,555,857.12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313,991,222.20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313,991,222.20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42,741,054.87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3,176,419.95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39,564,634.92</w:t>
            </w:r>
          </w:p>
        </w:tc>
      </w:tr>
    </w:tbl>
    <w:p>
      <w:pPr>
        <w:widowControl w:val="0"/>
        <w:spacing w:after="39" w:line="1" w:lineRule="exact"/>
      </w:pPr>
    </w:p>
    <w:p>
      <w:pPr>
        <w:pStyle w:val="Style34"/>
        <w:keepNext w:val="0"/>
        <w:keepLines w:val="0"/>
        <w:widowControl w:val="0"/>
        <w:shd w:val="clear" w:color="auto" w:fill="auto"/>
        <w:bidi w:val="0"/>
        <w:spacing w:before="0" w:after="40" w:line="240" w:lineRule="auto"/>
        <w:ind w:left="0" w:right="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年度合并利润表的影响如下:</w:t>
      </w:r>
    </w:p>
    <w:tbl>
      <w:tblPr>
        <w:tblOverlap w:val="never"/>
        <w:jc w:val="center"/>
        <w:tblLayout w:type="fixed"/>
      </w:tblPr>
      <w:tblGrid>
        <w:gridCol w:w="2419"/>
        <w:gridCol w:w="2429"/>
        <w:gridCol w:w="2410"/>
        <w:gridCol w:w="242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-40,194,940.32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-40,831,852.18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636,911.86</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-14,624,046.67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-13,987,134.81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-636,911.86</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140"/>
        <w:jc w:val="left"/>
      </w:pPr>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63"/>
      <w:bookmarkEnd w:id="1064"/>
      <w:bookmarkEnd w:id="1065"/>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61"/>
        </w:numPr>
        <w:shd w:val="clear" w:color="auto" w:fill="auto"/>
        <w:tabs>
          <w:tab w:pos="483" w:val="left"/>
        </w:tabs>
        <w:bidi w:val="0"/>
        <w:spacing w:before="0" w:after="400" w:line="240" w:lineRule="auto"/>
        <w:ind w:left="0" w:right="0" w:firstLine="0"/>
        <w:jc w:val="both"/>
      </w:pPr>
      <w:bookmarkStart w:id="1066" w:name="bookmark1066"/>
      <w:bookmarkStart w:id="1067" w:name="bookmark1067"/>
      <w:bookmarkStart w:id="1068" w:name="bookmark1068"/>
      <w:bookmarkStart w:id="1069" w:name="bookmark1069"/>
      <w:bookmarkEnd w:id="106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66"/>
      <w:bookmarkEnd w:id="1067"/>
      <w:bookmarkEnd w:id="1069"/>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1963"/>
        <w:gridCol w:w="2462"/>
        <w:gridCol w:w="245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12"/>
        <w:gridCol w:w="1958"/>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1,499,545,065.00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1,499,545,065.00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546,101,869.69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546,101,869.69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1,519,745,709.28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1,421,851 263.97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-97,894,445.31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98,628,366.95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98,628,366.95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64,421,456.20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64,421,456.20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290,513,173.37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290,513,173.37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97,894,445.31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97,894,445.31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70,735,458.24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70,735,458.24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4,089,691,098.73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4,089,691,098.73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28,795,629.56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28,795,629.56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2,528,373.48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309,875,547.72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309,875,547.72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1,176,786,119.27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1,176,786,119.27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12"/>
        <w:gridCol w:w="1958"/>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97,622,132.26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97,622,132.26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97,548,790.91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97,548,790.91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215,440.34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215,440.34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91,105,235.43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91,105,235.43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62,456,675.83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62,456,675.83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1,866,933,944.80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1,866,933,944.80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5,956,625,043.53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5,956,625,043.53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125,479,387.70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125,479,387.70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956,996,862.57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956,996,862.57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105,159,492.79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-105,159,492.79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93,358,508.82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93,358,508.82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33,094,019.16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33,094,019.16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58,702,700.79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58,702,700.79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35,402,811.25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35,402,811.25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11,800,983.97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11,800,983.97</w:t>
            </w:r>
          </w:p>
        </w:tc>
      </w:tr>
    </w:tbl>
    <w:p>
      <w:pPr>
        <w:widowControl w:val="0"/>
        <w:spacing w:line="1" w:lineRule="exact"/>
      </w:pPr>
      <w:r>
        <w:br w:type="page"/>
      </w:r>
    </w:p>
    <w:tbl>
      <w:tblPr>
        <w:tblOverlap w:val="never"/>
        <w:jc w:val="center"/>
        <w:tblLayout w:type="fixed"/>
      </w:tblPr>
      <w:tblGrid>
        <w:gridCol w:w="2712"/>
        <w:gridCol w:w="1958"/>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1,314,83 5 274.26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1,314,83 5 274.26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39,149,670.15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39,149,670.15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39,149,670.15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39,149,670.15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1,353,984,944.41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1,353,984,944.41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2,591,349,841.73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2,591,349,841.73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-271,626.52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55,640,199.90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55,640,199.90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1,065,739,548.74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1,065,739,548.74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4,550,793,991.85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4,550,793,991.85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51,846,107.27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51,846,107.27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4,602,640,099.12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4,602,640,099.12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5,956,625,043.53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5,956,625,043.53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4"/>
        <w:keepNext w:val="0"/>
        <w:keepLines w:val="0"/>
        <w:widowControl w:val="0"/>
        <w:shd w:val="clear" w:color="auto" w:fill="auto"/>
        <w:bidi w:val="0"/>
        <w:spacing w:before="0" w:after="460" w:line="326"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日，本公司根据工程项目履约进度确认的收入金额超过已办理结算价款的部分和特许经 营安排下建造期间自合同授予方收取确定金额的金融资产，被重分类为合同资产，其中预计</w:t>
      </w:r>
      <w:r>
        <w:rPr>
          <w:rFonts w:ascii="Times New Roman" w:eastAsia="Times New Roman" w:hAnsi="Times New Roman" w:cs="Times New Roman"/>
          <w:color w:val="000000"/>
          <w:spacing w:val="0"/>
          <w:w w:val="100"/>
          <w:position w:val="0"/>
        </w:rPr>
        <w:t>1</w:t>
      </w:r>
      <w:r>
        <w:rPr>
          <w:color w:val="000000"/>
          <w:spacing w:val="0"/>
          <w:w w:val="100"/>
          <w:position w:val="0"/>
        </w:rPr>
        <w:t>年以上收回</w:t>
        <w:br w:type="page"/>
      </w:r>
      <w:r>
        <w:rPr>
          <w:color w:val="000000"/>
          <w:spacing w:val="0"/>
          <w:w w:val="100"/>
          <w:position w:val="0"/>
        </w:rPr>
        <w:t>的款项列报为其他非流动资产。本公司的预收款项被重分类至合同负债和其他流动负债。</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1958"/>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98,342,460.09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98,342,460.09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12,346,897.06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12,346,897.06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361,145,582.55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361,145,582.55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9,339,741.45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9,339,741.45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29,711,438.00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29,711,438.00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40254,350.51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40,254,350.51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105,733,539.21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105,733,539.21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656,874,008.87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656,874,008.87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3,368,030,193.43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3,368,030,193.43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2,528,373.48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141,846,680.77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141,846,680.77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12"/>
        <w:gridCol w:w="1958"/>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13,158,046.50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13,158,046.50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51255,323.25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51,255,323.25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28,837258.37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28,837,258.37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3,605,655,875.80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3,605,655,875.80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4,262,529,884.67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4,262,529,884.67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474,550,797.05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474,550,797.05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15,095,752.01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-15,095,752.01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13,359,072.60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13,359,072.60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8,258,286.27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8,258,286.27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5,427,953.81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5,427,953.81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32,584,930.33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32,584,930.33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1,736,679.41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1,736,679.41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535,917,719.47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535,917,719.47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12"/>
        <w:gridCol w:w="1958"/>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10220,171.65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10,220,171.65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10220,171.65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10,220,171.65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546,137,891.12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546,137,891.12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2,662,430,356.78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2,662,430,356.78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-271,626.52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55,640,199.90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55,640,199.90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160,257,035.39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160,257,035.39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3,716,391,993.55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3,716,391,993.55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4,262,529,884.67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4,262,529,884.67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79" w:line="1" w:lineRule="exact"/>
      </w:pPr>
    </w:p>
    <w:p>
      <w:pPr>
        <w:pStyle w:val="Style34"/>
        <w:keepNext w:val="0"/>
        <w:keepLines w:val="0"/>
        <w:widowControl w:val="0"/>
        <w:shd w:val="clear" w:color="auto" w:fill="auto"/>
        <w:bidi w:val="0"/>
        <w:spacing w:before="0" w:after="360" w:line="240" w:lineRule="auto"/>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日，本公司的预收款项被重分类至合同负债和其他流动负债。</w:t>
      </w:r>
    </w:p>
    <w:p>
      <w:pPr>
        <w:pStyle w:val="Style40"/>
        <w:keepNext/>
        <w:keepLines/>
        <w:widowControl w:val="0"/>
        <w:shd w:val="clear" w:color="auto" w:fill="auto"/>
        <w:bidi w:val="0"/>
        <w:spacing w:before="0" w:after="40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70"/>
      <w:bookmarkEnd w:id="1071"/>
      <w:bookmarkEnd w:id="1073"/>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日合并资产负债表的影响如下:</w:t>
      </w:r>
    </w:p>
    <w:tbl>
      <w:tblPr>
        <w:tblOverlap w:val="never"/>
        <w:jc w:val="center"/>
        <w:tblLayout w:type="fixed"/>
      </w:tblPr>
      <w:tblGrid>
        <w:gridCol w:w="2410"/>
        <w:gridCol w:w="2410"/>
        <w:gridCol w:w="2395"/>
        <w:gridCol w:w="247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1,274,671,255.83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1,392,257,895.92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-117,586,640.09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117,586,640.09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117,586,640.09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353,555,857.12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-353,555,857.12</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313,991,222.20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313,991,222.20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42,741,054.87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3,176,419.95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39,564,634.92</w:t>
            </w:r>
          </w:p>
        </w:tc>
      </w:tr>
    </w:tbl>
    <w:p>
      <w:pPr>
        <w:pStyle w:val="Style34"/>
        <w:keepNext w:val="0"/>
        <w:keepLines w:val="0"/>
        <w:widowControl w:val="0"/>
        <w:shd w:val="clear" w:color="auto" w:fill="auto"/>
        <w:bidi w:val="0"/>
        <w:spacing w:before="0" w:after="0" w:line="240" w:lineRule="auto"/>
        <w:ind w:left="0" w:right="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年度合并利润表的影响如下:</w:t>
      </w:r>
    </w:p>
    <w:tbl>
      <w:tblPr>
        <w:tblOverlap w:val="never"/>
        <w:jc w:val="center"/>
        <w:tblLayout w:type="fixed"/>
      </w:tblPr>
      <w:tblGrid>
        <w:gridCol w:w="2419"/>
        <w:gridCol w:w="2429"/>
        <w:gridCol w:w="2410"/>
        <w:gridCol w:w="242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-40,194,940.32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-40,831,852.18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636,911.86</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-14,624,046.67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-13,987,134.81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-636,911.86</w:t>
            </w:r>
          </w:p>
        </w:tc>
      </w:tr>
    </w:tbl>
    <w:p>
      <w:pPr>
        <w:spacing w:lineRule="exact" w:line="1"/>
        <w:rPr>
          <w:sz w:val="2"/>
          <w:szCs w:val="2"/>
        </w:rPr>
      </w:pPr>
      <w:r>
        <w:br w:type="page"/>
      </w:r>
    </w:p>
    <w:p>
      <w:pPr>
        <w:pStyle w:val="Style20"/>
        <w:keepNext/>
        <w:keepLines/>
        <w:widowControl w:val="0"/>
        <w:shd w:val="clear" w:color="auto" w:fill="auto"/>
        <w:bidi w:val="0"/>
        <w:spacing w:before="0" w:after="320" w:line="240" w:lineRule="auto"/>
        <w:ind w:left="0" w:right="0" w:firstLine="0"/>
        <w:jc w:val="both"/>
      </w:pPr>
      <w:bookmarkStart w:id="1074" w:name="bookmark1074"/>
      <w:bookmarkStart w:id="1075" w:name="bookmark1075"/>
      <w:bookmarkStart w:id="1076" w:name="bookmark1076"/>
      <w:bookmarkStart w:id="1077" w:name="bookmark1077"/>
      <w:r>
        <w:rPr>
          <w:color w:val="000000"/>
          <w:spacing w:val="0"/>
          <w:w w:val="100"/>
          <w:position w:val="0"/>
          <w:sz w:val="24"/>
          <w:szCs w:val="24"/>
        </w:rPr>
        <w:t>六</w:t>
      </w:r>
      <w:bookmarkEnd w:id="1076"/>
      <w:r>
        <w:rPr>
          <w:color w:val="000000"/>
          <w:spacing w:val="0"/>
          <w:w w:val="100"/>
          <w:position w:val="0"/>
          <w:sz w:val="24"/>
          <w:szCs w:val="24"/>
        </w:rPr>
        <w:t>、税项</w:t>
      </w:r>
      <w:bookmarkEnd w:id="1074"/>
      <w:bookmarkEnd w:id="1075"/>
      <w:bookmarkEnd w:id="1077"/>
    </w:p>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078" w:name="bookmark107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1078"/>
    </w:p>
    <w:tbl>
      <w:tblPr>
        <w:tblOverlap w:val="never"/>
        <w:jc w:val="center"/>
        <w:tblLayout w:type="fixed"/>
      </w:tblPr>
      <w:tblGrid>
        <w:gridCol w:w="1714"/>
        <w:gridCol w:w="4685"/>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应纳税额按应纳税销售额乘以适用税率扣除 当期允许抵扣的进项税后的余额计算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（简易征收）</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30"/>
        <w:keepNext/>
        <w:keepLines/>
        <w:widowControl w:val="0"/>
        <w:shd w:val="clear" w:color="auto" w:fill="auto"/>
        <w:bidi w:val="0"/>
        <w:spacing w:before="0" w:after="320" w:line="312" w:lineRule="exact"/>
        <w:ind w:left="0" w:right="0" w:firstLine="0"/>
        <w:jc w:val="both"/>
      </w:pPr>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79"/>
      <w:bookmarkEnd w:id="1080"/>
      <w:bookmarkEnd w:id="1081"/>
    </w:p>
    <w:p>
      <w:pPr>
        <w:pStyle w:val="Style34"/>
        <w:keepNext w:val="0"/>
        <w:keepLines w:val="0"/>
        <w:widowControl w:val="0"/>
        <w:numPr>
          <w:ilvl w:val="0"/>
          <w:numId w:val="63"/>
        </w:numPr>
        <w:shd w:val="clear" w:color="auto" w:fill="auto"/>
        <w:tabs>
          <w:tab w:pos="721" w:val="left"/>
        </w:tabs>
        <w:bidi w:val="0"/>
        <w:spacing w:before="0" w:after="0" w:line="312" w:lineRule="exact"/>
        <w:ind w:left="0" w:right="0"/>
        <w:jc w:val="both"/>
      </w:pPr>
      <w:bookmarkStart w:id="1082" w:name="bookmark1082"/>
      <w:bookmarkEnd w:id="1082"/>
      <w:r>
        <w:rPr>
          <w:color w:val="000000"/>
          <w:spacing w:val="0"/>
          <w:w w:val="100"/>
          <w:position w:val="0"/>
        </w:rPr>
        <w:t>本公司经成都市高新技术企业认定管理机构认定为高新技术企业，于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日重新取得 </w:t>
      </w:r>
      <w:r>
        <w:rPr>
          <w:rFonts w:ascii="Times New Roman" w:eastAsia="Times New Roman" w:hAnsi="Times New Roman" w:cs="Times New Roman"/>
          <w:color w:val="000000"/>
          <w:spacing w:val="0"/>
          <w:w w:val="100"/>
          <w:position w:val="0"/>
        </w:rPr>
        <w:t>“GR202051003716”</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年，本年度享受国家高新技术企业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4"/>
        <w:keepNext w:val="0"/>
        <w:keepLines w:val="0"/>
        <w:widowControl w:val="0"/>
        <w:numPr>
          <w:ilvl w:val="0"/>
          <w:numId w:val="63"/>
        </w:numPr>
        <w:shd w:val="clear" w:color="auto" w:fill="auto"/>
        <w:bidi w:val="0"/>
        <w:spacing w:before="0" w:after="0" w:line="312" w:lineRule="exact"/>
        <w:ind w:left="0" w:right="0"/>
        <w:jc w:val="both"/>
      </w:pPr>
      <w:bookmarkStart w:id="1083" w:name="bookmark1083"/>
      <w:bookmarkEnd w:id="1083"/>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本公司下属子公司成都卫士通信息安全技术有限公司依据</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201158</w:t>
      </w:r>
      <w:r>
        <w:rPr>
          <w:color w:val="000000"/>
          <w:spacing w:val="0"/>
          <w:w w:val="100"/>
          <w:position w:val="0"/>
        </w:rPr>
        <w:t>号《关于深入实施西部大开 发战略有关税收政策问题的通知》规定，自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日，享受设在西部地区的鼓励类 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34"/>
        <w:keepNext w:val="0"/>
        <w:keepLines w:val="0"/>
        <w:widowControl w:val="0"/>
        <w:numPr>
          <w:ilvl w:val="0"/>
          <w:numId w:val="63"/>
        </w:numPr>
        <w:shd w:val="clear" w:color="auto" w:fill="auto"/>
        <w:tabs>
          <w:tab w:pos="721" w:val="left"/>
        </w:tabs>
        <w:bidi w:val="0"/>
        <w:spacing w:before="0" w:after="0" w:line="312" w:lineRule="exact"/>
        <w:ind w:left="0" w:right="0"/>
        <w:jc w:val="both"/>
      </w:pPr>
      <w:bookmarkStart w:id="1084" w:name="bookmark1084"/>
      <w:bookmarkEnd w:id="1084"/>
      <w:r>
        <w:rPr>
          <w:color w:val="000000"/>
          <w:spacing w:val="0"/>
          <w:w w:val="100"/>
          <w:position w:val="0"/>
        </w:rPr>
        <w:t>本公司下属子公司成都三零瑞通移动通信有限公司经成都市高新技术企业认定管理机构认定为高新 技术企业，于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重新取得</w:t>
      </w:r>
      <w:r>
        <w:rPr>
          <w:rFonts w:ascii="Times New Roman" w:eastAsia="Times New Roman" w:hAnsi="Times New Roman" w:cs="Times New Roman"/>
          <w:color w:val="000000"/>
          <w:spacing w:val="0"/>
          <w:w w:val="100"/>
          <w:position w:val="0"/>
        </w:rPr>
        <w:t>“GR202051001434”</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年，本年度享受国家 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4"/>
        <w:keepNext w:val="0"/>
        <w:keepLines w:val="0"/>
        <w:widowControl w:val="0"/>
        <w:numPr>
          <w:ilvl w:val="0"/>
          <w:numId w:val="63"/>
        </w:numPr>
        <w:shd w:val="clear" w:color="auto" w:fill="auto"/>
        <w:tabs>
          <w:tab w:pos="716" w:val="left"/>
        </w:tabs>
        <w:bidi w:val="0"/>
        <w:spacing w:before="0" w:after="0" w:line="312" w:lineRule="exact"/>
        <w:ind w:left="0" w:right="0"/>
        <w:jc w:val="both"/>
      </w:pPr>
      <w:bookmarkStart w:id="1085" w:name="bookmark1085"/>
      <w:bookmarkEnd w:id="1085"/>
      <w:r>
        <w:rPr>
          <w:color w:val="000000"/>
          <w:spacing w:val="0"/>
          <w:w w:val="100"/>
          <w:position w:val="0"/>
        </w:rPr>
        <w:t>本公司下属子公司成都三零嘉微电子有限公司经成都市高新技术企业认定管理机构认定为高新技术 企业，于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重新取得</w:t>
      </w:r>
      <w:r>
        <w:rPr>
          <w:rFonts w:ascii="Times New Roman" w:eastAsia="Times New Roman" w:hAnsi="Times New Roman" w:cs="Times New Roman"/>
          <w:color w:val="000000"/>
          <w:spacing w:val="0"/>
          <w:w w:val="100"/>
          <w:position w:val="0"/>
        </w:rPr>
        <w:t>“GR202051000796”</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年，本年度享受国家高新 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4"/>
        <w:keepNext w:val="0"/>
        <w:keepLines w:val="0"/>
        <w:widowControl w:val="0"/>
        <w:numPr>
          <w:ilvl w:val="0"/>
          <w:numId w:val="63"/>
        </w:numPr>
        <w:shd w:val="clear" w:color="auto" w:fill="auto"/>
        <w:tabs>
          <w:tab w:pos="716" w:val="left"/>
        </w:tabs>
        <w:bidi w:val="0"/>
        <w:spacing w:before="0" w:after="0" w:line="312" w:lineRule="exact"/>
        <w:ind w:left="0" w:right="0"/>
        <w:jc w:val="both"/>
      </w:pPr>
      <w:bookmarkStart w:id="1086" w:name="bookmark1086"/>
      <w:bookmarkEnd w:id="1086"/>
      <w:r>
        <w:rPr>
          <w:color w:val="000000"/>
          <w:spacing w:val="0"/>
          <w:w w:val="100"/>
          <w:position w:val="0"/>
        </w:rPr>
        <w:t>本公司下属子公司中电科（北京）网络信息安全有限公司经北京市高新技术企业认定管理机构认定 为高新技术企业，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日重新取得</w:t>
      </w:r>
      <w:r>
        <w:rPr>
          <w:rFonts w:ascii="Times New Roman" w:eastAsia="Times New Roman" w:hAnsi="Times New Roman" w:cs="Times New Roman"/>
          <w:color w:val="000000"/>
          <w:spacing w:val="0"/>
          <w:w w:val="100"/>
          <w:position w:val="0"/>
        </w:rPr>
        <w:t>“GR201911007042”</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年，本年度享 受国家高新技术企业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4"/>
        <w:keepNext w:val="0"/>
        <w:keepLines w:val="0"/>
        <w:widowControl w:val="0"/>
        <w:numPr>
          <w:ilvl w:val="0"/>
          <w:numId w:val="63"/>
        </w:numPr>
        <w:shd w:val="clear" w:color="auto" w:fill="auto"/>
        <w:tabs>
          <w:tab w:pos="716" w:val="left"/>
        </w:tabs>
        <w:bidi w:val="0"/>
        <w:spacing w:before="0" w:after="160" w:line="312" w:lineRule="exact"/>
        <w:ind w:left="0" w:right="0"/>
        <w:jc w:val="both"/>
      </w:pPr>
      <w:bookmarkStart w:id="1087" w:name="bookmark1087"/>
      <w:bookmarkEnd w:id="1087"/>
      <w:r>
        <w:rPr>
          <w:color w:val="000000"/>
          <w:spacing w:val="0"/>
          <w:w w:val="100"/>
          <w:position w:val="0"/>
        </w:rPr>
        <w:t>本公司下属子公司中电科（天津）网络信息安全有限公司经天津市高新技术企业认定管理机构认定 为高新技术企业，于</w:t>
      </w:r>
      <w:r>
        <w:rPr>
          <w:rFonts w:ascii="Times New Roman" w:eastAsia="Times New Roman" w:hAnsi="Times New Roman" w:cs="Times New Roman"/>
          <w:color w:val="000000"/>
          <w:spacing w:val="0"/>
          <w:w w:val="100"/>
          <w:position w:val="0"/>
        </w:rPr>
        <w:t>2018</w:t>
      </w:r>
      <w:r>
        <w:rPr>
          <w:color w:val="000000"/>
          <w:spacing w:val="0"/>
          <w:w w:val="100"/>
          <w:position w:val="0"/>
        </w:rPr>
        <w:t>年取得</w:t>
      </w:r>
      <w:r>
        <w:rPr>
          <w:rFonts w:ascii="Times New Roman" w:eastAsia="Times New Roman" w:hAnsi="Times New Roman" w:cs="Times New Roman"/>
          <w:color w:val="000000"/>
          <w:spacing w:val="0"/>
          <w:w w:val="100"/>
          <w:position w:val="0"/>
        </w:rPr>
        <w:t>“GR201812001680”</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至</w:t>
      </w:r>
      <w:r>
        <w:rPr>
          <w:rFonts w:ascii="Times New Roman" w:eastAsia="Times New Roman" w:hAnsi="Times New Roman" w:cs="Times New Roman"/>
          <w:color w:val="000000"/>
          <w:spacing w:val="0"/>
          <w:w w:val="100"/>
          <w:position w:val="0"/>
        </w:rPr>
        <w:t>2020</w:t>
      </w:r>
      <w:r>
        <w:rPr>
          <w:color w:val="000000"/>
          <w:spacing w:val="0"/>
          <w:w w:val="100"/>
          <w:position w:val="0"/>
        </w:rPr>
        <w:t>年度享 受国家高新技术企业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的所得税税率。</w:t>
      </w:r>
    </w:p>
    <w:p>
      <w:pPr>
        <w:pStyle w:val="Style34"/>
        <w:keepNext w:val="0"/>
        <w:keepLines w:val="0"/>
        <w:widowControl w:val="0"/>
        <w:numPr>
          <w:ilvl w:val="0"/>
          <w:numId w:val="63"/>
        </w:numPr>
        <w:shd w:val="clear" w:color="auto" w:fill="auto"/>
        <w:bidi w:val="0"/>
        <w:spacing w:before="0" w:after="440" w:line="331" w:lineRule="exact"/>
        <w:ind w:left="0" w:right="0"/>
        <w:jc w:val="both"/>
      </w:pPr>
      <w:bookmarkStart w:id="1088" w:name="bookmark1088"/>
      <w:bookmarkEnd w:id="1088"/>
      <w:r>
        <w:rPr>
          <w:color w:val="000000"/>
          <w:spacing w:val="0"/>
          <w:w w:val="100"/>
          <w:position w:val="0"/>
        </w:rPr>
        <w:t>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号《财政部、国家税务总局关于软件产品增值税政策的通知》文件，本公司及下 属其他子公司销售软件产品享受增值税即征即退政策。</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val="0"/>
        <w:keepLines w:val="0"/>
        <w:widowControl w:val="0"/>
        <w:shd w:val="clear" w:color="auto" w:fill="auto"/>
        <w:bidi w:val="0"/>
        <w:spacing w:before="0" w:after="320" w:line="317" w:lineRule="exact"/>
        <w:ind w:left="0" w:right="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011]100</w:t>
      </w:r>
      <w:r>
        <w:rPr>
          <w:color w:val="000000"/>
          <w:spacing w:val="0"/>
          <w:w w:val="100"/>
          <w:position w:val="0"/>
        </w:rPr>
        <w:t>号《财政部、国家税务总局关于软件产品增值税政策的通知》文件，除上海卫士通 网络安全有限公司、</w:t>
      </w:r>
      <w:r>
        <w:rPr>
          <w:color w:val="000000"/>
          <w:spacing w:val="0"/>
          <w:w w:val="100"/>
          <w:position w:val="0"/>
          <w:sz w:val="17"/>
          <w:szCs w:val="17"/>
        </w:rPr>
        <w:t>卫士通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网络安全技术有限公司</w:t>
      </w:r>
      <w:r>
        <w:rPr>
          <w:color w:val="000000"/>
          <w:spacing w:val="0"/>
          <w:w w:val="100"/>
          <w:position w:val="0"/>
        </w:rPr>
        <w:t>外，本公司及下属其他子公司销售软件产品享受增值 税即征即退政策。本报告期公司收到软件增值税退税</w:t>
      </w:r>
      <w:r>
        <w:rPr>
          <w:rFonts w:ascii="Times New Roman" w:eastAsia="Times New Roman" w:hAnsi="Times New Roman" w:cs="Times New Roman"/>
          <w:color w:val="000000"/>
          <w:spacing w:val="0"/>
          <w:w w:val="100"/>
          <w:position w:val="0"/>
        </w:rPr>
        <w:t>30,914,604.88</w:t>
      </w:r>
      <w:r>
        <w:rPr>
          <w:color w:val="000000"/>
          <w:spacing w:val="0"/>
          <w:w w:val="100"/>
          <w:position w:val="0"/>
        </w:rPr>
        <w:t>元，计入其他收益项目，增加公司当期 损益</w:t>
      </w:r>
      <w:r>
        <w:rPr>
          <w:rFonts w:ascii="Times New Roman" w:eastAsia="Times New Roman" w:hAnsi="Times New Roman" w:cs="Times New Roman"/>
          <w:color w:val="000000"/>
          <w:spacing w:val="0"/>
          <w:w w:val="100"/>
          <w:position w:val="0"/>
        </w:rPr>
        <w:t xml:space="preserve">30,914,604.88 </w:t>
      </w:r>
      <w:r>
        <w:rPr>
          <w:color w:val="000000"/>
          <w:spacing w:val="0"/>
          <w:w w:val="100"/>
          <w:position w:val="0"/>
        </w:rPr>
        <w:t>元。</w:t>
      </w:r>
    </w:p>
    <w:p>
      <w:pPr>
        <w:pStyle w:val="Style20"/>
        <w:keepNext/>
        <w:keepLines/>
        <w:widowControl w:val="0"/>
        <w:shd w:val="clear" w:color="auto" w:fill="auto"/>
        <w:bidi w:val="0"/>
        <w:spacing w:before="0" w:after="32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sz w:val="24"/>
          <w:szCs w:val="24"/>
        </w:rPr>
        <w:t>七</w:t>
      </w:r>
      <w:bookmarkEnd w:id="1091"/>
      <w:r>
        <w:rPr>
          <w:color w:val="000000"/>
          <w:spacing w:val="0"/>
          <w:w w:val="100"/>
          <w:position w:val="0"/>
          <w:sz w:val="24"/>
          <w:szCs w:val="24"/>
        </w:rPr>
        <w:t>、合并财务报表项目注释</w:t>
      </w:r>
      <w:bookmarkEnd w:id="1089"/>
      <w:bookmarkEnd w:id="1090"/>
      <w:bookmarkEnd w:id="1092"/>
    </w:p>
    <w:p>
      <w:pPr>
        <w:pStyle w:val="Style30"/>
        <w:keepNext/>
        <w:keepLines/>
        <w:widowControl w:val="0"/>
        <w:shd w:val="clear" w:color="auto" w:fill="auto"/>
        <w:bidi w:val="0"/>
        <w:spacing w:before="0" w:after="380" w:line="317" w:lineRule="exact"/>
        <w:ind w:left="0" w:right="0" w:firstLine="0"/>
        <w:jc w:val="left"/>
      </w:pPr>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93"/>
      <w:bookmarkEnd w:id="1094"/>
      <w:bookmarkEnd w:id="109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125,229.22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1,960,389219.42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1,487,799,000.95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24,856,544.63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11,620,834.83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1,985,273,734.86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1,499,545,065.00</w:t>
            </w:r>
          </w:p>
        </w:tc>
      </w:tr>
    </w:tbl>
    <w:p>
      <w:pPr>
        <w:widowControl w:val="0"/>
        <w:spacing w:after="99" w:line="1" w:lineRule="exact"/>
      </w:pP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40" w:line="312" w:lineRule="exact"/>
        <w:ind w:left="440" w:right="0" w:firstLine="0"/>
        <w:jc w:val="both"/>
      </w:pPr>
      <w:r>
        <w:rPr>
          <w:color w:val="000000"/>
          <w:spacing w:val="0"/>
          <w:w w:val="100"/>
          <w:position w:val="0"/>
        </w:rPr>
        <w:t>其中：截至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日，存放于中国电子科技财务有限公司资金</w:t>
      </w:r>
      <w:r>
        <w:rPr>
          <w:rFonts w:ascii="Times New Roman" w:eastAsia="Times New Roman" w:hAnsi="Times New Roman" w:cs="Times New Roman"/>
          <w:color w:val="000000"/>
          <w:spacing w:val="0"/>
          <w:w w:val="100"/>
          <w:position w:val="0"/>
        </w:rPr>
        <w:t>1,210,888,426.92</w:t>
      </w:r>
      <w:r>
        <w:rPr>
          <w:color w:val="000000"/>
          <w:spacing w:val="0"/>
          <w:w w:val="100"/>
          <w:position w:val="0"/>
        </w:rPr>
        <w:t>元。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日，本公司受限制的货币资金明细如下：</w:t>
      </w:r>
    </w:p>
    <w:tbl>
      <w:tblPr>
        <w:tblOverlap w:val="never"/>
        <w:jc w:val="center"/>
        <w:tblLayout w:type="fixed"/>
      </w:tblPr>
      <w:tblGrid>
        <w:gridCol w:w="3226"/>
        <w:gridCol w:w="3230"/>
        <w:gridCol w:w="323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9,360,212.32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3,343,314.80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15,496,332.31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8,277,520.03</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24,856,544.63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11,620,834.83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96"/>
      <w:bookmarkEnd w:id="1097"/>
      <w:bookmarkEnd w:id="1098"/>
    </w:p>
    <w:p>
      <w:pPr>
        <w:pStyle w:val="Style40"/>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99"/>
      <w:bookmarkEnd w:id="1100"/>
      <w:bookmarkEnd w:id="110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33,035,544.89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7,454,381.99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438,125,481.00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538,647,487.70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471,161,025.89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546,101,869.69</w:t>
            </w:r>
          </w:p>
        </w:tc>
      </w:tr>
    </w:tbl>
    <w:p>
      <w:pPr>
        <w:pStyle w:val="Style24"/>
        <w:keepNext w:val="0"/>
        <w:keepLines w:val="0"/>
        <w:widowControl w:val="0"/>
        <w:shd w:val="clear" w:color="auto" w:fill="auto"/>
        <w:bidi w:val="0"/>
        <w:spacing w:before="0" w:after="40" w:line="341" w:lineRule="exact"/>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20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color w:val="000000"/>
          <w:spacing w:val="0"/>
          <w:w w:val="100"/>
          <w:position w:val="0"/>
        </w:rPr>
        <w:t>、应收账款</w:t>
      </w:r>
      <w:bookmarkEnd w:id="1102"/>
      <w:bookmarkEnd w:id="1103"/>
      <w:bookmarkEnd w:id="1105"/>
    </w:p>
    <w:p>
      <w:pPr>
        <w:pStyle w:val="Style40"/>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06"/>
      <w:bookmarkEnd w:id="1107"/>
      <w:bookmarkEnd w:id="110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44,595,1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297,844,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1,274,671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1,687,629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265,777,9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1,421,8512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297,844,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1,274,671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1,687,629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265,777,9</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1,421,8512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1,617,111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342,440,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1,274,671</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1,729,985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308,133,8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1,421,851,2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44,595,153.98</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2270"/>
        <w:gridCol w:w="1982"/>
        <w:gridCol w:w="998"/>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计提理由</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陕西国城数据科技有限公司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30,866,313.64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30,866,313.64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国创科视科技股份有限公司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杭州长江汽车有限公司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郑州英创电子技术有限公司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山西清华网络系统工程公司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r>
              <w:rPr>
                <w:rFonts w:ascii="Times New Roman" w:eastAsia="Times New Roman" w:hAnsi="Times New Roman" w:cs="Times New Roman"/>
                <w:color w:val="000000"/>
                <w:spacing w:val="0"/>
                <w:w w:val="100"/>
                <w:position w:val="0"/>
                <w:sz w:val="18"/>
                <w:szCs w:val="18"/>
              </w:rPr>
              <w:t>DZ</w:t>
            </w:r>
            <w:r>
              <w:rPr>
                <w:color w:val="000000"/>
                <w:spacing w:val="0"/>
                <w:w w:val="100"/>
                <w:position w:val="0"/>
              </w:rPr>
              <w:t>网巴中管理中心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北京天地迅达信息技术开发中心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北京星华岳科技发展有限公司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中国地震局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云南官房电子科技有限公司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四川千一得科技有限公司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中国海监总队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成都神迈商贸有限公司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深圳市科技和信息局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bl>
    <w:p>
      <w:pPr>
        <w:widowControl w:val="0"/>
        <w:spacing w:line="1" w:lineRule="exact"/>
      </w:pPr>
      <w:r>
        <w:br w:type="page"/>
      </w:r>
    </w:p>
    <w:tbl>
      <w:tblPr>
        <w:tblOverlap w:val="never"/>
        <w:jc w:val="center"/>
        <w:tblLayout w:type="fixed"/>
      </w:tblPr>
      <w:tblGrid>
        <w:gridCol w:w="3130"/>
        <w:gridCol w:w="2270"/>
        <w:gridCol w:w="1982"/>
        <w:gridCol w:w="998"/>
        <w:gridCol w:w="122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昊华宇航化工有限责任公司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w:t>
            </w:r>
            <w:r>
              <w:rPr>
                <w:rFonts w:ascii="Times New Roman" w:eastAsia="Times New Roman" w:hAnsi="Times New Roman" w:cs="Times New Roman"/>
                <w:color w:val="000000"/>
                <w:spacing w:val="0"/>
                <w:w w:val="100"/>
                <w:position w:val="0"/>
                <w:sz w:val="18"/>
                <w:szCs w:val="18"/>
              </w:rPr>
              <w:t>XX</w:t>
            </w: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北京创原天地科技有限公司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中共广东政法委员会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北京中电普华信息技术有限公司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农行西藏区分行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成都信腾科技服务有限公司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r>
              <w:rPr>
                <w:rFonts w:ascii="Times New Roman" w:eastAsia="Times New Roman" w:hAnsi="Times New Roman" w:cs="Times New Roman"/>
                <w:color w:val="000000"/>
                <w:spacing w:val="0"/>
                <w:w w:val="100"/>
                <w:position w:val="0"/>
                <w:sz w:val="18"/>
                <w:szCs w:val="18"/>
              </w:rPr>
              <w:t>DZ</w:t>
            </w:r>
            <w:r>
              <w:rPr>
                <w:color w:val="000000"/>
                <w:spacing w:val="0"/>
                <w:w w:val="100"/>
                <w:position w:val="0"/>
              </w:rPr>
              <w:t>网南充管理中心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成都市华锋电子有限公司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预计难以收回</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44,595,153.98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44,595,153.98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1,572,516,129.65</w:t>
      </w:r>
    </w:p>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781,733,208.04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37,144,540.22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342,586,856.76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45,733,004.</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185,849,203.45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46,857,870.05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143,945,206.18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62,467,330.20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52,771273.42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40,011,747.43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65,630,381.80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65,630,381.80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1,572,516,129.65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297,844,873.82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本公司对在单项工具层面能以合理成本评估预期信用损失的充分证据的应收账款单独确定其信用损 失。</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center"/>
        <w:tblLayout w:type="fixed"/>
      </w:tblPr>
      <w:tblGrid>
        <w:gridCol w:w="1531"/>
        <w:gridCol w:w="5069"/>
        <w:gridCol w:w="3086"/>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本公司根据以往的历史经验对应收款项预期信用损失计提比例作 出合理估计，参考应收款项的账龄进行信用风险组合分类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按账龄与整个存续期预期信用损失率 对照表计提</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73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2280"/>
        <w:gridCol w:w="73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781,733,208.04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342,586,856.76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185,849,203.45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306,942,015.38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186,645,272.45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53,181,759.48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67,114,983.45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1,617,111,283.63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9"/>
      <w:bookmarkEnd w:id="1110"/>
      <w:bookmarkEnd w:id="111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282"/>
        <w:gridCol w:w="1421"/>
        <w:gridCol w:w="1133"/>
        <w:gridCol w:w="706"/>
        <w:gridCol w:w="701"/>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单项计提预期信用损失的应收账款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42,355,973.29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44,595,153.98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按组合计提预期信用损失的应收账款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265,777,917.42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32,066,956.40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297,844,873.82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308,133,890.71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34,311,195.09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342,440,027.80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112" w:name="bookmark1112"/>
      <w:bookmarkStart w:id="1113" w:name="bookmark1113"/>
      <w:bookmarkStart w:id="1114" w:name="bookmark1114"/>
      <w:r>
        <w:rPr>
          <w:color w:val="000000"/>
          <w:spacing w:val="0"/>
          <w:w w:val="100"/>
          <w:position w:val="0"/>
        </w:rPr>
        <w:t>⑶按欠款方归集的期末余额前五名的应收账款情况</w:t>
      </w:r>
      <w:bookmarkEnd w:id="1112"/>
      <w:bookmarkEnd w:id="1113"/>
      <w:bookmarkEnd w:id="111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2539"/>
        <w:gridCol w:w="2530"/>
        <w:gridCol w:w="25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233,498,383.42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11,394,260.80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66,838,542.92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7,194,992.49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60,879,177.69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14,733,113.30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30,866,313.64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30,866,313.64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26,769,862.12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4,198,542.79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418,852,279.79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4</w:t>
      </w:r>
      <w:bookmarkEnd w:id="1117"/>
      <w:r>
        <w:rPr>
          <w:color w:val="000000"/>
          <w:spacing w:val="0"/>
          <w:w w:val="100"/>
          <w:position w:val="0"/>
        </w:rPr>
        <w:t>、预付款项</w:t>
      </w:r>
      <w:bookmarkEnd w:id="1115"/>
      <w:bookmarkEnd w:id="1116"/>
      <w:bookmarkEnd w:id="1118"/>
    </w:p>
    <w:p>
      <w:pPr>
        <w:pStyle w:val="Style40"/>
        <w:keepNext/>
        <w:keepLines/>
        <w:widowControl w:val="0"/>
        <w:shd w:val="clear" w:color="auto" w:fill="auto"/>
        <w:bidi w:val="0"/>
        <w:spacing w:before="0" w:after="380" w:line="240" w:lineRule="auto"/>
        <w:ind w:left="0" w:right="0" w:firstLine="0"/>
        <w:jc w:val="left"/>
      </w:pPr>
      <w:bookmarkStart w:id="1119" w:name="bookmark1119"/>
      <w:bookmarkStart w:id="1120" w:name="bookmark1120"/>
      <w:bookmarkStart w:id="1121" w:name="bookmark1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9"/>
      <w:bookmarkEnd w:id="1120"/>
      <w:bookmarkEnd w:id="112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3826"/>
        <w:gridCol w:w="38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1925"/>
        <w:gridCol w:w="1906"/>
        <w:gridCol w:w="1925"/>
        <w:gridCol w:w="193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35,689,814.70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81,377,623.20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15,022,745.45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6,278,591.06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7,679,474.86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4,099,591.35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3,292,677.83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55,695,454.55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98,628,366.95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2899"/>
        <w:gridCol w:w="2256"/>
        <w:gridCol w:w="2261"/>
        <w:gridCol w:w="227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未及时结算原因</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9,169,402.25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2,006,312.00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747,480.00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620,400.00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13,143,594.25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140"/>
        <w:jc w:val="left"/>
      </w:pPr>
      <w:bookmarkStart w:id="1122" w:name="bookmark1122"/>
      <w:bookmarkStart w:id="1123" w:name="bookmark1123"/>
      <w:bookmarkStart w:id="1124" w:name="bookmark11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2"/>
      <w:bookmarkEnd w:id="1123"/>
      <w:bookmarkEnd w:id="1124"/>
    </w:p>
    <w:tbl>
      <w:tblPr>
        <w:tblOverlap w:val="never"/>
        <w:jc w:val="center"/>
        <w:tblLayout w:type="fixed"/>
      </w:tblPr>
      <w:tblGrid>
        <w:gridCol w:w="2899"/>
        <w:gridCol w:w="1502"/>
        <w:gridCol w:w="1498"/>
        <w:gridCol w:w="1507"/>
        <w:gridCol w:w="2280"/>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占预付款项总额的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9,169,402.25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2,006,312.00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23,308,314.25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5</w:t>
      </w:r>
      <w:bookmarkEnd w:id="1127"/>
      <w:r>
        <w:rPr>
          <w:color w:val="000000"/>
          <w:spacing w:val="0"/>
          <w:w w:val="100"/>
          <w:position w:val="0"/>
        </w:rPr>
        <w:t>、其他应收款</w:t>
      </w:r>
      <w:bookmarkEnd w:id="1125"/>
      <w:bookmarkEnd w:id="1126"/>
      <w:bookmarkEnd w:id="112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74,872,967.47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64,421,456.20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74,872,967.47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64,421,456.20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29"/>
      <w:bookmarkEnd w:id="1130"/>
      <w:bookmarkEnd w:id="1131"/>
    </w:p>
    <w:p>
      <w:pPr>
        <w:pStyle w:val="Style79"/>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32"/>
      <w:bookmarkEnd w:id="1133"/>
      <w:bookmarkEnd w:id="113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80,328230.38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60,089,740.07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4,864,932.97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6,004,292.62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1,393,356.87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735,824.39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10,051,308.84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13,467,657.48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96,637,829.06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80297,514.56</w:t>
            </w:r>
          </w:p>
        </w:tc>
      </w:tr>
    </w:tbl>
    <w:p>
      <w:pPr>
        <w:widowControl w:val="0"/>
        <w:spacing w:after="319" w:line="1" w:lineRule="exact"/>
      </w:pPr>
    </w:p>
    <w:p>
      <w:pPr>
        <w:pStyle w:val="Style79"/>
        <w:keepNext/>
        <w:keepLines/>
        <w:widowControl w:val="0"/>
        <w:shd w:val="clear" w:color="auto" w:fill="auto"/>
        <w:bidi w:val="0"/>
        <w:spacing w:before="0" w:after="400" w:line="240" w:lineRule="auto"/>
        <w:ind w:left="0" w:right="0" w:firstLine="0"/>
        <w:jc w:val="left"/>
      </w:pPr>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35"/>
      <w:bookmarkEnd w:id="1136"/>
      <w:bookmarkEnd w:id="113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80"/>
        <w:gridCol w:w="1301"/>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1,532,402.65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13,811,416.35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15,876,058.36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-790,941.96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1,317,697.72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4,639,755.51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5,957,453.23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2,059,158.41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19242,113.82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463,589.36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21,764,861.59</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46,478291.95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16288,076.73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10,143,325.05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23,728,135.33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15,138214.41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3,716,157.09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4,873,763.83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96,637,829.06</w:t>
            </w:r>
          </w:p>
        </w:tc>
      </w:tr>
    </w:tbl>
    <w:p>
      <w:pPr>
        <w:widowControl w:val="0"/>
        <w:spacing w:after="319" w:line="1" w:lineRule="exact"/>
      </w:pPr>
    </w:p>
    <w:p>
      <w:pPr>
        <w:pStyle w:val="Style79"/>
        <w:keepNext/>
        <w:keepLines/>
        <w:widowControl w:val="0"/>
        <w:shd w:val="clear" w:color="auto" w:fill="auto"/>
        <w:bidi w:val="0"/>
        <w:spacing w:before="0" w:after="40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color w:val="000000"/>
          <w:spacing w:val="0"/>
          <w:w w:val="100"/>
          <w:position w:val="0"/>
        </w:rPr>
        <w:t>）本期计提、收回或转回的坏账准备情况</w:t>
      </w:r>
      <w:bookmarkEnd w:id="1138"/>
      <w:bookmarkEnd w:id="1139"/>
      <w:bookmarkEnd w:id="114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30"/>
        <w:gridCol w:w="1138"/>
        <w:gridCol w:w="3590"/>
        <w:gridCol w:w="1733"/>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3130"/>
        <w:gridCol w:w="1133"/>
        <w:gridCol w:w="1142"/>
        <w:gridCol w:w="994"/>
        <w:gridCol w:w="710"/>
        <w:gridCol w:w="744"/>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单项计提预期信用损失的其他应收款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532,239.36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463,589.36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按组合计提预期信用损失的其他应收款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15,343,819.00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5,957,453.23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21,301272.23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15,876,058.36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5,957,453.23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21,764,861.59</w:t>
            </w:r>
          </w:p>
        </w:tc>
      </w:tr>
    </w:tbl>
    <w:p>
      <w:pPr>
        <w:pStyle w:val="Style82"/>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本期计提坏账准备金额</w:t>
      </w:r>
      <w:r>
        <w:rPr>
          <w:color w:val="000000"/>
          <w:spacing w:val="0"/>
          <w:w w:val="100"/>
          <w:position w:val="0"/>
        </w:rPr>
        <w:t>5,957,453.23</w:t>
      </w:r>
      <w:r>
        <w:rPr>
          <w:rFonts w:ascii="SimSun" w:eastAsia="SimSun" w:hAnsi="SimSun" w:cs="SimSun"/>
          <w:color w:val="000000"/>
          <w:spacing w:val="0"/>
          <w:w w:val="100"/>
          <w:position w:val="0"/>
        </w:rPr>
        <w:t>元；本期收回或转回坏账准备金额为</w:t>
      </w:r>
      <w:r>
        <w:rPr>
          <w:color w:val="000000"/>
          <w:spacing w:val="0"/>
          <w:w w:val="100"/>
          <w:position w:val="0"/>
        </w:rPr>
        <w:t>68,650.</w:t>
      </w:r>
      <w:r>
        <w:rPr>
          <w:color w:val="000000"/>
          <w:spacing w:val="0"/>
          <w:w w:val="100"/>
          <w:position w:val="0"/>
        </w:rPr>
        <w:t>00</w:t>
      </w:r>
      <w:r>
        <w:rPr>
          <w:rFonts w:ascii="SimSun" w:eastAsia="SimSun" w:hAnsi="SimSun" w:cs="SimSun"/>
          <w:color w:val="000000"/>
          <w:spacing w:val="0"/>
          <w:w w:val="100"/>
          <w:position w:val="0"/>
        </w:rPr>
        <w:t>元。</w:t>
      </w:r>
    </w:p>
    <w:p>
      <w:pPr>
        <w:pStyle w:val="Style79"/>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4</w:t>
      </w:r>
      <w:bookmarkEnd w:id="1144"/>
      <w:r>
        <w:rPr>
          <w:color w:val="000000"/>
          <w:spacing w:val="0"/>
          <w:w w:val="100"/>
          <w:position w:val="0"/>
        </w:rPr>
        <w:t>）按欠款方归集的期末余额前五名的其他应收款情况</w:t>
      </w:r>
      <w:bookmarkEnd w:id="1142"/>
      <w:bookmarkEnd w:id="1143"/>
      <w:bookmarkEnd w:id="1145"/>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133"/>
        <w:gridCol w:w="1709"/>
        <w:gridCol w:w="2693"/>
        <w:gridCol w:w="1594"/>
        <w:gridCol w:w="160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5,688,940.00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284,447.00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3,849,582.00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1,924,791.00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3,368,150.00</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33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89200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3278950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332,355.00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20,930,672.00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2,942,793.00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6</w:t>
      </w:r>
      <w:bookmarkEnd w:id="1148"/>
      <w:r>
        <w:rPr>
          <w:color w:val="000000"/>
          <w:spacing w:val="0"/>
          <w:w w:val="100"/>
          <w:position w:val="0"/>
        </w:rPr>
        <w:t>、存货</w:t>
      </w:r>
      <w:bookmarkEnd w:id="1146"/>
      <w:bookmarkEnd w:id="1147"/>
      <w:bookmarkEnd w:id="114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0"/>
      <w:bookmarkEnd w:id="1151"/>
      <w:bookmarkEnd w:id="115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94,793 2 30.41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10,775,330.67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84,017,899.74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76,320,606.26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3,633,401.60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72,687204.66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137,887,755.66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137,602,501.38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88277,537.75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87,992283.47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49,043,041.86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5,220,449.29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43,822,592.57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41,325,559.13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3,751,581.50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37,573,977.63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196,242.49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196,242.49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137,739.30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137,739.30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200,395,176.67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9,088,594.19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191,306,582.48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81,090,743.09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6,571,817.70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74,518,925.39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20,959,879.00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4,403,338.70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16,556,540.30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19,867,136.72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3,550,739.45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16,316,397.27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1,991,150.40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1,991,150.40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1,286,645.65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1,286,645.65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505,266,476.49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29,772,967.13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475,493,509.36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308,305,967.90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17,792,794.53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290,513,173.37</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140"/>
        <w:jc w:val="left"/>
      </w:pPr>
      <w:bookmarkStart w:id="1153" w:name="bookmark1153"/>
      <w:bookmarkStart w:id="1154" w:name="bookmark1154"/>
      <w:bookmarkStart w:id="1155" w:name="bookmark1155"/>
      <w:r>
        <w:rPr>
          <w:color w:val="000000"/>
          <w:spacing w:val="0"/>
          <w:w w:val="100"/>
          <w:position w:val="0"/>
        </w:rPr>
        <w:t>⑵存货跌价准备和合同履约成本减值准备</w:t>
      </w:r>
      <w:bookmarkEnd w:id="1153"/>
      <w:bookmarkEnd w:id="1154"/>
      <w:bookmarkEnd w:id="115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3,633,401.60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7,889,478.83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10,775,330.67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285,254 28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285,254.28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3,751,581.50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1,468,867.79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5,220,449.29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6,571,817.70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2,547,117.03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9,088,594.19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3,550,739.45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2,081,671.16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4,403,338.70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17,792,794.53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13,987,134.81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2,006,962.21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29,772,967.13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7</w:t>
      </w:r>
      <w:bookmarkEnd w:id="1158"/>
      <w:r>
        <w:rPr>
          <w:color w:val="000000"/>
          <w:spacing w:val="0"/>
          <w:w w:val="100"/>
          <w:position w:val="0"/>
        </w:rPr>
        <w:t>、合同资产</w:t>
      </w:r>
      <w:bookmarkEnd w:id="1156"/>
      <w:bookmarkEnd w:id="1157"/>
      <w:bookmarkEnd w:id="115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50"/>
        <w:gridCol w:w="1186"/>
        <w:gridCol w:w="1334"/>
        <w:gridCol w:w="1205"/>
        <w:gridCol w:w="1186"/>
        <w:gridCol w:w="1200"/>
        <w:gridCol w:w="13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121,900,749.64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5,707,284.65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116,193,464.99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103,209,747.30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5,315,301.99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97,894,445.31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1,638,104.30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244,929.20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1,393,175.10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123,538,853.94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5,952,213.85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117,586,640.09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103,209,747.30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5,315,301.99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97,894,445.31</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本期合同资产计提减值准备情况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8</w:t>
      </w:r>
      <w:bookmarkEnd w:id="1162"/>
      <w:r>
        <w:rPr>
          <w:color w:val="000000"/>
          <w:spacing w:val="0"/>
          <w:w w:val="100"/>
          <w:position w:val="0"/>
        </w:rPr>
        <w:t>、其他流动资产</w:t>
      </w:r>
      <w:bookmarkEnd w:id="1160"/>
      <w:bookmarkEnd w:id="1161"/>
      <w:bookmarkEnd w:id="116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91,697,010.73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70,344,355.49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214,728.33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391,102.75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91,911,739.06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70,735,458.24</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9</w:t>
      </w:r>
      <w:bookmarkEnd w:id="1166"/>
      <w:r>
        <w:rPr>
          <w:color w:val="000000"/>
          <w:spacing w:val="0"/>
          <w:w w:val="100"/>
          <w:position w:val="0"/>
        </w:rPr>
        <w:t>、长期股权投资</w:t>
      </w:r>
      <w:bookmarkEnd w:id="1164"/>
      <w:bookmarkEnd w:id="1165"/>
      <w:bookmarkEnd w:id="116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54"/>
        <w:gridCol w:w="994"/>
        <w:gridCol w:w="422"/>
        <w:gridCol w:w="854"/>
        <w:gridCol w:w="994"/>
        <w:gridCol w:w="566"/>
        <w:gridCol w:w="854"/>
        <w:gridCol w:w="706"/>
        <w:gridCol w:w="470"/>
        <w:gridCol w:w="792"/>
        <w:gridCol w:w="81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 xml:space="preserve">期初余额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 xml:space="preserve">期末余额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成都摩宝网络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280,618.4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20,89422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成都市数字城 市运营管理有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30,162,13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工业信息安全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（四川）创新中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7,391,370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29,000,000.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652,099.4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58,447,72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29,000,000.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652,099.4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58,447,72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168"/>
      <w:bookmarkEnd w:id="1169"/>
      <w:bookmarkEnd w:id="117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四川兴政信息技术有限公司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2,528,373.48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深圳市虹安信息安全技术有限公司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2,528,373.48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715"/>
        <w:gridCol w:w="1142"/>
        <w:gridCol w:w="989"/>
        <w:gridCol w:w="1003"/>
        <w:gridCol w:w="1834"/>
        <w:gridCol w:w="1080"/>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确认的 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其他综合收 益转入留存 收益的金额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指定为以公允价值计 量且其变动计入其他 综合收益的原因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其他综合收 益转入留存 收益的原因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四川兴政信息技术有限公司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1,000,237.99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深圳市虹安信息安全技术有限公司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长期持有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72"/>
      <w:bookmarkEnd w:id="1173"/>
      <w:bookmarkEnd w:id="117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316,104,932.94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309,875,547.72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316,104,932.94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309,875,547.72</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176" w:name="bookmark1176"/>
      <w:bookmarkStart w:id="1177" w:name="bookmark1177"/>
      <w:bookmarkStart w:id="1178" w:name="bookmark11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6"/>
      <w:bookmarkEnd w:id="1177"/>
      <w:bookmarkEnd w:id="117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80"/>
        <w:gridCol w:w="1272"/>
        <w:gridCol w:w="1142"/>
        <w:gridCol w:w="1272"/>
        <w:gridCol w:w="1286"/>
        <w:gridCol w:w="1128"/>
        <w:gridCol w:w="121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268,849,005.31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78 2 99,175.29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14,910,533.56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125,008,331.26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6,931,892.74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493,998,938.16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41,871.68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40,650,687.92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287,066.86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40,979,626.46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41,871.68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26,961,967.02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287,066.86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27,290,905.56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13,688,720.90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13,688,720.90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78,530.18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1,333,865.26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3,903,315.23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5,433,485.00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78,530.18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1,333,865.26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3,903,315.23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5,433,485.00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268,849,005.31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78262,516.79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13,576,668.30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161,755,703.95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7,101,185.27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529,545,079.62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64,210,393.81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22,777,803.41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13,478,263.91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78,153,902.70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5,503,026.61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184,123,390.44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5,129,715.83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6,985,433.90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21,589,155.62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607,399.82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34,704,166.39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5,129,715.83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6,985,433.90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392,461.22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21,589,155.62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607,399.82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34,704,166.39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1,307,760.45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3,086,829.43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5,387,410.15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1,307,760.45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3,086,829.43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5,387,410.15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69,340,109.64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28,888,191.37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12,562,964.68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96,656,228.89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5,992,652.10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213,440,146.68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199,508,895.67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49,374,325.42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1,013,703.62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65,099,475.06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1,108,533.17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316,104,932.94</w:t>
            </w:r>
          </w:p>
        </w:tc>
      </w:tr>
    </w:tbl>
    <w:p>
      <w:pPr>
        <w:widowControl w:val="0"/>
        <w:spacing w:line="1" w:lineRule="exact"/>
      </w:pPr>
      <w:r>
        <w:br w:type="page"/>
      </w:r>
    </w:p>
    <w:tbl>
      <w:tblPr>
        <w:tblOverlap w:val="never"/>
        <w:jc w:val="center"/>
        <w:tblLayout w:type="fixed"/>
      </w:tblPr>
      <w:tblGrid>
        <w:gridCol w:w="2280"/>
        <w:gridCol w:w="1272"/>
        <w:gridCol w:w="1142"/>
        <w:gridCol w:w="1272"/>
        <w:gridCol w:w="1286"/>
        <w:gridCol w:w="1128"/>
        <w:gridCol w:w="12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204,638,611.50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55,521,371.88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1,432,269.65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46,854,428.56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1,428,866.13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309,875,547.72</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79"/>
      <w:bookmarkEnd w:id="1180"/>
      <w:bookmarkEnd w:id="118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1,176,786,119.27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1,176,786,119.27</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83"/>
      <w:bookmarkEnd w:id="1184"/>
      <w:bookmarkEnd w:id="118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411"/>
        <w:gridCol w:w="854"/>
        <w:gridCol w:w="1416"/>
        <w:gridCol w:w="1416"/>
        <w:gridCol w:w="845"/>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北京网安生产、研发及办公 环境建设项目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1,163,097,398.37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行业安全解决方案创新中心 平台建设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13,688,720.90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13,688,720.90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1,176,786,119.27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1,176,786,119.27</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86"/>
      <w:bookmarkEnd w:id="1187"/>
      <w:bookmarkEnd w:id="118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0"/>
        <w:gridCol w:w="734"/>
        <w:gridCol w:w="744"/>
        <w:gridCol w:w="734"/>
        <w:gridCol w:w="730"/>
        <w:gridCol w:w="749"/>
        <w:gridCol w:w="739"/>
      </w:tblGrid>
      <w:tr>
        <w:trPr>
          <w:trHeight w:val="13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9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北京网 安生产、 研发及 办公环 境建设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1,342,68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行业安 全解决 方案创 新中心 平台建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20,294,4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13,688,7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13,688,7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739"/>
        <w:gridCol w:w="734"/>
        <w:gridCol w:w="744"/>
        <w:gridCol w:w="734"/>
        <w:gridCol w:w="734"/>
        <w:gridCol w:w="744"/>
        <w:gridCol w:w="730"/>
        <w:gridCol w:w="734"/>
        <w:gridCol w:w="744"/>
        <w:gridCol w:w="734"/>
        <w:gridCol w:w="730"/>
        <w:gridCol w:w="749"/>
        <w:gridCol w:w="739"/>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7,398.37</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89"/>
      <w:bookmarkEnd w:id="1190"/>
      <w:bookmarkEnd w:id="1192"/>
    </w:p>
    <w:p>
      <w:pPr>
        <w:pStyle w:val="Style40"/>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93"/>
      <w:bookmarkEnd w:id="1194"/>
      <w:bookmarkEnd w:id="119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066"/>
        <w:gridCol w:w="1598"/>
        <w:gridCol w:w="1589"/>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55,607,659.71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34,493,683.92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98,419,760.08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188,521,103.71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32,067,498.43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70,857,025.92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7,157,551.03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110,082,075.38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1,933,749.72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53,241,324.43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55,343,094.35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30,133,748.71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17,615,701.49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6,989,530.83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54,738,981.03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29,914.53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29,914.53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87,675,158.14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105,350,709.84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105,547,396.58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298,573,264.56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18,307,522.37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19,197,599.77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53,393,849.31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90,898,971.45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7,515,004.21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10,589,695.08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18,802,918.22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36,907,617.51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7,515,004.21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10,589,695.08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18,802,918.22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36,907,617.51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26,923.32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25,822,526.58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29,787,294.85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72,169,844.21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127,779,665.64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61,852,631.56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75,563,414.99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33,377,552.37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170,793,598.92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37,300,137.34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15,296,084.15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45,025,910.77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97,622,132.26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50.81%</w:t>
      </w:r>
      <w:r>
        <w:rPr>
          <w:color w:val="000000"/>
          <w:spacing w:val="0"/>
          <w:w w:val="100"/>
          <w:position w:val="0"/>
        </w:rPr>
        <w:t>。</w:t>
      </w:r>
      <w:r>
        <w:br w:type="page"/>
      </w:r>
    </w:p>
    <w:p>
      <w:pPr>
        <w:pStyle w:val="Style30"/>
        <w:keepNext/>
        <w:keepLines/>
        <w:widowControl w:val="0"/>
        <w:shd w:val="clear" w:color="auto" w:fill="auto"/>
        <w:bidi w:val="0"/>
        <w:spacing w:before="0" w:after="42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196"/>
      <w:bookmarkEnd w:id="1197"/>
      <w:bookmarkEnd w:id="119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left"/>
        <w:tblLayout w:type="fixed"/>
      </w:tblPr>
      <w:tblGrid>
        <w:gridCol w:w="2712"/>
        <w:gridCol w:w="1128"/>
        <w:gridCol w:w="1272"/>
        <w:gridCol w:w="432"/>
        <w:gridCol w:w="1133"/>
        <w:gridCol w:w="706"/>
        <w:gridCol w:w="129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转入当</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期损益</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跨网跨域综合服务平台信任系统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6,388,909.05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10,375,771.44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16,764,680.49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新一代</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8,807,690.01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7,235,742.13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16,043,432.</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统一认证平台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8,007,080.59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5,381,889.51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13,388,970.10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密码基础服务平台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10,407,268.72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10,407268.72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出口型</w:t>
            </w:r>
            <w:r>
              <w:rPr>
                <w:rFonts w:ascii="Times New Roman" w:eastAsia="Times New Roman" w:hAnsi="Times New Roman" w:cs="Times New Roman"/>
                <w:color w:val="000000"/>
                <w:spacing w:val="0"/>
                <w:w w:val="100"/>
                <w:position w:val="0"/>
                <w:sz w:val="18"/>
                <w:szCs w:val="18"/>
              </w:rPr>
              <w:t>HSM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5,907,381.13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4,461,163.57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10,368,544.70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综合监管系统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9,279,588.85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9,279,588.85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卫士通网络安全管理系统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3,554,888.22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2,766,847.15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6,321,735.37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基于安全</w:t>
            </w:r>
            <w:r>
              <w:rPr>
                <w:rFonts w:ascii="Times New Roman" w:eastAsia="Times New Roman" w:hAnsi="Times New Roman" w:cs="Times New Roman"/>
                <w:color w:val="000000"/>
                <w:spacing w:val="0"/>
                <w:w w:val="100"/>
                <w:position w:val="0"/>
                <w:sz w:val="18"/>
                <w:szCs w:val="18"/>
              </w:rPr>
              <w:t>SE</w:t>
            </w:r>
            <w:r>
              <w:rPr>
                <w:color w:val="000000"/>
                <w:spacing w:val="0"/>
                <w:w w:val="100"/>
                <w:position w:val="0"/>
              </w:rPr>
              <w:t>产品项目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1,122,547.03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4,342,718.88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5,465,265.91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安全服务运营平台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3,359,717.96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3,359,717.96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授权管理服务系统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1,051,821.32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1,051,821.32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网络安全监测装置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4,520,523.37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4,520,523.37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云服务器密码机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4,098,673.01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4,098,673.01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密信通安全即时通信系统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4,070,930.68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4,098,315.05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电子文档标志管理系统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3,728,889.86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3,728,889.86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一兆型纵向加密认证装置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2,730,611.82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2,730,611.82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新型金融数据密码机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2,462,099.44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2,462,099.44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身份认证服务系统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2,411,380.10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2,411,380.10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资源服务管理系统（产品开发）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2,324,263.00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2,324,263.00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密钥管理产品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密钥管理系统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2,028,994.84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2,028,994.84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专用光驱及移动存储介质管控系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1,940,600.13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1,940,600.13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高端主机密码机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1,898,447.52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1,898,447.52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云计算应用密钥管理系统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1,730,826.62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1,730,826.62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安全应用中间件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1,490,862.39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1,490,862.39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终端安全管理系统非密版升级项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1,424,350.64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1,424,350.64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保密防护监管系统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1,384,370.46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1,384,370.46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卫士通安全网关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1,296,758.34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1,296,758.34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可信时间服务系统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1,275,800.74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1,275,800.74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712"/>
        <w:gridCol w:w="1128"/>
        <w:gridCol w:w="1272"/>
        <w:gridCol w:w="432"/>
        <w:gridCol w:w="1133"/>
        <w:gridCol w:w="706"/>
        <w:gridCol w:w="1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云密码资源池管理平台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1,188,373.54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1,188,373.54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安全云终端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1,014,133.83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1,014,133.83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10,407,994.38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12219,013.74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11,690,706.33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10,936,301.79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97,548,790.91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60,577,517.47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54,738,981.03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103,387,327.35</w:t>
            </w:r>
          </w:p>
        </w:tc>
      </w:tr>
    </w:tbl>
    <w:p>
      <w:pPr>
        <w:pStyle w:val="Style2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59" w:line="1" w:lineRule="exact"/>
      </w:pPr>
    </w:p>
    <w:p>
      <w:pPr>
        <w:pStyle w:val="Style34"/>
        <w:keepNext w:val="0"/>
        <w:keepLines w:val="0"/>
        <w:widowControl w:val="0"/>
        <w:shd w:val="clear" w:color="auto" w:fill="auto"/>
        <w:tabs>
          <w:tab w:pos="808" w:val="left"/>
        </w:tabs>
        <w:bidi w:val="0"/>
        <w:spacing w:before="0" w:after="0" w:line="314" w:lineRule="exact"/>
        <w:ind w:left="0" w:right="0" w:firstLine="420"/>
        <w:jc w:val="left"/>
      </w:pPr>
      <w:bookmarkStart w:id="1200" w:name="bookmark1200"/>
      <w:r>
        <w:rPr>
          <w:rFonts w:ascii="Times New Roman" w:eastAsia="Times New Roman" w:hAnsi="Times New Roman" w:cs="Times New Roman"/>
          <w:b/>
          <w:bCs/>
          <w:color w:val="000000"/>
          <w:spacing w:val="0"/>
          <w:w w:val="100"/>
          <w:position w:val="0"/>
        </w:rPr>
        <w:t>1</w:t>
      </w:r>
      <w:bookmarkEnd w:id="1200"/>
      <w:r>
        <w:rPr>
          <w:b/>
          <w:bCs/>
          <w:color w:val="000000"/>
          <w:spacing w:val="0"/>
          <w:w w:val="100"/>
          <w:position w:val="0"/>
        </w:rPr>
        <w:t>、</w:t>
        <w:tab/>
        <w:t>划分公司内部研究开发项目的研究阶段和开发阶段具体标准</w:t>
      </w:r>
    </w:p>
    <w:p>
      <w:pPr>
        <w:pStyle w:val="Style34"/>
        <w:keepNext w:val="0"/>
        <w:keepLines w:val="0"/>
        <w:widowControl w:val="0"/>
        <w:shd w:val="clear" w:color="auto" w:fill="auto"/>
        <w:bidi w:val="0"/>
        <w:spacing w:before="0" w:after="0" w:line="314" w:lineRule="exact"/>
        <w:ind w:left="0" w:right="0" w:firstLine="42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4"/>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内部研究开发项目研究阶段的支出，在发生时计入当期损益。</w:t>
      </w:r>
    </w:p>
    <w:p>
      <w:pPr>
        <w:pStyle w:val="Style34"/>
        <w:keepNext w:val="0"/>
        <w:keepLines w:val="0"/>
        <w:widowControl w:val="0"/>
        <w:shd w:val="clear" w:color="auto" w:fill="auto"/>
        <w:tabs>
          <w:tab w:pos="808" w:val="left"/>
        </w:tabs>
        <w:bidi w:val="0"/>
        <w:spacing w:before="0" w:after="0" w:line="314" w:lineRule="exact"/>
        <w:ind w:left="0" w:right="0" w:firstLine="420"/>
        <w:jc w:val="left"/>
      </w:pPr>
      <w:bookmarkStart w:id="1201" w:name="bookmark1201"/>
      <w:r>
        <w:rPr>
          <w:rFonts w:ascii="Times New Roman" w:eastAsia="Times New Roman" w:hAnsi="Times New Roman" w:cs="Times New Roman"/>
          <w:b/>
          <w:bCs/>
          <w:color w:val="000000"/>
          <w:spacing w:val="0"/>
          <w:w w:val="100"/>
          <w:position w:val="0"/>
        </w:rPr>
        <w:t>2</w:t>
      </w:r>
      <w:bookmarkEnd w:id="1201"/>
      <w:r>
        <w:rPr>
          <w:b/>
          <w:bCs/>
          <w:color w:val="000000"/>
          <w:spacing w:val="0"/>
          <w:w w:val="100"/>
          <w:position w:val="0"/>
        </w:rPr>
        <w:t>、</w:t>
        <w:tab/>
        <w:t>开发阶段支出符合资本化的具体标准</w:t>
      </w:r>
    </w:p>
    <w:p>
      <w:pPr>
        <w:pStyle w:val="Style34"/>
        <w:keepNext w:val="0"/>
        <w:keepLines w:val="0"/>
        <w:widowControl w:val="0"/>
        <w:shd w:val="clear" w:color="auto" w:fill="auto"/>
        <w:bidi w:val="0"/>
        <w:spacing w:before="0" w:after="0" w:line="314" w:lineRule="exact"/>
        <w:ind w:left="0" w:right="0" w:firstLine="420"/>
        <w:jc w:val="left"/>
      </w:pPr>
      <w:r>
        <w:rPr>
          <w:color w:val="000000"/>
          <w:spacing w:val="0"/>
          <w:w w:val="100"/>
          <w:position w:val="0"/>
        </w:rPr>
        <w:t>内部研究开发项目开发阶段的支出，同时满足下列条件时确认为无形资产：</w:t>
      </w:r>
    </w:p>
    <w:p>
      <w:pPr>
        <w:pStyle w:val="Style34"/>
        <w:keepNext w:val="0"/>
        <w:keepLines w:val="0"/>
        <w:widowControl w:val="0"/>
        <w:shd w:val="clear" w:color="auto" w:fill="auto"/>
        <w:tabs>
          <w:tab w:pos="908" w:val="left"/>
        </w:tabs>
        <w:bidi w:val="0"/>
        <w:spacing w:before="0" w:after="0" w:line="314" w:lineRule="exact"/>
        <w:ind w:left="0" w:right="0" w:firstLine="420"/>
        <w:jc w:val="left"/>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4"/>
        <w:keepNext w:val="0"/>
        <w:keepLines w:val="0"/>
        <w:widowControl w:val="0"/>
        <w:shd w:val="clear" w:color="auto" w:fill="auto"/>
        <w:tabs>
          <w:tab w:pos="908" w:val="left"/>
        </w:tabs>
        <w:bidi w:val="0"/>
        <w:spacing w:before="0" w:after="0" w:line="314" w:lineRule="exact"/>
        <w:ind w:left="0" w:right="0" w:firstLine="420"/>
        <w:jc w:val="left"/>
      </w:pPr>
      <w:bookmarkStart w:id="1203" w:name="bookmark1203"/>
      <w:r>
        <w:rPr>
          <w:color w:val="000000"/>
          <w:spacing w:val="0"/>
          <w:w w:val="100"/>
          <w:position w:val="0"/>
        </w:rPr>
        <w:t>（</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4"/>
        <w:keepNext w:val="0"/>
        <w:keepLines w:val="0"/>
        <w:widowControl w:val="0"/>
        <w:shd w:val="clear" w:color="auto" w:fill="auto"/>
        <w:tabs>
          <w:tab w:pos="992" w:val="left"/>
        </w:tabs>
        <w:bidi w:val="0"/>
        <w:spacing w:before="0" w:after="0" w:line="314" w:lineRule="exact"/>
        <w:ind w:left="0" w:right="0" w:firstLine="420"/>
        <w:jc w:val="both"/>
      </w:pPr>
      <w:bookmarkStart w:id="1204" w:name="bookmark1204"/>
      <w:r>
        <w:rPr>
          <w:color w:val="000000"/>
          <w:spacing w:val="0"/>
          <w:w w:val="100"/>
          <w:position w:val="0"/>
        </w:rPr>
        <w:t>（</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34"/>
        <w:keepNext w:val="0"/>
        <w:keepLines w:val="0"/>
        <w:widowControl w:val="0"/>
        <w:shd w:val="clear" w:color="auto" w:fill="auto"/>
        <w:bidi w:val="0"/>
        <w:spacing w:before="0" w:after="0" w:line="314" w:lineRule="exact"/>
        <w:ind w:left="0" w:right="0" w:firstLine="420"/>
        <w:jc w:val="both"/>
      </w:pPr>
      <w:bookmarkStart w:id="1205" w:name="bookmark1205"/>
      <w:r>
        <w:rPr>
          <w:color w:val="000000"/>
          <w:spacing w:val="0"/>
          <w:w w:val="100"/>
          <w:position w:val="0"/>
        </w:rPr>
        <w:t>（</w:t>
      </w:r>
      <w:bookmarkEnd w:id="1205"/>
      <w:r>
        <w:rPr>
          <w:rFonts w:ascii="Times New Roman" w:eastAsia="Times New Roman" w:hAnsi="Times New Roman" w:cs="Times New Roman"/>
          <w:color w:val="000000"/>
          <w:spacing w:val="0"/>
          <w:w w:val="100"/>
          <w:position w:val="0"/>
        </w:rPr>
        <w:t>4</w:t>
      </w:r>
      <w:r>
        <w:rPr>
          <w:color w:val="000000"/>
          <w:spacing w:val="0"/>
          <w:w w:val="100"/>
          <w:position w:val="0"/>
        </w:rPr>
        <w:t>） 有足够的技术、财务资源和其他资源支持，以完成该无形资产的开发，并有能力使用或出售该 无形资产；</w:t>
      </w:r>
    </w:p>
    <w:p>
      <w:pPr>
        <w:pStyle w:val="Style34"/>
        <w:keepNext w:val="0"/>
        <w:keepLines w:val="0"/>
        <w:widowControl w:val="0"/>
        <w:shd w:val="clear" w:color="auto" w:fill="auto"/>
        <w:tabs>
          <w:tab w:pos="908" w:val="left"/>
        </w:tabs>
        <w:bidi w:val="0"/>
        <w:spacing w:before="0" w:after="0" w:line="314" w:lineRule="exact"/>
        <w:ind w:left="0" w:right="0" w:firstLine="420"/>
        <w:jc w:val="left"/>
      </w:pPr>
      <w:bookmarkStart w:id="1206" w:name="bookmark1206"/>
      <w:r>
        <w:rPr>
          <w:color w:val="000000"/>
          <w:spacing w:val="0"/>
          <w:w w:val="100"/>
          <w:position w:val="0"/>
        </w:rPr>
        <w:t>（</w:t>
      </w:r>
      <w:bookmarkEnd w:id="1206"/>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内部研究开发支出的资本化时点：研发项目经过前期市场调研和项目可行性论证，报经公司批准立项 后发生的开发费用计入开发支出，予以转资本化。</w:t>
      </w:r>
    </w:p>
    <w:p>
      <w:pPr>
        <w:pStyle w:val="Style34"/>
        <w:keepNext w:val="0"/>
        <w:keepLines w:val="0"/>
        <w:widowControl w:val="0"/>
        <w:shd w:val="clear" w:color="auto" w:fill="auto"/>
        <w:bidi w:val="0"/>
        <w:spacing w:before="0" w:after="300" w:line="314" w:lineRule="exact"/>
        <w:ind w:left="0" w:right="0" w:firstLine="420"/>
        <w:jc w:val="both"/>
      </w:pPr>
      <w:r>
        <w:rPr>
          <w:color w:val="000000"/>
          <w:spacing w:val="0"/>
          <w:w w:val="100"/>
          <w:position w:val="0"/>
        </w:rPr>
        <w:t>不满足上述条件的开发阶段的支出，于发生时计入当期损益。以前期间已计入损益的开发支出不在以 后期间重新确认为资产。已资本化的开发阶段的支出在资产负债表上列示为开发支出，自该项目达到预定 用途之日起转为无形资产。</w:t>
      </w:r>
    </w:p>
    <w:p>
      <w:pPr>
        <w:pStyle w:val="Style30"/>
        <w:keepNext/>
        <w:keepLines/>
        <w:widowControl w:val="0"/>
        <w:shd w:val="clear" w:color="auto" w:fill="auto"/>
        <w:bidi w:val="0"/>
        <w:spacing w:before="0" w:after="300" w:line="314" w:lineRule="exact"/>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207"/>
      <w:bookmarkEnd w:id="1208"/>
      <w:bookmarkEnd w:id="1209"/>
    </w:p>
    <w:p>
      <w:pPr>
        <w:pStyle w:val="Style40"/>
        <w:keepNext/>
        <w:keepLines/>
        <w:widowControl w:val="0"/>
        <w:shd w:val="clear" w:color="auto" w:fill="auto"/>
        <w:bidi w:val="0"/>
        <w:spacing w:before="0" w:after="360" w:line="314" w:lineRule="exact"/>
        <w:ind w:left="0" w:right="0" w:firstLine="0"/>
        <w:jc w:val="left"/>
      </w:pPr>
      <w:bookmarkStart w:id="1210" w:name="bookmark1210"/>
      <w:bookmarkStart w:id="1211" w:name="bookmark1211"/>
      <w:bookmarkStart w:id="1212" w:name="bookmark12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10"/>
      <w:bookmarkEnd w:id="1211"/>
      <w:bookmarkEnd w:id="121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1"/>
        <w:gridCol w:w="1560"/>
        <w:gridCol w:w="1421"/>
        <w:gridCol w:w="432"/>
        <w:gridCol w:w="557"/>
        <w:gridCol w:w="552"/>
        <w:gridCol w:w="136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7,991.91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7,991.91</w:t>
            </w:r>
          </w:p>
        </w:tc>
      </w:tr>
    </w:tbl>
    <w:p>
      <w:pPr>
        <w:pStyle w:val="Style22"/>
        <w:keepNext w:val="0"/>
        <w:keepLines w:val="0"/>
        <w:widowControl w:val="0"/>
        <w:shd w:val="clear" w:color="auto" w:fill="auto"/>
        <w:bidi w:val="0"/>
        <w:spacing w:before="0" w:after="0" w:line="240" w:lineRule="auto"/>
        <w:ind w:left="110" w:right="0" w:firstLine="0"/>
        <w:jc w:val="left"/>
        <w:rPr>
          <w:sz w:val="20"/>
          <w:szCs w:val="20"/>
        </w:rPr>
      </w:pPr>
      <w:bookmarkStart w:id="1213" w:name="bookmark121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213"/>
    </w:p>
    <w:p>
      <w:pPr>
        <w:widowControl w:val="0"/>
        <w:spacing w:after="3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1"/>
        <w:gridCol w:w="1560"/>
        <w:gridCol w:w="1421"/>
        <w:gridCol w:w="432"/>
        <w:gridCol w:w="557"/>
        <w:gridCol w:w="552"/>
        <w:gridCol w:w="136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7,991.91</w:t>
            </w:r>
          </w:p>
        </w:tc>
      </w:tr>
    </w:tbl>
    <w:p>
      <w:pPr>
        <w:widowControl w:val="0"/>
        <w:spacing w:line="1" w:lineRule="exact"/>
      </w:pPr>
      <w:r>
        <w:br w:type="page"/>
      </w:r>
    </w:p>
    <w:tbl>
      <w:tblPr>
        <w:tblOverlap w:val="never"/>
        <w:jc w:val="center"/>
        <w:tblLayout w:type="fixed"/>
      </w:tblPr>
      <w:tblGrid>
        <w:gridCol w:w="3696"/>
        <w:gridCol w:w="1560"/>
        <w:gridCol w:w="1421"/>
        <w:gridCol w:w="432"/>
        <w:gridCol w:w="562"/>
        <w:gridCol w:w="552"/>
        <w:gridCol w:w="136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bl>
    <w:p>
      <w:pPr>
        <w:widowControl w:val="0"/>
        <w:spacing w:after="99" w:line="1" w:lineRule="exact"/>
      </w:pP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商誉所在资产组或资产组组合的相关信息</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因企业合并所形成的商誉和使用寿命不确定的无形资产，无论是否存在减值迹象，每年都进行减值测 试。</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0"/>
        <w:keepNext/>
        <w:keepLines/>
        <w:widowControl w:val="0"/>
        <w:shd w:val="clear" w:color="auto" w:fill="auto"/>
        <w:bidi w:val="0"/>
        <w:spacing w:before="0" w:after="320" w:line="326"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214"/>
      <w:bookmarkEnd w:id="1215"/>
      <w:bookmarkEnd w:id="1217"/>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185,143.80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185,143.80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215,440.34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211,112.40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4,327.94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18"/>
      <w:bookmarkEnd w:id="1219"/>
      <w:bookmarkEnd w:id="1221"/>
    </w:p>
    <w:p>
      <w:pPr>
        <w:pStyle w:val="Style40"/>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22"/>
      <w:bookmarkEnd w:id="1223"/>
      <w:bookmarkEnd w:id="122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399,742,515.19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59,961,377.27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347,743,895.17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52,161,584.29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38,150,992.46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5,722,648.87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18,824,503.92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2,823,675.59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256,511,036.49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38,476,655.48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239,373,506.54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35,906,025.97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1,426,330.52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213,949.58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无形资产摊销财税差异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33,705,081.81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5,055,762.27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728,109,625.95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109,216,443.89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607,368,236.15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91,105,235.43</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225"/>
      <w:bookmarkEnd w:id="1226"/>
      <w:bookmarkEnd w:id="122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0"/>
        <w:gridCol w:w="1915"/>
        <w:gridCol w:w="1915"/>
        <w:gridCol w:w="193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109,216,443.89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91,105,235.43</w:t>
            </w:r>
          </w:p>
        </w:tc>
      </w:tr>
    </w:tbl>
    <w:p>
      <w:pPr>
        <w:spacing w:lineRule="exact" w:line="1"/>
        <w:rPr>
          <w:sz w:val="2"/>
          <w:szCs w:val="2"/>
        </w:rPr>
      </w:pPr>
      <w:r>
        <w:br w:type="page"/>
      </w:r>
    </w:p>
    <w:p>
      <w:pPr>
        <w:pStyle w:val="Style40"/>
        <w:keepNext/>
        <w:keepLines/>
        <w:widowControl w:val="0"/>
        <w:shd w:val="clear" w:color="auto" w:fill="auto"/>
        <w:bidi w:val="0"/>
        <w:spacing w:before="0" w:after="400" w:line="240" w:lineRule="auto"/>
        <w:ind w:left="0" w:right="0" w:firstLine="14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228"/>
      <w:bookmarkEnd w:id="1229"/>
      <w:bookmarkEnd w:id="123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187,555.18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229,500.42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44,804,895.33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37,621,338.57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44,992,450.51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37,850,838.99</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140"/>
        <w:jc w:val="left"/>
      </w:pPr>
      <w:bookmarkStart w:id="1232" w:name="bookmark1232"/>
      <w:bookmarkStart w:id="1233" w:name="bookmark1233"/>
      <w:bookmarkStart w:id="1234" w:name="bookmark1234"/>
      <w:r>
        <w:rPr>
          <w:color w:val="000000"/>
          <w:spacing w:val="0"/>
          <w:w w:val="100"/>
          <w:position w:val="0"/>
        </w:rPr>
        <w:t>⑷未确认递延所得税资产的可抵扣亏损将于以下年度到期</w:t>
      </w:r>
      <w:bookmarkEnd w:id="1232"/>
      <w:bookmarkEnd w:id="1233"/>
      <w:bookmarkEnd w:id="123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1,090,081.70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1,090,081.70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29,257,959.62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29,257,959.62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7,273,297.25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7,273,297.25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7,183,556.76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44,804,895.33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37,621,338.57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400" w:line="317" w:lineRule="exact"/>
        <w:ind w:left="0" w:right="0"/>
        <w:jc w:val="both"/>
      </w:pPr>
      <w:r>
        <w:rPr>
          <w:color w:val="000000"/>
          <w:spacing w:val="0"/>
          <w:w w:val="100"/>
          <w:position w:val="0"/>
        </w:rPr>
        <w:t>中电科（天津）网络信息安全有限公司未来能否获得足够的应纳税所得额具有不确定性，对其可抵扣 暂时性差异及亏损未确认递延所得税资产。中电科（天津）网络信息安全有限公司高新技术企业税收优惠 已经主管税务机关备案，企业亏损结转弥补年限由</w:t>
      </w:r>
      <w:r>
        <w:rPr>
          <w:rFonts w:ascii="Times New Roman" w:eastAsia="Times New Roman" w:hAnsi="Times New Roman" w:cs="Times New Roman"/>
          <w:color w:val="000000"/>
          <w:spacing w:val="0"/>
          <w:w w:val="100"/>
          <w:position w:val="0"/>
        </w:rPr>
        <w:t>5</w:t>
      </w:r>
      <w:r>
        <w:rPr>
          <w:color w:val="000000"/>
          <w:spacing w:val="0"/>
          <w:w w:val="100"/>
          <w:position w:val="0"/>
        </w:rPr>
        <w:t>年延长至</w:t>
      </w:r>
      <w:r>
        <w:rPr>
          <w:rFonts w:ascii="Times New Roman" w:eastAsia="Times New Roman" w:hAnsi="Times New Roman" w:cs="Times New Roman"/>
          <w:color w:val="000000"/>
          <w:spacing w:val="0"/>
          <w:w w:val="100"/>
          <w:position w:val="0"/>
        </w:rPr>
        <w:t>10</w:t>
      </w:r>
      <w:r>
        <w:rPr>
          <w:color w:val="000000"/>
          <w:spacing w:val="0"/>
          <w:w w:val="100"/>
          <w:position w:val="0"/>
        </w:rPr>
        <w:t>年。</w:t>
      </w:r>
    </w:p>
    <w:p>
      <w:pPr>
        <w:pStyle w:val="Style30"/>
        <w:keepNext/>
        <w:keepLines/>
        <w:widowControl w:val="0"/>
        <w:shd w:val="clear" w:color="auto" w:fill="auto"/>
        <w:bidi w:val="0"/>
        <w:spacing w:before="0" w:after="320" w:line="331"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35"/>
      <w:bookmarkEnd w:id="1236"/>
      <w:bookmarkEnd w:id="12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1061"/>
        <w:gridCol w:w="850"/>
        <w:gridCol w:w="1142"/>
        <w:gridCol w:w="1272"/>
        <w:gridCol w:w="854"/>
        <w:gridCol w:w="122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高速</w:t>
            </w:r>
            <w:r>
              <w:rPr>
                <w:rFonts w:ascii="Times New Roman" w:eastAsia="Times New Roman" w:hAnsi="Times New Roman" w:cs="Times New Roman"/>
                <w:color w:val="000000"/>
                <w:spacing w:val="0"/>
                <w:w w:val="100"/>
                <w:position w:val="0"/>
                <w:sz w:val="18"/>
                <w:szCs w:val="18"/>
              </w:rPr>
              <w:t>USB-KEY</w:t>
            </w:r>
            <w:r>
              <w:rPr>
                <w:color w:val="000000"/>
                <w:spacing w:val="0"/>
                <w:w w:val="100"/>
                <w:position w:val="0"/>
              </w:rPr>
              <w:t>主控芯片项目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7,137,863.58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7,137,863.58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7,137,863.58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7,137,863.58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平台开发软件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1,569,553.70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1,569,553.70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1,399,642.20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1,399,642.20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创宇盾网站安全防御平台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1,021,208.47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1,021,208.47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677,845.62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677,845.62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科研及验证演示平台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13,781,966.30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13,781,966.30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电子政务网络体验演示环境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13,566,837.60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13,566,837.60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移动安全终端售后检测与维护系统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12,403,846.16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12,403,846.16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电子政务网络安全仿直联试演示环境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9,198,538.70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9,198,538.70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云平台大数据应用环境建设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3,016,550.77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3,016,550.77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高性能嵌入式</w:t>
            </w:r>
            <w:r>
              <w:rPr>
                <w:rFonts w:ascii="Times New Roman" w:eastAsia="Times New Roman" w:hAnsi="Times New Roman" w:cs="Times New Roman"/>
                <w:color w:val="000000"/>
                <w:spacing w:val="0"/>
                <w:w w:val="100"/>
                <w:position w:val="0"/>
                <w:sz w:val="18"/>
                <w:szCs w:val="18"/>
              </w:rPr>
              <w:t>SE</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1,273,584.90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1,273,584.90</w:t>
            </w:r>
          </w:p>
        </w:tc>
      </w:tr>
    </w:tbl>
    <w:p>
      <w:pPr>
        <w:widowControl w:val="0"/>
        <w:spacing w:line="1" w:lineRule="exact"/>
      </w:pPr>
      <w:r>
        <w:br w:type="page"/>
      </w:r>
    </w:p>
    <w:tbl>
      <w:tblPr>
        <w:tblOverlap w:val="never"/>
        <w:jc w:val="center"/>
        <w:tblLayout w:type="fixed"/>
      </w:tblPr>
      <w:tblGrid>
        <w:gridCol w:w="3202"/>
        <w:gridCol w:w="1061"/>
        <w:gridCol w:w="850"/>
        <w:gridCol w:w="1142"/>
        <w:gridCol w:w="1272"/>
        <w:gridCol w:w="854"/>
        <w:gridCol w:w="12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9,728,625.75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9,728,625.75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62,456,675.83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62,456,675.83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239"/>
      <w:bookmarkEnd w:id="1240"/>
      <w:bookmarkEnd w:id="124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75,720,550.00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121,013,887.70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103,642,725.28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4,465,500.00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179,363,275.28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125,479,387.70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43"/>
      <w:bookmarkEnd w:id="1244"/>
      <w:bookmarkEnd w:id="1246"/>
    </w:p>
    <w:p>
      <w:pPr>
        <w:pStyle w:val="Style40"/>
        <w:keepNext/>
        <w:keepLines/>
        <w:widowControl w:val="0"/>
        <w:shd w:val="clear" w:color="auto" w:fill="auto"/>
        <w:bidi w:val="0"/>
        <w:spacing w:before="0" w:after="380" w:line="240" w:lineRule="auto"/>
        <w:ind w:left="0" w:right="0" w:firstLine="14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47"/>
      <w:bookmarkEnd w:id="1248"/>
      <w:bookmarkEnd w:id="124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810,994,068.11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584,142,597.25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125,544,882.88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163,591,153.09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40,515,080.97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123,076,517.22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74208,631.50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86,186,595.01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1,051,262,663.46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956,996,862.57</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50"/>
      <w:bookmarkEnd w:id="1251"/>
      <w:bookmarkEnd w:id="125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202"/>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9,117,112.82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8,905,577.76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8,768,812.28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未达结算条件</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56,262,702.86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253"/>
      <w:bookmarkEnd w:id="1254"/>
      <w:bookmarkEnd w:id="1256"/>
    </w:p>
    <w:p>
      <w:pPr>
        <w:pStyle w:val="Style24"/>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272,847,908.40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71,926,015.50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41,143,313.80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21,432,493.32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313,991,222.20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93,358,508.82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257"/>
      <w:bookmarkEnd w:id="1258"/>
      <w:bookmarkEnd w:id="1260"/>
    </w:p>
    <w:p>
      <w:pPr>
        <w:pStyle w:val="Style40"/>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61"/>
      <w:bookmarkEnd w:id="1262"/>
      <w:bookmarkEnd w:id="126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8"/>
        <w:gridCol w:w="1277"/>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28,159,952.65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509,090,232.12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529,638,000.73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7,612,184.04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4,934,066.51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54,982,256.11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19,921,661.23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39,994,661.39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570,771.44</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33,094,019.16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564,643,259.67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550,130,433.40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47,606,845.43</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64"/>
      <w:bookmarkEnd w:id="1265"/>
      <w:bookmarkEnd w:id="126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1416"/>
        <w:gridCol w:w="1920"/>
        <w:gridCol w:w="1910"/>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19,230,880.15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390,791,980.14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409,804,900.00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217,960.29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43,956,918.48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43,956,918.48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655,613.91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17,118,148.41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17,731,980.52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41,781.80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635,954.23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16,516,986.47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17,111,158.90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177,852.84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193,691.27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427,130.35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818,688.38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37,326,926.80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37,477,723.61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667,891.57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7,454,770.21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2,901,191.38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3,671,411.21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6,684,550.38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1,184,442.22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1,184,442.22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15,810,624.69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15,810,624.69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28,159,952.65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509,090,232.12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529,638,000.73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7,612,184.04</w:t>
            </w:r>
          </w:p>
        </w:tc>
      </w:tr>
    </w:tbl>
    <w:p>
      <w:pPr>
        <w:widowControl w:val="0"/>
        <w:spacing w:after="319" w:line="1" w:lineRule="exact"/>
      </w:pPr>
    </w:p>
    <w:p>
      <w:pPr>
        <w:pStyle w:val="Style40"/>
        <w:keepNext/>
        <w:keepLines/>
        <w:widowControl w:val="0"/>
        <w:numPr>
          <w:ilvl w:val="0"/>
          <w:numId w:val="65"/>
        </w:numPr>
        <w:shd w:val="clear" w:color="auto" w:fill="auto"/>
        <w:bidi w:val="0"/>
        <w:spacing w:before="0" w:after="38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设定提存计划列示</w:t>
      </w:r>
      <w:bookmarkEnd w:id="1267"/>
      <w:bookmarkEnd w:id="1268"/>
      <w:bookmarkEnd w:id="127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2,839,040.26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51,905,473.33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14,749,852.20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39,994,661.39</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612,470.79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2,511,196.96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4,559,338.24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4,934,066.51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54,982,256.11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19,921,661.23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39,994,661.39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2</w:t>
      </w:r>
      <w:bookmarkEnd w:id="1273"/>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271"/>
      <w:bookmarkEnd w:id="1272"/>
      <w:bookmarkEnd w:id="127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51,216,721.32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40,176283.09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10,796,066.91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11,994,351.74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1,170,541.31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1,106,021.99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3,585,170.49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2,824,674.70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164,208.27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2,560,836.07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2,017,624.73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624,647.72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419,536.27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69,953,983.82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58,702,700.79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275"/>
      <w:bookmarkEnd w:id="1276"/>
      <w:bookmarkEnd w:id="127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28,001,642.96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35,402,811.25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28,001,642.96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35,402,811.25</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279" w:name="bookmark1279"/>
      <w:bookmarkStart w:id="1280" w:name="bookmark1280"/>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79"/>
      <w:bookmarkEnd w:id="1280"/>
      <w:bookmarkEnd w:id="1281"/>
    </w:p>
    <w:p>
      <w:pPr>
        <w:pStyle w:val="Style79"/>
        <w:keepNext/>
        <w:keepLines/>
        <w:widowControl w:val="0"/>
        <w:shd w:val="clear" w:color="auto" w:fill="auto"/>
        <w:bidi w:val="0"/>
        <w:spacing w:before="0" w:after="400" w:line="240" w:lineRule="auto"/>
        <w:ind w:left="0" w:right="0" w:firstLine="0"/>
        <w:jc w:val="left"/>
      </w:pPr>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82"/>
      <w:bookmarkEnd w:id="1283"/>
      <w:bookmarkEnd w:id="128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应付单位款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15,177,285.12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20264221.77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暂收待付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9,820,989.95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9,109,273.53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2,432,341.41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3,812,241.61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2,217,074.34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28,001,642.96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35,402,811.25</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285"/>
      <w:bookmarkEnd w:id="1286"/>
      <w:bookmarkEnd w:id="128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42,741,054.87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11,800,983.97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42,741,054.87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11,800,983.97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289"/>
      <w:bookmarkEnd w:id="1290"/>
      <w:bookmarkEnd w:id="129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39,149,670.15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6,869,900.00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16,343,351.74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29,676,218.41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详见明细</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39,149,670.15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6,869,900.00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16,343,351.74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29,676,218.41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58"/>
        <w:gridCol w:w="854"/>
        <w:gridCol w:w="840"/>
        <w:gridCol w:w="1286"/>
        <w:gridCol w:w="1128"/>
        <w:gridCol w:w="998"/>
        <w:gridCol w:w="562"/>
        <w:gridCol w:w="1046"/>
        <w:gridCol w:w="10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本期新增 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本期计入营业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年省科技重大专 项:第五代移动通信</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安全产品研发及产业 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10,062,558.8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测绘自主可控专项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 键密码技术''密码应用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基于国产密码的高安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全等级防护技术与芯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片研究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四川省科学技术厅</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-Embedded-SE </w:t>
            </w:r>
            <w:r>
              <w:rPr>
                <w:color w:val="000000"/>
                <w:spacing w:val="0"/>
                <w:w w:val="100"/>
                <w:position w:val="0"/>
              </w:rPr>
              <w:t>安全核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心研发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成都高新技术产业开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发区经济运行与安全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生产监管局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Embedded-SE</w:t>
            </w:r>
            <w:r>
              <w:rPr>
                <w:color w:val="000000"/>
                <w:spacing w:val="0"/>
                <w:w w:val="100"/>
                <w:position w:val="0"/>
              </w:rPr>
              <w:t>安全核心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网络安全关键技术研 究及示范系统构建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869,200.0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289,700.0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可编程安全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 的研发及产业化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858"/>
        <w:gridCol w:w="854"/>
        <w:gridCol w:w="840"/>
        <w:gridCol w:w="1286"/>
        <w:gridCol w:w="1128"/>
        <w:gridCol w:w="998"/>
        <w:gridCol w:w="562"/>
        <w:gridCol w:w="1046"/>
        <w:gridCol w:w="101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应用于移动智能终端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电子记事本研制及应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用验证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基于物联网应用的网 络安全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芯片研发 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应用于移动终端的安 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芯片研发及产 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网络空间信息基础设 施安全服务基础技术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高安全等级移动终端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2,107,650.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337,350.00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基于移动终端应用的 低功耗安全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可重构安全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系列 芯片的研发及产业化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6,300,261.</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676,073.74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4,137,409.60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326" w:lineRule="exact"/>
        <w:ind w:left="0" w:right="0"/>
        <w:jc w:val="both"/>
      </w:pPr>
      <w:r>
        <w:rPr>
          <w:color w:val="000000"/>
          <w:spacing w:val="0"/>
          <w:w w:val="100"/>
          <w:position w:val="0"/>
        </w:rPr>
        <w:t>注：本期计入当期损益金额中，计入其他收益</w:t>
      </w:r>
      <w:r>
        <w:rPr>
          <w:rFonts w:ascii="Times New Roman" w:eastAsia="Times New Roman" w:hAnsi="Times New Roman" w:cs="Times New Roman"/>
          <w:color w:val="000000"/>
          <w:spacing w:val="0"/>
          <w:w w:val="100"/>
          <w:position w:val="0"/>
        </w:rPr>
        <w:t>10,676,073.74</w:t>
      </w:r>
      <w:r>
        <w:rPr>
          <w:color w:val="000000"/>
          <w:spacing w:val="0"/>
          <w:w w:val="100"/>
          <w:position w:val="0"/>
        </w:rPr>
        <w:t>元，计入营业外收入</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元。本期其他变 动系转移支付给项目合作开发单位。</w:t>
      </w:r>
    </w:p>
    <w:p>
      <w:pPr>
        <w:pStyle w:val="Style30"/>
        <w:keepNext/>
        <w:keepLines/>
        <w:widowControl w:val="0"/>
        <w:shd w:val="clear" w:color="auto" w:fill="auto"/>
        <w:bidi w:val="0"/>
        <w:spacing w:before="0" w:after="320" w:line="341" w:lineRule="auto"/>
        <w:ind w:left="0" w:right="0" w:firstLine="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27</w:t>
      </w:r>
      <w:r>
        <w:rPr>
          <w:color w:val="000000"/>
          <w:spacing w:val="0"/>
          <w:w w:val="100"/>
          <w:position w:val="0"/>
        </w:rPr>
        <w:t>、股本</w:t>
      </w:r>
      <w:bookmarkEnd w:id="1293"/>
      <w:bookmarkEnd w:id="1294"/>
      <w:bookmarkEnd w:id="1295"/>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5"/>
        <w:gridCol w:w="1200"/>
        <w:gridCol w:w="1195"/>
        <w:gridCol w:w="1195"/>
        <w:gridCol w:w="1195"/>
        <w:gridCol w:w="1200"/>
        <w:gridCol w:w="1200"/>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838,336,028.00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838,336,028.00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28</w:t>
      </w:r>
      <w:r>
        <w:rPr>
          <w:color w:val="000000"/>
          <w:spacing w:val="0"/>
          <w:w w:val="100"/>
          <w:position w:val="0"/>
        </w:rPr>
        <w:t>、资本公积</w:t>
      </w:r>
      <w:bookmarkEnd w:id="1296"/>
      <w:bookmarkEnd w:id="1297"/>
      <w:bookmarkEnd w:id="129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2,543,349217.45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2,543,34 9 217.45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48,000,624.28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10,452,627.55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58,453,251.83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2,591,349,841.73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10,452,627.55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2,601,802,469.28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4"/>
        <w:keepNext w:val="0"/>
        <w:keepLines w:val="0"/>
        <w:widowControl w:val="0"/>
        <w:shd w:val="clear" w:color="auto" w:fill="auto"/>
        <w:bidi w:val="0"/>
        <w:spacing w:before="0" w:after="80" w:line="240" w:lineRule="auto"/>
        <w:ind w:left="0" w:right="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年收购子公司三零嘉微、三零瑞通及三零盛安少数股东股权，调增资本公积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0,452,627.55</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29</w:t>
      </w:r>
      <w:r>
        <w:rPr>
          <w:color w:val="000000"/>
          <w:spacing w:val="0"/>
          <w:w w:val="100"/>
          <w:position w:val="0"/>
        </w:rPr>
        <w:t>、其他综合收益</w:t>
      </w:r>
      <w:bookmarkEnd w:id="1299"/>
      <w:bookmarkEnd w:id="1300"/>
      <w:bookmarkEnd w:id="130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73"/>
        <w:gridCol w:w="970"/>
        <w:gridCol w:w="1018"/>
        <w:gridCol w:w="893"/>
        <w:gridCol w:w="854"/>
        <w:gridCol w:w="850"/>
        <w:gridCol w:w="946"/>
        <w:gridCol w:w="571"/>
        <w:gridCol w:w="917"/>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减：前期计 入其他综 合收益当 期转入损</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200,237.99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200,237.99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-271,626.52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471,864.51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200,237.99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0"/>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302"/>
      <w:bookmarkEnd w:id="1303"/>
      <w:bookmarkEnd w:id="130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55,640,199.90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1,396,361.48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57,036,561.38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55,640,199.90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1,396,361.48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57,036,561.38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79" w:line="1" w:lineRule="exact"/>
      </w:pPr>
    </w:p>
    <w:p>
      <w:pPr>
        <w:pStyle w:val="Style34"/>
        <w:keepNext w:val="0"/>
        <w:keepLines w:val="0"/>
        <w:widowControl w:val="0"/>
        <w:shd w:val="clear" w:color="auto" w:fill="auto"/>
        <w:bidi w:val="0"/>
        <w:spacing w:before="0" w:after="380" w:line="240" w:lineRule="auto"/>
        <w:ind w:left="0" w:right="0"/>
        <w:jc w:val="left"/>
      </w:pPr>
      <w:r>
        <w:rPr>
          <w:color w:val="000000"/>
          <w:spacing w:val="0"/>
          <w:w w:val="100"/>
          <w:position w:val="0"/>
        </w:rPr>
        <w:t>本期增加为按照本年实现净利润的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rPr>
        <w:t>1,396,361.48</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306"/>
      <w:bookmarkEnd w:id="1307"/>
      <w:bookmarkEnd w:id="130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1,065,739,548.74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923,461,339.03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1,065,739,548.74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924,261,339.03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161,408,158.18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155,765,488.34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1,712,238.21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15,928,378.53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12,575,040.42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1,209,822,966.91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1,065,739,548.74</w:t>
            </w:r>
          </w:p>
        </w:tc>
      </w:tr>
    </w:tbl>
    <w:p>
      <w:pPr>
        <w:spacing w:lineRule="exact" w:line="1"/>
        <w:rPr>
          <w:sz w:val="2"/>
          <w:szCs w:val="2"/>
        </w:rPr>
      </w:pPr>
      <w:r>
        <w:br w:type="page"/>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25" w:val="left"/>
        </w:tabs>
        <w:bidi w:val="0"/>
        <w:spacing w:before="0" w:after="140" w:line="240" w:lineRule="auto"/>
        <w:ind w:left="0" w:right="0" w:firstLine="0"/>
        <w:jc w:val="left"/>
      </w:pPr>
      <w:bookmarkStart w:id="1310" w:name="bookmark1310"/>
      <w:r>
        <w:rPr>
          <w:rFonts w:ascii="Times New Roman" w:eastAsia="Times New Roman" w:hAnsi="Times New Roman" w:cs="Times New Roman"/>
          <w:color w:val="000000"/>
          <w:spacing w:val="0"/>
          <w:w w:val="100"/>
          <w:position w:val="0"/>
          <w:sz w:val="18"/>
          <w:szCs w:val="18"/>
        </w:rPr>
        <w:t>1</w:t>
      </w:r>
      <w:bookmarkEnd w:id="13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4" w:val="left"/>
        </w:tabs>
        <w:bidi w:val="0"/>
        <w:spacing w:before="0" w:after="140" w:line="240" w:lineRule="auto"/>
        <w:ind w:left="0" w:right="0" w:firstLine="0"/>
        <w:jc w:val="left"/>
      </w:pPr>
      <w:bookmarkStart w:id="1311" w:name="bookmark1311"/>
      <w:r>
        <w:rPr>
          <w:rFonts w:ascii="Times New Roman" w:eastAsia="Times New Roman" w:hAnsi="Times New Roman" w:cs="Times New Roman"/>
          <w:color w:val="000000"/>
          <w:spacing w:val="0"/>
          <w:w w:val="100"/>
          <w:position w:val="0"/>
          <w:sz w:val="18"/>
          <w:szCs w:val="18"/>
        </w:rPr>
        <w:t>2</w:t>
      </w:r>
      <w:bookmarkEnd w:id="13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4" w:val="left"/>
        </w:tabs>
        <w:bidi w:val="0"/>
        <w:spacing w:before="0" w:after="140" w:line="240" w:lineRule="auto"/>
        <w:ind w:left="0" w:right="0" w:firstLine="0"/>
        <w:jc w:val="left"/>
      </w:pPr>
      <w:bookmarkStart w:id="1312" w:name="bookmark1312"/>
      <w:r>
        <w:rPr>
          <w:rFonts w:ascii="Times New Roman" w:eastAsia="Times New Roman" w:hAnsi="Times New Roman" w:cs="Times New Roman"/>
          <w:color w:val="000000"/>
          <w:spacing w:val="0"/>
          <w:w w:val="100"/>
          <w:position w:val="0"/>
          <w:sz w:val="18"/>
          <w:szCs w:val="18"/>
        </w:rPr>
        <w:t>3</w:t>
      </w:r>
      <w:bookmarkEnd w:id="13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4" w:val="left"/>
        </w:tabs>
        <w:bidi w:val="0"/>
        <w:spacing w:before="0" w:after="140" w:line="240" w:lineRule="auto"/>
        <w:ind w:left="0" w:right="0" w:firstLine="0"/>
        <w:jc w:val="left"/>
      </w:pPr>
      <w:bookmarkStart w:id="1313" w:name="bookmark1313"/>
      <w:r>
        <w:rPr>
          <w:rFonts w:ascii="Times New Roman" w:eastAsia="Times New Roman" w:hAnsi="Times New Roman" w:cs="Times New Roman"/>
          <w:color w:val="000000"/>
          <w:spacing w:val="0"/>
          <w:w w:val="100"/>
          <w:position w:val="0"/>
          <w:sz w:val="18"/>
          <w:szCs w:val="18"/>
        </w:rPr>
        <w:t>4</w:t>
      </w:r>
      <w:bookmarkEnd w:id="13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4" w:val="left"/>
        </w:tabs>
        <w:bidi w:val="0"/>
        <w:spacing w:before="0" w:after="380" w:line="240" w:lineRule="auto"/>
        <w:ind w:left="0" w:right="0" w:firstLine="0"/>
        <w:jc w:val="left"/>
      </w:pPr>
      <w:bookmarkStart w:id="1314" w:name="bookmark1314"/>
      <w:r>
        <w:rPr>
          <w:rFonts w:ascii="Times New Roman" w:eastAsia="Times New Roman" w:hAnsi="Times New Roman" w:cs="Times New Roman"/>
          <w:color w:val="000000"/>
          <w:spacing w:val="0"/>
          <w:w w:val="100"/>
          <w:position w:val="0"/>
          <w:sz w:val="18"/>
          <w:szCs w:val="18"/>
        </w:rPr>
        <w:t>5</w:t>
      </w:r>
      <w:bookmarkEnd w:id="13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315"/>
      <w:bookmarkEnd w:id="1316"/>
      <w:bookmarkEnd w:id="131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2,382,701243.79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1,538,049,066.18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2,102,073,969.21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1,419,198,764.60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1,686,018.69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2,383,704,942.48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1,538,049,066.18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2,103,759,987.90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1,419,198,764.60</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收入相关信息：</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34"/>
        <w:gridCol w:w="2429"/>
        <w:gridCol w:w="2424"/>
        <w:gridCol w:w="243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2,383,704,942.48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2,383,704,942.48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592,823,796.89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592,823,796.89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469,472,467.28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469,472,467.28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安全集成与运营服务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1,321,408,678.31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1,321,408,678.31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998,495,195.48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998,495,195.48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744,566,000.45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744,566,000.45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217,359,156.91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217,359,156.91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178,786,186.49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178,786,186.49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124,298,016.78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124,298,016.78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87,602,391.14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87,602,391.14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32,597,995.23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32,597,995.23</w:t>
            </w:r>
          </w:p>
        </w:tc>
      </w:tr>
    </w:tbl>
    <w:p>
      <w:pPr>
        <w:pStyle w:val="Style24"/>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与履约义务相关的信息: 无 </w:t>
      </w:r>
      <w:r>
        <w:rPr>
          <w:color w:val="000000"/>
          <w:spacing w:val="0"/>
          <w:w w:val="100"/>
          <w:position w:val="0"/>
        </w:rPr>
        <w:t>与分摊至剩余履约义务的交易价格相关的信息:</w:t>
        <w:br w:type="page"/>
      </w: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2,093,004,816.76</w:t>
      </w:r>
      <w:r>
        <w:rPr>
          <w:color w:val="000000"/>
          <w:spacing w:val="0"/>
          <w:w w:val="100"/>
          <w:position w:val="0"/>
        </w:rPr>
        <w:t>元。</w:t>
      </w:r>
    </w:p>
    <w:p>
      <w:pPr>
        <w:pStyle w:val="Style30"/>
        <w:keepNext/>
        <w:keepLines/>
        <w:widowControl w:val="0"/>
        <w:shd w:val="clear" w:color="auto" w:fill="auto"/>
        <w:bidi w:val="0"/>
        <w:spacing w:before="0" w:after="42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319"/>
      <w:bookmarkEnd w:id="1320"/>
      <w:bookmarkEnd w:id="132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9,088,354.60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5,280,134.11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6,495,380.84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3,774,473.61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2,094,090.74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2,256,692.66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25,856.67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2,220,694.80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1,699,087.63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29,667.62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19,960,139.99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13,100,729.06</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其他系防洪工程维护费及外地工程项目个人所得税等。</w:t>
      </w:r>
    </w:p>
    <w:p>
      <w:pPr>
        <w:pStyle w:val="Style30"/>
        <w:keepNext/>
        <w:keepLines/>
        <w:widowControl w:val="0"/>
        <w:shd w:val="clear" w:color="auto" w:fill="auto"/>
        <w:bidi w:val="0"/>
        <w:spacing w:before="0" w:after="42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323"/>
      <w:bookmarkEnd w:id="1324"/>
      <w:bookmarkEnd w:id="132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211,525,855.53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180,784,563.74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16,589,752.58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19,576,337.42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9,722,795.43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12,707,447.15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11,522,206.36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8,796,567.56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4,603,239.05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4,643,336.71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5,651,966.89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4,523,395.89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2,675,835.56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2,190,511.38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3,394,579.28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2,021,627.90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1,659,653.55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1,493,747.78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1,413,239.90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1,293,523.55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427,771.41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634,757.45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5,041,871.36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9,908,769.71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274,228,766.90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248,574,586.24</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3</w:t>
      </w:r>
      <w:bookmarkEnd w:id="1329"/>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327"/>
      <w:bookmarkEnd w:id="1328"/>
      <w:bookmarkEnd w:id="133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101,680,239.80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86,519,490.48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13,470,348.68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10,501,719.71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11,973,491.68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8,212,079.10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7,942,939.01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10,758,992.60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4,762,451.73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5,810,668.96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2,449,924.47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3,046,067.78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1,983,948.02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5,488,818.75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1,715,918.65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1,952,106.28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1,712,563.14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839,308.05</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党建经费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1,545,598.40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1,980,149.50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1,200,285.91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528,170.82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640,799.63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1,212,714.03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80,431.04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529,136.96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6,586,698.92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3,749,226.81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157,745,639.08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141,128,649.83</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331"/>
      <w:bookmarkEnd w:id="1332"/>
      <w:bookmarkEnd w:id="133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177,064,255.41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120,297,855.87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27,371,854.56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17,981280.02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14,464,880.28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8,156,273.64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9,160,473.60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7,630,188.50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6,644,866.65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9,534,886.99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4,014,831.53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4,551,226.68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3,780,131.38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4,351,874.28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委托外协费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2,073,318.10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15,699,608.02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专利及软件费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402,199.23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201,176.57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344,065.98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271,277.70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300,921.77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716,651.82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68,624.83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294,013.35</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1,904,343.92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1,909,228.78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247,594,767.24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191,595,542.22</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335"/>
      <w:bookmarkEnd w:id="1336"/>
      <w:bookmarkEnd w:id="133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452,331.38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25,861,994.10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29,794,533.66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509,053.33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237,714.33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-25262,119.96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-29,104,487.95</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339"/>
      <w:bookmarkEnd w:id="1340"/>
      <w:bookmarkEnd w:id="134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17,548,630.64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39220,989.99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30,914,604.88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32,435,330.58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48,463235.52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71,656,320.57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343"/>
      <w:bookmarkEnd w:id="1344"/>
      <w:bookmarkEnd w:id="134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97"/>
        <w:gridCol w:w="292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-2,622,462.15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-2,622,462.15</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4</w:t>
      </w:r>
      <w:bookmarkEnd w:id="1349"/>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347"/>
      <w:bookmarkEnd w:id="1348"/>
      <w:bookmarkEnd w:id="135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-5,888,803.23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-2,336,175.11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-34,306,137.09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-30,046,142.69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-40,194,940.32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-32,382,317.80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4</w:t>
      </w:r>
      <w:bookmarkEnd w:id="1353"/>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351"/>
      <w:bookmarkEnd w:id="1352"/>
      <w:bookmarkEnd w:id="1354"/>
    </w:p>
    <w:p>
      <w:pPr>
        <w:pStyle w:val="Style24"/>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701"/>
        <w:gridCol w:w="2702"/>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-13,987,134.81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-8,085,821.98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-636,911.86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-14,624,046.67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-8,093,813.89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4</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355"/>
      <w:bookmarkEnd w:id="1356"/>
      <w:bookmarkEnd w:id="135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4</w:t>
      </w:r>
      <w:bookmarkEnd w:id="1361"/>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59"/>
      <w:bookmarkEnd w:id="1360"/>
      <w:bookmarkEnd w:id="136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33,845.76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与日常活动无关的政府补助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975,206.00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5,622,043.08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975,206.00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146,516.98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700,340.88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146,516.98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1,155,568.74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6,337,939.61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1,155,568.74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854"/>
        <w:gridCol w:w="562"/>
        <w:gridCol w:w="1853"/>
        <w:gridCol w:w="1128"/>
        <w:gridCol w:w="710"/>
        <w:gridCol w:w="994"/>
        <w:gridCol w:w="854"/>
        <w:gridCol w:w="106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上期发生</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因研究开发、技术更新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年中央特困企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成都高新技术产业 开发区经济运行局 火炬计划拨款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 技术产业 开发区经 济运行局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因研究开发、技术更新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成都市高新区经信 局补助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成都市高 新区经济 运行局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因研究开发、技术更新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570"/>
        <w:gridCol w:w="854"/>
        <w:gridCol w:w="562"/>
        <w:gridCol w:w="1853"/>
        <w:gridCol w:w="1128"/>
        <w:gridCol w:w="710"/>
        <w:gridCol w:w="994"/>
        <w:gridCol w:w="854"/>
        <w:gridCol w:w="1066"/>
      </w:tblGrid>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成都市高 新区经济 运行局、 北京中关 村科技园 区丰台园 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因研究开发、技术更新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762,843.0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高质量发展专项奖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成都市高 新区经济 运行局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三次创业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 持战略新兴产业企 业加快发展专项补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成都市财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因研究开发、技术更新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天津南开科委首次 获批国家高企奖励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天津市科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学技术局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因研究开发、技术更新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成都高新 技术产业 开发区科 技和人才 工作局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因从事国家鼓励和扶 持特定行业、产业而获 得的补助（按国家级政 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天津市商 务局、成 都市知识 产权服务 中心等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因研究开发、技术更新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20,926.00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975,206.00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4</w:t>
      </w:r>
      <w:bookmarkEnd w:id="1365"/>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63"/>
      <w:bookmarkEnd w:id="1364"/>
      <w:bookmarkEnd w:id="13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160"/>
        <w:gridCol w:w="262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13,840.98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1,437,336.83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618.44</w:t>
            </w:r>
          </w:p>
        </w:tc>
      </w:tr>
    </w:tbl>
    <w:p>
      <w:pPr>
        <w:widowControl w:val="0"/>
        <w:spacing w:line="1" w:lineRule="exact"/>
      </w:pPr>
      <w:r>
        <w:br w:type="page"/>
      </w:r>
    </w:p>
    <w:tbl>
      <w:tblPr>
        <w:tblOverlap w:val="never"/>
        <w:jc w:val="center"/>
        <w:tblLayout w:type="fixed"/>
      </w:tblPr>
      <w:tblGrid>
        <w:gridCol w:w="2400"/>
        <w:gridCol w:w="2400"/>
        <w:gridCol w:w="2165"/>
        <w:gridCol w:w="262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1,535,936.89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14,459.42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4</w:t>
      </w:r>
      <w:bookmarkEnd w:id="1369"/>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67"/>
      <w:bookmarkEnd w:id="1368"/>
      <w:bookmarkEnd w:id="1370"/>
    </w:p>
    <w:p>
      <w:pPr>
        <w:pStyle w:val="Style40"/>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71"/>
      <w:bookmarkEnd w:id="1372"/>
      <w:bookmarkEnd w:id="137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22,498,461.07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11,870,260.95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-18,111,208.46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-18201,428.73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4,387,252.61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-6,331,167.78</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374" w:name="bookmark1374"/>
      <w:bookmarkStart w:id="1375" w:name="bookmark1375"/>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74"/>
      <w:bookmarkEnd w:id="1375"/>
      <w:bookmarkEnd w:id="137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544"/>
        <w:gridCol w:w="404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166,837,880.30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25,025,682.04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80" w:right="0" w:firstLine="0"/>
              <w:jc w:val="both"/>
              <w:rPr>
                <w:sz w:val="18"/>
                <w:szCs w:val="18"/>
              </w:rPr>
            </w:pPr>
            <w:r>
              <w:rPr>
                <w:rFonts w:ascii="Times New Roman" w:eastAsia="Times New Roman" w:hAnsi="Times New Roman" w:cs="Times New Roman"/>
                <w:color w:val="000000"/>
                <w:spacing w:val="0"/>
                <w:w w:val="100"/>
                <w:position w:val="0"/>
                <w:sz w:val="18"/>
                <w:szCs w:val="18"/>
              </w:rPr>
              <w:t>3,050,938.68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-97,655.48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80" w:right="0" w:firstLine="0"/>
              <w:jc w:val="both"/>
              <w:rPr>
                <w:sz w:val="18"/>
                <w:szCs w:val="18"/>
              </w:rPr>
            </w:pPr>
            <w:r>
              <w:rPr>
                <w:rFonts w:ascii="Times New Roman" w:eastAsia="Times New Roman" w:hAnsi="Times New Roman" w:cs="Times New Roman"/>
                <w:color w:val="000000"/>
                <w:spacing w:val="0"/>
                <w:w w:val="100"/>
                <w:position w:val="0"/>
                <w:sz w:val="18"/>
                <w:szCs w:val="18"/>
              </w:rPr>
              <w:t>2,217,716.91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-1,763,395.96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80" w:right="0" w:firstLine="0"/>
              <w:jc w:val="both"/>
              <w:rPr>
                <w:sz w:val="18"/>
                <w:szCs w:val="18"/>
              </w:rPr>
            </w:pPr>
            <w:r>
              <w:rPr>
                <w:rFonts w:ascii="Times New Roman" w:eastAsia="Times New Roman" w:hAnsi="Times New Roman" w:cs="Times New Roman"/>
                <w:color w:val="000000"/>
                <w:spacing w:val="0"/>
                <w:w w:val="100"/>
                <w:position w:val="0"/>
                <w:sz w:val="18"/>
                <w:szCs w:val="18"/>
              </w:rPr>
              <w:t>9,148,166.62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其他（研发费用加计扣除及增值税即征即退返还）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-33,194200.20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80" w:right="0" w:firstLine="0"/>
              <w:jc w:val="both"/>
              <w:rPr>
                <w:sz w:val="18"/>
                <w:szCs w:val="18"/>
              </w:rPr>
            </w:pPr>
            <w:r>
              <w:rPr>
                <w:rFonts w:ascii="Times New Roman" w:eastAsia="Times New Roman" w:hAnsi="Times New Roman" w:cs="Times New Roman"/>
                <w:color w:val="000000"/>
                <w:spacing w:val="0"/>
                <w:w w:val="100"/>
                <w:position w:val="0"/>
                <w:sz w:val="18"/>
                <w:szCs w:val="18"/>
              </w:rPr>
              <w:t>4,387,252.61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377"/>
      <w:bookmarkEnd w:id="1378"/>
      <w:bookmarkEnd w:id="1380"/>
    </w:p>
    <w:p>
      <w:pPr>
        <w:pStyle w:val="Style40"/>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81"/>
      <w:bookmarkEnd w:id="1382"/>
      <w:bookmarkEnd w:id="138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14,717,662.90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17,357,770.79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25,861,994.10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29,794,533.66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银行票据保证金解冻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560,106.77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6,084,347.66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8,573,485.63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10,394,445.80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49,713,249.40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63,631,097.91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40"/>
        <w:keepNext/>
        <w:keepLines/>
        <w:widowControl w:val="0"/>
        <w:shd w:val="clear" w:color="auto" w:fill="auto"/>
        <w:bidi w:val="0"/>
        <w:spacing w:before="0" w:after="400" w:line="240" w:lineRule="auto"/>
        <w:ind w:left="0" w:right="0" w:firstLine="0"/>
        <w:jc w:val="left"/>
      </w:pPr>
      <w:bookmarkStart w:id="1384" w:name="bookmark1384"/>
      <w:bookmarkStart w:id="1385" w:name="bookmark1385"/>
      <w:bookmarkStart w:id="1386" w:name="bookmark13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84"/>
      <w:bookmarkEnd w:id="1385"/>
      <w:bookmarkEnd w:id="138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115,170,610.36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149,402,343.02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27,432,075.74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21,075,329.05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13,795,816.57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4,877,954.82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509,053.33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237,714.33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29,488,478.29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40,646,557.50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186,396,034.29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216,239,898.72</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387"/>
      <w:bookmarkEnd w:id="1388"/>
      <w:bookmarkEnd w:id="13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收购子公司少数股东股权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25,745,056.34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与证券公司结算年度分红手续费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25,745,056.34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7,680.18</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391"/>
      <w:bookmarkEnd w:id="1392"/>
      <w:bookmarkEnd w:id="1394"/>
    </w:p>
    <w:p>
      <w:pPr>
        <w:pStyle w:val="Style40"/>
        <w:keepNext/>
        <w:keepLines/>
        <w:widowControl w:val="0"/>
        <w:shd w:val="clear" w:color="auto" w:fill="auto"/>
        <w:bidi w:val="0"/>
        <w:spacing w:before="0" w:after="400" w:line="240" w:lineRule="auto"/>
        <w:ind w:left="0" w:right="0" w:firstLine="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95"/>
      <w:bookmarkEnd w:id="1396"/>
      <w:bookmarkEnd w:id="139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6110"/>
        <w:gridCol w:w="1848"/>
        <w:gridCol w:w="163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162,450,627.69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158,957,101.13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54,818,986.99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40,476,131.69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34,704,166.39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24,928,045.45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36,907,617.51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30,048,421.02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211,112.40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143,560.74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69,044.41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452,331.38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2,622,462.15</w:t>
            </w:r>
          </w:p>
        </w:tc>
      </w:tr>
    </w:tbl>
    <w:p>
      <w:pPr>
        <w:widowControl w:val="0"/>
        <w:spacing w:line="1" w:lineRule="exact"/>
      </w:pPr>
      <w:r>
        <w:br w:type="page"/>
      </w:r>
    </w:p>
    <w:tbl>
      <w:tblPr>
        <w:tblOverlap w:val="never"/>
        <w:jc w:val="center"/>
        <w:tblLayout w:type="fixed"/>
      </w:tblPr>
      <w:tblGrid>
        <w:gridCol w:w="6110"/>
        <w:gridCol w:w="1848"/>
        <w:gridCol w:w="163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-18,111,208.46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-18201,428.73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-196,960,508.59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24,379,434.46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173,538,837.15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-145,878,075.31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381,322,495.58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-215,883,065.72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628,289,103.29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-97,886,037.33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1,960,417,190.23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1,487,924230.17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1,487,924,230.17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1,931,298,590.37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472,492,960.06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-443,374,360.20</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98"/>
      <w:bookmarkEnd w:id="1399"/>
      <w:bookmarkEnd w:id="140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1,960,417,190.23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1,487,924,230.17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125,229.22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1,960,389219.42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1,487,799,000.95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1,960,417,190.23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1,487,924,230.17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401"/>
      <w:bookmarkEnd w:id="1402"/>
      <w:bookmarkEnd w:id="140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24,856,544.63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银行保函、汇票存出保证金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1,163,097,398.37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因涉诉被法院查封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1,187,953,943.00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在建工程受限情况详见本附注十三、</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both"/>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4</w:t>
      </w:r>
      <w:bookmarkEnd w:id="1407"/>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405"/>
      <w:bookmarkEnd w:id="1406"/>
      <w:bookmarkEnd w:id="1408"/>
    </w:p>
    <w:p>
      <w:pPr>
        <w:pStyle w:val="Style40"/>
        <w:keepNext/>
        <w:keepLines/>
        <w:widowControl w:val="0"/>
        <w:shd w:val="clear" w:color="auto" w:fill="auto"/>
        <w:bidi w:val="0"/>
        <w:spacing w:before="0" w:after="380" w:line="240" w:lineRule="auto"/>
        <w:ind w:left="0" w:right="0" w:firstLine="140"/>
        <w:jc w:val="left"/>
      </w:pPr>
      <w:bookmarkStart w:id="1409" w:name="bookmark1409"/>
      <w:bookmarkStart w:id="1410" w:name="bookmark1410"/>
      <w:bookmarkStart w:id="1411" w:name="bookmark1411"/>
      <w:r>
        <w:rPr>
          <w:color w:val="000000"/>
          <w:spacing w:val="0"/>
          <w:w w:val="100"/>
          <w:position w:val="0"/>
        </w:rPr>
        <w:t>⑴政府补助基本情况</w:t>
      </w:r>
      <w:bookmarkEnd w:id="1409"/>
      <w:bookmarkEnd w:id="1410"/>
      <w:bookmarkEnd w:id="1411"/>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6,869,900.00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10,676,073.74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6,872,556.90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6,872,556.90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975,206.00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14,717,662.90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18,523,836.64</w:t>
            </w:r>
          </w:p>
        </w:tc>
      </w:tr>
    </w:tbl>
    <w:p>
      <w:pPr>
        <w:widowControl w:val="0"/>
        <w:spacing w:after="299" w:line="1" w:lineRule="exact"/>
      </w:pPr>
    </w:p>
    <w:p>
      <w:pPr>
        <w:pStyle w:val="Style40"/>
        <w:keepNext/>
        <w:keepLines/>
        <w:widowControl w:val="0"/>
        <w:shd w:val="clear" w:color="auto" w:fill="auto"/>
        <w:bidi w:val="0"/>
        <w:spacing w:before="0" w:after="380" w:line="312" w:lineRule="exact"/>
        <w:ind w:left="0" w:right="0" w:firstLine="0"/>
        <w:jc w:val="left"/>
      </w:pPr>
      <w:bookmarkStart w:id="1412" w:name="bookmark1412"/>
      <w:bookmarkStart w:id="1413" w:name="bookmark1413"/>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12"/>
      <w:bookmarkEnd w:id="1413"/>
      <w:bookmarkEnd w:id="1414"/>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0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sz w:val="24"/>
          <w:szCs w:val="24"/>
        </w:rPr>
        <w:t>八</w:t>
      </w:r>
      <w:bookmarkEnd w:id="1417"/>
      <w:r>
        <w:rPr>
          <w:color w:val="000000"/>
          <w:spacing w:val="0"/>
          <w:w w:val="100"/>
          <w:position w:val="0"/>
          <w:sz w:val="24"/>
          <w:szCs w:val="24"/>
        </w:rPr>
        <w:t>、</w:t>
        <w:tab/>
        <w:t>合并范围的变更</w:t>
      </w:r>
      <w:bookmarkEnd w:id="1415"/>
      <w:bookmarkEnd w:id="1416"/>
      <w:bookmarkEnd w:id="1418"/>
    </w:p>
    <w:p>
      <w:pPr>
        <w:pStyle w:val="Style30"/>
        <w:keepNext/>
        <w:keepLines/>
        <w:widowControl w:val="0"/>
        <w:shd w:val="clear" w:color="auto" w:fill="auto"/>
        <w:tabs>
          <w:tab w:pos="394" w:val="left"/>
        </w:tabs>
        <w:bidi w:val="0"/>
        <w:spacing w:before="0" w:after="380" w:line="312" w:lineRule="exact"/>
        <w:ind w:left="0" w:right="0" w:firstLine="0"/>
        <w:jc w:val="both"/>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1</w:t>
      </w:r>
      <w:bookmarkEnd w:id="1421"/>
      <w:r>
        <w:rPr>
          <w:color w:val="000000"/>
          <w:spacing w:val="0"/>
          <w:w w:val="100"/>
          <w:position w:val="0"/>
        </w:rPr>
        <w:t>、</w:t>
        <w:tab/>
        <w:t>处置子公司</w:t>
      </w:r>
      <w:bookmarkEnd w:id="1419"/>
      <w:bookmarkEnd w:id="1420"/>
      <w:bookmarkEnd w:id="1422"/>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口</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394" w:val="left"/>
        </w:tabs>
        <w:bidi w:val="0"/>
        <w:spacing w:before="0" w:after="380" w:line="312" w:lineRule="exact"/>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bookmarkEnd w:id="1425"/>
      <w:r>
        <w:rPr>
          <w:color w:val="000000"/>
          <w:spacing w:val="0"/>
          <w:w w:val="100"/>
          <w:position w:val="0"/>
        </w:rPr>
        <w:t>、</w:t>
        <w:tab/>
        <w:t>其他原因的合并范围变动</w:t>
      </w:r>
      <w:bookmarkEnd w:id="1423"/>
      <w:bookmarkEnd w:id="1424"/>
      <w:bookmarkEnd w:id="1426"/>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4"/>
        <w:keepNext w:val="0"/>
        <w:keepLines w:val="0"/>
        <w:widowControl w:val="0"/>
        <w:shd w:val="clear" w:color="auto" w:fill="auto"/>
        <w:bidi w:val="0"/>
        <w:spacing w:before="0" w:after="380" w:line="312" w:lineRule="exact"/>
        <w:ind w:left="0" w:right="0"/>
        <w:jc w:val="both"/>
      </w:pPr>
      <w:r>
        <w:rPr>
          <w:color w:val="000000"/>
          <w:spacing w:val="0"/>
          <w:w w:val="100"/>
          <w:position w:val="0"/>
        </w:rPr>
        <w:t>报告期本公司合并范围较上年上期相比，增加</w:t>
      </w:r>
      <w:r>
        <w:rPr>
          <w:rFonts w:ascii="Times New Roman" w:eastAsia="Times New Roman" w:hAnsi="Times New Roman" w:cs="Times New Roman"/>
          <w:color w:val="000000"/>
          <w:spacing w:val="0"/>
          <w:w w:val="100"/>
          <w:position w:val="0"/>
        </w:rPr>
        <w:t>1</w:t>
      </w:r>
      <w:r>
        <w:rPr>
          <w:color w:val="000000"/>
          <w:spacing w:val="0"/>
          <w:w w:val="100"/>
          <w:position w:val="0"/>
        </w:rPr>
        <w:t>户：卫士通</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网络安全技术有限公司，系本期投资 设立的全资子公司，尚未开始运营；减少</w:t>
      </w:r>
      <w:r>
        <w:rPr>
          <w:rFonts w:ascii="Times New Roman" w:eastAsia="Times New Roman" w:hAnsi="Times New Roman" w:cs="Times New Roman"/>
          <w:color w:val="000000"/>
          <w:spacing w:val="0"/>
          <w:w w:val="100"/>
          <w:position w:val="0"/>
        </w:rPr>
        <w:t>4</w:t>
      </w:r>
      <w:r>
        <w:rPr>
          <w:color w:val="000000"/>
          <w:spacing w:val="0"/>
          <w:w w:val="100"/>
          <w:position w:val="0"/>
        </w:rPr>
        <w:t>户：成都三零豪赛网络安全技术有限公司、上海卫士通网络安 全有限公司、四川卫士通信息安全平台技术有限公司及成都三零盛安信息系统有限公司。其中：成都三零 豪赛网络安全技术有限公司已完成工商注销；上海卫士通网络安全有限公司本期已完成清算及税务注销， 正在进行工商注销；四川卫士通信息安全平台技术有限公司及成都三零盛安信息系统有限公司被本公司子 公司成都三零嘉微电子有限公司吸收合并。</w:t>
      </w:r>
    </w:p>
    <w:p>
      <w:pPr>
        <w:pStyle w:val="Style20"/>
        <w:keepNext/>
        <w:keepLines/>
        <w:widowControl w:val="0"/>
        <w:shd w:val="clear" w:color="auto" w:fill="auto"/>
        <w:tabs>
          <w:tab w:pos="517" w:val="left"/>
        </w:tabs>
        <w:bidi w:val="0"/>
        <w:spacing w:before="0" w:after="300" w:line="240" w:lineRule="auto"/>
        <w:ind w:left="0" w:right="0" w:firstLine="0"/>
        <w:jc w:val="both"/>
      </w:pPr>
      <w:bookmarkStart w:id="1427" w:name="bookmark1427"/>
      <w:bookmarkStart w:id="1428" w:name="bookmark1428"/>
      <w:bookmarkStart w:id="1429" w:name="bookmark1429"/>
      <w:bookmarkStart w:id="1430" w:name="bookmark1430"/>
      <w:r>
        <w:rPr>
          <w:color w:val="000000"/>
          <w:spacing w:val="0"/>
          <w:w w:val="100"/>
          <w:position w:val="0"/>
          <w:sz w:val="24"/>
          <w:szCs w:val="24"/>
        </w:rPr>
        <w:t>九</w:t>
      </w:r>
      <w:bookmarkEnd w:id="1429"/>
      <w:r>
        <w:rPr>
          <w:color w:val="000000"/>
          <w:spacing w:val="0"/>
          <w:w w:val="100"/>
          <w:position w:val="0"/>
          <w:sz w:val="24"/>
          <w:szCs w:val="24"/>
        </w:rPr>
        <w:t>、</w:t>
        <w:tab/>
        <w:t>在其他主体中的权益</w:t>
      </w:r>
      <w:bookmarkEnd w:id="1427"/>
      <w:bookmarkEnd w:id="1428"/>
      <w:bookmarkEnd w:id="1430"/>
    </w:p>
    <w:p>
      <w:pPr>
        <w:pStyle w:val="Style30"/>
        <w:keepNext/>
        <w:keepLines/>
        <w:widowControl w:val="0"/>
        <w:shd w:val="clear" w:color="auto" w:fill="auto"/>
        <w:bidi w:val="0"/>
        <w:spacing w:before="0" w:after="300" w:line="312" w:lineRule="exact"/>
        <w:ind w:left="0" w:right="0" w:firstLine="0"/>
        <w:jc w:val="both"/>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31"/>
      <w:bookmarkEnd w:id="1432"/>
      <w:bookmarkEnd w:id="1433"/>
    </w:p>
    <w:p>
      <w:pPr>
        <w:pStyle w:val="Style40"/>
        <w:keepNext/>
        <w:keepLines/>
        <w:widowControl w:val="0"/>
        <w:shd w:val="clear" w:color="auto" w:fill="auto"/>
        <w:bidi w:val="0"/>
        <w:spacing w:before="0" w:after="300" w:line="312" w:lineRule="exact"/>
        <w:ind w:left="0" w:right="0" w:firstLine="0"/>
        <w:jc w:val="both"/>
      </w:pPr>
      <w:bookmarkStart w:id="1434" w:name="bookmark1434"/>
      <w:bookmarkStart w:id="1435" w:name="bookmark1435"/>
      <w:bookmarkStart w:id="1436" w:name="bookmark14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34"/>
      <w:bookmarkEnd w:id="1435"/>
      <w:bookmarkEnd w:id="1436"/>
    </w:p>
    <w:tbl>
      <w:tblPr>
        <w:tblOverlap w:val="never"/>
        <w:jc w:val="center"/>
        <w:tblLayout w:type="fixed"/>
      </w:tblPr>
      <w:tblGrid>
        <w:gridCol w:w="3418"/>
        <w:gridCol w:w="1282"/>
        <w:gridCol w:w="989"/>
        <w:gridCol w:w="1133"/>
        <w:gridCol w:w="850"/>
        <w:gridCol w:w="562"/>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3418"/>
        <w:gridCol w:w="1277"/>
        <w:gridCol w:w="994"/>
        <w:gridCol w:w="1133"/>
        <w:gridCol w:w="850"/>
        <w:gridCol w:w="552"/>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260" w:line="317" w:lineRule="exact"/>
        <w:ind w:left="0" w:right="0"/>
        <w:jc w:val="both"/>
      </w:pPr>
      <w:r>
        <w:rPr>
          <w:color w:val="000000"/>
          <w:spacing w:val="0"/>
          <w:w w:val="100"/>
          <w:position w:val="0"/>
        </w:rPr>
        <w:t>四川卫士通信息安全平台技术有限公司及成都三零盛安信息系统有限公司被本公司子公司成都三零 嘉微电子有限公司吸收合并。</w:t>
      </w:r>
    </w:p>
    <w:p>
      <w:pPr>
        <w:pStyle w:val="Style40"/>
        <w:keepNext/>
        <w:keepLines/>
        <w:widowControl w:val="0"/>
        <w:shd w:val="clear" w:color="auto" w:fill="auto"/>
        <w:bidi w:val="0"/>
        <w:spacing w:before="0" w:after="400" w:line="317" w:lineRule="exact"/>
        <w:ind w:left="0" w:right="0" w:firstLine="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37"/>
      <w:bookmarkEnd w:id="1438"/>
      <w:bookmarkEnd w:id="143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1147"/>
        <w:gridCol w:w="1411"/>
        <w:gridCol w:w="1421"/>
        <w:gridCol w:w="1930"/>
      </w:tblGrid>
      <w:tr>
        <w:trPr>
          <w:trHeight w:val="4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本期归属于少数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本期向少数股东</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07"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股东的损益</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宣告分派的股利</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227,455.52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1,828,681.56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15,357,303.17</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-792,131.56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-4,932,979.46</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14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w:t>
      </w:r>
      <w:bookmarkEnd w:id="144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40"/>
      <w:bookmarkEnd w:id="1441"/>
      <w:bookmarkEnd w:id="144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54"/>
        <w:gridCol w:w="725"/>
        <w:gridCol w:w="734"/>
        <w:gridCol w:w="744"/>
        <w:gridCol w:w="734"/>
        <w:gridCol w:w="730"/>
        <w:gridCol w:w="734"/>
        <w:gridCol w:w="744"/>
        <w:gridCol w:w="734"/>
        <w:gridCol w:w="730"/>
        <w:gridCol w:w="754"/>
        <w:gridCol w:w="7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三零嘉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89,253,4</w:t>
            </w:r>
          </w:p>
        </w:tc>
      </w:tr>
      <w:tr>
        <w:trPr>
          <w:trHeight w:val="33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5,930.49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8,035.15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753.54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513.89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三零瑞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607,329,</w:t>
            </w:r>
          </w:p>
        </w:tc>
      </w:tr>
      <w:tr>
        <w:trPr>
          <w:trHeight w:val="33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765.67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924.56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142.77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205.45</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19,205,3</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70"/>
        <w:gridCol w:w="1056"/>
        <w:gridCol w:w="1070"/>
        <w:gridCol w:w="1070"/>
        <w:gridCol w:w="1056"/>
        <w:gridCol w:w="1070"/>
        <w:gridCol w:w="1066"/>
        <w:gridCol w:w="106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38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三零嘉微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307,502,667.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86,003,475.9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86,003,475.9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139,218,719.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38,828,529.8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38,828,529.8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-27,309,960.9</w:t>
            </w:r>
          </w:p>
        </w:tc>
      </w:tr>
      <w:tr>
        <w:trPr>
          <w:trHeight w:val="33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三零瑞通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408,844,972.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8,230,932.91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8,230,932.91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203,119,789.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392,570,415.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3,557,678.72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3,557,678.72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-33,491,190.1</w:t>
            </w:r>
          </w:p>
        </w:tc>
      </w:tr>
    </w:tbl>
    <w:p>
      <w:pPr>
        <w:widowControl w:val="0"/>
        <w:spacing w:line="1" w:lineRule="exact"/>
      </w:pPr>
      <w:r>
        <w:br w:type="page"/>
      </w:r>
    </w:p>
    <w:tbl>
      <w:tblPr>
        <w:tblOverlap w:val="never"/>
        <w:jc w:val="center"/>
        <w:tblLayout w:type="fixed"/>
      </w:tblPr>
      <w:tblGrid>
        <w:gridCol w:w="1066"/>
        <w:gridCol w:w="1070"/>
        <w:gridCol w:w="1056"/>
        <w:gridCol w:w="1070"/>
        <w:gridCol w:w="1066"/>
        <w:gridCol w:w="1061"/>
        <w:gridCol w:w="1066"/>
        <w:gridCol w:w="1070"/>
        <w:gridCol w:w="106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天津网安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9,191,897.13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-2,263,233.04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-2,263,233.04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-1,302,743.95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19,559,388.4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322,738.91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322,738.91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-2,222,924.35</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444"/>
      <w:bookmarkEnd w:id="1445"/>
      <w:bookmarkEnd w:id="1446"/>
    </w:p>
    <w:p>
      <w:pPr>
        <w:pStyle w:val="Style40"/>
        <w:keepNext/>
        <w:keepLines/>
        <w:widowControl w:val="0"/>
        <w:shd w:val="clear" w:color="auto" w:fill="auto"/>
        <w:bidi w:val="0"/>
        <w:spacing w:before="0" w:after="30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447"/>
      <w:bookmarkEnd w:id="1448"/>
      <w:bookmarkEnd w:id="1449"/>
    </w:p>
    <w:p>
      <w:pPr>
        <w:pStyle w:val="Style34"/>
        <w:keepNext w:val="0"/>
        <w:keepLines w:val="0"/>
        <w:widowControl w:val="0"/>
        <w:shd w:val="clear" w:color="auto" w:fill="auto"/>
        <w:bidi w:val="0"/>
        <w:spacing w:before="0" w:after="300" w:line="305" w:lineRule="exact"/>
        <w:ind w:left="0" w:right="0"/>
        <w:jc w:val="left"/>
      </w:pPr>
      <w:r>
        <w:rPr>
          <w:color w:val="000000"/>
          <w:spacing w:val="0"/>
          <w:w w:val="100"/>
          <w:position w:val="0"/>
        </w:rPr>
        <w:t xml:space="preserve">本期收购子公司三零嘉微及三零瑞通部分少数股东股权，其中收购三零嘉微个人股东持有三零嘉微 </w:t>
      </w:r>
      <w:r>
        <w:rPr>
          <w:rFonts w:ascii="Times New Roman" w:eastAsia="Times New Roman" w:hAnsi="Times New Roman" w:cs="Times New Roman"/>
          <w:color w:val="000000"/>
          <w:spacing w:val="0"/>
          <w:w w:val="100"/>
          <w:position w:val="0"/>
        </w:rPr>
        <w:t>10.34%</w:t>
      </w:r>
      <w:r>
        <w:rPr>
          <w:color w:val="000000"/>
          <w:spacing w:val="0"/>
          <w:w w:val="100"/>
          <w:position w:val="0"/>
        </w:rPr>
        <w:t>的股权，收购后本公司持有三零嘉微</w:t>
      </w:r>
      <w:r>
        <w:rPr>
          <w:rFonts w:ascii="Times New Roman" w:eastAsia="Times New Roman" w:hAnsi="Times New Roman" w:cs="Times New Roman"/>
          <w:color w:val="000000"/>
          <w:spacing w:val="0"/>
          <w:w w:val="100"/>
          <w:position w:val="0"/>
        </w:rPr>
        <w:t>98.49%</w:t>
      </w:r>
      <w:r>
        <w:rPr>
          <w:color w:val="000000"/>
          <w:spacing w:val="0"/>
          <w:w w:val="100"/>
          <w:position w:val="0"/>
        </w:rPr>
        <w:t>的股权；收购三零瑞通个人股东持有三零瑞通</w:t>
      </w:r>
      <w:r>
        <w:rPr>
          <w:rFonts w:ascii="Times New Roman" w:eastAsia="Times New Roman" w:hAnsi="Times New Roman" w:cs="Times New Roman"/>
          <w:color w:val="000000"/>
          <w:spacing w:val="0"/>
          <w:w w:val="100"/>
          <w:position w:val="0"/>
        </w:rPr>
        <w:t>4.43%</w:t>
      </w:r>
      <w:r>
        <w:rPr>
          <w:color w:val="000000"/>
          <w:spacing w:val="0"/>
          <w:w w:val="100"/>
          <w:position w:val="0"/>
        </w:rPr>
        <w:t>的 股权，收购后本公司持有三零瑞通</w:t>
      </w:r>
      <w:r>
        <w:rPr>
          <w:rFonts w:ascii="Times New Roman" w:eastAsia="Times New Roman" w:hAnsi="Times New Roman" w:cs="Times New Roman"/>
          <w:color w:val="000000"/>
          <w:spacing w:val="0"/>
          <w:w w:val="100"/>
          <w:position w:val="0"/>
        </w:rPr>
        <w:t>99.93%</w:t>
      </w:r>
      <w:r>
        <w:rPr>
          <w:color w:val="000000"/>
          <w:spacing w:val="0"/>
          <w:w w:val="100"/>
          <w:position w:val="0"/>
        </w:rPr>
        <w:t>的股权。</w:t>
      </w:r>
    </w:p>
    <w:p>
      <w:pPr>
        <w:pStyle w:val="Style40"/>
        <w:keepNext/>
        <w:keepLines/>
        <w:widowControl w:val="0"/>
        <w:shd w:val="clear" w:color="auto" w:fill="auto"/>
        <w:bidi w:val="0"/>
        <w:spacing w:before="0" w:after="380" w:line="305" w:lineRule="exact"/>
        <w:ind w:left="0" w:right="0" w:firstLine="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450"/>
      <w:bookmarkEnd w:id="1451"/>
      <w:bookmarkEnd w:id="145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846"/>
        <w:gridCol w:w="2496"/>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三零嘉微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三零瑞通</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17,851,700.74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13,940,646.20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17,851,700.74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13,940,646.20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17,851,700.74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13,940,646.20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28,615 2 34.71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13,629,739.78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-10,763,533.97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310,906.42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10,763,533.97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-310,906.42</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color w:val="000000"/>
          <w:spacing w:val="0"/>
          <w:w w:val="100"/>
          <w:position w:val="0"/>
        </w:rPr>
        <w:t>、在合营安排或联营企业中的权益</w:t>
      </w:r>
      <w:bookmarkEnd w:id="1453"/>
      <w:bookmarkEnd w:id="1454"/>
      <w:bookmarkEnd w:id="1456"/>
    </w:p>
    <w:p>
      <w:pPr>
        <w:pStyle w:val="Style40"/>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457"/>
      <w:bookmarkEnd w:id="1458"/>
      <w:bookmarkEnd w:id="145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58,447,728.96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28,795,629.56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-2,622,462.15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-2,622,462.15</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14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r>
        <w:rPr>
          <w:color w:val="000000"/>
          <w:spacing w:val="0"/>
          <w:w w:val="100"/>
          <w:position w:val="0"/>
        </w:rPr>
        <w:t>）合营企业或联营企业向本公司转移资金的能力存在重大限制的说明</w:t>
      </w:r>
      <w:bookmarkEnd w:id="1460"/>
      <w:bookmarkEnd w:id="1461"/>
      <w:bookmarkEnd w:id="1462"/>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本公司无合营企业或联营企业向本公司转移资金的能力存在重大限制情况。</w:t>
      </w:r>
    </w:p>
    <w:p>
      <w:pPr>
        <w:pStyle w:val="Style20"/>
        <w:keepNext/>
        <w:keepLines/>
        <w:widowControl w:val="0"/>
        <w:shd w:val="clear" w:color="auto" w:fill="auto"/>
        <w:bidi w:val="0"/>
        <w:spacing w:before="0" w:after="280" w:line="240" w:lineRule="auto"/>
        <w:ind w:left="0" w:right="0" w:firstLine="0"/>
        <w:jc w:val="left"/>
      </w:pPr>
      <w:bookmarkStart w:id="1463" w:name="bookmark1463"/>
      <w:bookmarkStart w:id="1464" w:name="bookmark1464"/>
      <w:bookmarkStart w:id="1465" w:name="bookmark1465"/>
      <w:r>
        <w:rPr>
          <w:color w:val="000000"/>
          <w:spacing w:val="0"/>
          <w:w w:val="100"/>
          <w:position w:val="0"/>
          <w:sz w:val="24"/>
          <w:szCs w:val="24"/>
        </w:rPr>
        <w:t>十、与金融工具相关的风险</w:t>
      </w:r>
      <w:bookmarkEnd w:id="1463"/>
      <w:bookmarkEnd w:id="1464"/>
      <w:bookmarkEnd w:id="1465"/>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本公司的经营活动会面临各种金融风险：信用风险、流动风险和市场风险（主要为汇率风险和利率风 险）。本公司整体的风险管理计划针对金融市场的不可预见性，力求减少对本公司财务业绩的潜在不利影 响。</w:t>
      </w:r>
    </w:p>
    <w:p>
      <w:pPr>
        <w:pStyle w:val="Style34"/>
        <w:keepNext w:val="0"/>
        <w:keepLines w:val="0"/>
        <w:widowControl w:val="0"/>
        <w:shd w:val="clear" w:color="auto" w:fill="auto"/>
        <w:bidi w:val="0"/>
        <w:spacing w:before="0" w:after="0" w:line="313" w:lineRule="exact"/>
        <w:ind w:left="0" w:right="0" w:firstLine="380"/>
        <w:jc w:val="both"/>
      </w:pPr>
      <w:r>
        <w:rPr>
          <w:b/>
          <w:bCs/>
          <w:color w:val="000000"/>
          <w:spacing w:val="0"/>
          <w:w w:val="100"/>
          <w:position w:val="0"/>
        </w:rPr>
        <w:t>（一）信用风险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本公司其他金融资产包括货币资金及其他应收款，这些金融资产的信用风险源自于交易对手违约，最 大信用风险敞口为资产负债表中每项金融资产的账面金额。本公司没有提供任何其他可能令本公司承受信 用风险的担保。</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本公司持有的货币资金主要存放于国有控股银行和其他大中型商业银行等金融机构以及中国电子科 技财务有限公司（集团财务公司），管理层认为这些商业银行及集团财务公司具备较高信誉和资产状况， 不存在重大的信用风险，不会产生因对方单位违约而导致的任何重大损失。本公司的政策是根据各知名金 融机构的市场信誉、经营规模及财务背景来控制存放当中的存款金额，以限制对任何单个金融机构的信用 风险金额。</w:t>
      </w:r>
    </w:p>
    <w:p>
      <w:pPr>
        <w:pStyle w:val="Style34"/>
        <w:keepNext w:val="0"/>
        <w:keepLines w:val="0"/>
        <w:widowControl w:val="0"/>
        <w:shd w:val="clear" w:color="auto" w:fill="auto"/>
        <w:bidi w:val="0"/>
        <w:spacing w:before="0" w:after="60" w:line="319" w:lineRule="exact"/>
        <w:ind w:left="0" w:right="0"/>
        <w:jc w:val="both"/>
      </w:pPr>
      <w:r>
        <w:rPr>
          <w:color w:val="000000"/>
          <w:spacing w:val="0"/>
          <w:w w:val="100"/>
          <w:position w:val="0"/>
        </w:rPr>
        <w:t>作为本公司信用风险资产管理的一部分，本公司利用账龄来评估应收账款和其他应收款的减值损失。 本公司的应收账款和其他应收款涉及大量客户，账龄信息可以反映这些客户对于应收账款和其他应收款的 偿付能力和坏账风险。本公司根据历史数据计算不同账龄期间的历史实际坏账率，并考虑了当前及未来经 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增速、基建投资总额、国家货币政策等前瞻性信息进行调整得出预期损失率。 对于长期应收款，本公司综合考虑结算期、合同约定付款期、债务人的财务状况和债务人所处行业的经济 形势，并考虑上述前瞻性信息进行调整后对于预期信用损失进行合理评估。</w:t>
      </w:r>
    </w:p>
    <w:p>
      <w:pPr>
        <w:pStyle w:val="Style22"/>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日，相关资产的账面余额与预期信用减值损失情况如下:</w:t>
      </w:r>
    </w:p>
    <w:tbl>
      <w:tblPr>
        <w:tblOverlap w:val="never"/>
        <w:jc w:val="center"/>
        <w:tblLayout w:type="fixed"/>
      </w:tblPr>
      <w:tblGrid>
        <w:gridCol w:w="3662"/>
        <w:gridCol w:w="3058"/>
        <w:gridCol w:w="296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471,161,025.89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1,617,111283.63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342,440,027.80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96,637,829.06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21,764,861.59</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2,184,910,138.58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364,204,889.39</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本公司的主要客户为军队及政府机构</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勾以及电科集团关联企业等，该等客户具有可靠及良好的信誉，因</w:t>
            </w:r>
          </w:p>
        </w:tc>
      </w:tr>
    </w:tbl>
    <w:p>
      <w:pPr>
        <w:pStyle w:val="Style34"/>
        <w:keepNext w:val="0"/>
        <w:keepLines w:val="0"/>
        <w:widowControl w:val="0"/>
        <w:shd w:val="clear" w:color="auto" w:fill="auto"/>
        <w:bidi w:val="0"/>
        <w:spacing w:before="0" w:after="0" w:line="307" w:lineRule="exact"/>
        <w:ind w:left="0" w:right="0" w:firstLine="0"/>
        <w:jc w:val="left"/>
      </w:pPr>
      <w:r>
        <w:rPr>
          <w:color w:val="000000"/>
          <w:spacing w:val="0"/>
          <w:w w:val="100"/>
          <w:position w:val="0"/>
        </w:rPr>
        <w:t>此，本公司认为该等客户并无重大信用风险。由于本公司的客户广泛，因此没有重大的信用集中风险。 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日，本公司的前五大客户的应收账款占本公司应收账款总额</w:t>
      </w:r>
      <w:r>
        <w:rPr>
          <w:rFonts w:ascii="Times New Roman" w:eastAsia="Times New Roman" w:hAnsi="Times New Roman" w:cs="Times New Roman"/>
          <w:color w:val="000000"/>
          <w:spacing w:val="0"/>
          <w:w w:val="100"/>
          <w:position w:val="0"/>
        </w:rPr>
        <w:t>25.90% （2019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27.64%）</w:t>
      </w:r>
      <w:r>
        <w:rPr>
          <w:color w:val="000000"/>
          <w:spacing w:val="0"/>
          <w:w w:val="100"/>
          <w:position w:val="0"/>
        </w:rPr>
        <w:t>。</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本公司购买的银行结构性存款，交易对方的信用评级须高于或与本公司相同。鉴于交易对方的信用评 级良好，本公司管理层并不预期交易对方会无法履行义务。</w:t>
      </w:r>
    </w:p>
    <w:p>
      <w:pPr>
        <w:pStyle w:val="Style34"/>
        <w:keepNext w:val="0"/>
        <w:keepLines w:val="0"/>
        <w:widowControl w:val="0"/>
        <w:shd w:val="clear" w:color="auto" w:fill="auto"/>
        <w:bidi w:val="0"/>
        <w:spacing w:before="0" w:after="60" w:line="314" w:lineRule="exact"/>
        <w:ind w:left="0" w:right="0"/>
        <w:jc w:val="both"/>
      </w:pPr>
      <w:r>
        <w:rPr>
          <w:color w:val="000000"/>
          <w:spacing w:val="0"/>
          <w:w w:val="100"/>
          <w:position w:val="0"/>
        </w:rPr>
        <w:t>本公司所承受的最大信用风险敞口为资产负债表中每项金融资产的账面金额。截至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本公司没有提供任何其他可能令本公司承受信用风险的担保。</w:t>
      </w:r>
    </w:p>
    <w:p>
      <w:pPr>
        <w:pStyle w:val="Style34"/>
        <w:keepNext w:val="0"/>
        <w:keepLines w:val="0"/>
        <w:widowControl w:val="0"/>
        <w:shd w:val="clear" w:color="auto" w:fill="auto"/>
        <w:bidi w:val="0"/>
        <w:spacing w:before="0" w:after="0" w:line="314" w:lineRule="exact"/>
        <w:ind w:left="0" w:right="0" w:firstLine="280"/>
        <w:jc w:val="both"/>
      </w:pPr>
      <w:r>
        <w:rPr>
          <w:b/>
          <w:bCs/>
          <w:color w:val="000000"/>
          <w:spacing w:val="0"/>
          <w:w w:val="100"/>
          <w:position w:val="0"/>
        </w:rPr>
        <w:t>（二）流动性风险</w:t>
      </w:r>
    </w:p>
    <w:p>
      <w:pPr>
        <w:pStyle w:val="Style34"/>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 xml:space="preserve">流动性风险是指本公司在履行以交付现金或其他金融资产的方式结算的义务时发生资金短缺的风险。 </w:t>
      </w:r>
      <w:r>
        <w:rPr>
          <w:color w:val="000000"/>
          <w:spacing w:val="0"/>
          <w:w w:val="100"/>
          <w:position w:val="0"/>
        </w:rPr>
        <w:t>本公司下属成员企业各自负责其现金流量预测。公司下属财务部门基于各成员企业的现金流量预测结果， 在公司层面持续监控公司短期和长期的资金需求，以确保维持充裕的现金储备；同时持续监控是否符合借 款协议的规定，从主要金融机构以及电科集团财务公司获得提供足够备用资金的承诺，以满足短期和长期 的资金需求。</w:t>
      </w:r>
    </w:p>
    <w:p>
      <w:pPr>
        <w:pStyle w:val="Style34"/>
        <w:keepNext w:val="0"/>
        <w:keepLines w:val="0"/>
        <w:widowControl w:val="0"/>
        <w:shd w:val="clear" w:color="auto" w:fill="auto"/>
        <w:bidi w:val="0"/>
        <w:spacing w:before="0" w:after="40" w:line="240" w:lineRule="auto"/>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日，本公司金融负债以未折现的合同现金流量按合同剩余期限列示如下:</w:t>
      </w:r>
    </w:p>
    <w:tbl>
      <w:tblPr>
        <w:tblOverlap w:val="never"/>
        <w:jc w:val="center"/>
        <w:tblLayout w:type="fixed"/>
      </w:tblPr>
      <w:tblGrid>
        <w:gridCol w:w="1786"/>
        <w:gridCol w:w="1306"/>
        <w:gridCol w:w="1320"/>
        <w:gridCol w:w="1310"/>
        <w:gridCol w:w="1325"/>
        <w:gridCol w:w="1320"/>
        <w:gridCol w:w="1320"/>
      </w:tblGrid>
      <w:tr>
        <w:trPr>
          <w:trHeight w:val="34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179,363,275.28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179,363,275.28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179,363,275.28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1,051,262,663.46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1,051,262,663.46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1,051,262,663.46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28,001,642.96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28,001,642.96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28,001,642.96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金融负债小计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1,258,627,581.7(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1,258,627,581.70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1,258,627,581.70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4"/>
        <w:keepNext w:val="0"/>
        <w:keepLines w:val="0"/>
        <w:widowControl w:val="0"/>
        <w:shd w:val="clear" w:color="auto" w:fill="auto"/>
        <w:bidi w:val="0"/>
        <w:spacing w:before="0" w:after="120" w:line="317" w:lineRule="exact"/>
        <w:ind w:left="0" w:right="0" w:firstLine="280"/>
        <w:jc w:val="both"/>
      </w:pPr>
      <w:r>
        <w:rPr>
          <w:b/>
          <w:bCs/>
          <w:color w:val="000000"/>
          <w:spacing w:val="0"/>
          <w:w w:val="100"/>
          <w:position w:val="0"/>
        </w:rPr>
        <w:t>（三）市场风险</w:t>
      </w:r>
    </w:p>
    <w:p>
      <w:pPr>
        <w:pStyle w:val="Style34"/>
        <w:keepNext w:val="0"/>
        <w:keepLines w:val="0"/>
        <w:widowControl w:val="0"/>
        <w:shd w:val="clear" w:color="auto" w:fill="auto"/>
        <w:bidi w:val="0"/>
        <w:spacing w:before="0" w:after="0" w:line="317" w:lineRule="exact"/>
        <w:ind w:left="0" w:right="0"/>
        <w:jc w:val="both"/>
      </w:pPr>
      <w:r>
        <w:rPr>
          <w:b/>
          <w:bCs/>
          <w:color w:val="000000"/>
          <w:spacing w:val="0"/>
          <w:w w:val="100"/>
          <w:position w:val="0"/>
        </w:rPr>
        <w:t>利率风险</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本公司的利率风险主要产生于短期借款等。浮动利率的金融负债使本公司面临现金流量利率风险，固 定利率的金融负债使本公司面临公允价值利率风险。本公司根据当时的市场环境来决定固定利率及浮动利 率合同的相对比例。</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w:t>
      </w:r>
    </w:p>
    <w:p>
      <w:pPr>
        <w:pStyle w:val="Style34"/>
        <w:keepNext w:val="0"/>
        <w:keepLines w:val="0"/>
        <w:widowControl w:val="0"/>
        <w:shd w:val="clear" w:color="auto" w:fill="auto"/>
        <w:bidi w:val="0"/>
        <w:spacing w:before="0" w:after="36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日，本公司无长期带息债务。</w:t>
      </w:r>
    </w:p>
    <w:p>
      <w:pPr>
        <w:pStyle w:val="Style20"/>
        <w:keepNext/>
        <w:keepLines/>
        <w:widowControl w:val="0"/>
        <w:shd w:val="clear" w:color="auto" w:fill="auto"/>
        <w:bidi w:val="0"/>
        <w:spacing w:before="0" w:after="320" w:line="240" w:lineRule="auto"/>
        <w:ind w:left="0" w:right="0" w:firstLine="0"/>
        <w:jc w:val="both"/>
      </w:pPr>
      <w:bookmarkStart w:id="1466" w:name="bookmark1466"/>
      <w:bookmarkStart w:id="1467" w:name="bookmark1467"/>
      <w:bookmarkStart w:id="1468" w:name="bookmark1468"/>
      <w:r>
        <w:rPr>
          <w:color w:val="000000"/>
          <w:spacing w:val="0"/>
          <w:w w:val="100"/>
          <w:position w:val="0"/>
          <w:sz w:val="24"/>
          <w:szCs w:val="24"/>
        </w:rPr>
        <w:t>十一、公允价值的披露</w:t>
      </w:r>
      <w:bookmarkEnd w:id="1466"/>
      <w:bookmarkEnd w:id="1467"/>
      <w:bookmarkEnd w:id="1468"/>
    </w:p>
    <w:p>
      <w:pPr>
        <w:pStyle w:val="Style30"/>
        <w:keepNext/>
        <w:keepLines/>
        <w:widowControl w:val="0"/>
        <w:shd w:val="clear" w:color="auto" w:fill="auto"/>
        <w:bidi w:val="0"/>
        <w:spacing w:before="0" w:line="317" w:lineRule="exact"/>
        <w:ind w:left="0" w:right="0" w:firstLine="0"/>
        <w:jc w:val="both"/>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69"/>
      <w:bookmarkEnd w:id="1470"/>
      <w:bookmarkEnd w:id="14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560"/>
        <w:gridCol w:w="1920"/>
        <w:gridCol w:w="191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3,000,237.99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472"/>
      <w:bookmarkEnd w:id="1473"/>
      <w:bookmarkEnd w:id="1474"/>
    </w:p>
    <w:tbl>
      <w:tblPr>
        <w:tblOverlap w:val="never"/>
        <w:jc w:val="center"/>
        <w:tblLayout w:type="fixed"/>
      </w:tblPr>
      <w:tblGrid>
        <w:gridCol w:w="1579"/>
        <w:gridCol w:w="1272"/>
        <w:gridCol w:w="4411"/>
        <w:gridCol w:w="2424"/>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不可观察输入值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根据享有被投资企业资产净值确定其公允价值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标的资产公允价值</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3,000,237.99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keepLines/>
        <w:widowControl w:val="0"/>
        <w:shd w:val="clear" w:color="auto" w:fill="auto"/>
        <w:bidi w:val="0"/>
        <w:spacing w:before="0" w:after="320" w:line="312" w:lineRule="exact"/>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color w:val="000000"/>
          <w:spacing w:val="0"/>
          <w:w w:val="100"/>
          <w:position w:val="0"/>
        </w:rPr>
        <w:t>、不以公允价值计量的金融资产和金融负债的公允价值情况</w:t>
      </w:r>
      <w:bookmarkEnd w:id="1475"/>
      <w:bookmarkEnd w:id="1476"/>
      <w:bookmarkEnd w:id="1478"/>
    </w:p>
    <w:p>
      <w:pPr>
        <w:pStyle w:val="Style34"/>
        <w:keepNext w:val="0"/>
        <w:keepLines w:val="0"/>
        <w:widowControl w:val="0"/>
        <w:shd w:val="clear" w:color="auto" w:fill="auto"/>
        <w:bidi w:val="0"/>
        <w:spacing w:before="0" w:after="320" w:line="312" w:lineRule="exact"/>
        <w:ind w:left="440" w:right="0" w:firstLine="0"/>
        <w:jc w:val="left"/>
      </w:pPr>
      <w:r>
        <w:rPr>
          <w:color w:val="000000"/>
          <w:spacing w:val="0"/>
          <w:w w:val="100"/>
          <w:position w:val="0"/>
        </w:rPr>
        <w:t>不以公允价值计量的金融资产和负债主要包括：应收款项、短期借款、应付款项等。 上述不以公允价值计量的金融资产和负债的账面价值与公允价值相差很小。</w:t>
      </w:r>
    </w:p>
    <w:p>
      <w:pPr>
        <w:pStyle w:val="Style20"/>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r>
        <w:rPr>
          <w:color w:val="000000"/>
          <w:spacing w:val="0"/>
          <w:w w:val="100"/>
          <w:position w:val="0"/>
          <w:sz w:val="24"/>
          <w:szCs w:val="24"/>
        </w:rPr>
        <w:t>十二、关联方及关联交易</w:t>
      </w:r>
      <w:bookmarkEnd w:id="1479"/>
      <w:bookmarkEnd w:id="1480"/>
      <w:bookmarkEnd w:id="1481"/>
    </w:p>
    <w:p>
      <w:pPr>
        <w:pStyle w:val="Style30"/>
        <w:keepNext/>
        <w:keepLines/>
        <w:widowControl w:val="0"/>
        <w:shd w:val="clear" w:color="auto" w:fill="auto"/>
        <w:bidi w:val="0"/>
        <w:spacing w:before="0" w:after="320" w:line="240" w:lineRule="auto"/>
        <w:ind w:left="0" w:right="0" w:firstLine="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82"/>
      <w:bookmarkEnd w:id="1483"/>
      <w:bookmarkEnd w:id="1484"/>
    </w:p>
    <w:tbl>
      <w:tblPr>
        <w:tblOverlap w:val="never"/>
        <w:jc w:val="center"/>
        <w:tblLayout w:type="fixed"/>
      </w:tblPr>
      <w:tblGrid>
        <w:gridCol w:w="2986"/>
        <w:gridCol w:w="1003"/>
        <w:gridCol w:w="811"/>
        <w:gridCol w:w="1603"/>
        <w:gridCol w:w="1584"/>
        <w:gridCol w:w="160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中国电子科技网络信息安全有限公司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本企业最终控制方是中国电子科技集团有限公司。</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2</w:t>
      </w:r>
      <w:bookmarkEnd w:id="1487"/>
      <w:r>
        <w:rPr>
          <w:color w:val="000000"/>
          <w:spacing w:val="0"/>
          <w:w w:val="100"/>
          <w:position w:val="0"/>
        </w:rPr>
        <w:t>、</w:t>
        <w:tab/>
        <w:t>本企业的子公司情况</w:t>
      </w:r>
      <w:bookmarkEnd w:id="1485"/>
      <w:bookmarkEnd w:id="1486"/>
      <w:bookmarkEnd w:id="148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0"/>
        <w:keepNext/>
        <w:keepLines/>
        <w:widowControl w:val="0"/>
        <w:shd w:val="clear" w:color="auto" w:fill="auto"/>
        <w:tabs>
          <w:tab w:pos="368" w:val="left"/>
        </w:tabs>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color w:val="000000"/>
          <w:spacing w:val="0"/>
          <w:w w:val="100"/>
          <w:position w:val="0"/>
        </w:rPr>
        <w:t>、</w:t>
        <w:tab/>
        <w:t>本企业合营和联营企业情况</w:t>
      </w:r>
      <w:bookmarkEnd w:id="1489"/>
      <w:bookmarkEnd w:id="1490"/>
      <w:bookmarkEnd w:id="1492"/>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成都摩宝网络科技有限公司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color w:val="000000"/>
          <w:spacing w:val="0"/>
          <w:w w:val="100"/>
          <w:position w:val="0"/>
        </w:rPr>
        <w:t>、其他关联方情况</w:t>
      </w:r>
      <w:bookmarkEnd w:id="1493"/>
      <w:bookmarkEnd w:id="1494"/>
      <w:bookmarkEnd w:id="1496"/>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成都深思科技有限公司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厦门雅迅网络股份有限公司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中电科鹏跃电子科技有限公司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四川信息安全与通信保密杂志社有限公司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成都欣瑞资产管理有限公司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深圳市网联安瑞网络科技有限公司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受同一母公司控制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凤凰光学股份有限公司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国睿科技股份有限公司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上海华东电脑股份有限公司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5</w:t>
      </w:r>
      <w:bookmarkEnd w:id="1499"/>
      <w:r>
        <w:rPr>
          <w:color w:val="000000"/>
          <w:spacing w:val="0"/>
          <w:w w:val="100"/>
          <w:position w:val="0"/>
        </w:rPr>
        <w:t>、关联交易情况</w:t>
      </w:r>
      <w:bookmarkEnd w:id="1497"/>
      <w:bookmarkEnd w:id="1498"/>
      <w:bookmarkEnd w:id="1500"/>
    </w:p>
    <w:p>
      <w:pPr>
        <w:pStyle w:val="Style40"/>
        <w:keepNext/>
        <w:keepLines/>
        <w:widowControl w:val="0"/>
        <w:shd w:val="clear" w:color="auto" w:fill="auto"/>
        <w:bidi w:val="0"/>
        <w:spacing w:before="0" w:after="400" w:line="240" w:lineRule="auto"/>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01"/>
      <w:bookmarkEnd w:id="1502"/>
      <w:bookmarkEnd w:id="1503"/>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709"/>
        <w:gridCol w:w="1128"/>
        <w:gridCol w:w="1142"/>
        <w:gridCol w:w="912"/>
        <w:gridCol w:w="1728"/>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获批的交易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是否超过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90,571,368.14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74,808,879.23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17207286.69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19,901 254.62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13,403,733.17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15,776,944.13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上海华东电脑股份有限公司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11,506,478.76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中国电子科技集团公司第三十三研究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10,342,666.66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3,157,825.57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成都欣瑞资产管理有限公司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10,174,582.79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8,255,899.72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6,395,478.33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29,920,914.11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5,374,929.93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2,272,396.42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4,936,125.30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4,054,907.47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3,254,190.68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1,425,315.17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2,826,323.84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2,809,848.56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1,683,155.95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1,535,260.18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中电科鹏跃电子科技有限公司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855,053.89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1,310,811.08</w:t>
            </w:r>
          </w:p>
        </w:tc>
      </w:tr>
    </w:tbl>
    <w:p>
      <w:pPr>
        <w:widowControl w:val="0"/>
        <w:spacing w:line="1" w:lineRule="exact"/>
      </w:pPr>
      <w:r>
        <w:br w:type="page"/>
      </w:r>
    </w:p>
    <w:tbl>
      <w:tblPr>
        <w:tblOverlap w:val="never"/>
        <w:jc w:val="center"/>
        <w:tblLayout w:type="fixed"/>
      </w:tblPr>
      <w:tblGrid>
        <w:gridCol w:w="2986"/>
        <w:gridCol w:w="1709"/>
        <w:gridCol w:w="1128"/>
        <w:gridCol w:w="1142"/>
        <w:gridCol w:w="912"/>
        <w:gridCol w:w="17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四川信息安全与通信保密杂志社有限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347,669.90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成都深思科技有限公司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300,884.96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中国电子科技集团有限公司及其他下 属企业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15,648,724.11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10,369,640.18</w:t>
            </w:r>
          </w:p>
        </w:tc>
      </w:tr>
    </w:tbl>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848"/>
        <w:gridCol w:w="152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533,558,630.66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417,398,072.23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24,054,308.23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17,605,378.35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10,044,528.09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94,804,050.59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厦门雅迅网络股份有限公司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3,358,230.09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1,405,787.64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145,603.97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437,719.14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210,122.33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深圳市网联安瑞网络科技有限公司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145,132.74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中电科网络空间安全研究院有限公司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504,424.78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65,016.95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300,474.30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中电科鹏跃电子科技有限公司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39,121.68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1,416,593.63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75,471.70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凤凰光学股份有限公司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33,018.87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347,478.86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国睿科技股份有限公司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28,301.89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63,430,106.37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83,142,756.45</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04"/>
      <w:bookmarkEnd w:id="1505"/>
      <w:bookmarkEnd w:id="150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本公司作为出租方：</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34"/>
        <w:gridCol w:w="1666"/>
        <w:gridCol w:w="2395"/>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771,054.13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1,434,515.59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34"/>
        <w:gridCol w:w="1670"/>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2,343,298.81</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907,475.93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1,029,669.58</w:t>
            </w:r>
          </w:p>
        </w:tc>
      </w:tr>
    </w:tbl>
    <w:p>
      <w:pPr>
        <w:widowControl w:val="0"/>
        <w:spacing w:after="319" w:line="1" w:lineRule="exact"/>
      </w:pPr>
    </w:p>
    <w:p>
      <w:pPr>
        <w:pStyle w:val="Style40"/>
        <w:keepNext/>
        <w:keepLines/>
        <w:widowControl w:val="0"/>
        <w:numPr>
          <w:ilvl w:val="0"/>
          <w:numId w:val="67"/>
        </w:numPr>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关键管理人员报酬</w:t>
      </w:r>
      <w:bookmarkEnd w:id="1507"/>
      <w:bookmarkEnd w:id="1508"/>
      <w:bookmarkEnd w:id="151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7,660,256.00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7,616,905.82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6</w:t>
      </w:r>
      <w:bookmarkEnd w:id="1513"/>
      <w:r>
        <w:rPr>
          <w:color w:val="000000"/>
          <w:spacing w:val="0"/>
          <w:w w:val="100"/>
          <w:position w:val="0"/>
        </w:rPr>
        <w:t>、关联方应收应付款项</w:t>
      </w:r>
      <w:bookmarkEnd w:id="1511"/>
      <w:bookmarkEnd w:id="1512"/>
      <w:bookmarkEnd w:id="1514"/>
    </w:p>
    <w:p>
      <w:pPr>
        <w:pStyle w:val="Style40"/>
        <w:keepNext/>
        <w:keepLines/>
        <w:widowControl w:val="0"/>
        <w:shd w:val="clear" w:color="auto" w:fill="auto"/>
        <w:bidi w:val="0"/>
        <w:spacing w:before="0" w:after="380" w:line="240" w:lineRule="auto"/>
        <w:ind w:left="0" w:right="0" w:firstLine="0"/>
        <w:jc w:val="both"/>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15"/>
      <w:bookmarkEnd w:id="1516"/>
      <w:bookmarkEnd w:id="151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2981"/>
        <w:gridCol w:w="1272"/>
        <w:gridCol w:w="1142"/>
        <w:gridCol w:w="1584"/>
        <w:gridCol w:w="160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427,962,592.00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469,340,050.70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7,370,520.00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太极计算机股份有限公司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中国电子科技集团有限公司及其他下 属企业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675,220.00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233,498,383.42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11,394,260.80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215,375,652.42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13,644,354.76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24,113,776.94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1,102,438.32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6,535,397.24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350,632.46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20 244,493.89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2,028,902.73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88,709,675.32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4,568,548.28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5,962,971.75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2,696,854.64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5,457,721.78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2,189,202.07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1,361,621.53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2,597,201.53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1,828,072.69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143,361.42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324,042.45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77,322.83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3,153,114.00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230,646.34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中电科网络空间安全研究院有限公司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广州杰赛科技股份有限公司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224,700.00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中国电子科技集团有限公司及其他下 属企业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61,375,479.80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7,349,778.13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65,621,555.93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8,495,000.17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中国电子科技网络信息安全有限公司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11,663,700.00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03"/>
        <w:gridCol w:w="2981"/>
        <w:gridCol w:w="1272"/>
        <w:gridCol w:w="1142"/>
        <w:gridCol w:w="158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1,112,304.00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中国电子科技集团有限公司及其他下 属企业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5,731,527.30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215,060.00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3,368,150.00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332,355.00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3,278,950.00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163,947.50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916,561.51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916,561.51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798,243.21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456,189.58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456,189.58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456,189.58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107,473.17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107,473.17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成都摩宝网络科技有限公司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28,958.21</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中国电子科技集团有限公司及其他下 属企业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530,724.20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229,409.20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1,022,400.00</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18"/>
      <w:bookmarkEnd w:id="1519"/>
      <w:bookmarkEnd w:id="152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3797"/>
        <w:gridCol w:w="2390"/>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4,471,317.00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1,200,313.00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4,214,977.11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55,316,853.00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3,353,160.00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1,268,200.00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419,249.00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3,506,692.30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9,147,516.00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8,448,629.00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8,131,757.00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3,885,736.90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7,099,909.79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11,796,583.12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1,969,420.00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1,321,686.00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1,901,699.12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1,032,520.00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1,542,000.00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中电科鹏跃电子科技有限公司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1,243,565.93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1,924,093.56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631,987.03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495,842.77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447,096.37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成都欣瑞资产管理有限公司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79,045.87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1,371,644.00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2,267,973.69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2,256,085.40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1,047,064.62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767,089.65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869,385.84</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399,823.01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399,823.01</w:t>
            </w:r>
          </w:p>
        </w:tc>
      </w:tr>
    </w:tbl>
    <w:p>
      <w:pPr>
        <w:widowControl w:val="0"/>
        <w:spacing w:line="1" w:lineRule="exact"/>
      </w:pPr>
    </w:p>
    <w:tbl>
      <w:tblPr>
        <w:tblOverlap w:val="never"/>
        <w:jc w:val="center"/>
        <w:tblLayout w:type="fixed"/>
      </w:tblPr>
      <w:tblGrid>
        <w:gridCol w:w="1003"/>
        <w:gridCol w:w="3797"/>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25,045.92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25,045.92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25,045.92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59,246,092.35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1,195,155.31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1,691,030.91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4,500,345.31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1,226,644.13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1,464,284.13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中电科鹏跃电子科技有限公司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中国电子科技集团有限公司及其他下属企业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689,602.62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689,602.62</w:t>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521" w:name="bookmark1521"/>
      <w:bookmarkStart w:id="1522" w:name="bookmark1522"/>
      <w:bookmarkStart w:id="1523" w:name="bookmark1523"/>
      <w:r>
        <w:rPr>
          <w:color w:val="000000"/>
          <w:spacing w:val="0"/>
          <w:w w:val="100"/>
          <w:position w:val="0"/>
          <w:sz w:val="24"/>
          <w:szCs w:val="24"/>
        </w:rPr>
        <w:t>十三、承诺及或有事项</w:t>
      </w:r>
      <w:bookmarkEnd w:id="1521"/>
      <w:bookmarkEnd w:id="1522"/>
      <w:bookmarkEnd w:id="1523"/>
    </w:p>
    <w:p>
      <w:pPr>
        <w:pStyle w:val="Style30"/>
        <w:keepNext/>
        <w:keepLines/>
        <w:widowControl w:val="0"/>
        <w:shd w:val="clear" w:color="auto" w:fill="auto"/>
        <w:tabs>
          <w:tab w:pos="339" w:val="left"/>
        </w:tabs>
        <w:bidi w:val="0"/>
        <w:spacing w:before="0" w:after="400" w:line="312" w:lineRule="exact"/>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1</w:t>
      </w:r>
      <w:bookmarkEnd w:id="1526"/>
      <w:r>
        <w:rPr>
          <w:color w:val="000000"/>
          <w:spacing w:val="0"/>
          <w:w w:val="100"/>
          <w:position w:val="0"/>
        </w:rPr>
        <w:t>、</w:t>
        <w:tab/>
        <w:t>重要承诺事项</w:t>
      </w:r>
      <w:bookmarkEnd w:id="1524"/>
      <w:bookmarkEnd w:id="1525"/>
      <w:bookmarkEnd w:id="152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34"/>
        <w:keepNext w:val="0"/>
        <w:keepLines w:val="0"/>
        <w:widowControl w:val="0"/>
        <w:shd w:val="clear" w:color="auto" w:fill="auto"/>
        <w:bidi w:val="0"/>
        <w:spacing w:before="0" w:after="300" w:line="312" w:lineRule="exact"/>
        <w:ind w:left="0" w:right="0"/>
        <w:jc w:val="both"/>
      </w:pPr>
      <w:r>
        <w:rPr>
          <w:color w:val="000000"/>
          <w:spacing w:val="0"/>
          <w:w w:val="100"/>
          <w:position w:val="0"/>
        </w:rPr>
        <w:t>本公司不存在需要披露的重要承诺事项。</w:t>
      </w:r>
    </w:p>
    <w:p>
      <w:pPr>
        <w:pStyle w:val="Style30"/>
        <w:keepNext/>
        <w:keepLines/>
        <w:widowControl w:val="0"/>
        <w:shd w:val="clear" w:color="auto" w:fill="auto"/>
        <w:tabs>
          <w:tab w:pos="349" w:val="left"/>
        </w:tabs>
        <w:bidi w:val="0"/>
        <w:spacing w:before="0" w:after="300" w:line="312" w:lineRule="exact"/>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2</w:t>
      </w:r>
      <w:bookmarkEnd w:id="1530"/>
      <w:r>
        <w:rPr>
          <w:color w:val="000000"/>
          <w:spacing w:val="0"/>
          <w:w w:val="100"/>
          <w:position w:val="0"/>
        </w:rPr>
        <w:t>、</w:t>
        <w:tab/>
        <w:t>或有事项</w:t>
      </w:r>
      <w:bookmarkEnd w:id="1528"/>
      <w:bookmarkEnd w:id="1529"/>
      <w:bookmarkEnd w:id="1531"/>
    </w:p>
    <w:p>
      <w:pPr>
        <w:pStyle w:val="Style40"/>
        <w:keepNext/>
        <w:keepLines/>
        <w:widowControl w:val="0"/>
        <w:shd w:val="clear" w:color="auto" w:fill="auto"/>
        <w:bidi w:val="0"/>
        <w:spacing w:before="0" w:after="300" w:line="312" w:lineRule="exact"/>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32"/>
      <w:bookmarkEnd w:id="1533"/>
      <w:bookmarkEnd w:id="1534"/>
    </w:p>
    <w:p>
      <w:pPr>
        <w:pStyle w:val="Style40"/>
        <w:keepNext/>
        <w:keepLines/>
        <w:widowControl w:val="0"/>
        <w:shd w:val="clear" w:color="auto" w:fill="auto"/>
        <w:bidi w:val="0"/>
        <w:spacing w:before="0" w:after="0" w:line="312" w:lineRule="exact"/>
        <w:ind w:left="0" w:right="0" w:firstLine="440"/>
        <w:jc w:val="both"/>
      </w:pPr>
      <w:bookmarkStart w:id="1532" w:name="bookmark1532"/>
      <w:bookmarkStart w:id="1533" w:name="bookmark1533"/>
      <w:r>
        <w:rPr>
          <w:color w:val="000000"/>
          <w:spacing w:val="0"/>
          <w:w w:val="100"/>
          <w:position w:val="0"/>
        </w:rPr>
        <w:t>北京网安房产未决诉讼。</w:t>
      </w:r>
      <w:bookmarkEnd w:id="1532"/>
      <w:bookmarkEnd w:id="1533"/>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年开始筹划非公开发行股票募集资金事宜，并由本公司的全资子公司中电科（北京）网 络信息安全有限公司（以下简称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北京网安</w:t>
      </w:r>
      <w:r>
        <w:rPr>
          <w:color w:val="000000"/>
          <w:spacing w:val="0"/>
          <w:w w:val="100"/>
          <w:position w:val="0"/>
        </w:rPr>
        <w:t>''）</w:t>
      </w:r>
      <w:r>
        <w:rPr>
          <w:color w:val="000000"/>
          <w:spacing w:val="0"/>
          <w:w w:val="100"/>
          <w:position w:val="0"/>
        </w:rPr>
        <w:t>作为投资项目实施主体，使用募集资金购买北京金丰科华房 地产开发有限公司（以下简称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金丰科华</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开发的金丰能源中心项目</w:t>
      </w:r>
      <w:r>
        <w:rPr>
          <w:rFonts w:ascii="Times New Roman" w:eastAsia="Times New Roman" w:hAnsi="Times New Roman" w:cs="Times New Roman"/>
          <w:color w:val="000000"/>
          <w:spacing w:val="0"/>
          <w:w w:val="100"/>
          <w:position w:val="0"/>
        </w:rPr>
        <w:t>5</w:t>
      </w:r>
      <w:r>
        <w:rPr>
          <w:color w:val="000000"/>
          <w:spacing w:val="0"/>
          <w:w w:val="100"/>
          <w:position w:val="0"/>
        </w:rPr>
        <w:t>号楼（以下简称</w:t>
      </w:r>
      <w:r>
        <w:rPr>
          <w:rFonts w:ascii="Times New Roman" w:eastAsia="Times New Roman" w:hAnsi="Times New Roman" w:cs="Times New Roman"/>
          <w:color w:val="000000"/>
          <w:spacing w:val="0"/>
          <w:w w:val="100"/>
          <w:position w:val="0"/>
        </w:rPr>
        <w:t>“</w:t>
      </w:r>
      <w:r>
        <w:rPr>
          <w:color w:val="000000"/>
          <w:spacing w:val="0"/>
          <w:w w:val="100"/>
          <w:position w:val="0"/>
        </w:rPr>
        <w:t>标的房产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日，北京网安与金丰科华签署《房屋买卖意向协议》，根据该协议向金丰科华支付购房意向金</w:t>
      </w:r>
      <w:r>
        <w:rPr>
          <w:rFonts w:ascii="Times New Roman" w:eastAsia="Times New Roman" w:hAnsi="Times New Roman" w:cs="Times New Roman"/>
          <w:color w:val="000000"/>
          <w:spacing w:val="0"/>
          <w:w w:val="100"/>
          <w:position w:val="0"/>
        </w:rPr>
        <w:t xml:space="preserve">0.5 </w:t>
      </w:r>
      <w:r>
        <w:rPr>
          <w:color w:val="000000"/>
          <w:spacing w:val="0"/>
          <w:w w:val="100"/>
          <w:position w:val="0"/>
        </w:rPr>
        <w:t>亿元；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日，北京网安与金丰科华签署《北京市商品房预售合同》，并在北京市住房和城乡建 设委员会网站办理了商品房预售合同网上联机备案；签订预售协议时，标的房产所属土地使用权及在建工 程已设置抵押，金丰科华取得了抵押权人出具的《抵押权人同意抵押房屋办理商品房预售许可证的证明》； 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月，北京网安向金丰科华足额支付了预售合同约定的全部购房款</w:t>
      </w:r>
      <w:r>
        <w:rPr>
          <w:rFonts w:ascii="Times New Roman" w:eastAsia="Times New Roman" w:hAnsi="Times New Roman" w:cs="Times New Roman"/>
          <w:color w:val="000000"/>
          <w:spacing w:val="0"/>
          <w:w w:val="100"/>
          <w:position w:val="0"/>
        </w:rPr>
        <w:t>11.29</w:t>
      </w:r>
      <w:r>
        <w:rPr>
          <w:color w:val="000000"/>
          <w:spacing w:val="0"/>
          <w:w w:val="100"/>
          <w:position w:val="0"/>
        </w:rPr>
        <w:t>亿元，购房资金均来源 于卫士通非公开发行股票募集资金。此后北京中宏瑞德投资管理中心（有限合伙）（以下简称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北京中宏</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基于购买债权的方式取得部分抵押债权。</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因金丰科华涉及与北京中宏的其他债务纠纷，北京中宏依据生效法律文书向北京市第二中级人民法院 申请执行,并对开发商位于北京市丰台区花乡四合庄的金丰能源中心项目</w:t>
      </w:r>
      <w:r>
        <w:rPr>
          <w:rFonts w:ascii="Times New Roman" w:eastAsia="Times New Roman" w:hAnsi="Times New Roman" w:cs="Times New Roman"/>
          <w:color w:val="000000"/>
          <w:spacing w:val="0"/>
          <w:w w:val="100"/>
          <w:position w:val="0"/>
        </w:rPr>
        <w:t>1516-15</w:t>
      </w:r>
      <w:r>
        <w:rPr>
          <w:color w:val="000000"/>
          <w:spacing w:val="0"/>
          <w:w w:val="100"/>
          <w:position w:val="0"/>
        </w:rPr>
        <w:t>地块</w:t>
      </w:r>
      <w:r>
        <w:rPr>
          <w:rFonts w:ascii="Times New Roman" w:eastAsia="Times New Roman" w:hAnsi="Times New Roman" w:cs="Times New Roman"/>
          <w:color w:val="000000"/>
          <w:spacing w:val="0"/>
          <w:w w:val="100"/>
          <w:position w:val="0"/>
        </w:rPr>
        <w:t>37,651.02</w:t>
      </w:r>
      <w:r>
        <w:rPr>
          <w:color w:val="000000"/>
          <w:spacing w:val="0"/>
          <w:w w:val="100"/>
          <w:position w:val="0"/>
        </w:rPr>
        <w:t>皿的土地使 用权及地上</w:t>
      </w:r>
      <w:r>
        <w:rPr>
          <w:rFonts w:ascii="Times New Roman" w:eastAsia="Times New Roman" w:hAnsi="Times New Roman" w:cs="Times New Roman"/>
          <w:color w:val="000000"/>
          <w:spacing w:val="0"/>
          <w:w w:val="100"/>
          <w:position w:val="0"/>
        </w:rPr>
        <w:t>225,484.78</w:t>
      </w:r>
      <w:r>
        <w:rPr>
          <w:color w:val="000000"/>
          <w:spacing w:val="0"/>
          <w:w w:val="100"/>
          <w:position w:val="0"/>
        </w:rPr>
        <w:t>皿在建工程采取查封措施。</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经本公司向北京市丰台区不动产登记中心查询，目前标的房产处于查封状态。</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北京网安于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日向北京市第二中级人民法院提交了民事诉讼状，就北京网安向金丰科华购 买的北京市丰台区花乡四合庄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516-15</w:t>
      </w:r>
      <w:r>
        <w:rPr>
          <w:color w:val="000000"/>
          <w:spacing w:val="0"/>
          <w:w w:val="100"/>
          <w:position w:val="0"/>
        </w:rPr>
        <w:t>地块上</w:t>
      </w:r>
      <w:r>
        <w:rPr>
          <w:rFonts w:ascii="Times New Roman" w:eastAsia="Times New Roman" w:hAnsi="Times New Roman" w:cs="Times New Roman"/>
          <w:color w:val="000000"/>
          <w:spacing w:val="0"/>
          <w:w w:val="100"/>
          <w:position w:val="0"/>
        </w:rPr>
        <w:t>5#</w:t>
      </w:r>
      <w:r>
        <w:rPr>
          <w:color w:val="000000"/>
          <w:spacing w:val="0"/>
          <w:w w:val="100"/>
          <w:position w:val="0"/>
        </w:rPr>
        <w:t>办公商业楼及该房屋对应土地使用权的查封事项提起执行 异议诉讼，并提交相关证据，请求北京市第二中级人民法院依法解除对丰台区花乡四合庄</w:t>
      </w:r>
      <w:r>
        <w:rPr>
          <w:rFonts w:ascii="Times New Roman" w:eastAsia="Times New Roman" w:hAnsi="Times New Roman" w:cs="Times New Roman"/>
          <w:color w:val="000000"/>
          <w:spacing w:val="0"/>
          <w:w w:val="100"/>
          <w:position w:val="0"/>
        </w:rPr>
        <w:t>1516-15</w:t>
      </w:r>
      <w:r>
        <w:rPr>
          <w:color w:val="000000"/>
          <w:spacing w:val="0"/>
          <w:w w:val="100"/>
          <w:position w:val="0"/>
        </w:rPr>
        <w:t>地块上</w:t>
      </w:r>
      <w:r>
        <w:rPr>
          <w:rFonts w:ascii="Times New Roman" w:eastAsia="Times New Roman" w:hAnsi="Times New Roman" w:cs="Times New Roman"/>
          <w:color w:val="000000"/>
          <w:spacing w:val="0"/>
          <w:w w:val="100"/>
          <w:position w:val="0"/>
        </w:rPr>
        <w:t xml:space="preserve">5# </w:t>
      </w:r>
      <w:r>
        <w:rPr>
          <w:color w:val="000000"/>
          <w:spacing w:val="0"/>
          <w:w w:val="100"/>
          <w:position w:val="0"/>
        </w:rPr>
        <w:t>办公商业楼及该房屋对应的土地使用权的查封。北京市第二中级人民法院于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日出具《受理案件 通知书》及《诉讼费交费通知书》，受理了本案。北京网安于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日收到一审判决，驳回了北京网 安的诉讼请求。</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日，北京网安通过北京市第二中级人民法院向北京市高级人民法院提起上诉。</w:t>
      </w:r>
    </w:p>
    <w:p>
      <w:pPr>
        <w:pStyle w:val="Style34"/>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月，北京市丰台区人民法院已裁定受理债权人四川华西建筑装饰工程有限公司（以下简称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 西建筑</w:t>
      </w:r>
      <w:r>
        <w:rPr>
          <w:rFonts w:ascii="Times New Roman" w:eastAsia="Times New Roman" w:hAnsi="Times New Roman" w:cs="Times New Roman"/>
          <w:color w:val="000000"/>
          <w:spacing w:val="0"/>
          <w:w w:val="100"/>
          <w:position w:val="0"/>
        </w:rPr>
        <w:t>”</w:t>
      </w:r>
      <w:r>
        <w:rPr>
          <w:color w:val="000000"/>
          <w:spacing w:val="0"/>
          <w:w w:val="100"/>
          <w:position w:val="0"/>
        </w:rPr>
        <w:t>）申请债务人金丰科华破产清算一案，并决定采用竞争方式确定上述案件破产管理人。</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北京市丰台区人民法院于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日通过人民法院公告网发布的破产公告，丰台区人民法院已于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日确定北京市东卫律师事务所担任金丰科华破产管理人。北京网安已在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日前向管 理人北京市东卫律师事务所申报债权，并提交有关证明材料。第一次债权人会议于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日召开，管 理人对前期开展的工作做了报告。第二次债权人会议于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日召开，破产管理人提出了探索和推 进整体化解案件的方案，并计划于第三次债权人会议进行表决，截至报告日，第三次债权人会议尚未召开。</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上述诉讼案目前尚未终审判决，被查封资产列报于</w:t>
      </w:r>
      <w:r>
        <w:rPr>
          <w:rFonts w:ascii="Times New Roman" w:eastAsia="Times New Roman" w:hAnsi="Times New Roman" w:cs="Times New Roman"/>
          <w:color w:val="000000"/>
          <w:spacing w:val="0"/>
          <w:w w:val="100"/>
          <w:position w:val="0"/>
        </w:rPr>
        <w:t>“</w:t>
      </w:r>
      <w:r>
        <w:rPr>
          <w:color w:val="000000"/>
          <w:spacing w:val="0"/>
          <w:w w:val="100"/>
          <w:position w:val="0"/>
        </w:rPr>
        <w:t>在建工程</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r>
        <w:rPr>
          <w:rFonts w:ascii="Times New Roman" w:eastAsia="Times New Roman" w:hAnsi="Times New Roman" w:cs="Times New Roman"/>
          <w:color w:val="000000"/>
          <w:spacing w:val="0"/>
          <w:w w:val="100"/>
          <w:position w:val="0"/>
        </w:rPr>
        <w:t xml:space="preserve">116,309.74 </w:t>
      </w:r>
      <w:r>
        <w:rPr>
          <w:color w:val="000000"/>
          <w:spacing w:val="0"/>
          <w:w w:val="100"/>
          <w:position w:val="0"/>
        </w:rPr>
        <w:t>万元。</w:t>
      </w:r>
    </w:p>
    <w:p>
      <w:pPr>
        <w:pStyle w:val="Style34"/>
        <w:keepNext w:val="0"/>
        <w:keepLines w:val="0"/>
        <w:widowControl w:val="0"/>
        <w:shd w:val="clear" w:color="auto" w:fill="auto"/>
        <w:bidi w:val="0"/>
        <w:spacing w:before="0" w:after="340" w:line="317" w:lineRule="exact"/>
        <w:ind w:left="0" w:right="0"/>
        <w:jc w:val="left"/>
      </w:pPr>
      <w:r>
        <w:rPr>
          <w:color w:val="000000"/>
          <w:spacing w:val="0"/>
          <w:w w:val="100"/>
          <w:position w:val="0"/>
        </w:rPr>
        <w:t>除存在上述或有事项外，截止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日，本公司无其他应披露未披露的重要或有事项。</w:t>
      </w:r>
    </w:p>
    <w:p>
      <w:pPr>
        <w:pStyle w:val="Style40"/>
        <w:keepNext/>
        <w:keepLines/>
        <w:widowControl w:val="0"/>
        <w:shd w:val="clear" w:color="auto" w:fill="auto"/>
        <w:bidi w:val="0"/>
        <w:spacing w:before="0" w:after="400" w:line="317" w:lineRule="exact"/>
        <w:ind w:left="0" w:right="0" w:firstLine="0"/>
        <w:jc w:val="left"/>
      </w:pPr>
      <w:bookmarkStart w:id="1535" w:name="bookmark1535"/>
      <w:bookmarkStart w:id="1536" w:name="bookmark1536"/>
      <w:bookmarkStart w:id="1537" w:name="bookmark15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535"/>
      <w:bookmarkEnd w:id="1536"/>
      <w:bookmarkEnd w:id="1537"/>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20"/>
        <w:keepNext/>
        <w:keepLines/>
        <w:widowControl w:val="0"/>
        <w:shd w:val="clear" w:color="auto" w:fill="auto"/>
        <w:bidi w:val="0"/>
        <w:spacing w:before="0" w:after="400" w:line="240" w:lineRule="auto"/>
        <w:ind w:left="0" w:right="0" w:firstLine="0"/>
        <w:jc w:val="left"/>
      </w:pPr>
      <w:bookmarkStart w:id="1538" w:name="bookmark1538"/>
      <w:bookmarkStart w:id="1539" w:name="bookmark1539"/>
      <w:bookmarkStart w:id="1540" w:name="bookmark1540"/>
      <w:r>
        <w:rPr>
          <w:color w:val="000000"/>
          <w:spacing w:val="0"/>
          <w:w w:val="100"/>
          <w:position w:val="0"/>
          <w:sz w:val="24"/>
          <w:szCs w:val="24"/>
        </w:rPr>
        <w:t>十四、资产负债表日后事项</w:t>
      </w:r>
      <w:bookmarkEnd w:id="1538"/>
      <w:bookmarkEnd w:id="1539"/>
      <w:bookmarkEnd w:id="1540"/>
    </w:p>
    <w:p>
      <w:pPr>
        <w:pStyle w:val="Style30"/>
        <w:keepNext/>
        <w:keepLines/>
        <w:widowControl w:val="0"/>
        <w:shd w:val="clear" w:color="auto" w:fill="auto"/>
        <w:bidi w:val="0"/>
        <w:spacing w:before="0" w:after="180" w:line="331" w:lineRule="auto"/>
        <w:ind w:left="0" w:right="0" w:firstLine="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541"/>
      <w:bookmarkEnd w:id="1542"/>
      <w:bookmarkEnd w:id="1543"/>
    </w:p>
    <w:p>
      <w:pPr>
        <w:pStyle w:val="Style34"/>
        <w:keepNext w:val="0"/>
        <w:keepLines w:val="0"/>
        <w:widowControl w:val="0"/>
        <w:shd w:val="clear" w:color="auto" w:fill="auto"/>
        <w:bidi w:val="0"/>
        <w:spacing w:before="0" w:after="340" w:line="311" w:lineRule="exact"/>
        <w:ind w:left="0" w:right="0"/>
        <w:jc w:val="both"/>
      </w:pPr>
      <w:r>
        <w:rPr>
          <w:color w:val="000000"/>
          <w:spacing w:val="0"/>
          <w:w w:val="100"/>
          <w:position w:val="0"/>
        </w:rPr>
        <w:t>根据国务院国有资产监督管理委员会《关于成都卫士通信息产业股份有限公司实施限制性股票激励计 划的批复》（国资考分</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020]622</w:t>
      </w:r>
      <w:r>
        <w:rPr>
          <w:color w:val="000000"/>
          <w:spacing w:val="0"/>
          <w:w w:val="100"/>
          <w:position w:val="0"/>
        </w:rPr>
        <w:t>号）、《成都卫士通信息产业股份有限公司二。二。年第一次临时股东大 会决议》和《成都卫士通信息产业股份有限公司第七届董事会第十三次会议决议》，卫士通公司以</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日为授权日，授予</w:t>
      </w:r>
      <w:r>
        <w:rPr>
          <w:rFonts w:ascii="Times New Roman" w:eastAsia="Times New Roman" w:hAnsi="Times New Roman" w:cs="Times New Roman"/>
          <w:color w:val="000000"/>
          <w:spacing w:val="0"/>
          <w:w w:val="100"/>
          <w:position w:val="0"/>
        </w:rPr>
        <w:t>312</w:t>
      </w:r>
      <w:r>
        <w:rPr>
          <w:color w:val="000000"/>
          <w:spacing w:val="0"/>
          <w:w w:val="100"/>
          <w:position w:val="0"/>
        </w:rPr>
        <w:t>名首次激励对象及</w:t>
      </w:r>
      <w:r>
        <w:rPr>
          <w:rFonts w:ascii="Times New Roman" w:eastAsia="Times New Roman" w:hAnsi="Times New Roman" w:cs="Times New Roman"/>
          <w:color w:val="000000"/>
          <w:spacing w:val="0"/>
          <w:w w:val="100"/>
          <w:position w:val="0"/>
        </w:rPr>
        <w:t>8</w:t>
      </w:r>
      <w:r>
        <w:rPr>
          <w:color w:val="000000"/>
          <w:spacing w:val="0"/>
          <w:w w:val="100"/>
          <w:position w:val="0"/>
        </w:rPr>
        <w:t>名预留激励对象限制性股票合计</w:t>
      </w:r>
      <w:r>
        <w:rPr>
          <w:rFonts w:ascii="Times New Roman" w:eastAsia="Times New Roman" w:hAnsi="Times New Roman" w:cs="Times New Roman"/>
          <w:color w:val="000000"/>
          <w:spacing w:val="0"/>
          <w:w w:val="100"/>
          <w:position w:val="0"/>
        </w:rPr>
        <w:t>8,380,000</w:t>
      </w:r>
      <w:r>
        <w:rPr>
          <w:color w:val="000000"/>
          <w:spacing w:val="0"/>
          <w:w w:val="100"/>
          <w:position w:val="0"/>
        </w:rPr>
        <w:t>股（每股授予价 格人民币</w:t>
      </w:r>
      <w:r>
        <w:rPr>
          <w:rFonts w:ascii="Times New Roman" w:eastAsia="Times New Roman" w:hAnsi="Times New Roman" w:cs="Times New Roman"/>
          <w:color w:val="000000"/>
          <w:spacing w:val="0"/>
          <w:w w:val="100"/>
          <w:position w:val="0"/>
        </w:rPr>
        <w:t>11.42</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日止，卫士通公司已收到被授予限制性股票员工以货币资金缴纳的 股权认购款项合计人民币</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0,886,926.50</w:t>
      </w:r>
      <w:r>
        <w:rPr>
          <w:color w:val="000000"/>
          <w:spacing w:val="0"/>
          <w:w w:val="100"/>
          <w:position w:val="0"/>
        </w:rPr>
        <w:t>元（其中新增注册资本人民币</w:t>
      </w:r>
      <w:r>
        <w:rPr>
          <w:rFonts w:ascii="Times New Roman" w:eastAsia="Times New Roman" w:hAnsi="Times New Roman" w:cs="Times New Roman"/>
          <w:color w:val="000000"/>
          <w:spacing w:val="0"/>
          <w:w w:val="100"/>
          <w:position w:val="0"/>
        </w:rPr>
        <w:t>7,958,575.00</w:t>
      </w:r>
      <w:r>
        <w:rPr>
          <w:color w:val="000000"/>
          <w:spacing w:val="0"/>
          <w:w w:val="100"/>
          <w:position w:val="0"/>
        </w:rPr>
        <w:t>元，新增资本公积（股本 溢价）人民币</w:t>
      </w:r>
      <w:r>
        <w:rPr>
          <w:rFonts w:ascii="Times New Roman" w:eastAsia="Times New Roman" w:hAnsi="Times New Roman" w:cs="Times New Roman"/>
          <w:color w:val="000000"/>
          <w:spacing w:val="0"/>
          <w:w w:val="100"/>
          <w:position w:val="0"/>
        </w:rPr>
        <w:t>82,928,351.50</w:t>
      </w:r>
      <w:r>
        <w:rPr>
          <w:color w:val="000000"/>
          <w:spacing w:val="0"/>
          <w:w w:val="100"/>
          <w:position w:val="0"/>
        </w:rPr>
        <w:t>元）。变更后的累计注册资本为人民币</w:t>
      </w:r>
      <w:r>
        <w:rPr>
          <w:rFonts w:ascii="Times New Roman" w:eastAsia="Times New Roman" w:hAnsi="Times New Roman" w:cs="Times New Roman"/>
          <w:color w:val="000000"/>
          <w:spacing w:val="0"/>
          <w:w w:val="100"/>
          <w:position w:val="0"/>
        </w:rPr>
        <w:t>846,294,603.00</w:t>
      </w:r>
      <w:r>
        <w:rPr>
          <w:color w:val="000000"/>
          <w:spacing w:val="0"/>
          <w:w w:val="100"/>
          <w:position w:val="0"/>
        </w:rPr>
        <w:t xml:space="preserve">元，累计股本为人民币 </w:t>
      </w:r>
      <w:r>
        <w:rPr>
          <w:rFonts w:ascii="Times New Roman" w:eastAsia="Times New Roman" w:hAnsi="Times New Roman" w:cs="Times New Roman"/>
          <w:color w:val="000000"/>
          <w:spacing w:val="0"/>
          <w:w w:val="100"/>
          <w:position w:val="0"/>
        </w:rPr>
        <w:t>846,294,603.00</w:t>
      </w:r>
      <w:r>
        <w:rPr>
          <w:color w:val="000000"/>
          <w:spacing w:val="0"/>
          <w:w w:val="100"/>
          <w:position w:val="0"/>
        </w:rPr>
        <w:t>元。</w:t>
      </w:r>
    </w:p>
    <w:p>
      <w:pPr>
        <w:pStyle w:val="Style20"/>
        <w:keepNext/>
        <w:keepLines/>
        <w:widowControl w:val="0"/>
        <w:shd w:val="clear" w:color="auto" w:fill="auto"/>
        <w:bidi w:val="0"/>
        <w:spacing w:before="0" w:after="340" w:line="240" w:lineRule="auto"/>
        <w:ind w:left="0" w:right="0" w:firstLine="0"/>
        <w:jc w:val="left"/>
      </w:pPr>
      <w:bookmarkStart w:id="1544" w:name="bookmark1544"/>
      <w:bookmarkStart w:id="1545" w:name="bookmark1545"/>
      <w:bookmarkStart w:id="1546" w:name="bookmark1546"/>
      <w:r>
        <w:rPr>
          <w:color w:val="000000"/>
          <w:spacing w:val="0"/>
          <w:w w:val="100"/>
          <w:position w:val="0"/>
          <w:sz w:val="24"/>
          <w:szCs w:val="24"/>
        </w:rPr>
        <w:t>十五、母公司财务报表主要项目注释</w:t>
      </w:r>
      <w:bookmarkEnd w:id="1544"/>
      <w:bookmarkEnd w:id="1545"/>
      <w:bookmarkEnd w:id="1546"/>
    </w:p>
    <w:p>
      <w:pPr>
        <w:pStyle w:val="Style30"/>
        <w:keepNext/>
        <w:keepLines/>
        <w:widowControl w:val="0"/>
        <w:shd w:val="clear" w:color="auto" w:fill="auto"/>
        <w:bidi w:val="0"/>
        <w:spacing w:before="0" w:after="180" w:line="331" w:lineRule="auto"/>
        <w:ind w:left="0" w:right="0" w:firstLine="0"/>
        <w:jc w:val="left"/>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7"/>
      <w:bookmarkEnd w:id="1548"/>
      <w:bookmarkEnd w:id="1549"/>
    </w:p>
    <w:p>
      <w:pPr>
        <w:pStyle w:val="Style40"/>
        <w:keepNext/>
        <w:keepLines/>
        <w:widowControl w:val="0"/>
        <w:shd w:val="clear" w:color="auto" w:fill="auto"/>
        <w:bidi w:val="0"/>
        <w:spacing w:before="0" w:after="400" w:line="317" w:lineRule="exact"/>
        <w:ind w:left="0" w:right="0" w:firstLine="0"/>
        <w:jc w:val="left"/>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50"/>
      <w:bookmarkEnd w:id="1551"/>
      <w:bookmarkEnd w:id="155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63"/>
        <w:gridCol w:w="763"/>
        <w:gridCol w:w="763"/>
        <w:gridCol w:w="763"/>
        <w:gridCol w:w="792"/>
        <w:gridCol w:w="782"/>
        <w:gridCol w:w="792"/>
        <w:gridCol w:w="797"/>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1,149,705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1,149,705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323,403,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43,142,0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280,261,3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392,938,9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31,793,40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361,145,58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279,584,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43,142,0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236,442,0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31,793,40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108,252,91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特别关联组合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43,8192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252,892,67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326,797,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46,536,0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280,261,3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32,943,10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361,145,58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3,393,94409</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1128"/>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杭州长江汽车有限公司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2,244,238.69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郑州英创电子技术有限公司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山西清华网络系统工程公司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r>
              <w:rPr>
                <w:rFonts w:ascii="Times New Roman" w:eastAsia="Times New Roman" w:hAnsi="Times New Roman" w:cs="Times New Roman"/>
                <w:color w:val="000000"/>
                <w:spacing w:val="0"/>
                <w:w w:val="100"/>
                <w:position w:val="0"/>
                <w:sz w:val="18"/>
                <w:szCs w:val="18"/>
              </w:rPr>
              <w:t>DZ</w:t>
            </w:r>
            <w:r>
              <w:rPr>
                <w:color w:val="000000"/>
                <w:spacing w:val="0"/>
                <w:w w:val="100"/>
                <w:position w:val="0"/>
              </w:rPr>
              <w:t>网巴中管理中心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北京天地迅达信息技术开发中心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中国地震局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云南官房电子科技有限公司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深圳市科技和信息局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36,956.40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昊华宇航化工有限责任公司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北京创原天地科技有限公司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中共广东政法委员会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北京中电普华信息技术有限公司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农行西藏区分行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r>
              <w:rPr>
                <w:rFonts w:ascii="Times New Roman" w:eastAsia="Times New Roman" w:hAnsi="Times New Roman" w:cs="Times New Roman"/>
                <w:color w:val="000000"/>
                <w:spacing w:val="0"/>
                <w:w w:val="100"/>
                <w:position w:val="0"/>
                <w:sz w:val="18"/>
                <w:szCs w:val="18"/>
              </w:rPr>
              <w:t>DZ</w:t>
            </w:r>
            <w:r>
              <w:rPr>
                <w:color w:val="000000"/>
                <w:spacing w:val="0"/>
                <w:w w:val="100"/>
                <w:position w:val="0"/>
              </w:rPr>
              <w:t>网南充管理中心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成都市华锋电子有限公司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预计难以收回</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3,393,944.09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3,393,944.09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279,584,177.84</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135,387,979.20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6,249,963.47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100,740,757.18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8,915,232.75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11,284,234.27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2,789,695.26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10,997,149.18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4,984,764.51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3,602,283.35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2,630,654.54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17,571,774.66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17,571,774.66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279,584,177.84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43,142,085.19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center"/>
        <w:tblLayout w:type="fixed"/>
      </w:tblPr>
      <w:tblGrid>
        <w:gridCol w:w="1531"/>
        <w:gridCol w:w="5069"/>
        <w:gridCol w:w="308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本公司根据以往的历史经验对应收款项预期信用损失计提比例作 出合理估计，参考应收款项的账龄进行信用风险组合分类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按账龄与整个存续期预期信用损失率 对照表计提</w:t>
            </w:r>
          </w:p>
        </w:tc>
      </w:tr>
    </w:tbl>
    <w:p>
      <w:pPr>
        <w:pStyle w:val="Style22"/>
        <w:keepNext w:val="0"/>
        <w:keepLines w:val="0"/>
        <w:widowControl w:val="0"/>
        <w:shd w:val="clear" w:color="auto" w:fill="auto"/>
        <w:bidi w:val="0"/>
        <w:spacing w:before="0" w:after="0" w:line="240" w:lineRule="auto"/>
        <w:ind w:left="5"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43,819228.14</w:t>
      </w:r>
    </w:p>
    <w:p>
      <w:pPr>
        <w:widowControl w:val="0"/>
        <w:spacing w:after="13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特别关联组合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43,819228.14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43,819228.14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34"/>
        <w:keepNext w:val="0"/>
        <w:keepLines w:val="0"/>
        <w:widowControl w:val="0"/>
        <w:shd w:val="clear" w:color="auto" w:fill="auto"/>
        <w:bidi w:val="0"/>
        <w:spacing w:before="0" w:after="140" w:line="240" w:lineRule="auto"/>
        <w:ind w:left="0" w:right="0"/>
        <w:jc w:val="both"/>
      </w:pPr>
      <w:r>
        <w:rPr>
          <w:color w:val="000000"/>
          <w:spacing w:val="0"/>
          <w:w w:val="100"/>
          <w:position w:val="0"/>
        </w:rPr>
        <w:t>本公司与下属全资子公司间的往来款项作为特别关联方组合，不计提坏账准备。</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161,523,146.25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118,424,818.27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11,284,234.27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35,565,151.28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12,830,901.81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4,012,769.41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18,721,480.06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326,797,350.07</w:t>
            </w:r>
          </w:p>
        </w:tc>
      </w:tr>
    </w:tbl>
    <w:p>
      <w:pPr>
        <w:spacing w:lineRule="exact" w:line="1"/>
        <w:rPr>
          <w:sz w:val="2"/>
          <w:szCs w:val="2"/>
        </w:rPr>
      </w:pPr>
      <w:r>
        <w:br w:type="page"/>
      </w:r>
    </w:p>
    <w:p>
      <w:pPr>
        <w:pStyle w:val="Style40"/>
        <w:keepNext/>
        <w:keepLines/>
        <w:widowControl w:val="0"/>
        <w:shd w:val="clear" w:color="auto" w:fill="auto"/>
        <w:bidi w:val="0"/>
        <w:spacing w:before="0" w:after="400" w:line="240" w:lineRule="auto"/>
        <w:ind w:left="0" w:right="0" w:firstLine="0"/>
        <w:jc w:val="left"/>
      </w:pPr>
      <w:bookmarkStart w:id="1553" w:name="bookmark1553"/>
      <w:bookmarkStart w:id="1554" w:name="bookmark1554"/>
      <w:bookmarkStart w:id="1555" w:name="bookmark15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53"/>
      <w:bookmarkEnd w:id="1554"/>
      <w:bookmarkEnd w:id="1555"/>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426"/>
        <w:gridCol w:w="1267"/>
        <w:gridCol w:w="998"/>
        <w:gridCol w:w="706"/>
        <w:gridCol w:w="701"/>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单项计提预期信用损失的应收账款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1,149,705.40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3,393,944.09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按组合计提预期信用损失的应收账款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31,793,40433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11,348,680.86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43,142,085.19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32,943,109.73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13,592,919.55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46,536,029.28</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140"/>
        <w:jc w:val="left"/>
      </w:pPr>
      <w:bookmarkStart w:id="1556" w:name="bookmark1556"/>
      <w:bookmarkStart w:id="1557" w:name="bookmark1557"/>
      <w:bookmarkStart w:id="1558" w:name="bookmark1558"/>
      <w:r>
        <w:rPr>
          <w:color w:val="000000"/>
          <w:spacing w:val="0"/>
          <w:w w:val="100"/>
          <w:position w:val="0"/>
        </w:rPr>
        <w:t>⑶按欠款方归集的期末余额前五名的应收账款情况</w:t>
      </w:r>
      <w:bookmarkEnd w:id="1556"/>
      <w:bookmarkEnd w:id="1557"/>
      <w:bookmarkEnd w:id="155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178,161,089.80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11,736,792.79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42,019228.14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18,320280.00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846,584.13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16,429,760.40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3,152,504.56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1,518,552.58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261,072,858.34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400" w:line="240" w:lineRule="auto"/>
        <w:ind w:left="0" w:right="0" w:firstLine="0"/>
        <w:jc w:val="both"/>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59"/>
      <w:bookmarkEnd w:id="1560"/>
      <w:bookmarkEnd w:id="156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20,922,644.98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29,711,438.00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90,922,644.98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29,711,438.00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both"/>
      </w:pPr>
      <w:bookmarkStart w:id="1562" w:name="bookmark1562"/>
      <w:bookmarkStart w:id="1563" w:name="bookmark1563"/>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562"/>
      <w:bookmarkEnd w:id="1563"/>
      <w:bookmarkEnd w:id="1564"/>
    </w:p>
    <w:p>
      <w:pPr>
        <w:pStyle w:val="Style79"/>
        <w:keepNext/>
        <w:keepLines/>
        <w:widowControl w:val="0"/>
        <w:shd w:val="clear" w:color="auto" w:fill="auto"/>
        <w:bidi w:val="0"/>
        <w:spacing w:before="0" w:after="400" w:line="240" w:lineRule="auto"/>
        <w:ind w:left="0" w:right="0" w:firstLine="0"/>
        <w:jc w:val="both"/>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565"/>
      <w:bookmarkEnd w:id="1566"/>
      <w:bookmarkEnd w:id="156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9"/>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68"/>
      <w:bookmarkEnd w:id="1569"/>
      <w:bookmarkEnd w:id="157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71"/>
      <w:bookmarkEnd w:id="1572"/>
      <w:bookmarkEnd w:id="1573"/>
    </w:p>
    <w:p>
      <w:pPr>
        <w:pStyle w:val="Style79"/>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74"/>
      <w:bookmarkEnd w:id="1575"/>
      <w:bookmarkEnd w:id="157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23,365,544.87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30,159,118.75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1,991,586.00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2,280,216.00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2,007,638.35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797,620.36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49,625.40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27,414,394.62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33286,580.51</w:t>
            </w:r>
          </w:p>
        </w:tc>
      </w:tr>
    </w:tbl>
    <w:p>
      <w:pPr>
        <w:widowControl w:val="0"/>
        <w:spacing w:after="319" w:line="1" w:lineRule="exact"/>
      </w:pPr>
    </w:p>
    <w:p>
      <w:pPr>
        <w:pStyle w:val="Style79"/>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 xml:space="preserve">2 </w:t>
      </w:r>
      <w:r>
        <w:rPr>
          <w:color w:val="000000"/>
          <w:spacing w:val="0"/>
          <w:w w:val="100"/>
          <w:position w:val="0"/>
        </w:rPr>
        <w:t>）坏账准备计提情况</w:t>
      </w:r>
      <w:bookmarkEnd w:id="1577"/>
      <w:bookmarkEnd w:id="1578"/>
      <w:bookmarkEnd w:id="157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24"/>
        <w:gridCol w:w="1157"/>
        <w:gridCol w:w="2102"/>
        <w:gridCol w:w="2102"/>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预期信用损失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339,467.43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2,742,435.72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3,575,142.51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-145,156.61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145,156.61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-85,692.90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3,070,950.03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2,985,257.13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108,617.92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5,958,542.36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424,589.36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6,491,749.64</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4,524,593.17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2,914,859.09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15,089,783.57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4,885,158.79</w:t>
            </w:r>
          </w:p>
        </w:tc>
      </w:tr>
    </w:tbl>
    <w:p>
      <w:pPr>
        <w:widowControl w:val="0"/>
        <w:spacing w:line="1" w:lineRule="exact"/>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3,259,579.59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124,117.66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1,501,461.54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27,414,394.62</w:t>
            </w:r>
          </w:p>
        </w:tc>
      </w:tr>
    </w:tbl>
    <w:p>
      <w:pPr>
        <w:widowControl w:val="0"/>
        <w:spacing w:after="319" w:line="1" w:lineRule="exact"/>
      </w:pPr>
    </w:p>
    <w:p>
      <w:pPr>
        <w:pStyle w:val="Style79"/>
        <w:keepNext/>
        <w:keepLines/>
        <w:widowControl w:val="0"/>
        <w:shd w:val="clear" w:color="auto" w:fill="auto"/>
        <w:bidi w:val="0"/>
        <w:spacing w:before="0" w:after="40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3</w:t>
      </w:r>
      <w:bookmarkEnd w:id="1582"/>
      <w:r>
        <w:rPr>
          <w:color w:val="000000"/>
          <w:spacing w:val="0"/>
          <w:w w:val="100"/>
          <w:position w:val="0"/>
        </w:rPr>
        <w:t>）本期计提、收回或转回的坏账准备情况</w:t>
      </w:r>
      <w:bookmarkEnd w:id="1580"/>
      <w:bookmarkEnd w:id="1581"/>
      <w:bookmarkEnd w:id="158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74"/>
        <w:gridCol w:w="1138"/>
        <w:gridCol w:w="1133"/>
        <w:gridCol w:w="1133"/>
        <w:gridCol w:w="706"/>
        <w:gridCol w:w="629"/>
        <w:gridCol w:w="157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单项计提预期信用损失的其他应收款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424,589.36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按组合计提预期信用损失的其他应收款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3,081,903.15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2,985,257.13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6,067,160.28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3,575,142.51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2,985,257.13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6,491,749.64</w:t>
            </w:r>
          </w:p>
        </w:tc>
      </w:tr>
    </w:tbl>
    <w:p>
      <w:pPr>
        <w:widowControl w:val="0"/>
        <w:spacing w:after="319" w:line="1" w:lineRule="exact"/>
      </w:pPr>
    </w:p>
    <w:p>
      <w:pPr>
        <w:pStyle w:val="Style79"/>
        <w:keepNext/>
        <w:keepLines/>
        <w:widowControl w:val="0"/>
        <w:shd w:val="clear" w:color="auto" w:fill="auto"/>
        <w:bidi w:val="0"/>
        <w:spacing w:before="0" w:after="40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color w:val="000000"/>
          <w:spacing w:val="0"/>
          <w:w w:val="100"/>
          <w:position w:val="0"/>
        </w:rPr>
        <w:t>）按欠款方归集的期末余额前五名的其他应收款情况</w:t>
      </w:r>
      <w:bookmarkEnd w:id="1584"/>
      <w:bookmarkEnd w:id="1585"/>
      <w:bookmarkEnd w:id="1587"/>
    </w:p>
    <w:p>
      <w:pPr>
        <w:pStyle w:val="Style24"/>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18"/>
        <w:gridCol w:w="161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17,569223.27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4,750,766.98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3,639,553.77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1,577,364.99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24,744,342.03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5,428,176.98</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color w:val="000000"/>
          <w:spacing w:val="0"/>
          <w:w w:val="100"/>
          <w:position w:val="0"/>
        </w:rPr>
        <w:t>、长期股权投资</w:t>
      </w:r>
      <w:bookmarkEnd w:id="1588"/>
      <w:bookmarkEnd w:id="1589"/>
      <w:bookmarkEnd w:id="159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416"/>
        <w:gridCol w:w="845"/>
        <w:gridCol w:w="1373"/>
        <w:gridCol w:w="1363"/>
        <w:gridCol w:w="137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3,371,026,910.81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3,371,026,910.81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3,339,234,563.87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3,339,234,563.87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58,447,728.96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58,447,728.96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28,795,629.56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28,795,629.56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3,429,474,639.77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3,429,474,639.77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3,368,030,193.43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3,368,030,193.43</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92"/>
      <w:bookmarkEnd w:id="1593"/>
      <w:bookmarkEnd w:id="15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272"/>
        <w:gridCol w:w="1277"/>
        <w:gridCol w:w="1282"/>
        <w:gridCol w:w="1277"/>
        <w:gridCol w:w="562"/>
        <w:gridCol w:w="1142"/>
        <w:gridCol w:w="93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成都卫士通信息安全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中电科（北京）网络信 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2,762,650,518.9</w:t>
            </w:r>
          </w:p>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2,762,650,518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四川卫士通信息安全 平台技术有限公司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41,749,835.74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41,749,835.74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成都三零盛安信息系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207,762,680.90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10,137,033.90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217,899,714.80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成都三零瑞通移动通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162,409,345.53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13,940,646.20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176,349,991.7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成都三零嘉微电子有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70,437,182.77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267,364,217.38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337,801,400.1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中电科（天津）网络信 息安全有限公司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3,339,234,563.8</w:t>
            </w:r>
          </w:p>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291,441,897.48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259,649,550.54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3,371,026,910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95"/>
      <w:bookmarkEnd w:id="1596"/>
      <w:bookmarkEnd w:id="159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31"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31"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成都摩宝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20,613,60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280,618.4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20,89422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成都市数 字城市运 营管理有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8,182,026</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980,110.9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工业信息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7,391,370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安全（四 川）创新 中心有限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28,795,62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652,099.4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28,795,62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652,099.4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4</w:t>
      </w:r>
      <w:bookmarkEnd w:id="1600"/>
      <w:r>
        <w:rPr>
          <w:color w:val="000000"/>
          <w:spacing w:val="0"/>
          <w:w w:val="100"/>
          <w:position w:val="0"/>
        </w:rPr>
        <w:t>、营业收入和营业成本</w:t>
      </w:r>
      <w:bookmarkEnd w:id="1598"/>
      <w:bookmarkEnd w:id="1599"/>
      <w:bookmarkEnd w:id="160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256,012,691.37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114,949,079.82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350,337,068.16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193,615,987.42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3,439,702.64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7,107,908.66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259,452,394.01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114,949,079.82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357,444,976.82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193,615,987.42</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122,353,749.00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color w:val="000000"/>
          <w:spacing w:val="0"/>
          <w:w w:val="100"/>
          <w:position w:val="0"/>
        </w:rPr>
        <w:t>、投资收益</w:t>
      </w:r>
      <w:bookmarkEnd w:id="1602"/>
      <w:bookmarkEnd w:id="1603"/>
      <w:bookmarkEnd w:id="1605"/>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-2,622,462.15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3,718,275.70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70,651,036.55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1,095,813.55</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606" w:name="bookmark1606"/>
      <w:bookmarkStart w:id="1607" w:name="bookmark1607"/>
      <w:bookmarkStart w:id="1608" w:name="bookmark1608"/>
      <w:r>
        <w:rPr>
          <w:color w:val="000000"/>
          <w:spacing w:val="0"/>
          <w:w w:val="100"/>
          <w:position w:val="0"/>
          <w:sz w:val="24"/>
          <w:szCs w:val="24"/>
        </w:rPr>
        <w:t>十六、补充资料</w:t>
      </w:r>
      <w:bookmarkEnd w:id="1606"/>
      <w:bookmarkEnd w:id="1607"/>
      <w:bookmarkEnd w:id="1608"/>
    </w:p>
    <w:p>
      <w:pPr>
        <w:pStyle w:val="Style30"/>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09"/>
      <w:bookmarkEnd w:id="1610"/>
      <w:bookmarkEnd w:id="1611"/>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6826"/>
        <w:gridCol w:w="2126"/>
        <w:gridCol w:w="6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31,744.78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821"/>
        <w:gridCol w:w="2126"/>
        <w:gridCol w:w="64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计入当期损益的政府补助（与企业业务密切相关，按照国家统一标准定额或定量享受 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16,976,479.74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145,898.54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2,573,118.45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364,064.23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14216,940.38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both"/>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12"/>
      <w:bookmarkEnd w:id="1613"/>
      <w:bookmarkEnd w:id="1614"/>
    </w:p>
    <w:tbl>
      <w:tblPr>
        <w:tblOverlap w:val="never"/>
        <w:jc w:val="center"/>
        <w:tblLayout w:type="fixed"/>
      </w:tblPr>
      <w:tblGrid>
        <w:gridCol w:w="4406"/>
        <w:gridCol w:w="1354"/>
        <w:gridCol w:w="1915"/>
        <w:gridCol w:w="191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0.1756</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3</w:t>
      </w:r>
      <w:bookmarkEnd w:id="1617"/>
      <w:r>
        <w:rPr>
          <w:color w:val="000000"/>
          <w:spacing w:val="0"/>
          <w:w w:val="100"/>
          <w:position w:val="0"/>
        </w:rPr>
        <w:t>、境内外会计准则下会计数据差异</w:t>
      </w:r>
      <w:bookmarkEnd w:id="1615"/>
      <w:bookmarkEnd w:id="1616"/>
      <w:bookmarkEnd w:id="1618"/>
    </w:p>
    <w:p>
      <w:pPr>
        <w:pStyle w:val="Style40"/>
        <w:keepNext/>
        <w:keepLines/>
        <w:widowControl w:val="0"/>
        <w:shd w:val="clear" w:color="auto" w:fill="auto"/>
        <w:tabs>
          <w:tab w:pos="483" w:val="left"/>
        </w:tabs>
        <w:bidi w:val="0"/>
        <w:spacing w:before="0" w:after="340" w:line="240" w:lineRule="auto"/>
        <w:ind w:left="0" w:right="0" w:firstLine="0"/>
        <w:jc w:val="both"/>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19"/>
      <w:bookmarkEnd w:id="1620"/>
      <w:bookmarkEnd w:id="1622"/>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tabs>
          <w:tab w:pos="483" w:val="left"/>
        </w:tabs>
        <w:bidi w:val="0"/>
        <w:spacing w:before="0" w:after="400" w:line="240" w:lineRule="auto"/>
        <w:ind w:left="0" w:right="0" w:firstLine="0"/>
        <w:jc w:val="both"/>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23"/>
      <w:bookmarkEnd w:id="1624"/>
      <w:bookmarkEnd w:id="1626"/>
    </w:p>
    <w:p>
      <w:pPr>
        <w:pStyle w:val="Style24"/>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376" w:right="1050" w:bottom="1429" w:left="104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1"/>
        <w:keepNext/>
        <w:keepLines/>
        <w:widowControl w:val="0"/>
        <w:shd w:val="clear" w:color="auto" w:fill="auto"/>
        <w:bidi w:val="0"/>
        <w:spacing w:before="0" w:after="580" w:line="240" w:lineRule="auto"/>
        <w:ind w:left="0" w:right="0" w:firstLine="0"/>
        <w:jc w:val="center"/>
      </w:pPr>
      <w:bookmarkStart w:id="1627" w:name="bookmark1627"/>
      <w:bookmarkStart w:id="1628" w:name="bookmark1628"/>
      <w:bookmarkStart w:id="1629" w:name="bookmark1629"/>
      <w:r>
        <w:rPr>
          <w:color w:val="000000"/>
          <w:spacing w:val="0"/>
          <w:w w:val="100"/>
          <w:position w:val="0"/>
        </w:rPr>
        <w:t>第十三节备查文件目录</w:t>
      </w:r>
      <w:bookmarkEnd w:id="1627"/>
      <w:bookmarkEnd w:id="1628"/>
      <w:bookmarkEnd w:id="1629"/>
    </w:p>
    <w:p>
      <w:pPr>
        <w:pStyle w:val="Style24"/>
        <w:keepNext w:val="0"/>
        <w:keepLines w:val="0"/>
        <w:widowControl w:val="0"/>
        <w:shd w:val="clear" w:color="auto" w:fill="auto"/>
        <w:tabs>
          <w:tab w:pos="435" w:val="left"/>
        </w:tabs>
        <w:bidi w:val="0"/>
        <w:spacing w:before="0" w:after="120" w:line="240" w:lineRule="auto"/>
        <w:ind w:left="0" w:right="0" w:firstLine="0"/>
        <w:jc w:val="left"/>
      </w:pPr>
      <w:bookmarkStart w:id="1630" w:name="bookmark1630"/>
      <w:bookmarkStart w:id="1631" w:name="bookmark1631"/>
      <w:r>
        <w:rPr>
          <w:color w:val="000000"/>
          <w:spacing w:val="0"/>
          <w:w w:val="100"/>
          <w:position w:val="0"/>
        </w:rPr>
        <w:t>一</w:t>
      </w:r>
      <w:bookmarkEnd w:id="1631"/>
      <w:r>
        <w:rPr>
          <w:color w:val="000000"/>
          <w:spacing w:val="0"/>
          <w:w w:val="100"/>
          <w:position w:val="0"/>
        </w:rPr>
        <w:t>、</w:t>
        <w:tab/>
        <w:t>载有公司法定代表人签名并盖章的公司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年年度报告文本原件。</w:t>
      </w:r>
      <w:bookmarkEnd w:id="1630"/>
    </w:p>
    <w:p>
      <w:pPr>
        <w:pStyle w:val="Style24"/>
        <w:keepNext w:val="0"/>
        <w:keepLines w:val="0"/>
        <w:widowControl w:val="0"/>
        <w:shd w:val="clear" w:color="auto" w:fill="auto"/>
        <w:tabs>
          <w:tab w:pos="435" w:val="left"/>
        </w:tabs>
        <w:bidi w:val="0"/>
        <w:spacing w:before="0" w:after="120" w:line="240" w:lineRule="auto"/>
        <w:ind w:left="0" w:right="0" w:firstLine="0"/>
        <w:jc w:val="left"/>
      </w:pPr>
      <w:bookmarkStart w:id="1632" w:name="bookmark1632"/>
      <w:r>
        <w:rPr>
          <w:color w:val="000000"/>
          <w:spacing w:val="0"/>
          <w:w w:val="100"/>
          <w:position w:val="0"/>
        </w:rPr>
        <w:t>二</w:t>
      </w:r>
      <w:bookmarkEnd w:id="1632"/>
      <w:r>
        <w:rPr>
          <w:color w:val="000000"/>
          <w:spacing w:val="0"/>
          <w:w w:val="100"/>
          <w:position w:val="0"/>
        </w:rPr>
        <w:t>、</w:t>
        <w:tab/>
        <w:t>载有公司法定代表人、主管会计工作负责人及会计机构负责人签名并盖章的财务报表。</w:t>
      </w:r>
    </w:p>
    <w:p>
      <w:pPr>
        <w:pStyle w:val="Style24"/>
        <w:keepNext w:val="0"/>
        <w:keepLines w:val="0"/>
        <w:widowControl w:val="0"/>
        <w:shd w:val="clear" w:color="auto" w:fill="auto"/>
        <w:tabs>
          <w:tab w:pos="435" w:val="left"/>
        </w:tabs>
        <w:bidi w:val="0"/>
        <w:spacing w:before="0" w:after="120" w:line="240" w:lineRule="auto"/>
        <w:ind w:left="0" w:right="0" w:firstLine="0"/>
        <w:jc w:val="left"/>
      </w:pPr>
      <w:bookmarkStart w:id="1633" w:name="bookmark1633"/>
      <w:r>
        <w:rPr>
          <w:color w:val="000000"/>
          <w:spacing w:val="0"/>
          <w:w w:val="100"/>
          <w:position w:val="0"/>
        </w:rPr>
        <w:t>三</w:t>
      </w:r>
      <w:bookmarkEnd w:id="1633"/>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435" w:val="left"/>
        </w:tabs>
        <w:bidi w:val="0"/>
        <w:spacing w:before="0" w:after="120" w:line="240" w:lineRule="auto"/>
        <w:ind w:left="0" w:right="0" w:firstLine="0"/>
        <w:jc w:val="left"/>
      </w:pPr>
      <w:bookmarkStart w:id="1634" w:name="bookmark1634"/>
      <w:r>
        <w:rPr>
          <w:color w:val="000000"/>
          <w:spacing w:val="0"/>
          <w:w w:val="100"/>
          <w:position w:val="0"/>
        </w:rPr>
        <w:t>四</w:t>
      </w:r>
      <w:bookmarkEnd w:id="1634"/>
      <w:r>
        <w:rPr>
          <w:color w:val="000000"/>
          <w:spacing w:val="0"/>
          <w:w w:val="100"/>
          <w:position w:val="0"/>
        </w:rPr>
        <w:t>、</w:t>
        <w:tab/>
        <w:t>报告期内在中国证监会指定网站上公开披露过的所有公司文件的正本及公告的原稿。</w:t>
      </w:r>
    </w:p>
    <w:sectPr>
      <w:footnotePr>
        <w:pos w:val="pageBottom"/>
        <w:numFmt w:val="decimal"/>
        <w:numRestart w:val="continuous"/>
      </w:footnotePr>
      <w:pgSz w:w="11900" w:h="16840"/>
      <w:pgMar w:top="1659" w:right="1097" w:bottom="1659"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6798945</wp:posOffset>
              </wp:positionH>
              <wp:positionV relativeFrom="page">
                <wp:posOffset>10133330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35000000000002pt;margin-top:797.8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6753225</wp:posOffset>
              </wp:positionH>
              <wp:positionV relativeFrom="page">
                <wp:posOffset>9956800</wp:posOffset>
              </wp:positionV>
              <wp:extent cx="100330" cy="79375"/>
              <wp:wrapNone/>
              <wp:docPr id="9" name="Shape 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75pt;margin-top:784.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4046220</wp:posOffset>
              </wp:positionH>
              <wp:positionV relativeFrom="page">
                <wp:posOffset>486410</wp:posOffset>
              </wp:positionV>
              <wp:extent cx="2780030" cy="106680"/>
              <wp:wrapNone/>
              <wp:docPr id="1" name="Shape 1"/>
              <a:graphic xmlns:a="http://schemas.openxmlformats.org/drawingml/2006/main">
                <a:graphicData uri="http://schemas.microsoft.com/office/word/2010/wordprocessingShape">
                  <wps:wsp>
                    <wps:cNvSpPr txBox="1"/>
                    <wps:spPr>
                      <a:xfrm>
                        <a:ext cx="278003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60000000000002pt;margin-top:38.300000000000004pt;width:218.9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623570</wp:posOffset>
              </wp:positionV>
              <wp:extent cx="6156960" cy="0"/>
              <wp:wrapNone/>
              <wp:docPr id="3" name="Shape 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5.100000000000001pt;margin-top:49.100000000000001pt;width:48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4067810</wp:posOffset>
              </wp:positionH>
              <wp:positionV relativeFrom="page">
                <wp:posOffset>572135</wp:posOffset>
              </wp:positionV>
              <wp:extent cx="2780030" cy="106680"/>
              <wp:wrapNone/>
              <wp:docPr id="6" name="Shape 6"/>
              <a:graphic xmlns:a="http://schemas.openxmlformats.org/drawingml/2006/main">
                <a:graphicData uri="http://schemas.microsoft.com/office/word/2010/wordprocessingShape">
                  <wps:wsp>
                    <wps:cNvSpPr txBox="1"/>
                    <wps:spPr>
                      <a:xfrm>
                        <a:ext cx="278003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0.30000000000001pt;margin-top:45.050000000000004pt;width:218.9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成都卫士通信息产业股份有限公司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707390</wp:posOffset>
              </wp:positionV>
              <wp:extent cx="6156960" cy="0"/>
              <wp:wrapNone/>
              <wp:docPr id="8" name="Shape 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6.75pt;margin-top:55.700000000000003pt;width:484.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 (2)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63">
    <w:name w:val="正文文本 (6)_"/>
    <w:basedOn w:val="DefaultParagraphFont"/>
    <w:link w:val="Style62"/>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80">
    <w:name w:val="标题 #5_"/>
    <w:basedOn w:val="DefaultParagraphFont"/>
    <w:link w:val="Style79"/>
    <w:rPr>
      <w:rFonts w:ascii="SimSun" w:eastAsia="SimSun" w:hAnsi="SimSun" w:cs="SimSun"/>
      <w:b/>
      <w:bCs/>
      <w:i w:val="0"/>
      <w:iCs w:val="0"/>
      <w:smallCaps w:val="0"/>
      <w:strike w:val="0"/>
      <w:sz w:val="20"/>
      <w:szCs w:val="20"/>
      <w:u w:val="none"/>
      <w:shd w:val="clear" w:color="auto" w:fill="auto"/>
    </w:rPr>
  </w:style>
  <w:style w:type="character" w:customStyle="1" w:styleId="CharStyle83">
    <w:name w:val="正文文本 (7)_"/>
    <w:basedOn w:val="DefaultParagraphFont"/>
    <w:link w:val="Style82"/>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标题 #1"/>
    <w:basedOn w:val="Normal"/>
    <w:link w:val="CharStyle12"/>
    <w:pPr>
      <w:widowControl w:val="0"/>
      <w:shd w:val="clear" w:color="auto" w:fill="auto"/>
      <w:spacing w:before="54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6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0">
    <w:name w:val="标题 #2"/>
    <w:basedOn w:val="Normal"/>
    <w:link w:val="CharStyle21"/>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正文文本"/>
    <w:basedOn w:val="Normal"/>
    <w:link w:val="CharStyle25"/>
    <w:pPr>
      <w:widowControl w:val="0"/>
      <w:shd w:val="clear" w:color="auto" w:fill="auto"/>
      <w:spacing w:line="379"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2)"/>
    <w:basedOn w:val="Normal"/>
    <w:link w:val="CharStyle35"/>
    <w:pPr>
      <w:widowControl w:val="0"/>
      <w:shd w:val="clear" w:color="auto" w:fill="auto"/>
      <w:spacing w:line="312"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9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正文文本 (6)"/>
    <w:basedOn w:val="Normal"/>
    <w:link w:val="CharStyle63"/>
    <w:pPr>
      <w:widowControl w:val="0"/>
      <w:shd w:val="clear" w:color="auto" w:fill="auto"/>
      <w:spacing w:after="270" w:line="315" w:lineRule="exact"/>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79">
    <w:name w:val="标题 #5"/>
    <w:basedOn w:val="Normal"/>
    <w:link w:val="CharStyle80"/>
    <w:pPr>
      <w:widowControl w:val="0"/>
      <w:shd w:val="clear" w:color="auto" w:fill="auto"/>
      <w:spacing w:after="39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2">
    <w:name w:val="正文文本 (7)"/>
    <w:basedOn w:val="Normal"/>
    <w:link w:val="CharStyle83"/>
    <w:pPr>
      <w:widowControl w:val="0"/>
      <w:shd w:val="clear" w:color="auto" w:fill="auto"/>
      <w:spacing w:after="38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成都卫士通信息产业股份有限公司2020年年度报告全文</dc:title>
  <dc:subject/>
  <dc:creator>成都卫士通信息产业股份有限公司</dc:creator>
  <cp:keywords/>
</cp:coreProperties>
</file>