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9"/>
        <w:rPr>
          <w:rFonts w:ascii="Times New Roman" w:hAnsi="Times New Roman" w:cs="Times New Roman" w:eastAsia="Times New Roman" w:hint="default"/>
          <w:sz w:val="7"/>
          <w:szCs w:val="7"/>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5"/>
          <w:szCs w:val="25"/>
        </w:rPr>
      </w:pPr>
    </w:p>
    <w:p>
      <w:pPr>
        <w:spacing w:line="1425" w:lineRule="exact"/>
        <w:ind w:left="233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8"/>
          <w:sz w:val="20"/>
          <w:szCs w:val="20"/>
        </w:rPr>
        <w:drawing>
          <wp:inline distT="0" distB="0" distL="0" distR="0">
            <wp:extent cx="3344629" cy="90525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344629" cy="905255"/>
                    </a:xfrm>
                    <a:prstGeom prst="rect">
                      <a:avLst/>
                    </a:prstGeom>
                  </pic:spPr>
                </pic:pic>
              </a:graphicData>
            </a:graphic>
          </wp:inline>
        </w:drawing>
      </w:r>
      <w:r>
        <w:rPr>
          <w:rFonts w:ascii="Times New Roman" w:hAnsi="Times New Roman" w:cs="Times New Roman" w:eastAsia="Times New Roman" w:hint="default"/>
          <w:position w:val="-2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spacing w:line="621" w:lineRule="exact" w:before="0"/>
        <w:ind w:left="135" w:right="94" w:firstLine="0"/>
        <w:jc w:val="center"/>
        <w:rPr>
          <w:rFonts w:ascii="宋体" w:hAnsi="宋体" w:cs="宋体" w:eastAsia="宋体" w:hint="default"/>
          <w:sz w:val="52"/>
          <w:szCs w:val="52"/>
        </w:rPr>
      </w:pPr>
      <w:r>
        <w:rPr>
          <w:rFonts w:ascii="宋体" w:hAnsi="宋体" w:cs="宋体" w:eastAsia="宋体" w:hint="default"/>
          <w:b/>
          <w:bCs/>
          <w:spacing w:val="7"/>
          <w:sz w:val="52"/>
          <w:szCs w:val="52"/>
        </w:rPr>
        <w:t>上海美特斯邦威服饰股份有限公司</w:t>
      </w:r>
      <w:r>
        <w:rPr>
          <w:rFonts w:ascii="宋体" w:hAnsi="宋体" w:cs="宋体" w:eastAsia="宋体" w:hint="default"/>
          <w:spacing w:val="7"/>
          <w:sz w:val="52"/>
          <w:szCs w:val="52"/>
        </w:rPr>
      </w:r>
    </w:p>
    <w:p>
      <w:pPr>
        <w:spacing w:line="240" w:lineRule="auto" w:before="3"/>
        <w:rPr>
          <w:rFonts w:ascii="宋体" w:hAnsi="宋体" w:cs="宋体" w:eastAsia="宋体" w:hint="default"/>
          <w:b/>
          <w:bCs/>
          <w:sz w:val="44"/>
          <w:szCs w:val="44"/>
        </w:rPr>
      </w:pPr>
    </w:p>
    <w:p>
      <w:pPr>
        <w:spacing w:before="0"/>
        <w:ind w:left="135" w:right="148" w:firstLine="0"/>
        <w:jc w:val="center"/>
        <w:rPr>
          <w:rFonts w:ascii="宋体" w:hAnsi="宋体" w:cs="宋体" w:eastAsia="宋体" w:hint="default"/>
          <w:sz w:val="72"/>
          <w:szCs w:val="72"/>
        </w:rPr>
      </w:pPr>
      <w:r>
        <w:rPr>
          <w:rFonts w:ascii="Times New Roman" w:hAnsi="Times New Roman" w:cs="Times New Roman" w:eastAsia="Times New Roman" w:hint="default"/>
          <w:b/>
          <w:bCs/>
          <w:spacing w:val="5"/>
          <w:sz w:val="72"/>
          <w:szCs w:val="72"/>
        </w:rPr>
        <w:t>2012</w:t>
      </w:r>
      <w:r>
        <w:rPr>
          <w:rFonts w:ascii="宋体" w:hAnsi="宋体" w:cs="宋体" w:eastAsia="宋体" w:hint="default"/>
          <w:b/>
          <w:bCs/>
          <w:spacing w:val="5"/>
          <w:sz w:val="72"/>
          <w:szCs w:val="72"/>
        </w:rPr>
        <w:t>年年度报告</w:t>
      </w:r>
      <w:r>
        <w:rPr>
          <w:rFonts w:ascii="宋体" w:hAnsi="宋体" w:cs="宋体" w:eastAsia="宋体" w:hint="default"/>
          <w:spacing w:val="5"/>
          <w:sz w:val="72"/>
          <w:szCs w:val="72"/>
        </w:rPr>
      </w:r>
    </w:p>
    <w:p>
      <w:pPr>
        <w:spacing w:line="240" w:lineRule="auto" w:before="0"/>
        <w:rPr>
          <w:rFonts w:ascii="宋体" w:hAnsi="宋体" w:cs="宋体" w:eastAsia="宋体" w:hint="default"/>
          <w:b/>
          <w:bCs/>
          <w:sz w:val="76"/>
          <w:szCs w:val="76"/>
        </w:rPr>
      </w:pPr>
    </w:p>
    <w:p>
      <w:pPr>
        <w:spacing w:line="240" w:lineRule="auto" w:before="0"/>
        <w:rPr>
          <w:rFonts w:ascii="宋体" w:hAnsi="宋体" w:cs="宋体" w:eastAsia="宋体" w:hint="default"/>
          <w:b/>
          <w:bCs/>
          <w:sz w:val="76"/>
          <w:szCs w:val="76"/>
        </w:rPr>
      </w:pPr>
    </w:p>
    <w:p>
      <w:pPr>
        <w:spacing w:line="240" w:lineRule="auto" w:before="0"/>
        <w:rPr>
          <w:rFonts w:ascii="宋体" w:hAnsi="宋体" w:cs="宋体" w:eastAsia="宋体" w:hint="default"/>
          <w:b/>
          <w:bCs/>
          <w:sz w:val="76"/>
          <w:szCs w:val="76"/>
        </w:rPr>
      </w:pPr>
    </w:p>
    <w:p>
      <w:pPr>
        <w:spacing w:line="240" w:lineRule="auto" w:before="0"/>
        <w:rPr>
          <w:rFonts w:ascii="宋体" w:hAnsi="宋体" w:cs="宋体" w:eastAsia="宋体" w:hint="default"/>
          <w:b/>
          <w:bCs/>
          <w:sz w:val="76"/>
          <w:szCs w:val="76"/>
        </w:rPr>
      </w:pPr>
    </w:p>
    <w:p>
      <w:pPr>
        <w:spacing w:line="240" w:lineRule="auto" w:before="0"/>
        <w:rPr>
          <w:rFonts w:ascii="宋体" w:hAnsi="宋体" w:cs="宋体" w:eastAsia="宋体" w:hint="default"/>
          <w:b/>
          <w:bCs/>
          <w:sz w:val="76"/>
          <w:szCs w:val="76"/>
        </w:rPr>
      </w:pPr>
    </w:p>
    <w:p>
      <w:pPr>
        <w:spacing w:line="240" w:lineRule="auto" w:before="11"/>
        <w:rPr>
          <w:rFonts w:ascii="宋体" w:hAnsi="宋体" w:cs="宋体" w:eastAsia="宋体" w:hint="default"/>
          <w:b/>
          <w:bCs/>
          <w:sz w:val="78"/>
          <w:szCs w:val="78"/>
        </w:rPr>
      </w:pPr>
    </w:p>
    <w:p>
      <w:pPr>
        <w:spacing w:before="0"/>
        <w:ind w:left="135" w:right="13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2</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840" w:bottom="280" w:left="980" w:right="98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Heading1"/>
        <w:spacing w:line="240" w:lineRule="auto"/>
        <w:ind w:right="134"/>
        <w:jc w:val="center"/>
        <w:rPr>
          <w:b w:val="0"/>
          <w:bCs w:val="0"/>
        </w:rPr>
      </w:pPr>
      <w:bookmarkStart w:name="_bookmark0" w:id="1"/>
      <w:bookmarkEnd w:id="1"/>
      <w:r>
        <w:rPr>
          <w:b w:val="0"/>
          <w:bCs w:val="0"/>
        </w:rPr>
      </w:r>
      <w:r>
        <w:rPr/>
        <w:t>第一节</w:t>
      </w:r>
      <w:r>
        <w:rPr>
          <w:spacing w:val="-2"/>
        </w:rPr>
        <w:t> </w:t>
      </w:r>
      <w:r>
        <w:rPr/>
        <w:t>重要提示</w:t>
      </w:r>
      <w:r>
        <w:rPr>
          <w:b w:val="0"/>
          <w:bCs w:val="0"/>
        </w:rPr>
      </w:r>
    </w:p>
    <w:p>
      <w:pPr>
        <w:spacing w:line="240" w:lineRule="auto" w:before="13"/>
        <w:rPr>
          <w:rFonts w:ascii="宋体" w:hAnsi="宋体" w:cs="宋体" w:eastAsia="宋体" w:hint="default"/>
          <w:b/>
          <w:bCs/>
          <w:sz w:val="46"/>
          <w:szCs w:val="46"/>
        </w:rPr>
      </w:pPr>
    </w:p>
    <w:p>
      <w:pPr>
        <w:pStyle w:val="Heading5"/>
        <w:spacing w:line="408" w:lineRule="auto"/>
        <w:ind w:right="0" w:firstLine="420"/>
        <w:jc w:val="left"/>
      </w:pPr>
      <w:r>
        <w:rPr>
          <w:spacing w:val="-2"/>
        </w:rPr>
        <w:t>本公司董事会、监事会及董事、监事、高级管理人员保证本报告所载资料不存在任何虚假记载、误导</w:t>
      </w:r>
      <w:r>
        <w:rPr>
          <w:w w:val="100"/>
        </w:rPr>
        <w:t> </w:t>
      </w:r>
      <w:r>
        <w:rPr/>
        <w:t>性陈述或者重大遗漏，并对其内容的真实性、准确性和完整性承担个别及连带责任。</w:t>
      </w:r>
    </w:p>
    <w:p>
      <w:pPr>
        <w:pStyle w:val="Heading5"/>
        <w:spacing w:line="386" w:lineRule="auto" w:before="144"/>
        <w:ind w:right="0" w:firstLine="420"/>
        <w:jc w:val="left"/>
      </w:pPr>
      <w:r>
        <w:rPr>
          <w:spacing w:val="-3"/>
        </w:rPr>
        <w:t>公司负责人周成建、主管会计工作负责人韩钟伟及会计机构负责人</w:t>
      </w:r>
      <w:r>
        <w:rPr>
          <w:rFonts w:ascii="Times New Roman" w:hAnsi="Times New Roman" w:cs="Times New Roman" w:eastAsia="Times New Roman" w:hint="default"/>
          <w:spacing w:val="-3"/>
        </w:rPr>
        <w:t>(</w:t>
      </w:r>
      <w:r>
        <w:rPr>
          <w:spacing w:val="-3"/>
        </w:rPr>
        <w:t>会计主管人员</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4"/>
        </w:rPr>
        <w:t> </w:t>
      </w:r>
      <w:r>
        <w:rPr>
          <w:spacing w:val="-5"/>
        </w:rPr>
        <w:t>张利声明：保证年</w:t>
      </w:r>
      <w:r>
        <w:rPr>
          <w:w w:val="100"/>
        </w:rPr>
        <w:t> </w:t>
      </w:r>
      <w:r>
        <w:rPr/>
        <w:t>度报告中财务报告的真实、准确、完整。</w:t>
      </w:r>
    </w:p>
    <w:p>
      <w:pPr>
        <w:pStyle w:val="Heading5"/>
        <w:spacing w:line="240" w:lineRule="auto" w:before="166"/>
        <w:ind w:left="573" w:right="0"/>
        <w:jc w:val="left"/>
      </w:pPr>
      <w:r>
        <w:rPr/>
        <w:t>所有董事均已出席了审议本报告的董事会会议。</w:t>
      </w:r>
    </w:p>
    <w:p>
      <w:pPr>
        <w:spacing w:line="240" w:lineRule="auto" w:before="7"/>
        <w:rPr>
          <w:rFonts w:ascii="宋体" w:hAnsi="宋体" w:cs="宋体" w:eastAsia="宋体" w:hint="default"/>
          <w:sz w:val="22"/>
          <w:szCs w:val="22"/>
        </w:rPr>
      </w:pPr>
    </w:p>
    <w:p>
      <w:pPr>
        <w:pStyle w:val="Heading5"/>
        <w:spacing w:line="240" w:lineRule="auto"/>
        <w:ind w:left="573" w:right="0"/>
        <w:jc w:val="left"/>
      </w:pPr>
      <w:r>
        <w:rPr/>
        <w:t>公司经本次董事会审议通过的利润分配预案为：以</w:t>
      </w:r>
      <w:r>
        <w:rPr>
          <w:spacing w:val="-4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日的公司总股本为基数，向全体</w:t>
      </w:r>
    </w:p>
    <w:p>
      <w:pPr>
        <w:pStyle w:val="Heading5"/>
        <w:spacing w:line="240" w:lineRule="auto" w:before="177"/>
        <w:ind w:right="0"/>
        <w:jc w:val="left"/>
      </w:pPr>
      <w:r>
        <w:rPr>
          <w:w w:val="100"/>
        </w:rPr>
        <w:t>股</w:t>
      </w:r>
      <w:r>
        <w:rPr>
          <w:spacing w:val="-3"/>
          <w:w w:val="100"/>
        </w:rPr>
        <w:t>东</w:t>
      </w:r>
      <w:r>
        <w:rPr>
          <w:w w:val="100"/>
        </w:rPr>
        <w:t>每</w:t>
      </w:r>
      <w:r>
        <w:rPr>
          <w:spacing w:val="-52"/>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股</w:t>
      </w:r>
      <w:r>
        <w:rPr>
          <w:spacing w:val="-3"/>
          <w:w w:val="100"/>
        </w:rPr>
        <w:t>派</w:t>
      </w:r>
      <w:r>
        <w:rPr>
          <w:w w:val="100"/>
        </w:rPr>
        <w:t>发</w:t>
      </w:r>
      <w:r>
        <w:rPr>
          <w:spacing w:val="-3"/>
          <w:w w:val="100"/>
        </w:rPr>
        <w:t>现</w:t>
      </w:r>
      <w:r>
        <w:rPr>
          <w:w w:val="100"/>
        </w:rPr>
        <w:t>金</w:t>
      </w:r>
      <w:r>
        <w:rPr>
          <w:spacing w:val="-3"/>
          <w:w w:val="100"/>
        </w:rPr>
        <w:t>红</w:t>
      </w:r>
      <w:r>
        <w:rPr>
          <w:w w:val="100"/>
        </w:rPr>
        <w:t>利</w:t>
      </w:r>
      <w:r>
        <w:rPr>
          <w:spacing w:val="-53"/>
        </w:rPr>
        <w:t> </w:t>
      </w:r>
      <w:r>
        <w:rPr>
          <w:rFonts w:ascii="Times New Roman" w:hAnsi="Times New Roman" w:cs="Times New Roman" w:eastAsia="Times New Roman" w:hint="default"/>
          <w:w w:val="100"/>
        </w:rPr>
        <w:t>7.5</w:t>
      </w:r>
      <w:r>
        <w:rPr>
          <w:rFonts w:ascii="Times New Roman" w:hAnsi="Times New Roman" w:cs="Times New Roman" w:eastAsia="Times New Roman" w:hint="default"/>
          <w:spacing w:val="-3"/>
        </w:rPr>
        <w:t> </w:t>
      </w:r>
      <w:r>
        <w:rPr>
          <w:w w:val="100"/>
        </w:rPr>
        <w:t>元</w:t>
      </w:r>
      <w:r>
        <w:rPr>
          <w:spacing w:val="-3"/>
          <w:w w:val="100"/>
        </w:rPr>
        <w:t>（</w:t>
      </w:r>
      <w:r>
        <w:rPr>
          <w:w w:val="100"/>
        </w:rPr>
        <w:t>含</w:t>
      </w:r>
      <w:r>
        <w:rPr>
          <w:spacing w:val="-3"/>
          <w:w w:val="100"/>
        </w:rPr>
        <w:t>税</w:t>
      </w:r>
      <w:r>
        <w:rPr>
          <w:spacing w:val="-106"/>
          <w:w w:val="100"/>
        </w:rPr>
        <w:t>）</w:t>
      </w:r>
      <w:r>
        <w:rPr>
          <w:spacing w:val="-3"/>
          <w:w w:val="100"/>
        </w:rPr>
        <w:t>，</w:t>
      </w:r>
      <w:r>
        <w:rPr>
          <w:w w:val="100"/>
        </w:rPr>
        <w:t>送</w:t>
      </w:r>
      <w:r>
        <w:rPr>
          <w:spacing w:val="-3"/>
          <w:w w:val="100"/>
        </w:rPr>
        <w:t>红</w:t>
      </w:r>
      <w:r>
        <w:rPr>
          <w:w w:val="100"/>
        </w:rPr>
        <w:t>股</w:t>
      </w:r>
      <w:r>
        <w:rPr>
          <w:spacing w:val="-55"/>
        </w:rPr>
        <w:t> </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股</w:t>
      </w:r>
      <w:r>
        <w:rPr>
          <w:spacing w:val="-3"/>
          <w:w w:val="100"/>
        </w:rPr>
        <w:t>（</w:t>
      </w:r>
      <w:r>
        <w:rPr>
          <w:w w:val="100"/>
        </w:rPr>
        <w:t>含</w:t>
      </w:r>
      <w:r>
        <w:rPr>
          <w:spacing w:val="-3"/>
          <w:w w:val="100"/>
        </w:rPr>
        <w:t>税</w:t>
      </w:r>
      <w:r>
        <w:rPr>
          <w:spacing w:val="-106"/>
          <w:w w:val="100"/>
        </w:rPr>
        <w:t>）</w:t>
      </w:r>
      <w:r>
        <w:rPr>
          <w:spacing w:val="-3"/>
          <w:w w:val="100"/>
        </w:rPr>
        <w:t>，</w:t>
      </w:r>
      <w:r>
        <w:rPr>
          <w:w w:val="100"/>
        </w:rPr>
        <w:t>不</w:t>
      </w:r>
      <w:r>
        <w:rPr>
          <w:spacing w:val="-3"/>
          <w:w w:val="100"/>
        </w:rPr>
        <w:t>以</w:t>
      </w:r>
      <w:r>
        <w:rPr>
          <w:w w:val="100"/>
        </w:rPr>
        <w:t>公</w:t>
      </w:r>
      <w:r>
        <w:rPr>
          <w:spacing w:val="-3"/>
          <w:w w:val="100"/>
        </w:rPr>
        <w:t>积金</w:t>
      </w:r>
      <w:r>
        <w:rPr>
          <w:w w:val="100"/>
        </w:rPr>
        <w:t>转增</w:t>
      </w:r>
      <w:r>
        <w:rPr>
          <w:spacing w:val="-3"/>
          <w:w w:val="100"/>
        </w:rPr>
        <w:t>股</w:t>
      </w:r>
      <w:r>
        <w:rPr>
          <w:w w:val="100"/>
        </w:rPr>
        <w:t>本。</w:t>
      </w:r>
    </w:p>
    <w:p>
      <w:pPr>
        <w:spacing w:after="0" w:line="240" w:lineRule="auto"/>
        <w:jc w:val="left"/>
        <w:sectPr>
          <w:headerReference w:type="default" r:id="rId6"/>
          <w:footerReference w:type="default" r:id="rId7"/>
          <w:pgSz w:w="11910" w:h="16840"/>
          <w:pgMar w:header="850" w:footer="1186" w:top="1440" w:bottom="1380" w:left="980" w:right="98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tabs>
          <w:tab w:pos="1084" w:val="left" w:leader="none"/>
        </w:tabs>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3" w:val="right" w:leader="dot"/>
            </w:tabs>
            <w:spacing w:line="240" w:lineRule="auto" w:before="261"/>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2"/>
              </w:rPr>
              <w:t> </w:t>
            </w:r>
            <w:r>
              <w:rPr/>
              <w:t>重要提示</w:t>
            </w:r>
            <w:r>
              <w:rPr>
                <w:rFonts w:ascii="Times New Roman" w:hAnsi="Times New Roman" w:cs="Times New Roman" w:eastAsia="Times New Roman" w:hint="default"/>
              </w:rPr>
              <w:tab/>
              <w:t>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2"/>
              </w:rPr>
              <w:t> </w:t>
            </w:r>
            <w:r>
              <w:rPr/>
              <w:t>公司简介</w:t>
            </w:r>
            <w:r>
              <w:rPr>
                <w:rFonts w:ascii="Times New Roman" w:hAnsi="Times New Roman" w:cs="Times New Roman" w:eastAsia="Times New Roman" w:hint="default"/>
              </w:rPr>
              <w:tab/>
              <w:t>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2">
            <w:r>
              <w:rPr/>
              <w:t>第三节</w:t>
            </w:r>
            <w:r>
              <w:rPr>
                <w:spacing w:val="-2"/>
              </w:rPr>
              <w:t> </w:t>
            </w:r>
            <w:r>
              <w:rPr/>
              <w:t>会计数据和财务指标摘要</w:t>
            </w:r>
            <w:r>
              <w:rPr>
                <w:rFonts w:ascii="Times New Roman" w:hAnsi="Times New Roman" w:cs="Times New Roman" w:eastAsia="Times New Roman" w:hint="default"/>
              </w:rPr>
              <w:tab/>
              <w:t>8</w:t>
            </w:r>
          </w:hyperlink>
        </w:p>
        <w:p>
          <w:pPr>
            <w:pStyle w:val="TOC1"/>
            <w:tabs>
              <w:tab w:pos="9783" w:val="right" w:leader="dot"/>
            </w:tabs>
            <w:spacing w:line="240" w:lineRule="auto" w:before="371"/>
            <w:ind w:right="0"/>
            <w:jc w:val="left"/>
            <w:rPr>
              <w:rFonts w:ascii="Times New Roman" w:hAnsi="Times New Roman" w:cs="Times New Roman" w:eastAsia="Times New Roman" w:hint="default"/>
            </w:rPr>
          </w:pPr>
          <w:hyperlink w:history="true" w:anchor="_bookmark3">
            <w:r>
              <w:rPr/>
              <w:t>第四节</w:t>
            </w:r>
            <w:r>
              <w:rPr>
                <w:spacing w:val="-2"/>
              </w:rPr>
              <w:t> </w:t>
            </w:r>
            <w:r>
              <w:rPr/>
              <w:t>董事会报告</w:t>
            </w:r>
            <w:r>
              <w:rPr>
                <w:rFonts w:ascii="Times New Roman" w:hAnsi="Times New Roman" w:cs="Times New Roman" w:eastAsia="Times New Roman" w:hint="default"/>
              </w:rPr>
              <w:tab/>
              <w:t>9</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2"/>
              </w:rPr>
              <w:t> </w:t>
            </w:r>
            <w:r>
              <w:rPr/>
              <w:t>重要事项</w:t>
            </w:r>
            <w:r>
              <w:rPr>
                <w:rFonts w:ascii="Times New Roman" w:hAnsi="Times New Roman" w:cs="Times New Roman" w:eastAsia="Times New Roman" w:hint="default"/>
              </w:rPr>
              <w:tab/>
              <w:t>25</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5">
            <w:r>
              <w:rPr/>
              <w:t>第六节</w:t>
            </w:r>
            <w:r>
              <w:rPr>
                <w:spacing w:val="-2"/>
              </w:rPr>
              <w:t> </w:t>
            </w:r>
            <w:r>
              <w:rPr/>
              <w:t>股份变动及股东情况</w:t>
            </w:r>
            <w:r>
              <w:rPr>
                <w:rFonts w:ascii="Times New Roman" w:hAnsi="Times New Roman" w:cs="Times New Roman" w:eastAsia="Times New Roman" w:hint="default"/>
              </w:rPr>
              <w:tab/>
              <w:t>29</w:t>
            </w:r>
          </w:hyperlink>
        </w:p>
        <w:p>
          <w:pPr>
            <w:pStyle w:val="TOC1"/>
            <w:tabs>
              <w:tab w:pos="9783" w:val="right" w:leader="dot"/>
            </w:tabs>
            <w:spacing w:line="240" w:lineRule="auto" w:before="371"/>
            <w:ind w:right="0"/>
            <w:jc w:val="left"/>
            <w:rPr>
              <w:rFonts w:ascii="Times New Roman" w:hAnsi="Times New Roman" w:cs="Times New Roman" w:eastAsia="Times New Roman" w:hint="default"/>
            </w:rPr>
          </w:pPr>
          <w:hyperlink w:history="true" w:anchor="_bookmark6">
            <w:r>
              <w:rPr/>
              <w:t>第七节</w:t>
            </w:r>
            <w:r>
              <w:rPr>
                <w:spacing w:val="-2"/>
              </w:rPr>
              <w:t> </w:t>
            </w:r>
            <w:r>
              <w:rPr/>
              <w:t>董事、监事、高级管理人员和员工情况</w:t>
            </w:r>
            <w:r>
              <w:rPr>
                <w:rFonts w:ascii="Times New Roman" w:hAnsi="Times New Roman" w:cs="Times New Roman" w:eastAsia="Times New Roman" w:hint="default"/>
              </w:rPr>
              <w:tab/>
              <w:t>32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2"/>
              </w:rPr>
              <w:t> </w:t>
            </w:r>
            <w:r>
              <w:rPr/>
              <w:t>公司治理</w:t>
            </w:r>
            <w:r>
              <w:rPr>
                <w:rFonts w:ascii="Times New Roman" w:hAnsi="Times New Roman" w:cs="Times New Roman" w:eastAsia="Times New Roman" w:hint="default"/>
              </w:rPr>
              <w:tab/>
              <w:t>36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8">
            <w:r>
              <w:rPr/>
              <w:t>第九节</w:t>
            </w:r>
            <w:r>
              <w:rPr>
                <w:spacing w:val="-2"/>
              </w:rPr>
              <w:t> </w:t>
            </w:r>
            <w:r>
              <w:rPr/>
              <w:t>内部控制</w:t>
            </w:r>
            <w:r>
              <w:rPr>
                <w:rFonts w:ascii="Times New Roman" w:hAnsi="Times New Roman" w:cs="Times New Roman" w:eastAsia="Times New Roman" w:hint="default"/>
              </w:rPr>
              <w:tab/>
              <w:t>42</w:t>
            </w:r>
          </w:hyperlink>
        </w:p>
        <w:p>
          <w:pPr>
            <w:pStyle w:val="TOC1"/>
            <w:tabs>
              <w:tab w:pos="9783" w:val="right" w:leader="dot"/>
            </w:tabs>
            <w:spacing w:line="240" w:lineRule="auto" w:before="371"/>
            <w:ind w:right="0"/>
            <w:jc w:val="left"/>
            <w:rPr>
              <w:rFonts w:ascii="Times New Roman" w:hAnsi="Times New Roman" w:cs="Times New Roman" w:eastAsia="Times New Roman" w:hint="default"/>
            </w:rPr>
          </w:pPr>
          <w:hyperlink w:history="true" w:anchor="_bookmark9">
            <w:r>
              <w:rPr/>
              <w:t>第十节</w:t>
            </w:r>
            <w:r>
              <w:rPr>
                <w:spacing w:val="-2"/>
              </w:rPr>
              <w:t> </w:t>
            </w:r>
            <w:r>
              <w:rPr/>
              <w:t>财务报告</w:t>
            </w:r>
            <w:r>
              <w:rPr>
                <w:rFonts w:ascii="Times New Roman" w:hAnsi="Times New Roman" w:cs="Times New Roman" w:eastAsia="Times New Roman" w:hint="default"/>
              </w:rPr>
              <w:tab/>
              <w:t>44</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2"/>
              </w:rPr>
              <w:t> </w:t>
            </w:r>
            <w:r>
              <w:rPr/>
              <w:t>备查文件目录</w:t>
            </w:r>
            <w:r>
              <w:rPr>
                <w:rFonts w:ascii="Times New Roman" w:hAnsi="Times New Roman" w:cs="Times New Roman" w:eastAsia="Times New Roman" w:hint="default"/>
              </w:rPr>
              <w:tab/>
              <w:t>140</w:t>
            </w:r>
          </w:hyperlink>
        </w:p>
        <w:p>
          <w:pPr/>
          <w:r>
            <w:fldChar w:fldCharType="end"/>
          </w:r>
        </w:p>
      </w:sdtContent>
    </w:sdt>
    <w:p>
      <w:pPr>
        <w:spacing w:after="0"/>
        <w:sectPr>
          <w:pgSz w:w="11910" w:h="16840"/>
          <w:pgMar w:header="850" w:footer="1186" w:top="1480" w:bottom="1380" w:left="980" w:right="980"/>
        </w:sectPr>
      </w:pPr>
    </w:p>
    <w:p>
      <w:pPr>
        <w:spacing w:line="240" w:lineRule="auto" w:before="0"/>
        <w:rPr>
          <w:rFonts w:ascii="Times New Roman" w:hAnsi="Times New Roman" w:cs="Times New Roman" w:eastAsia="Times New Roman" w:hint="default"/>
          <w:sz w:val="36"/>
          <w:szCs w:val="36"/>
        </w:rPr>
      </w:pPr>
    </w:p>
    <w:p>
      <w:pPr>
        <w:spacing w:line="240" w:lineRule="auto" w:before="0"/>
        <w:rPr>
          <w:rFonts w:ascii="Times New Roman" w:hAnsi="Times New Roman" w:cs="Times New Roman" w:eastAsia="Times New Roman" w:hint="default"/>
          <w:sz w:val="36"/>
          <w:szCs w:val="36"/>
        </w:rPr>
      </w:pPr>
    </w:p>
    <w:p>
      <w:pPr>
        <w:spacing w:line="240" w:lineRule="auto" w:before="1"/>
        <w:rPr>
          <w:rFonts w:ascii="Times New Roman" w:hAnsi="Times New Roman" w:cs="Times New Roman" w:eastAsia="Times New Roman" w:hint="default"/>
          <w:sz w:val="36"/>
          <w:szCs w:val="36"/>
        </w:rPr>
      </w:pPr>
    </w:p>
    <w:p>
      <w:pPr>
        <w:tabs>
          <w:tab w:pos="904" w:val="left" w:leader="none"/>
        </w:tabs>
        <w:spacing w:before="0"/>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释</w:t>
        <w:tab/>
      </w:r>
      <w:r>
        <w:rPr>
          <w:rFonts w:ascii="宋体" w:hAnsi="宋体" w:cs="宋体" w:eastAsia="宋体" w:hint="default"/>
          <w:b/>
          <w:bCs/>
          <w:sz w:val="36"/>
          <w:szCs w:val="36"/>
        </w:rPr>
        <w:t>义</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tbl>
      <w:tblPr>
        <w:tblW w:w="0" w:type="auto"/>
        <w:jc w:val="left"/>
        <w:tblInd w:w="119" w:type="dxa"/>
        <w:tblLayout w:type="fixed"/>
        <w:tblCellMar>
          <w:top w:w="0" w:type="dxa"/>
          <w:left w:w="0" w:type="dxa"/>
          <w:bottom w:w="0" w:type="dxa"/>
          <w:right w:w="0" w:type="dxa"/>
        </w:tblCellMar>
        <w:tblLook w:val="01E0"/>
      </w:tblPr>
      <w:tblGrid>
        <w:gridCol w:w="4136"/>
        <w:gridCol w:w="1412"/>
        <w:gridCol w:w="3665"/>
      </w:tblGrid>
      <w:tr>
        <w:trPr>
          <w:trHeight w:val="559" w:hRule="exact"/>
        </w:trPr>
        <w:tc>
          <w:tcPr>
            <w:tcW w:w="41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5"/>
              <w:jc w:val="center"/>
              <w:rPr>
                <w:rFonts w:ascii="宋体" w:hAnsi="宋体" w:cs="宋体" w:eastAsia="宋体" w:hint="default"/>
                <w:sz w:val="21"/>
                <w:szCs w:val="21"/>
              </w:rPr>
            </w:pPr>
            <w:r>
              <w:rPr>
                <w:rFonts w:ascii="宋体" w:hAnsi="宋体" w:cs="宋体" w:eastAsia="宋体" w:hint="default"/>
                <w:sz w:val="21"/>
                <w:szCs w:val="21"/>
              </w:rPr>
              <w:t>释义项</w:t>
            </w:r>
          </w:p>
        </w:tc>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6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left="13"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557" w:hRule="exact"/>
        </w:trPr>
        <w:tc>
          <w:tcPr>
            <w:tcW w:w="4136" w:type="dxa"/>
            <w:tcBorders>
              <w:top w:val="single" w:sz="4" w:space="0" w:color="000000"/>
              <w:left w:val="single" w:sz="4" w:space="0" w:color="000000"/>
              <w:bottom w:val="single" w:sz="4" w:space="0" w:color="000000"/>
              <w:right w:val="single" w:sz="13" w:space="0" w:color="D9D9D9"/>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华服投资</w:t>
            </w:r>
          </w:p>
        </w:tc>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665"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105"/>
              <w:ind w:left="24" w:right="0"/>
              <w:jc w:val="left"/>
              <w:rPr>
                <w:rFonts w:ascii="宋体" w:hAnsi="宋体" w:cs="宋体" w:eastAsia="宋体" w:hint="default"/>
                <w:sz w:val="21"/>
                <w:szCs w:val="21"/>
              </w:rPr>
            </w:pPr>
            <w:r>
              <w:rPr>
                <w:rFonts w:ascii="宋体" w:hAnsi="宋体" w:cs="宋体" w:eastAsia="宋体" w:hint="default"/>
                <w:sz w:val="21"/>
                <w:szCs w:val="21"/>
              </w:rPr>
              <w:t>上海华服投资有限公司</w:t>
            </w:r>
          </w:p>
        </w:tc>
      </w:tr>
      <w:tr>
        <w:trPr>
          <w:trHeight w:val="559" w:hRule="exact"/>
        </w:trPr>
        <w:tc>
          <w:tcPr>
            <w:tcW w:w="4136" w:type="dxa"/>
            <w:tcBorders>
              <w:top w:val="single" w:sz="4" w:space="0" w:color="000000"/>
              <w:left w:val="single" w:sz="4" w:space="0" w:color="000000"/>
              <w:bottom w:val="single" w:sz="4" w:space="0" w:color="000000"/>
              <w:right w:val="single" w:sz="13" w:space="0" w:color="D9D9D9"/>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祺格实业</w:t>
            </w:r>
          </w:p>
        </w:tc>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665"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105"/>
              <w:ind w:left="24" w:right="0"/>
              <w:jc w:val="left"/>
              <w:rPr>
                <w:rFonts w:ascii="宋体" w:hAnsi="宋体" w:cs="宋体" w:eastAsia="宋体" w:hint="default"/>
                <w:sz w:val="21"/>
                <w:szCs w:val="21"/>
              </w:rPr>
            </w:pPr>
            <w:r>
              <w:rPr>
                <w:rFonts w:ascii="宋体" w:hAnsi="宋体" w:cs="宋体" w:eastAsia="宋体" w:hint="default"/>
                <w:sz w:val="21"/>
                <w:szCs w:val="21"/>
              </w:rPr>
              <w:t>上海祺格实业有限公司</w:t>
            </w:r>
          </w:p>
        </w:tc>
      </w:tr>
      <w:tr>
        <w:trPr>
          <w:trHeight w:val="557" w:hRule="exact"/>
        </w:trPr>
        <w:tc>
          <w:tcPr>
            <w:tcW w:w="4136" w:type="dxa"/>
            <w:tcBorders>
              <w:top w:val="single" w:sz="4" w:space="0" w:color="000000"/>
              <w:left w:val="single" w:sz="4" w:space="0" w:color="000000"/>
              <w:bottom w:val="single" w:sz="4" w:space="0" w:color="000000"/>
              <w:right w:val="single" w:sz="13" w:space="0" w:color="D9D9D9"/>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爱裳邦购</w:t>
            </w:r>
          </w:p>
        </w:tc>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665"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105"/>
              <w:ind w:left="24" w:right="0"/>
              <w:jc w:val="left"/>
              <w:rPr>
                <w:rFonts w:ascii="宋体" w:hAnsi="宋体" w:cs="宋体" w:eastAsia="宋体" w:hint="default"/>
                <w:sz w:val="21"/>
                <w:szCs w:val="21"/>
              </w:rPr>
            </w:pPr>
            <w:r>
              <w:rPr>
                <w:rFonts w:ascii="宋体" w:hAnsi="宋体" w:cs="宋体" w:eastAsia="宋体" w:hint="default"/>
                <w:sz w:val="21"/>
                <w:szCs w:val="21"/>
              </w:rPr>
              <w:t>上海爱裳邦购信息科技有限公司</w:t>
            </w:r>
          </w:p>
        </w:tc>
      </w:tr>
      <w:tr>
        <w:trPr>
          <w:trHeight w:val="557" w:hRule="exact"/>
        </w:trPr>
        <w:tc>
          <w:tcPr>
            <w:tcW w:w="4136" w:type="dxa"/>
            <w:tcBorders>
              <w:top w:val="single" w:sz="4" w:space="0" w:color="000000"/>
              <w:left w:val="single" w:sz="4" w:space="0" w:color="000000"/>
              <w:bottom w:val="single" w:sz="4" w:space="0" w:color="000000"/>
              <w:right w:val="single" w:sz="13" w:space="0" w:color="D9D9D9"/>
            </w:tcBorders>
          </w:tcPr>
          <w:p>
            <w:pPr>
              <w:pStyle w:val="TableParagraph"/>
              <w:spacing w:line="240" w:lineRule="auto" w:before="105"/>
              <w:ind w:left="2" w:right="0"/>
              <w:jc w:val="center"/>
              <w:rPr>
                <w:rFonts w:ascii="宋体" w:hAnsi="宋体" w:cs="宋体" w:eastAsia="宋体" w:hint="default"/>
                <w:sz w:val="21"/>
                <w:szCs w:val="21"/>
              </w:rPr>
            </w:pPr>
            <w:r>
              <w:rPr>
                <w:rFonts w:ascii="宋体" w:hAnsi="宋体" w:cs="宋体" w:eastAsia="宋体" w:hint="default"/>
                <w:sz w:val="21"/>
                <w:szCs w:val="21"/>
              </w:rPr>
              <w:t>美邦集团</w:t>
            </w:r>
          </w:p>
        </w:tc>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665"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105"/>
              <w:ind w:left="24" w:right="0"/>
              <w:jc w:val="left"/>
              <w:rPr>
                <w:rFonts w:ascii="宋体" w:hAnsi="宋体" w:cs="宋体" w:eastAsia="宋体" w:hint="default"/>
                <w:sz w:val="21"/>
                <w:szCs w:val="21"/>
              </w:rPr>
            </w:pPr>
            <w:r>
              <w:rPr>
                <w:rFonts w:ascii="宋体" w:hAnsi="宋体" w:cs="宋体" w:eastAsia="宋体" w:hint="default"/>
                <w:sz w:val="21"/>
                <w:szCs w:val="21"/>
              </w:rPr>
              <w:t>温州美特斯邦威集团有限公司</w:t>
            </w:r>
          </w:p>
        </w:tc>
      </w:tr>
      <w:tr>
        <w:trPr>
          <w:trHeight w:val="559" w:hRule="exact"/>
        </w:trPr>
        <w:tc>
          <w:tcPr>
            <w:tcW w:w="4136" w:type="dxa"/>
            <w:tcBorders>
              <w:top w:val="single" w:sz="4" w:space="0" w:color="000000"/>
              <w:left w:val="single" w:sz="4" w:space="0" w:color="000000"/>
              <w:bottom w:val="single" w:sz="4" w:space="0" w:color="000000"/>
              <w:right w:val="single" w:sz="13" w:space="0" w:color="D9D9D9"/>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长安基金</w:t>
            </w:r>
          </w:p>
        </w:tc>
        <w:tc>
          <w:tcPr>
            <w:tcW w:w="1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3665"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107"/>
              <w:ind w:left="24" w:right="0"/>
              <w:jc w:val="left"/>
              <w:rPr>
                <w:rFonts w:ascii="宋体" w:hAnsi="宋体" w:cs="宋体" w:eastAsia="宋体" w:hint="default"/>
                <w:sz w:val="21"/>
                <w:szCs w:val="21"/>
              </w:rPr>
            </w:pPr>
            <w:r>
              <w:rPr>
                <w:rFonts w:ascii="宋体" w:hAnsi="宋体" w:cs="宋体" w:eastAsia="宋体" w:hint="default"/>
                <w:sz w:val="21"/>
                <w:szCs w:val="21"/>
              </w:rPr>
              <w:t>长安基金管理有限公司</w:t>
            </w:r>
          </w:p>
        </w:tc>
      </w:tr>
    </w:tbl>
    <w:p>
      <w:pPr>
        <w:spacing w:after="0" w:line="240" w:lineRule="auto"/>
        <w:jc w:val="left"/>
        <w:rPr>
          <w:rFonts w:ascii="宋体" w:hAnsi="宋体" w:cs="宋体" w:eastAsia="宋体" w:hint="default"/>
          <w:sz w:val="21"/>
          <w:szCs w:val="21"/>
        </w:rPr>
        <w:sectPr>
          <w:pgSz w:w="11910" w:h="16840"/>
          <w:pgMar w:header="850" w:footer="1186" w:top="1480" w:bottom="1380" w:left="980" w:right="980"/>
        </w:sectPr>
      </w:pPr>
    </w:p>
    <w:p>
      <w:pPr>
        <w:spacing w:line="240" w:lineRule="auto" w:before="0"/>
        <w:rPr>
          <w:rFonts w:ascii="宋体" w:hAnsi="宋体" w:cs="宋体" w:eastAsia="宋体" w:hint="default"/>
          <w:b/>
          <w:bCs/>
          <w:sz w:val="20"/>
          <w:szCs w:val="20"/>
        </w:rPr>
      </w:pPr>
    </w:p>
    <w:p>
      <w:pPr>
        <w:spacing w:before="149"/>
        <w:ind w:left="135" w:right="135"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8"/>
        <w:rPr>
          <w:rFonts w:ascii="宋体" w:hAnsi="宋体" w:cs="宋体" w:eastAsia="宋体" w:hint="default"/>
          <w:b/>
          <w:bCs/>
          <w:sz w:val="21"/>
          <w:szCs w:val="21"/>
        </w:rPr>
      </w:pPr>
    </w:p>
    <w:p>
      <w:pPr>
        <w:spacing w:before="36"/>
        <w:ind w:left="714"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  </w:t>
      </w:r>
      <w:r>
        <w:rPr>
          <w:rFonts w:ascii="宋体" w:hAnsi="宋体" w:cs="宋体" w:eastAsia="宋体" w:hint="default"/>
          <w:spacing w:val="70"/>
          <w:sz w:val="21"/>
          <w:szCs w:val="21"/>
        </w:rPr>
        <w:t> </w:t>
      </w:r>
      <w:r>
        <w:rPr>
          <w:rFonts w:ascii="宋体" w:hAnsi="宋体" w:cs="宋体" w:eastAsia="宋体" w:hint="default"/>
          <w:b/>
          <w:bCs/>
          <w:sz w:val="21"/>
          <w:szCs w:val="21"/>
        </w:rPr>
        <w:t>宏观经济波动风险</w:t>
      </w:r>
      <w:r>
        <w:rPr>
          <w:rFonts w:ascii="宋体" w:hAnsi="宋体" w:cs="宋体" w:eastAsia="宋体" w:hint="default"/>
          <w:sz w:val="21"/>
          <w:szCs w:val="21"/>
        </w:rPr>
      </w:r>
    </w:p>
    <w:p>
      <w:pPr>
        <w:spacing w:line="240" w:lineRule="auto" w:before="3"/>
        <w:rPr>
          <w:rFonts w:ascii="宋体" w:hAnsi="宋体" w:cs="宋体" w:eastAsia="宋体" w:hint="default"/>
          <w:b/>
          <w:bCs/>
          <w:sz w:val="21"/>
          <w:szCs w:val="21"/>
        </w:rPr>
      </w:pPr>
    </w:p>
    <w:p>
      <w:pPr>
        <w:pStyle w:val="Heading5"/>
        <w:spacing w:line="393" w:lineRule="auto"/>
        <w:ind w:left="719" w:right="146" w:firstLine="623"/>
        <w:jc w:val="both"/>
      </w:pPr>
      <w:r>
        <w:rPr>
          <w:spacing w:val="-3"/>
        </w:rPr>
        <w:t>本公司所在的休闲服饰行业受宏观经济影响较显著。自 </w:t>
      </w:r>
      <w:r>
        <w:rPr>
          <w:rFonts w:ascii="Times New Roman" w:hAnsi="Times New Roman" w:cs="Times New Roman" w:eastAsia="Times New Roman" w:hint="default"/>
        </w:rPr>
        <w:t>2001</w:t>
      </w:r>
      <w:r>
        <w:rPr>
          <w:rFonts w:ascii="Times New Roman" w:hAnsi="Times New Roman" w:cs="Times New Roman" w:eastAsia="Times New Roman" w:hint="default"/>
          <w:spacing w:val="2"/>
        </w:rPr>
        <w:t> </w:t>
      </w:r>
      <w:r>
        <w:rPr>
          <w:spacing w:val="-4"/>
        </w:rPr>
        <w:t>年以来，我国国民经济持续稳定</w:t>
      </w:r>
      <w:r>
        <w:rPr>
          <w:w w:val="100"/>
        </w:rPr>
        <w:t> </w:t>
      </w:r>
      <w:r>
        <w:rPr>
          <w:spacing w:val="-2"/>
        </w:rPr>
        <w:t>增长，</w:t>
      </w:r>
      <w:r>
        <w:rPr>
          <w:rFonts w:ascii="Times New Roman" w:hAnsi="Times New Roman" w:cs="Times New Roman" w:eastAsia="Times New Roman" w:hint="default"/>
          <w:spacing w:val="-2"/>
        </w:rPr>
        <w:t>GDP</w:t>
      </w:r>
      <w:r>
        <w:rPr>
          <w:rFonts w:ascii="Times New Roman" w:hAnsi="Times New Roman" w:cs="Times New Roman" w:eastAsia="Times New Roman" w:hint="default"/>
        </w:rPr>
        <w:t> </w:t>
      </w:r>
      <w:r>
        <w:rPr>
          <w:spacing w:val="-2"/>
        </w:rPr>
        <w:t>总量和增长率均保持平稳快速增长，居民收入和消费水平的提高，从而服装消费总量也</w:t>
      </w:r>
      <w:r>
        <w:rPr>
          <w:spacing w:val="-91"/>
        </w:rPr>
        <w:t> </w:t>
      </w:r>
      <w:r>
        <w:rPr>
          <w:spacing w:val="-91"/>
        </w:rPr>
      </w:r>
      <w:r>
        <w:rPr>
          <w:spacing w:val="-4"/>
        </w:rPr>
        <w:t>随之提高；然而国内经济近年来增长有所放缓，国家统计局公布数据显示，</w:t>
      </w:r>
      <w:r>
        <w:rPr>
          <w:rFonts w:ascii="Times New Roman" w:hAnsi="Times New Roman" w:cs="Times New Roman" w:eastAsia="Times New Roman" w:hint="default"/>
          <w:spacing w:val="-4"/>
        </w:rPr>
        <w:t>2010 </w:t>
      </w:r>
      <w:r>
        <w:rPr>
          <w:spacing w:val="-7"/>
        </w:rPr>
        <w:t>年、</w:t>
      </w:r>
      <w:r>
        <w:rPr>
          <w:rFonts w:ascii="Times New Roman" w:hAnsi="Times New Roman" w:cs="Times New Roman" w:eastAsia="Times New Roman" w:hint="default"/>
          <w:spacing w:val="-7"/>
        </w:rPr>
        <w:t>2011 </w:t>
      </w:r>
      <w:r>
        <w:rPr/>
        <w:t>年和 </w:t>
      </w:r>
      <w:r>
        <w:rPr>
          <w:rFonts w:ascii="Times New Roman" w:hAnsi="Times New Roman" w:cs="Times New Roman" w:eastAsia="Times New Roman" w:hint="default"/>
        </w:rPr>
        <w:t>2012</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t>年前三季度国内生产总值分别同比增长</w:t>
      </w:r>
      <w:r>
        <w:rPr>
          <w:spacing w:val="-49"/>
        </w:rPr>
        <w:t> </w:t>
      </w:r>
      <w:r>
        <w:rPr>
          <w:rFonts w:ascii="Times New Roman" w:hAnsi="Times New Roman" w:cs="Times New Roman" w:eastAsia="Times New Roman" w:hint="default"/>
          <w:spacing w:val="-3"/>
        </w:rPr>
        <w:t>10.40%</w:t>
      </w:r>
      <w:r>
        <w:rPr>
          <w:spacing w:val="-3"/>
        </w:rPr>
        <w:t>、</w:t>
      </w:r>
      <w:r>
        <w:rPr>
          <w:rFonts w:ascii="Times New Roman" w:hAnsi="Times New Roman" w:cs="Times New Roman" w:eastAsia="Times New Roman" w:hint="default"/>
          <w:spacing w:val="-3"/>
        </w:rPr>
        <w:t>9.2</w:t>
      </w:r>
      <w:r>
        <w:rPr>
          <w:spacing w:val="-3"/>
        </w:rPr>
        <w:t>％和</w:t>
      </w:r>
      <w:r>
        <w:rPr>
          <w:spacing w:val="-47"/>
        </w:rPr>
        <w:t> </w:t>
      </w:r>
      <w:r>
        <w:rPr>
          <w:rFonts w:ascii="Times New Roman" w:hAnsi="Times New Roman" w:cs="Times New Roman" w:eastAsia="Times New Roman" w:hint="default"/>
          <w:spacing w:val="-4"/>
        </w:rPr>
        <w:t>7.7%</w:t>
      </w:r>
      <w:r>
        <w:rPr>
          <w:spacing w:val="-4"/>
        </w:rPr>
        <w:t>，</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1"/>
        </w:rPr>
        <w:t> </w:t>
      </w:r>
      <w:r>
        <w:rPr/>
        <w:t>年第三季度的增长速度创近</w:t>
      </w:r>
      <w:r>
        <w:rPr>
          <w:spacing w:val="-47"/>
        </w:rPr>
        <w:t> </w:t>
      </w:r>
      <w:r>
        <w:rPr>
          <w:rFonts w:ascii="Times New Roman" w:hAnsi="Times New Roman" w:cs="Times New Roman" w:eastAsia="Times New Roman" w:hint="default"/>
          <w:spacing w:val="-3"/>
        </w:rPr>
        <w:t>14</w:t>
      </w:r>
      <w:r>
        <w:rPr>
          <w:rFonts w:ascii="Times New Roman" w:hAnsi="Times New Roman" w:cs="Times New Roman" w:eastAsia="Times New Roman" w:hint="default"/>
          <w:spacing w:val="-51"/>
        </w:rPr>
        <w:t> </w:t>
      </w:r>
      <w:r>
        <w:rPr>
          <w:spacing w:val="-1"/>
        </w:rPr>
        <w:t>个季度的新低。同时，世界经济仍面临很多的曲折和不确定性，欧洲仍未走出债务危机的泥潭。在</w:t>
      </w:r>
      <w:r>
        <w:rPr>
          <w:spacing w:val="-20"/>
        </w:rPr>
        <w:t> </w:t>
      </w:r>
      <w:r>
        <w:rPr>
          <w:spacing w:val="-20"/>
        </w:rPr>
      </w:r>
      <w:r>
        <w:rPr>
          <w:spacing w:val="-1"/>
        </w:rPr>
        <w:t>世界主要经济体尚未好转，我国经济短期陷入下行周期，持续增长的前景仍难确定的情况下，公司</w:t>
      </w:r>
      <w:r>
        <w:rPr>
          <w:spacing w:val="-20"/>
        </w:rPr>
        <w:t> </w:t>
      </w:r>
      <w:r>
        <w:rPr>
          <w:spacing w:val="-20"/>
        </w:rPr>
      </w:r>
      <w:r>
        <w:rPr/>
        <w:t>的主营业务发展和盈利能力面临因宏观经济调整所带来的周期性波动风险。</w:t>
      </w:r>
    </w:p>
    <w:p>
      <w:pPr>
        <w:tabs>
          <w:tab w:pos="1413" w:val="left" w:leader="none"/>
        </w:tabs>
        <w:spacing w:line="470" w:lineRule="auto" w:before="157"/>
        <w:ind w:left="1343" w:right="161" w:hanging="62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ab/>
        <w:t>行业竞争的风险</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本公司所在的休闲服行业竞争激烈，虽然本公司目前在国内休闲服零售业内拥有较强的市场</w:t>
      </w:r>
    </w:p>
    <w:p>
      <w:pPr>
        <w:pStyle w:val="Heading5"/>
        <w:spacing w:line="408" w:lineRule="auto"/>
        <w:ind w:left="719" w:right="150"/>
        <w:jc w:val="both"/>
      </w:pPr>
      <w:r>
        <w:rPr>
          <w:spacing w:val="-1"/>
        </w:rPr>
        <w:t>地位，但随着市场的不断细分，来自国内外竞争品牌的竞争压力仍将持续甚至加大，可能导致本公</w:t>
      </w:r>
      <w:r>
        <w:rPr>
          <w:spacing w:val="-20"/>
        </w:rPr>
        <w:t> </w:t>
      </w:r>
      <w:r>
        <w:rPr>
          <w:spacing w:val="-20"/>
        </w:rPr>
      </w:r>
      <w:r>
        <w:rPr>
          <w:spacing w:val="-1"/>
        </w:rPr>
        <w:t>司的产品售价降低或销量减少，从而影响本公司的财务状况和经营业绩。另外，伴随电子商务的发</w:t>
      </w:r>
      <w:r>
        <w:rPr>
          <w:spacing w:val="-20"/>
        </w:rPr>
        <w:t> </w:t>
      </w:r>
      <w:r>
        <w:rPr>
          <w:spacing w:val="-20"/>
        </w:rPr>
      </w:r>
      <w:r>
        <w:rPr>
          <w:spacing w:val="-1"/>
        </w:rPr>
        <w:t>展、网络终端的普及，人们服装消费的习惯也在逐渐改变，网上销售成为服装业一大趋势。公司也</w:t>
      </w:r>
      <w:r>
        <w:rPr>
          <w:spacing w:val="-20"/>
        </w:rPr>
        <w:t> </w:t>
      </w:r>
      <w:r>
        <w:rPr>
          <w:spacing w:val="-20"/>
        </w:rPr>
      </w:r>
      <w:r>
        <w:rPr>
          <w:spacing w:val="-1"/>
        </w:rPr>
        <w:t>在探索利用电子商务进行销售，但目前仍然处于起步阶段。电子商务销售模式的发展将可能对公司</w:t>
      </w:r>
      <w:r>
        <w:rPr>
          <w:spacing w:val="-20"/>
        </w:rPr>
        <w:t> </w:t>
      </w:r>
      <w:r>
        <w:rPr>
          <w:spacing w:val="-20"/>
        </w:rPr>
      </w:r>
      <w:r>
        <w:rPr/>
        <w:t>利用实体门店进行销售的传统模式产生冲击并带来一定的风险。</w:t>
      </w:r>
    </w:p>
    <w:p>
      <w:pPr>
        <w:spacing w:after="0" w:line="408" w:lineRule="auto"/>
        <w:jc w:val="both"/>
        <w:sectPr>
          <w:pgSz w:w="11910" w:h="16840"/>
          <w:pgMar w:header="850" w:footer="1186" w:top="1480" w:bottom="1380" w:left="980" w:right="980"/>
        </w:sectPr>
      </w:pPr>
    </w:p>
    <w:p>
      <w:pPr>
        <w:spacing w:line="240" w:lineRule="auto" w:before="13"/>
        <w:rPr>
          <w:rFonts w:ascii="宋体" w:hAnsi="宋体" w:cs="宋体" w:eastAsia="宋体" w:hint="default"/>
          <w:sz w:val="26"/>
          <w:szCs w:val="26"/>
        </w:rPr>
      </w:pPr>
      <w:r>
        <w:rPr/>
        <w:pict>
          <v:group style="position:absolute;margin-left:171.020004pt;margin-top:292.129974pt;width:362.85pt;height:20.8pt;mso-position-horizontal-relative:page;mso-position-vertical-relative:page;z-index:-752464" coordorigin="3420,5843" coordsize="7257,416">
            <v:group style="position:absolute;left:3432;top:5855;width:2;height:392" coordorigin="3432,5855" coordsize="2,392">
              <v:shape style="position:absolute;left:3432;top:5855;width:2;height:392" coordorigin="3432,5855" coordsize="0,392" path="m3432,5855l3432,6246e" filled="false" stroked="true" strokeweight="1.2pt" strokecolor="#ffffff">
                <v:path arrowok="t"/>
              </v:shape>
            </v:group>
            <v:group style="position:absolute;left:3444;top:5855;width:7233;height:392" coordorigin="3444,5855" coordsize="7233,392">
              <v:shape style="position:absolute;left:3444;top:5855;width:7233;height:392" coordorigin="3444,5855" coordsize="7233,392" path="m3444,6246l10677,6246,10677,5855,3444,5855,3444,6246xe" filled="true" fillcolor="#ffffff" stroked="false">
                <v:path arrowok="t"/>
                <v:fill type="solid"/>
              </v:shape>
            </v:group>
            <w10:wrap type="none"/>
          </v:group>
        </w:pict>
      </w:r>
    </w:p>
    <w:p>
      <w:pPr>
        <w:pStyle w:val="Heading1"/>
        <w:spacing w:line="240" w:lineRule="auto"/>
        <w:ind w:right="134"/>
        <w:jc w:val="center"/>
        <w:rPr>
          <w:b w:val="0"/>
          <w:bCs w:val="0"/>
        </w:rPr>
      </w:pPr>
      <w:bookmarkStart w:name="_bookmark1" w:id="2"/>
      <w:bookmarkEnd w:id="2"/>
      <w:r>
        <w:rPr>
          <w:b w:val="0"/>
          <w:bCs w:val="0"/>
        </w:rPr>
      </w:r>
      <w:r>
        <w:rPr/>
        <w:t>第二节</w:t>
      </w:r>
      <w:r>
        <w:rPr>
          <w:spacing w:val="-2"/>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5"/>
        <w:gridCol w:w="2135"/>
        <w:gridCol w:w="2188"/>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5"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美邦服饰</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002269</w:t>
            </w:r>
          </w:p>
        </w:tc>
      </w:tr>
      <w:tr>
        <w:trPr>
          <w:trHeight w:val="402"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上海美特斯邦威服饰股份有限公司</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美邦服饰</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Shanghai Metersbonwe Fashion&amp;Accessories</w:t>
            </w:r>
            <w:r>
              <w:rPr>
                <w:rFonts w:ascii="Times New Roman"/>
                <w:spacing w:val="-16"/>
                <w:sz w:val="18"/>
              </w:rPr>
              <w:t> </w:t>
            </w:r>
            <w:r>
              <w:rPr>
                <w:rFonts w:ascii="Times New Roman"/>
                <w:sz w:val="18"/>
              </w:rPr>
              <w:t>Co.,Ltd.</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45"/>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Metersbonwe</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周成建</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上海市浦东新区康桥东路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201315</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上海市浦东新区康桥东路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201315</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hyperlink r:id="rId8">
              <w:r>
                <w:rPr>
                  <w:rFonts w:ascii="Times New Roman"/>
                  <w:sz w:val="18"/>
                </w:rPr>
                <w:t>http://www.metersbonwe.com</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Corporate@metersbonwe.com</w:t>
              </w:r>
            </w:hyperlink>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韩钟伟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庄涛</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上海市浦东新区康桥东路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上海市浦东新区康桥东路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021-38119999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021-38119999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021-38119997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021-38119997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Corporate@metersbonwe.com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Corporate@metersbonwe.com</w:t>
              </w:r>
            </w:hyperlink>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证券时报、上海证券报、中国证券报、证券日报</w:t>
            </w:r>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r>
              <w:rPr>
                <w:rFonts w:ascii="宋体" w:hAnsi="宋体" w:cs="宋体" w:eastAsia="宋体" w:hint="default"/>
                <w:spacing w:val="89"/>
                <w:sz w:val="18"/>
                <w:szCs w:val="18"/>
              </w:rPr>
              <w:t> </w:t>
            </w: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50" w:footer="1186" w:top="1480" w:bottom="1380" w:left="980" w:right="980"/>
        </w:sectPr>
      </w:pPr>
    </w:p>
    <w:p>
      <w:pPr>
        <w:pStyle w:val="Heading2"/>
        <w:spacing w:line="240" w:lineRule="auto" w:before="13"/>
        <w:ind w:right="0"/>
        <w:jc w:val="left"/>
        <w:rPr>
          <w:b w:val="0"/>
          <w:bCs w:val="0"/>
        </w:rPr>
      </w:pPr>
      <w:r>
        <w:rPr/>
        <w:pict>
          <v:group style="position:absolute;margin-left:55.200001pt;margin-top:2.185603pt;width:484.9pt;height:.1pt;mso-position-horizontal-relative:page;mso-position-vertical-relative:paragraph;z-index:-752440" coordorigin="1104,44" coordsize="9698,2">
            <v:shape style="position:absolute;left:1104;top:44;width:9698;height:2" coordorigin="1104,44" coordsize="9698,0" path="m1104,44l10802,44e" filled="false" stroked="true" strokeweight=".72pt" strokecolor="#000000">
              <v:path arrowok="t"/>
            </v:shape>
            <w10:wrap type="none"/>
          </v:group>
        </w:pict>
      </w: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310225000206755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310115132178740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13217874-0</w:t>
            </w: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310225000206755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310115132178740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13217874-0</w:t>
            </w: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5" w:hRule="exact"/>
        </w:trPr>
        <w:tc>
          <w:tcPr>
            <w:tcW w:w="31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公司主营业务未发生变更</w:t>
            </w:r>
          </w:p>
        </w:tc>
      </w:tr>
      <w:tr>
        <w:trPr>
          <w:trHeight w:val="403" w:hRule="exact"/>
        </w:trPr>
        <w:tc>
          <w:tcPr>
            <w:tcW w:w="31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公司控股股东未发生变更</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五、其他有关资料</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安永华明会计师事务所</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北京市东城区东长安街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号东方广场安永大楼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层</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毕舜杰、张炯</w:t>
            </w:r>
          </w:p>
        </w:tc>
      </w:tr>
    </w:tbl>
    <w:p>
      <w:pPr>
        <w:spacing w:after="0" w:line="240" w:lineRule="auto"/>
        <w:jc w:val="left"/>
        <w:rPr>
          <w:rFonts w:ascii="宋体" w:hAnsi="宋体" w:cs="宋体" w:eastAsia="宋体" w:hint="default"/>
          <w:sz w:val="18"/>
          <w:szCs w:val="18"/>
        </w:rPr>
        <w:sectPr>
          <w:pgSz w:w="11910" w:h="16840"/>
          <w:pgMar w:header="850" w:footer="1186" w:top="1440" w:bottom="13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46"/>
        <w:ind w:left="2642" w:right="0"/>
        <w:jc w:val="left"/>
        <w:rPr>
          <w:b w:val="0"/>
          <w:bCs w:val="0"/>
        </w:rPr>
      </w:pPr>
      <w:bookmarkStart w:name="_bookmark2" w:id="3"/>
      <w:bookmarkEnd w:id="3"/>
      <w:r>
        <w:rPr>
          <w:b w:val="0"/>
          <w:bCs w:val="0"/>
        </w:rPr>
      </w:r>
      <w:r>
        <w:rPr/>
        <w:t>第三节</w:t>
      </w:r>
      <w:r>
        <w:rPr>
          <w:spacing w:val="-5"/>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0"/>
        <w:jc w:val="left"/>
        <w:rPr>
          <w:b w:val="0"/>
          <w:bCs w:val="0"/>
        </w:rPr>
      </w:pPr>
      <w:r>
        <w:rPr/>
        <w:t>一、主要会计数据和财务指标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1738"/>
        <w:gridCol w:w="1736"/>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9,509,550,614.00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9,945,057,797.00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7,500,479,103.00</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849,582,393.00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1,206,007,412.00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757,852,287.00</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692,665,138.00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1,106,927,044.00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702,051,764.00</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2,856,480,865.00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976,657,628.00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192.48%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-1,053,538,700.00</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0.75</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0.75</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个百分点</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24%</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7,006,340,154.00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8,882,488,965.00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8,586,714,298.00</w:t>
            </w:r>
          </w:p>
        </w:tc>
      </w:tr>
      <w:tr>
        <w:trPr>
          <w:trHeight w:val="1028"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9" w:lineRule="auto" w:before="74"/>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6"/>
                <w:sz w:val="18"/>
                <w:szCs w:val="18"/>
              </w:rPr>
              <w:t>权益）（元）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4,131,881,524.00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4,125,943,228.00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3,330,892,611.00</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二、非经常性损益项目及金额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2"/>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-13,503,482.00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2,237,091.00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-1,857,222.00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189,840,746.00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141,975,574.00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89,781,680.00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32,885,743.00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-13,745,652.00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-16,950,286.00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52,305,752.00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31,386,645.00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15,173,649.00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156,917,255.00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99,080,368.00</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55,800,523.00</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0" w:footer="1186" w:top="1440" w:bottom="138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1"/>
        <w:spacing w:line="240" w:lineRule="auto"/>
        <w:ind w:left="3590" w:right="3631"/>
        <w:jc w:val="center"/>
        <w:rPr>
          <w:b w:val="0"/>
          <w:bCs w:val="0"/>
        </w:rPr>
      </w:pPr>
      <w:bookmarkStart w:name="_bookmark3" w:id="4"/>
      <w:bookmarkEnd w:id="4"/>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一、概述</w:t>
      </w:r>
      <w:r>
        <w:rPr>
          <w:b w:val="0"/>
          <w:bCs w:val="0"/>
        </w:rPr>
      </w:r>
    </w:p>
    <w:p>
      <w:pPr>
        <w:spacing w:line="240" w:lineRule="auto" w:before="4"/>
        <w:rPr>
          <w:rFonts w:ascii="宋体" w:hAnsi="宋体" w:cs="宋体" w:eastAsia="宋体" w:hint="default"/>
          <w:b/>
          <w:bCs/>
          <w:sz w:val="32"/>
          <w:szCs w:val="32"/>
        </w:rPr>
      </w:pPr>
    </w:p>
    <w:p>
      <w:pPr>
        <w:pStyle w:val="BodyText"/>
        <w:spacing w:line="463" w:lineRule="auto"/>
        <w:ind w:right="191" w:firstLine="427"/>
        <w:jc w:val="both"/>
      </w:pPr>
      <w:r>
        <w:rPr>
          <w:rFonts w:ascii="Times New Roman" w:hAnsi="Times New Roman" w:cs="Times New Roman" w:eastAsia="Times New Roman" w:hint="default"/>
        </w:rPr>
        <w:t>2012</w:t>
      </w:r>
      <w:r>
        <w:rPr/>
        <w:t>年我国宏观经济增长显著放缓，国内消费市场环境持续低迷，消费者消费信心不足，本公司所从事的休闲服饰市 </w:t>
      </w:r>
      <w:r>
        <w:rPr>
          <w:spacing w:val="-2"/>
        </w:rPr>
        <w:t>场受其影响较大，在三四季度面临较大的经营压力，利润出现一定比例的下滑，同时，公司自身在产品定位和市场营销策略</w:t>
      </w:r>
      <w:r>
        <w:rPr>
          <w:spacing w:val="-64"/>
        </w:rPr>
        <w:t> </w:t>
      </w:r>
      <w:r>
        <w:rPr>
          <w:spacing w:val="-64"/>
        </w:rPr>
      </w:r>
      <w:r>
        <w:rPr/>
        <w:t>等方面的调整需要一定的周期，全年来看利润规模较</w:t>
      </w:r>
      <w:r>
        <w:rPr>
          <w:rFonts w:ascii="Times New Roman" w:hAnsi="Times New Roman" w:cs="Times New Roman" w:eastAsia="Times New Roman" w:hint="default"/>
        </w:rPr>
        <w:t>2011</w:t>
      </w:r>
      <w:r>
        <w:rPr/>
        <w:t>年有所下降。</w:t>
      </w:r>
    </w:p>
    <w:p>
      <w:pPr>
        <w:pStyle w:val="BodyText"/>
        <w:spacing w:line="460" w:lineRule="auto" w:before="33"/>
        <w:ind w:right="0" w:firstLine="427"/>
        <w:jc w:val="left"/>
      </w:pPr>
      <w:r>
        <w:rPr>
          <w:spacing w:val="-2"/>
        </w:rPr>
        <w:t>面对低迷的市场环境，公司主动采取了较为稳健的经营策略，严格控制新品订货和生产规模、积极获取经营性现金流，</w:t>
      </w:r>
      <w:r>
        <w:rPr/>
        <w:t> 并对组织架构开展优化及调整，在经济市场环境尚未明确好转的背景下</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公司的资产质量得以显著改善，截至报告期末公司 存货降至</w:t>
      </w:r>
      <w:r>
        <w:rPr>
          <w:rFonts w:ascii="Times New Roman" w:hAnsi="Times New Roman" w:cs="Times New Roman" w:eastAsia="Times New Roman" w:hint="default"/>
        </w:rPr>
        <w:t>20</w:t>
      </w:r>
      <w:r>
        <w:rPr/>
        <w:t>亿元，应收账款同比降幅达</w:t>
      </w:r>
      <w:r>
        <w:rPr>
          <w:rFonts w:ascii="Times New Roman" w:hAnsi="Times New Roman" w:cs="Times New Roman" w:eastAsia="Times New Roman" w:hint="default"/>
        </w:rPr>
        <w:t>60%</w:t>
      </w:r>
      <w:r>
        <w:rPr/>
        <w:t>，经营性净现金流超过</w:t>
      </w:r>
      <w:r>
        <w:rPr>
          <w:rFonts w:ascii="Times New Roman" w:hAnsi="Times New Roman" w:cs="Times New Roman" w:eastAsia="Times New Roman" w:hint="default"/>
        </w:rPr>
        <w:t>28.5</w:t>
      </w:r>
      <w:r>
        <w:rPr/>
        <w:t>亿元，有息负债显著下降，经营质量明显提升，为后 期市场转暖后业绩增长储备了更大的弹性，也为未来持续健康发展奠定基础。</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pStyle w:val="Heading2"/>
        <w:spacing w:line="240" w:lineRule="auto" w:before="0"/>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、主营业务概况</w:t>
      </w:r>
      <w:r>
        <w:rPr>
          <w:b w:val="0"/>
          <w:bCs w:val="0"/>
        </w:rPr>
      </w:r>
    </w:p>
    <w:p>
      <w:pPr>
        <w:spacing w:line="240" w:lineRule="auto" w:before="5"/>
        <w:rPr>
          <w:rFonts w:ascii="宋体" w:hAnsi="宋体" w:cs="宋体" w:eastAsia="宋体" w:hint="default"/>
          <w:b/>
          <w:bCs/>
          <w:sz w:val="32"/>
          <w:szCs w:val="32"/>
        </w:rPr>
      </w:pPr>
    </w:p>
    <w:p>
      <w:pPr>
        <w:pStyle w:val="BodyText"/>
        <w:spacing w:line="463" w:lineRule="auto"/>
        <w:ind w:right="191" w:firstLine="360"/>
        <w:jc w:val="both"/>
      </w:pPr>
      <w:r>
        <w:rPr>
          <w:spacing w:val="-2"/>
        </w:rPr>
        <w:t>本年度由于受宏观经济环境的影响，消费者需求有所下降，公司直营零售终端与加盟批发渠道均面临一定的压力。本年</w:t>
      </w:r>
      <w:r>
        <w:rPr/>
        <w:t> </w:t>
      </w:r>
      <w:r>
        <w:rPr>
          <w:spacing w:val="-1"/>
        </w:rPr>
        <w:t>度公司实现营业收入</w:t>
      </w:r>
      <w:r>
        <w:rPr>
          <w:rFonts w:ascii="Times New Roman" w:hAnsi="Times New Roman" w:cs="Times New Roman" w:eastAsia="Times New Roman" w:hint="default"/>
          <w:spacing w:val="-1"/>
        </w:rPr>
        <w:t>950,955.06</w:t>
      </w:r>
      <w:r>
        <w:rPr>
          <w:spacing w:val="-1"/>
        </w:rPr>
        <w:t>万元，较上年下降</w:t>
      </w:r>
      <w:r>
        <w:rPr>
          <w:rFonts w:ascii="Times New Roman" w:hAnsi="Times New Roman" w:cs="Times New Roman" w:eastAsia="Times New Roman" w:hint="default"/>
          <w:spacing w:val="-1"/>
        </w:rPr>
        <w:t>4%</w:t>
      </w:r>
      <w:r>
        <w:rPr>
          <w:spacing w:val="-1"/>
        </w:rPr>
        <w:t>；营业利润</w:t>
      </w:r>
      <w:r>
        <w:rPr>
          <w:rFonts w:ascii="Times New Roman" w:hAnsi="Times New Roman" w:cs="Times New Roman" w:eastAsia="Times New Roman" w:hint="default"/>
          <w:spacing w:val="-1"/>
        </w:rPr>
        <w:t>89,424.92</w:t>
      </w:r>
      <w:r>
        <w:rPr>
          <w:spacing w:val="-1"/>
        </w:rPr>
        <w:t>万元，较上年下降</w:t>
      </w:r>
      <w:r>
        <w:rPr>
          <w:rFonts w:ascii="Times New Roman" w:hAnsi="Times New Roman" w:cs="Times New Roman" w:eastAsia="Times New Roman" w:hint="default"/>
          <w:spacing w:val="-1"/>
        </w:rPr>
        <w:t>38%</w:t>
      </w:r>
      <w:r>
        <w:rPr>
          <w:spacing w:val="-1"/>
        </w:rPr>
        <w:t>；归属于上市公司股东的净</w:t>
      </w:r>
      <w:r>
        <w:rPr>
          <w:spacing w:val="-55"/>
        </w:rPr>
        <w:t> </w:t>
      </w:r>
      <w:r>
        <w:rPr>
          <w:spacing w:val="-55"/>
        </w:rPr>
      </w:r>
      <w:r>
        <w:rPr/>
        <w:t>利润</w:t>
      </w:r>
      <w:r>
        <w:rPr>
          <w:rFonts w:ascii="Times New Roman" w:hAnsi="Times New Roman" w:cs="Times New Roman" w:eastAsia="Times New Roman" w:hint="default"/>
        </w:rPr>
        <w:t>84,958.24</w:t>
      </w:r>
      <w:r>
        <w:rPr/>
        <w:t>万元，较上年下降</w:t>
      </w:r>
      <w:r>
        <w:rPr>
          <w:rFonts w:ascii="Times New Roman" w:hAnsi="Times New Roman" w:cs="Times New Roman" w:eastAsia="Times New Roman" w:hint="default"/>
        </w:rPr>
        <w:t>30%</w:t>
      </w:r>
      <w:r>
        <w:rPr/>
        <w:t>。</w:t>
      </w:r>
    </w:p>
    <w:p>
      <w:pPr>
        <w:pStyle w:val="BodyText"/>
        <w:spacing w:line="240" w:lineRule="auto" w:before="33"/>
        <w:ind w:right="0"/>
        <w:jc w:val="left"/>
      </w:pPr>
      <w:r>
        <w:rPr/>
        <w:t>本年度内，公司重点落实的策略主要包含：</w:t>
      </w:r>
    </w:p>
    <w:p>
      <w:pPr>
        <w:spacing w:line="240" w:lineRule="auto" w:before="10"/>
        <w:rPr>
          <w:rFonts w:ascii="宋体" w:hAnsi="宋体" w:cs="宋体" w:eastAsia="宋体" w:hint="default"/>
          <w:sz w:val="17"/>
          <w:szCs w:val="17"/>
        </w:rPr>
      </w:pPr>
    </w:p>
    <w:p>
      <w:pPr>
        <w:pStyle w:val="BodyText"/>
        <w:spacing w:line="451" w:lineRule="auto"/>
        <w:ind w:right="184"/>
        <w:jc w:val="left"/>
      </w:pPr>
      <w:r>
        <w:rPr/>
        <w:t>（</w:t>
      </w:r>
      <w:r>
        <w:rPr>
          <w:rFonts w:ascii="Times New Roman" w:hAnsi="Times New Roman" w:cs="Times New Roman" w:eastAsia="Times New Roman" w:hint="default"/>
        </w:rPr>
        <w:t>1</w:t>
      </w:r>
      <w:r>
        <w:rPr/>
        <w:t>）完善订货机制，适度增加季中补单的比重，严格控制季前新品生产规模，继续保持和提升产品及品牌竞争力，保障新 品毛利水平稳中有升。</w:t>
      </w:r>
    </w:p>
    <w:p>
      <w:pPr>
        <w:pStyle w:val="BodyText"/>
        <w:spacing w:line="240" w:lineRule="auto" w:before="74"/>
        <w:ind w:right="0"/>
        <w:jc w:val="left"/>
      </w:pPr>
      <w:r>
        <w:rPr/>
        <w:t>（</w:t>
      </w:r>
      <w:r>
        <w:rPr>
          <w:rFonts w:ascii="Times New Roman" w:hAnsi="Times New Roman" w:cs="Times New Roman" w:eastAsia="Times New Roman" w:hint="default"/>
        </w:rPr>
        <w:t>2</w:t>
      </w:r>
      <w:r>
        <w:rPr/>
        <w:t>）继续通过多种渠道消化存货，有效降低库存规模，优化库存结构，提升总体周转效率。</w:t>
      </w:r>
    </w:p>
    <w:p>
      <w:pPr>
        <w:spacing w:line="240" w:lineRule="auto" w:before="9"/>
        <w:rPr>
          <w:rFonts w:ascii="宋体" w:hAnsi="宋体" w:cs="宋体" w:eastAsia="宋体" w:hint="default"/>
          <w:sz w:val="16"/>
          <w:szCs w:val="16"/>
        </w:rPr>
      </w:pPr>
    </w:p>
    <w:p>
      <w:pPr>
        <w:pStyle w:val="BodyText"/>
        <w:spacing w:line="451" w:lineRule="auto"/>
        <w:ind w:right="0"/>
        <w:jc w:val="left"/>
      </w:pPr>
      <w:r>
        <w:rPr>
          <w:spacing w:val="-2"/>
        </w:rPr>
        <w:t>（</w:t>
      </w:r>
      <w:r>
        <w:rPr>
          <w:rFonts w:ascii="Times New Roman" w:hAnsi="Times New Roman" w:cs="Times New Roman" w:eastAsia="Times New Roman" w:hint="default"/>
          <w:spacing w:val="-2"/>
        </w:rPr>
        <w:t>3</w:t>
      </w:r>
      <w:r>
        <w:rPr>
          <w:spacing w:val="-2"/>
        </w:rPr>
        <w:t>）适度控制加盟批发提货，鼓励加盟商消化渠道库存，防范和降低经营风险，保持加盟零售收入增长快于加盟批发提货，</w:t>
      </w:r>
      <w:r>
        <w:rPr>
          <w:spacing w:val="-63"/>
        </w:rPr>
        <w:t> </w:t>
      </w:r>
      <w:r>
        <w:rPr>
          <w:spacing w:val="-63"/>
        </w:rPr>
      </w:r>
      <w:r>
        <w:rPr/>
        <w:t>使加盟商获得充足的现金流。</w:t>
      </w: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13" w:right="0"/>
        <w:jc w:val="left"/>
      </w:pPr>
      <w:r>
        <w:rPr/>
        <w:t>本年度前三季度公司收入较</w:t>
      </w:r>
      <w:r>
        <w:rPr>
          <w:rFonts w:ascii="Times New Roman" w:hAnsi="Times New Roman" w:cs="Times New Roman" w:eastAsia="Times New Roman" w:hint="default"/>
        </w:rPr>
        <w:t>2011</w:t>
      </w:r>
      <w:r>
        <w:rPr/>
        <w:t>年同期有所增长，四季度加盟商提货出现较大比例下滑，对全年业绩形成一定的影响。</w:t>
      </w:r>
    </w:p>
    <w:p>
      <w:pPr>
        <w:spacing w:line="240" w:lineRule="auto" w:before="7"/>
        <w:rPr>
          <w:rFonts w:ascii="宋体" w:hAnsi="宋体" w:cs="宋体" w:eastAsia="宋体" w:hint="default"/>
          <w:sz w:val="10"/>
          <w:szCs w:val="10"/>
        </w:rPr>
      </w:pPr>
    </w:p>
    <w:tbl>
      <w:tblPr>
        <w:tblW w:w="0" w:type="auto"/>
        <w:jc w:val="left"/>
        <w:tblInd w:w="144" w:type="dxa"/>
        <w:tblLayout w:type="fixed"/>
        <w:tblCellMar>
          <w:top w:w="0" w:type="dxa"/>
          <w:left w:w="0" w:type="dxa"/>
          <w:bottom w:w="0" w:type="dxa"/>
          <w:right w:w="0" w:type="dxa"/>
        </w:tblCellMar>
        <w:tblLook w:val="01E0"/>
      </w:tblPr>
      <w:tblGrid>
        <w:gridCol w:w="1650"/>
        <w:gridCol w:w="1369"/>
        <w:gridCol w:w="1483"/>
        <w:gridCol w:w="1152"/>
        <w:gridCol w:w="1318"/>
        <w:gridCol w:w="1181"/>
        <w:gridCol w:w="1457"/>
      </w:tblGrid>
      <w:tr>
        <w:trPr>
          <w:trHeight w:val="854" w:hRule="exact"/>
        </w:trPr>
        <w:tc>
          <w:tcPr>
            <w:tcW w:w="1650" w:type="dxa"/>
            <w:tcBorders>
              <w:top w:val="single" w:sz="8" w:space="0" w:color="000000"/>
              <w:left w:val="single" w:sz="8" w:space="0" w:color="000000"/>
              <w:bottom w:val="single" w:sz="8" w:space="0" w:color="000000"/>
              <w:right w:val="single" w:sz="8" w:space="0" w:color="000000"/>
            </w:tcBorders>
            <w:shd w:val="clear" w:color="auto" w:fill="D9D9D9"/>
          </w:tcPr>
          <w:p>
            <w:pPr/>
          </w:p>
        </w:tc>
        <w:tc>
          <w:tcPr>
            <w:tcW w:w="136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3"/>
              <w:ind w:left="4" w:right="0"/>
              <w:jc w:val="center"/>
              <w:rPr>
                <w:rFonts w:ascii="宋体" w:hAnsi="宋体" w:cs="宋体" w:eastAsia="宋体" w:hint="default"/>
                <w:sz w:val="18"/>
                <w:szCs w:val="18"/>
              </w:rPr>
            </w:pPr>
            <w:r>
              <w:rPr>
                <w:rFonts w:ascii="宋体" w:hAnsi="宋体" w:cs="宋体" w:eastAsia="宋体" w:hint="default"/>
                <w:sz w:val="18"/>
                <w:szCs w:val="18"/>
              </w:rPr>
              <w:t>直营</w:t>
            </w:r>
          </w:p>
        </w:tc>
        <w:tc>
          <w:tcPr>
            <w:tcW w:w="14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3"/>
              <w:ind w:left="371"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15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3"/>
              <w:ind w:left="4" w:right="0"/>
              <w:jc w:val="center"/>
              <w:rPr>
                <w:rFonts w:ascii="宋体" w:hAnsi="宋体" w:cs="宋体" w:eastAsia="宋体" w:hint="default"/>
                <w:sz w:val="18"/>
                <w:szCs w:val="18"/>
              </w:rPr>
            </w:pPr>
            <w:r>
              <w:rPr>
                <w:rFonts w:ascii="宋体" w:hAnsi="宋体" w:cs="宋体" w:eastAsia="宋体" w:hint="default"/>
                <w:sz w:val="18"/>
                <w:szCs w:val="18"/>
              </w:rPr>
              <w:t>加盟</w:t>
            </w:r>
          </w:p>
        </w:tc>
        <w:tc>
          <w:tcPr>
            <w:tcW w:w="131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3"/>
              <w:ind w:left="287"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18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93"/>
              <w:ind w:left="2"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850" w:footer="1186" w:top="1440" w:bottom="1380" w:left="980" w:right="940"/>
        </w:sectPr>
      </w:pPr>
    </w:p>
    <w:p>
      <w:pPr>
        <w:spacing w:line="240" w:lineRule="auto" w:before="8"/>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52"/>
        <w:gridCol w:w="1369"/>
        <w:gridCol w:w="1483"/>
        <w:gridCol w:w="1152"/>
        <w:gridCol w:w="1318"/>
        <w:gridCol w:w="1181"/>
        <w:gridCol w:w="1457"/>
      </w:tblGrid>
      <w:tr>
        <w:trPr>
          <w:trHeight w:val="389" w:hRule="exact"/>
        </w:trPr>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3"/>
              <w:jc w:val="right"/>
              <w:rPr>
                <w:rFonts w:ascii="Times New Roman" w:hAnsi="Times New Roman" w:cs="Times New Roman" w:eastAsia="Times New Roman" w:hint="default"/>
                <w:sz w:val="18"/>
                <w:szCs w:val="18"/>
              </w:rPr>
            </w:pPr>
            <w:r>
              <w:rPr>
                <w:rFonts w:ascii="Times New Roman"/>
                <w:spacing w:val="-1"/>
                <w:sz w:val="18"/>
              </w:rPr>
              <w:t>461,406</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2"/>
              <w:jc w:val="right"/>
              <w:rPr>
                <w:rFonts w:ascii="Times New Roman" w:hAnsi="Times New Roman" w:cs="Times New Roman" w:eastAsia="Times New Roman" w:hint="default"/>
                <w:sz w:val="18"/>
                <w:szCs w:val="18"/>
              </w:rPr>
            </w:pPr>
            <w:r>
              <w:rPr>
                <w:rFonts w:ascii="Times New Roman"/>
                <w:sz w:val="18"/>
              </w:rPr>
              <w:t>8%</w:t>
            </w: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3"/>
              <w:jc w:val="right"/>
              <w:rPr>
                <w:rFonts w:ascii="Times New Roman" w:hAnsi="Times New Roman" w:cs="Times New Roman" w:eastAsia="Times New Roman" w:hint="default"/>
                <w:sz w:val="18"/>
                <w:szCs w:val="18"/>
              </w:rPr>
            </w:pPr>
            <w:r>
              <w:rPr>
                <w:rFonts w:ascii="Times New Roman"/>
                <w:spacing w:val="-1"/>
                <w:sz w:val="18"/>
              </w:rPr>
              <w:t>484,304</w:t>
            </w:r>
          </w:p>
        </w:tc>
        <w:tc>
          <w:tcPr>
            <w:tcW w:w="13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4"/>
              <w:jc w:val="right"/>
              <w:rPr>
                <w:rFonts w:ascii="Times New Roman" w:hAnsi="Times New Roman" w:cs="Times New Roman" w:eastAsia="Times New Roman" w:hint="default"/>
                <w:sz w:val="18"/>
                <w:szCs w:val="18"/>
              </w:rPr>
            </w:pPr>
            <w:r>
              <w:rPr>
                <w:rFonts w:ascii="Times New Roman"/>
                <w:sz w:val="18"/>
              </w:rPr>
              <w:t>-14%</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3"/>
              <w:jc w:val="right"/>
              <w:rPr>
                <w:rFonts w:ascii="Times New Roman" w:hAnsi="Times New Roman" w:cs="Times New Roman" w:eastAsia="Times New Roman" w:hint="default"/>
                <w:sz w:val="18"/>
                <w:szCs w:val="18"/>
              </w:rPr>
            </w:pPr>
            <w:r>
              <w:rPr>
                <w:rFonts w:ascii="Times New Roman"/>
                <w:spacing w:val="-1"/>
                <w:sz w:val="18"/>
              </w:rPr>
              <w:t>945,709</w:t>
            </w:r>
          </w:p>
        </w:tc>
        <w:tc>
          <w:tcPr>
            <w:tcW w:w="14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5"/>
              <w:jc w:val="right"/>
              <w:rPr>
                <w:rFonts w:ascii="Times New Roman" w:hAnsi="Times New Roman" w:cs="Times New Roman" w:eastAsia="Times New Roman" w:hint="default"/>
                <w:sz w:val="18"/>
                <w:szCs w:val="18"/>
              </w:rPr>
            </w:pPr>
            <w:r>
              <w:rPr>
                <w:rFonts w:ascii="Times New Roman"/>
                <w:sz w:val="18"/>
              </w:rPr>
              <w:t>-5%</w:t>
            </w:r>
          </w:p>
        </w:tc>
      </w:tr>
      <w:tr>
        <w:trPr>
          <w:trHeight w:val="370" w:hRule="exact"/>
        </w:trPr>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245,524</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17%</w:t>
            </w: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279,584</w:t>
            </w:r>
          </w:p>
        </w:tc>
        <w:tc>
          <w:tcPr>
            <w:tcW w:w="13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-18%</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525,108</w:t>
            </w:r>
          </w:p>
        </w:tc>
        <w:tc>
          <w:tcPr>
            <w:tcW w:w="14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-5%</w:t>
            </w:r>
          </w:p>
        </w:tc>
      </w:tr>
      <w:tr>
        <w:trPr>
          <w:trHeight w:val="744" w:hRule="exact"/>
        </w:trPr>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46.79%</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3"/>
              <w:jc w:val="righ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3.67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个百分点</w:t>
            </w:r>
          </w:p>
        </w:tc>
        <w:tc>
          <w:tcPr>
            <w:tcW w:w="11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42.27%</w:t>
            </w:r>
          </w:p>
        </w:tc>
        <w:tc>
          <w:tcPr>
            <w:tcW w:w="1318"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58"/>
              <w:ind w:left="559" w:right="-3" w:hanging="560"/>
              <w:jc w:val="lef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个百分 点</w:t>
            </w:r>
          </w:p>
        </w:tc>
        <w:tc>
          <w:tcPr>
            <w:tcW w:w="11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44.47%</w:t>
            </w:r>
          </w:p>
        </w:tc>
        <w:tc>
          <w:tcPr>
            <w:tcW w:w="1457"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58"/>
              <w:ind w:left="631" w:right="60" w:hanging="564"/>
              <w:jc w:val="lef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个百分 点</w:t>
            </w:r>
          </w:p>
        </w:tc>
      </w:tr>
    </w:tbl>
    <w:p>
      <w:pPr>
        <w:pStyle w:val="BodyText"/>
        <w:spacing w:line="463" w:lineRule="auto" w:before="87"/>
        <w:ind w:left="112" w:right="0" w:firstLine="360"/>
        <w:jc w:val="left"/>
      </w:pPr>
      <w:r>
        <w:rPr/>
        <w:t>报告期内，公司直营渠道收入同比增长</w:t>
      </w:r>
      <w:r>
        <w:rPr>
          <w:rFonts w:ascii="Times New Roman" w:hAnsi="Times New Roman" w:cs="Times New Roman" w:eastAsia="Times New Roman" w:hint="default"/>
        </w:rPr>
        <w:t>8%</w:t>
      </w:r>
      <w:r>
        <w:rPr/>
        <w:t>，毛利率下降</w:t>
      </w:r>
      <w:r>
        <w:rPr>
          <w:rFonts w:ascii="Times New Roman" w:hAnsi="Times New Roman" w:cs="Times New Roman" w:eastAsia="Times New Roman" w:hint="default"/>
        </w:rPr>
        <w:t>3.67</w:t>
      </w:r>
      <w:r>
        <w:rPr/>
        <w:t>个百分点，主要是产品销售结构变化所致。本年度公司对 </w:t>
      </w:r>
      <w:r>
        <w:rPr>
          <w:spacing w:val="-2"/>
        </w:rPr>
        <w:t>库存商品进行了重点清理，存货规模显著下降，但同时对毛利率形成一定压力。就加盟渠道而言，由于受外部经济环境的影</w:t>
      </w:r>
      <w:r>
        <w:rPr>
          <w:spacing w:val="-63"/>
        </w:rPr>
        <w:t> </w:t>
      </w:r>
      <w:r>
        <w:rPr>
          <w:spacing w:val="-63"/>
        </w:rPr>
      </w:r>
      <w:r>
        <w:rPr/>
        <w:t>响，加盟商信心不足，全年来看加盟收入呈现下滑的态势。下半年公司开始提高季中补单比例，期货预订额有所下降。</w:t>
      </w:r>
    </w:p>
    <w:p>
      <w:pPr>
        <w:spacing w:line="240" w:lineRule="auto" w:before="12"/>
        <w:rPr>
          <w:rFonts w:ascii="宋体" w:hAnsi="宋体" w:cs="宋体" w:eastAsia="宋体" w:hint="default"/>
          <w:sz w:val="25"/>
          <w:szCs w:val="25"/>
        </w:rPr>
      </w:pPr>
    </w:p>
    <w:p>
      <w:pPr>
        <w:pStyle w:val="BodyText"/>
        <w:spacing w:line="240" w:lineRule="auto"/>
        <w:ind w:left="112"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750,804,053.00</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w:t>
            </w:r>
          </w:p>
        </w:tc>
      </w:tr>
    </w:tbl>
    <w:p>
      <w:pPr>
        <w:pStyle w:val="BodyText"/>
        <w:spacing w:line="240" w:lineRule="auto" w:before="49"/>
        <w:ind w:left="112"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499,924,330.00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5.26%</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82,206,811.00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60,420,120.00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57,088,669.00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51,164,123.00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750,804,053.00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12" w:right="0"/>
        <w:jc w:val="left"/>
      </w:pPr>
      <w:r>
        <w:rPr/>
        <w:t>行业分类</w:t>
      </w:r>
    </w:p>
    <w:p>
      <w:pPr>
        <w:pStyle w:val="BodyText"/>
        <w:spacing w:line="240" w:lineRule="auto" w:before="117"/>
        <w:ind w:left="0" w:right="111"/>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8"/>
        <w:gridCol w:w="1369"/>
        <w:gridCol w:w="1366"/>
        <w:gridCol w:w="1368"/>
        <w:gridCol w:w="1366"/>
        <w:gridCol w:w="1369"/>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5,251,077,722.00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5,521,685,989.00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00" w:right="0"/>
              <w:jc w:val="left"/>
              <w:rPr>
                <w:rFonts w:ascii="Times New Roman" w:hAnsi="Times New Roman" w:cs="Times New Roman" w:eastAsia="Times New Roman" w:hint="default"/>
                <w:sz w:val="18"/>
                <w:szCs w:val="18"/>
              </w:rPr>
            </w:pPr>
            <w:r>
              <w:rPr>
                <w:rFonts w:ascii="Times New Roman"/>
                <w:sz w:val="18"/>
              </w:rPr>
              <w:t>-4.9%</w:t>
            </w:r>
          </w:p>
        </w:tc>
      </w:tr>
    </w:tbl>
    <w:p>
      <w:pPr>
        <w:pStyle w:val="BodyText"/>
        <w:spacing w:line="240" w:lineRule="auto" w:before="49"/>
        <w:ind w:left="112" w:right="0"/>
        <w:jc w:val="left"/>
      </w:pPr>
      <w:r>
        <w:rPr/>
        <w:t>产品分类</w:t>
      </w:r>
    </w:p>
    <w:p>
      <w:pPr>
        <w:pStyle w:val="BodyText"/>
        <w:spacing w:line="240" w:lineRule="auto" w:before="115"/>
        <w:ind w:left="0" w:right="11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3,036,039,135.00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3,465,273,000.00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1,192,136,077.00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1,167,662,389.00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1,022,902,510.00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888,750,600.00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15.09%</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186" w:top="1440" w:bottom="138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84"/>
        <w:ind w:right="0"/>
        <w:jc w:val="left"/>
      </w:pPr>
      <w:r>
        <w:rPr/>
        <w:t>公司主要供应商情况</w:t>
      </w:r>
    </w:p>
    <w:p>
      <w:pPr>
        <w:spacing w:line="240" w:lineRule="auto" w:before="1"/>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559"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661,543,250.00</w:t>
            </w:r>
          </w:p>
        </w:tc>
      </w:tr>
      <w:tr>
        <w:trPr>
          <w:trHeight w:val="557" w:hRule="exact"/>
        </w:trPr>
        <w:tc>
          <w:tcPr>
            <w:tcW w:w="4257"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0" w:space="0" w:color="FFFFFF"/>
              <w:bottom w:val="single" w:sz="4" w:space="0" w:color="000000"/>
              <w:right w:val="single" w:sz="4" w:space="0" w:color="000000"/>
            </w:tcBorders>
          </w:tcPr>
          <w:p>
            <w:pPr>
              <w:pStyle w:val="TableParagraph"/>
              <w:tabs>
                <w:tab w:pos="4726" w:val="left" w:leader="none"/>
              </w:tabs>
              <w:spacing w:line="240" w:lineRule="auto" w:before="128"/>
              <w:ind w:left="-133" w:right="16"/>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13.11%</w:t>
            </w:r>
          </w:p>
        </w:tc>
      </w:tr>
    </w:tbl>
    <w:p>
      <w:pPr>
        <w:spacing w:line="240" w:lineRule="auto" w:before="5"/>
        <w:rPr>
          <w:rFonts w:ascii="宋体" w:hAnsi="宋体" w:cs="宋体" w:eastAsia="宋体" w:hint="default"/>
          <w:sz w:val="6"/>
          <w:szCs w:val="6"/>
        </w:rPr>
      </w:pPr>
    </w:p>
    <w:p>
      <w:pPr>
        <w:pStyle w:val="BodyText"/>
        <w:spacing w:line="240" w:lineRule="auto" w:before="44"/>
        <w:ind w:right="0"/>
        <w:jc w:val="left"/>
      </w:pPr>
      <w:r>
        <w:rPr/>
        <w:pict>
          <v:group style="position:absolute;margin-left:271.010010pt;margin-top:-32.048283pt;width:262.75pt;height:27.4pt;mso-position-horizontal-relative:page;mso-position-vertical-relative:paragraph;z-index:-752368" coordorigin="5420,-641" coordsize="5255,548">
            <v:shape style="position:absolute;left:5420;top:-641;width:5255;height:548" coordorigin="5420,-641" coordsize="5255,548" path="m5420,-94l10675,-94,10675,-641,5420,-641,5420,-94xe" filled="true" fillcolor="#ffffff" stroked="false">
              <v:path arrowok="t"/>
              <v:fill type="solid"/>
            </v:shape>
            <w10:wrap type="none"/>
          </v:group>
        </w:pict>
      </w: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152,731,282.00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140,215,830.00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2.78%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137,885,359.00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128,330,385.00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102,380,394.00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661,543,250.00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13.11%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000"/>
        <w:gridCol w:w="1330"/>
        <w:gridCol w:w="1795"/>
        <w:gridCol w:w="1344"/>
        <w:gridCol w:w="1813"/>
        <w:gridCol w:w="1303"/>
      </w:tblGrid>
      <w:tr>
        <w:trPr>
          <w:trHeight w:val="350" w:hRule="exact"/>
        </w:trPr>
        <w:tc>
          <w:tcPr>
            <w:tcW w:w="200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12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3"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p>
        </w:tc>
        <w:tc>
          <w:tcPr>
            <w:tcW w:w="3157"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left="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宋体" w:hAnsi="宋体" w:cs="宋体" w:eastAsia="宋体" w:hint="default"/>
                <w:sz w:val="20"/>
                <w:szCs w:val="20"/>
              </w:rPr>
              <w:t>年</w:t>
            </w:r>
          </w:p>
        </w:tc>
        <w:tc>
          <w:tcPr>
            <w:tcW w:w="130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left="376" w:right="0"/>
              <w:jc w:val="left"/>
              <w:rPr>
                <w:rFonts w:ascii="宋体" w:hAnsi="宋体" w:cs="宋体" w:eastAsia="宋体" w:hint="default"/>
                <w:sz w:val="18"/>
                <w:szCs w:val="18"/>
              </w:rPr>
            </w:pPr>
            <w:r>
              <w:rPr>
                <w:rFonts w:ascii="宋体" w:hAnsi="宋体" w:cs="宋体" w:eastAsia="宋体" w:hint="default"/>
                <w:sz w:val="18"/>
                <w:szCs w:val="18"/>
              </w:rPr>
              <w:t>增长率</w:t>
            </w:r>
          </w:p>
        </w:tc>
      </w:tr>
      <w:tr>
        <w:trPr>
          <w:trHeight w:val="353" w:hRule="exact"/>
        </w:trPr>
        <w:tc>
          <w:tcPr>
            <w:tcW w:w="2000" w:type="dxa"/>
            <w:vMerge/>
            <w:tcBorders>
              <w:left w:val="single" w:sz="6" w:space="0" w:color="000000"/>
              <w:bottom w:val="single" w:sz="6" w:space="0" w:color="000000"/>
              <w:right w:val="single" w:sz="6" w:space="0" w:color="000000"/>
            </w:tcBorders>
            <w:shd w:val="clear" w:color="auto" w:fill="D9D9D9"/>
          </w:tcPr>
          <w:p>
            <w:pPr/>
          </w:p>
        </w:tc>
        <w:tc>
          <w:tcPr>
            <w:tcW w:w="13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3"/>
              <w:jc w:val="center"/>
              <w:rPr>
                <w:rFonts w:ascii="宋体" w:hAnsi="宋体" w:cs="宋体" w:eastAsia="宋体" w:hint="default"/>
                <w:sz w:val="20"/>
                <w:szCs w:val="20"/>
              </w:rPr>
            </w:pPr>
            <w:r>
              <w:rPr>
                <w:rFonts w:ascii="宋体" w:hAnsi="宋体" w:cs="宋体" w:eastAsia="宋体" w:hint="default"/>
                <w:sz w:val="20"/>
                <w:szCs w:val="20"/>
              </w:rPr>
              <w:t>金额</w:t>
            </w:r>
          </w:p>
        </w:tc>
        <w:tc>
          <w:tcPr>
            <w:tcW w:w="17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489" w:right="0"/>
              <w:jc w:val="left"/>
              <w:rPr>
                <w:rFonts w:ascii="宋体" w:hAnsi="宋体" w:cs="宋体" w:eastAsia="宋体" w:hint="default"/>
                <w:sz w:val="20"/>
                <w:szCs w:val="20"/>
              </w:rPr>
            </w:pPr>
            <w:r>
              <w:rPr>
                <w:rFonts w:ascii="宋体" w:hAnsi="宋体" w:cs="宋体" w:eastAsia="宋体" w:hint="default"/>
                <w:sz w:val="20"/>
                <w:szCs w:val="20"/>
              </w:rPr>
              <w:t>占收入比</w:t>
            </w:r>
          </w:p>
        </w:tc>
        <w:tc>
          <w:tcPr>
            <w:tcW w:w="13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8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501" w:right="0"/>
              <w:jc w:val="left"/>
              <w:rPr>
                <w:rFonts w:ascii="宋体" w:hAnsi="宋体" w:cs="宋体" w:eastAsia="宋体" w:hint="default"/>
                <w:sz w:val="20"/>
                <w:szCs w:val="20"/>
              </w:rPr>
            </w:pPr>
            <w:r>
              <w:rPr>
                <w:rFonts w:ascii="宋体" w:hAnsi="宋体" w:cs="宋体" w:eastAsia="宋体" w:hint="default"/>
                <w:sz w:val="20"/>
                <w:szCs w:val="20"/>
              </w:rPr>
              <w:t>占收入比</w:t>
            </w:r>
          </w:p>
        </w:tc>
        <w:tc>
          <w:tcPr>
            <w:tcW w:w="1303" w:type="dxa"/>
            <w:vMerge/>
            <w:tcBorders>
              <w:left w:val="single" w:sz="6" w:space="0" w:color="000000"/>
              <w:bottom w:val="single" w:sz="6" w:space="0" w:color="000000"/>
              <w:right w:val="single" w:sz="6" w:space="0" w:color="000000"/>
            </w:tcBorders>
            <w:shd w:val="clear" w:color="auto" w:fill="D9D9D9"/>
          </w:tcPr>
          <w:p>
            <w:pPr/>
          </w:p>
        </w:tc>
      </w:tr>
      <w:tr>
        <w:trPr>
          <w:trHeight w:val="353" w:hRule="exact"/>
        </w:trPr>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34"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320,520</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34%</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285,265</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29%</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12%</w:t>
            </w:r>
          </w:p>
        </w:tc>
      </w:tr>
      <w:tr>
        <w:trPr>
          <w:trHeight w:val="350" w:hRule="exact"/>
        </w:trPr>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277,217</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29%</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230,513</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23%</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20%</w:t>
            </w:r>
          </w:p>
        </w:tc>
      </w:tr>
      <w:tr>
        <w:trPr>
          <w:trHeight w:val="353" w:hRule="exact"/>
        </w:trPr>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26,510</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3%</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34,091</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3%</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-22%</w:t>
            </w:r>
          </w:p>
        </w:tc>
      </w:tr>
      <w:tr>
        <w:trPr>
          <w:trHeight w:val="353" w:hRule="exact"/>
        </w:trPr>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16,793</w:t>
            </w:r>
          </w:p>
        </w:tc>
        <w:tc>
          <w:tcPr>
            <w:tcW w:w="1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20,661</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458" w:lineRule="auto" w:before="44"/>
        <w:ind w:right="94" w:firstLine="360"/>
        <w:jc w:val="left"/>
      </w:pPr>
      <w:r>
        <w:rPr/>
        <w:t>报告期内，公司期间费用同比增长</w:t>
      </w:r>
      <w:r>
        <w:rPr>
          <w:rFonts w:ascii="Times New Roman" w:hAnsi="Times New Roman" w:cs="Times New Roman" w:eastAsia="Times New Roman" w:hint="default"/>
        </w:rPr>
        <w:t>12%</w:t>
      </w:r>
      <w:r>
        <w:rPr/>
        <w:t>，费用率较去年同期增加</w:t>
      </w:r>
      <w:r>
        <w:rPr>
          <w:rFonts w:ascii="Times New Roman" w:hAnsi="Times New Roman" w:cs="Times New Roman" w:eastAsia="Times New Roman" w:hint="default"/>
        </w:rPr>
        <w:t>5</w:t>
      </w:r>
      <w:r>
        <w:rPr/>
        <w:t>个百分点，主要体现为销售费用的增长。 </w:t>
      </w:r>
      <w:r>
        <w:rPr>
          <w:rFonts w:ascii="Times New Roman" w:hAnsi="Times New Roman" w:cs="Times New Roman" w:eastAsia="Times New Roman" w:hint="default"/>
          <w:spacing w:val="-2"/>
        </w:rPr>
        <w:t>(1)</w:t>
      </w:r>
      <w:r>
        <w:rPr>
          <w:spacing w:val="-2"/>
        </w:rPr>
        <w:t>销售费用较去年增长</w:t>
      </w:r>
      <w:r>
        <w:rPr>
          <w:rFonts w:ascii="Times New Roman" w:hAnsi="Times New Roman" w:cs="Times New Roman" w:eastAsia="Times New Roman" w:hint="default"/>
          <w:spacing w:val="-2"/>
        </w:rPr>
        <w:t>20%</w:t>
      </w:r>
      <w:r>
        <w:rPr>
          <w:spacing w:val="-2"/>
        </w:rPr>
        <w:t>，主要是由于本年度店铺人员薪资及店铺租金较去年增长所致。截至本报告期末，公司店铺总数</w:t>
      </w:r>
      <w:r>
        <w:rPr>
          <w:spacing w:val="-61"/>
        </w:rPr>
        <w:t> </w:t>
      </w:r>
      <w:r>
        <w:rPr>
          <w:spacing w:val="-61"/>
        </w:rPr>
      </w:r>
      <w:r>
        <w:rPr>
          <w:spacing w:val="-2"/>
        </w:rPr>
        <w:t>达</w:t>
      </w:r>
      <w:r>
        <w:rPr>
          <w:rFonts w:ascii="Times New Roman" w:hAnsi="Times New Roman" w:cs="Times New Roman" w:eastAsia="Times New Roman" w:hint="default"/>
          <w:spacing w:val="-2"/>
        </w:rPr>
        <w:t>5220</w:t>
      </w:r>
      <w:r>
        <w:rPr>
          <w:spacing w:val="-2"/>
        </w:rPr>
        <w:t>家，较去年末净增加</w:t>
      </w:r>
      <w:r>
        <w:rPr>
          <w:rFonts w:ascii="Times New Roman" w:hAnsi="Times New Roman" w:cs="Times New Roman" w:eastAsia="Times New Roman" w:hint="default"/>
          <w:spacing w:val="-2"/>
        </w:rPr>
        <w:t>427</w:t>
      </w:r>
      <w:r>
        <w:rPr>
          <w:spacing w:val="-2"/>
        </w:rPr>
        <w:t>家，其中直营店铺</w:t>
      </w:r>
      <w:r>
        <w:rPr>
          <w:rFonts w:ascii="Times New Roman" w:hAnsi="Times New Roman" w:cs="Times New Roman" w:eastAsia="Times New Roman" w:hint="default"/>
          <w:spacing w:val="-2"/>
        </w:rPr>
        <w:t>1306</w:t>
      </w:r>
      <w:r>
        <w:rPr>
          <w:spacing w:val="-2"/>
        </w:rPr>
        <w:t>家，净增加</w:t>
      </w:r>
      <w:r>
        <w:rPr>
          <w:rFonts w:ascii="Times New Roman" w:hAnsi="Times New Roman" w:cs="Times New Roman" w:eastAsia="Times New Roman" w:hint="default"/>
          <w:spacing w:val="-2"/>
        </w:rPr>
        <w:t>176</w:t>
      </w:r>
      <w:r>
        <w:rPr>
          <w:spacing w:val="-2"/>
        </w:rPr>
        <w:t>家。</w:t>
      </w:r>
      <w:r>
        <w:rPr>
          <w:rFonts w:ascii="Times New Roman" w:hAnsi="Times New Roman" w:cs="Times New Roman" w:eastAsia="Times New Roman" w:hint="default"/>
          <w:spacing w:val="-2"/>
        </w:rPr>
        <w:t>2012</w:t>
      </w:r>
      <w:r>
        <w:rPr>
          <w:spacing w:val="-2"/>
        </w:rPr>
        <w:t>年公司为提高一线员工的稳定性和积极性，提</w:t>
      </w:r>
      <w:r>
        <w:rPr>
          <w:spacing w:val="-56"/>
        </w:rPr>
        <w:t> </w:t>
      </w:r>
      <w:r>
        <w:rPr>
          <w:spacing w:val="-56"/>
        </w:rPr>
      </w:r>
      <w:r>
        <w:rPr/>
        <w:t>高了店铺和物流人员薪资，同时租金也有一定增长。 </w:t>
      </w:r>
      <w:r>
        <w:rPr>
          <w:rFonts w:ascii="Times New Roman" w:hAnsi="Times New Roman" w:cs="Times New Roman" w:eastAsia="Times New Roman" w:hint="default"/>
        </w:rPr>
        <w:t>(2)</w:t>
      </w:r>
      <w:r>
        <w:rPr/>
        <w:t>管理费用较去年下降</w:t>
      </w:r>
      <w:r>
        <w:rPr>
          <w:rFonts w:ascii="Times New Roman" w:hAnsi="Times New Roman" w:cs="Times New Roman" w:eastAsia="Times New Roman" w:hint="default"/>
        </w:rPr>
        <w:t>22%</w:t>
      </w:r>
      <w:r>
        <w:rPr/>
        <w:t>，主要是由于本年度管理费用控制措施有效。报告期内，公司适时对组织架构开展优化及调整， 使得管理费用得以较好的控制。 </w:t>
      </w:r>
      <w:r>
        <w:rPr>
          <w:rFonts w:ascii="Times New Roman" w:hAnsi="Times New Roman" w:cs="Times New Roman" w:eastAsia="Times New Roman" w:hint="default"/>
          <w:spacing w:val="-2"/>
        </w:rPr>
        <w:t>(3)</w:t>
      </w:r>
      <w:r>
        <w:rPr>
          <w:spacing w:val="-2"/>
        </w:rPr>
        <w:t>财务费用较去年下降</w:t>
      </w:r>
      <w:r>
        <w:rPr>
          <w:rFonts w:ascii="Times New Roman" w:hAnsi="Times New Roman" w:cs="Times New Roman" w:eastAsia="Times New Roman" w:hint="default"/>
          <w:spacing w:val="-2"/>
        </w:rPr>
        <w:t>19%</w:t>
      </w:r>
      <w:r>
        <w:rPr>
          <w:spacing w:val="-2"/>
        </w:rPr>
        <w:t>，主要是由于本年度经营性净现金流较为充裕，公司积极偿付短期借款及到期的长期借款，因而</w:t>
      </w:r>
      <w:r>
        <w:rPr>
          <w:spacing w:val="-59"/>
        </w:rPr>
        <w:t> </w:t>
      </w:r>
      <w:r>
        <w:rPr>
          <w:spacing w:val="-59"/>
        </w:rPr>
      </w:r>
      <w:r>
        <w:rPr/>
        <w:t>利息支出有所下降。</w:t>
      </w: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13" w:right="0"/>
        <w:jc w:val="left"/>
      </w:pPr>
      <w:r>
        <w:rPr>
          <w:rFonts w:ascii="Times New Roman" w:hAnsi="Times New Roman" w:cs="Times New Roman" w:eastAsia="Times New Roman" w:hint="default"/>
          <w:spacing w:val="-3"/>
        </w:rPr>
        <w:t>2012</w:t>
      </w:r>
      <w:r>
        <w:rPr>
          <w:spacing w:val="-3"/>
        </w:rPr>
        <w:t>年公司信息系统建设围绕着销售终端、供应链的精细化管理，推进了</w:t>
      </w:r>
      <w:r>
        <w:rPr>
          <w:rFonts w:ascii="Times New Roman" w:hAnsi="Times New Roman" w:cs="Times New Roman" w:eastAsia="Times New Roman" w:hint="default"/>
          <w:spacing w:val="-3"/>
        </w:rPr>
        <w:t>ERP</w:t>
      </w:r>
      <w:r>
        <w:rPr>
          <w:spacing w:val="-3"/>
        </w:rPr>
        <w:t>、</w:t>
      </w:r>
      <w:r>
        <w:rPr>
          <w:rFonts w:ascii="Times New Roman" w:hAnsi="Times New Roman" w:cs="Times New Roman" w:eastAsia="Times New Roman" w:hint="default"/>
          <w:spacing w:val="-3"/>
        </w:rPr>
        <w:t>BI</w:t>
      </w:r>
      <w:r>
        <w:rPr>
          <w:spacing w:val="-3"/>
        </w:rPr>
        <w:t>系统建设，提升了数据整合分析能力，</w:t>
      </w:r>
    </w:p>
    <w:p>
      <w:pPr>
        <w:spacing w:after="0" w:line="240" w:lineRule="auto"/>
        <w:jc w:val="left"/>
        <w:sectPr>
          <w:pgSz w:w="11910" w:h="16840"/>
          <w:pgMar w:header="850" w:footer="1186" w:top="1440" w:bottom="1380" w:left="980" w:right="940"/>
        </w:sectPr>
      </w:pPr>
    </w:p>
    <w:p>
      <w:pPr>
        <w:pStyle w:val="BodyText"/>
        <w:spacing w:line="463" w:lineRule="auto" w:before="138"/>
        <w:ind w:right="151"/>
        <w:jc w:val="both"/>
      </w:pPr>
      <w:r>
        <w:rPr>
          <w:spacing w:val="-2"/>
        </w:rPr>
        <w:t>进一步提升了运营效率及支持决策能力。同时，推进了应用系统云服务的建设，实现了业务系统的</w:t>
      </w:r>
      <w:r>
        <w:rPr>
          <w:rFonts w:ascii="Times New Roman" w:hAnsi="Times New Roman" w:cs="Times New Roman" w:eastAsia="Times New Roman" w:hint="default"/>
          <w:spacing w:val="-2"/>
        </w:rPr>
        <w:t>“</w:t>
      </w:r>
      <w:r>
        <w:rPr>
          <w:spacing w:val="-2"/>
        </w:rPr>
        <w:t>随需应变</w:t>
      </w:r>
      <w:r>
        <w:rPr>
          <w:rFonts w:ascii="Times New Roman" w:hAnsi="Times New Roman" w:cs="Times New Roman" w:eastAsia="Times New Roman" w:hint="default"/>
          <w:spacing w:val="-2"/>
        </w:rPr>
        <w:t>”</w:t>
      </w:r>
      <w:r>
        <w:rPr>
          <w:spacing w:val="-2"/>
        </w:rPr>
        <w:t>扩展，有效应</w:t>
      </w:r>
      <w:r>
        <w:rPr>
          <w:spacing w:val="-44"/>
        </w:rPr>
        <w:t> </w:t>
      </w:r>
      <w:r>
        <w:rPr>
          <w:spacing w:val="-44"/>
        </w:rPr>
      </w:r>
      <w:r>
        <w:rPr>
          <w:spacing w:val="-2"/>
        </w:rPr>
        <w:t>对了业务精细化管理带来的海量业务需求的挑战，为企业未来业务持续发展奠定了有效的系统基础，降低了后期系统支持的</w:t>
      </w:r>
      <w:r>
        <w:rPr>
          <w:spacing w:val="-64"/>
        </w:rPr>
        <w:t> </w:t>
      </w:r>
      <w:r>
        <w:rPr>
          <w:spacing w:val="-64"/>
        </w:rPr>
      </w:r>
      <w:r>
        <w:rPr/>
        <w:t>成本。</w:t>
      </w:r>
    </w:p>
    <w:p>
      <w:pPr>
        <w:spacing w:line="240" w:lineRule="auto" w:before="3"/>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6</w:t>
      </w:r>
      <w:r>
        <w:rPr/>
        <w:t>、现金流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12,144,983,317.00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11,625,662,099.00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9,288,502,452.00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10,649,004,471.00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-12.78%</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2,856,480,865.00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976,657,628.00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192.48%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7,203,139.00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57,801,356.00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-87.54%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393,561,175.00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496,173,960.00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-20.68%</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-386,358,036.00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-438,372,604.00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3,654,470,861.00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4,687,749,504.00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-22.04%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6,513,591,581.00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5,212,670,625.00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24.96%</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-2,859,120,720.00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-524,921,121.00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444.68%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-388,997,891.00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13,363,903.00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-3,010.81%</w:t>
            </w:r>
          </w:p>
        </w:tc>
      </w:tr>
    </w:tbl>
    <w:p>
      <w:pPr>
        <w:pStyle w:val="BodyText"/>
        <w:spacing w:line="240" w:lineRule="auto" w:before="87"/>
        <w:ind w:left="513" w:right="0"/>
        <w:jc w:val="left"/>
      </w:pPr>
      <w:r>
        <w:rPr/>
        <w:t>相关数据同比发生变动</w:t>
      </w:r>
      <w:r>
        <w:rPr>
          <w:rFonts w:ascii="Times New Roman" w:hAnsi="Times New Roman" w:cs="Times New Roman" w:eastAsia="Times New Roman" w:hint="default"/>
        </w:rPr>
        <w:t>30%</w:t>
      </w:r>
      <w:r>
        <w:rPr/>
        <w:t>以上的原因说明</w:t>
      </w:r>
    </w:p>
    <w:p>
      <w:pPr>
        <w:spacing w:line="240" w:lineRule="auto" w:before="9"/>
        <w:rPr>
          <w:rFonts w:ascii="宋体" w:hAnsi="宋体" w:cs="宋体" w:eastAsia="宋体" w:hint="default"/>
          <w:sz w:val="16"/>
          <w:szCs w:val="16"/>
        </w:rPr>
      </w:pPr>
    </w:p>
    <w:p>
      <w:pPr>
        <w:pStyle w:val="BodyText"/>
        <w:spacing w:line="451" w:lineRule="auto"/>
        <w:ind w:right="0"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t>经营活动产生的现金流量净额较上年同比增长</w:t>
      </w:r>
      <w:r>
        <w:rPr>
          <w:rFonts w:ascii="Times New Roman" w:hAnsi="Times New Roman" w:cs="Times New Roman" w:eastAsia="Times New Roman" w:hint="default"/>
        </w:rPr>
        <w:t>192.48%</w:t>
      </w:r>
      <w:r>
        <w:rPr/>
        <w:t>，主要是本报告期内公司加大应收账款回收力度，前期资金</w:t>
      </w:r>
      <w:r>
        <w:rPr>
          <w:w w:val="99"/>
        </w:rPr>
        <w:t> </w:t>
      </w:r>
      <w:r>
        <w:rPr/>
        <w:t>回笼较好，同时严格控制新品生产规模，支付的生产采购货款同比大幅度减少所致。</w:t>
      </w:r>
    </w:p>
    <w:p>
      <w:pPr>
        <w:pStyle w:val="BodyText"/>
        <w:spacing w:line="451" w:lineRule="auto" w:before="74"/>
        <w:ind w:right="0"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投资活动产生的现金流量净额比去年下降</w:t>
      </w:r>
      <w:r>
        <w:rPr>
          <w:rFonts w:ascii="Times New Roman" w:hAnsi="Times New Roman" w:cs="Times New Roman" w:eastAsia="Times New Roman" w:hint="default"/>
        </w:rPr>
        <w:t>12%</w:t>
      </w:r>
      <w:r>
        <w:rPr/>
        <w:t>，主要是由于</w:t>
      </w:r>
      <w:r>
        <w:rPr>
          <w:rFonts w:ascii="Times New Roman" w:hAnsi="Times New Roman" w:cs="Times New Roman" w:eastAsia="Times New Roman" w:hint="default"/>
        </w:rPr>
        <w:t>2011</w:t>
      </w:r>
      <w:r>
        <w:rPr/>
        <w:t>年度公司对于购置自有店铺、租赁店铺装修、信息</w:t>
      </w:r>
      <w:r>
        <w:rPr>
          <w:w w:val="99"/>
        </w:rPr>
        <w:t> </w:t>
      </w:r>
      <w:r>
        <w:rPr/>
        <w:t>化建设投入较大，本年度上述投入较小。</w:t>
      </w:r>
    </w:p>
    <w:p>
      <w:pPr>
        <w:pStyle w:val="BodyText"/>
        <w:spacing w:line="451" w:lineRule="auto" w:before="74"/>
        <w:ind w:right="0"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8"/>
        </w:rPr>
        <w:t> </w:t>
      </w:r>
      <w:r>
        <w:rPr/>
        <w:t>筹资活动产生的现金流量净额为</w:t>
      </w:r>
      <w:r>
        <w:rPr>
          <w:rFonts w:ascii="Times New Roman" w:hAnsi="Times New Roman" w:cs="Times New Roman" w:eastAsia="Times New Roman" w:hint="default"/>
        </w:rPr>
        <w:t>-28.59</w:t>
      </w:r>
      <w:r>
        <w:rPr/>
        <w:t>亿元，较上年减少约</w:t>
      </w:r>
      <w:r>
        <w:rPr>
          <w:rFonts w:ascii="Times New Roman" w:hAnsi="Times New Roman" w:cs="Times New Roman" w:eastAsia="Times New Roman" w:hint="default"/>
        </w:rPr>
        <w:t>23</w:t>
      </w:r>
      <w:r>
        <w:rPr/>
        <w:t>亿元，主要是本年度公司经营性现金流充裕，公司及</w:t>
      </w:r>
      <w:r>
        <w:rPr>
          <w:w w:val="99"/>
        </w:rPr>
        <w:t> </w:t>
      </w:r>
      <w:r>
        <w:rPr/>
        <w:t>时归还了部分银行借款所致。</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pStyle w:val="BodyText"/>
        <w:spacing w:line="477" w:lineRule="auto"/>
        <w:ind w:left="513" w:right="0"/>
        <w:jc w:val="left"/>
      </w:pPr>
      <w:r>
        <w:rPr/>
        <w:t>报告期内公司经营活动的现金流量与本年度净利润存在重大差异的原因说明 报告期内公司经营活动产生的现金流量净额为</w:t>
      </w:r>
      <w:r>
        <w:rPr>
          <w:rFonts w:ascii="Times New Roman" w:hAnsi="Times New Roman" w:cs="Times New Roman" w:eastAsia="Times New Roman" w:hint="default"/>
        </w:rPr>
        <w:t>28.56</w:t>
      </w:r>
      <w:r>
        <w:rPr/>
        <w:t>亿元，超出当期净利润约</w:t>
      </w:r>
      <w:r>
        <w:rPr>
          <w:rFonts w:ascii="Times New Roman" w:hAnsi="Times New Roman" w:cs="Times New Roman" w:eastAsia="Times New Roman" w:hint="default"/>
        </w:rPr>
        <w:t>20</w:t>
      </w:r>
      <w:r>
        <w:rPr/>
        <w:t>亿元，主要原因是本年内公司加大对库</w:t>
      </w:r>
    </w:p>
    <w:p>
      <w:pPr>
        <w:pStyle w:val="BodyText"/>
        <w:spacing w:line="477" w:lineRule="auto" w:before="21"/>
        <w:ind w:right="0"/>
        <w:jc w:val="left"/>
      </w:pPr>
      <w:r>
        <w:rPr>
          <w:spacing w:val="-2"/>
        </w:rPr>
        <w:t>存商品的消化力度，同时加强对营运资金的管理，及时回收应收账款，截至年末因存货下降及经营性应收项目下降释放的流</w:t>
      </w:r>
      <w:r>
        <w:rPr>
          <w:spacing w:val="-63"/>
        </w:rPr>
        <w:t> </w:t>
      </w:r>
      <w:r>
        <w:rPr>
          <w:spacing w:val="-63"/>
        </w:rPr>
      </w:r>
      <w:r>
        <w:rPr/>
        <w:t>动资金约</w:t>
      </w:r>
      <w:r>
        <w:rPr>
          <w:rFonts w:ascii="Times New Roman" w:hAnsi="Times New Roman" w:cs="Times New Roman" w:eastAsia="Times New Roman" w:hint="default"/>
        </w:rPr>
        <w:t>14</w:t>
      </w:r>
      <w:r>
        <w:rPr/>
        <w:t>亿元；另外，折旧及摊销项目发生的费用约为</w:t>
      </w:r>
      <w:r>
        <w:rPr>
          <w:rFonts w:ascii="Times New Roman" w:hAnsi="Times New Roman" w:cs="Times New Roman" w:eastAsia="Times New Roman" w:hint="default"/>
        </w:rPr>
        <w:t>4</w:t>
      </w:r>
      <w:r>
        <w:rPr/>
        <w:t>亿元。</w:t>
      </w:r>
    </w:p>
    <w:p>
      <w:pPr>
        <w:spacing w:after="0" w:line="477" w:lineRule="auto"/>
        <w:jc w:val="left"/>
        <w:sectPr>
          <w:pgSz w:w="11910" w:h="16840"/>
          <w:pgMar w:header="850" w:footer="1186" w:top="1440" w:bottom="1380" w:left="980" w:right="980"/>
        </w:sectPr>
      </w:pPr>
    </w:p>
    <w:p>
      <w:pPr>
        <w:pStyle w:val="Heading2"/>
        <w:spacing w:line="240" w:lineRule="auto" w:before="13"/>
        <w:ind w:right="0"/>
        <w:jc w:val="left"/>
        <w:rPr>
          <w:b w:val="0"/>
          <w:bCs w:val="0"/>
        </w:rPr>
      </w:pPr>
      <w:r>
        <w:rPr/>
        <w:pict>
          <v:group style="position:absolute;margin-left:55.200001pt;margin-top:2.185603pt;width:484.9pt;height:.1pt;mso-position-horizontal-relative:page;mso-position-vertical-relative:paragraph;z-index:-752344" coordorigin="1104,44" coordsize="9698,2">
            <v:shape style="position:absolute;left:1104;top:44;width:9698;height:2" coordorigin="1104,44" coordsize="9698,0" path="m1104,44l10802,44e" filled="false" stroked="true" strokeweight=".72pt" strokecolor="#000000">
              <v:path arrowok="t"/>
            </v:shape>
            <w10:wrap type="none"/>
          </v:group>
        </w:pict>
      </w:r>
      <w:r>
        <w:rPr/>
        <w:t>三、主营业务构成情况（分行业、分产品、分地区）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3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609"/>
        <w:gridCol w:w="1663"/>
        <w:gridCol w:w="1032"/>
        <w:gridCol w:w="1366"/>
        <w:gridCol w:w="1369"/>
        <w:gridCol w:w="1234"/>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29" w:firstLine="48"/>
              <w:jc w:val="left"/>
              <w:rPr>
                <w:rFonts w:ascii="宋体" w:hAnsi="宋体" w:cs="宋体" w:eastAsia="宋体" w:hint="default"/>
                <w:sz w:val="18"/>
                <w:szCs w:val="18"/>
              </w:rPr>
            </w:pPr>
            <w:r>
              <w:rPr>
                <w:rFonts w:ascii="宋体" w:hAnsi="宋体" w:cs="宋体" w:eastAsia="宋体" w:hint="default"/>
                <w:sz w:val="18"/>
                <w:szCs w:val="18"/>
              </w:rPr>
              <w:t>毛利率比上年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9,457,094,562.00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5,251,077,722.00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r>
      <w:tr>
        <w:trPr>
          <w:trHeight w:val="403" w:hRule="exact"/>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上装</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5,499,831,962.00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3,036,039,135.00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下装</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2,082,655,943.00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1,192,136,077.00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1,874,606,657.00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1,022,902,510.00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r>
      <w:tr>
        <w:trPr>
          <w:trHeight w:val="404" w:hRule="exact"/>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10,164,250,278.00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6,937,118,865.00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-8.53%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904,635,783.00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622,604,260.00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1,393,533,487.00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975,429,689.00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北区</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1,088,654,670.00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756,460,160.00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10.44%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抵消</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-4,093,979,656.00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-4,040,535,252.00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3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609"/>
        <w:gridCol w:w="852"/>
        <w:gridCol w:w="1560"/>
        <w:gridCol w:w="850"/>
        <w:gridCol w:w="708"/>
        <w:gridCol w:w="2919"/>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4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6"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461" w:type="dxa"/>
            <w:gridSpan w:val="2"/>
            <w:vMerge/>
            <w:tcBorders>
              <w:left w:val="single" w:sz="4" w:space="0" w:color="000000"/>
              <w:bottom w:val="single" w:sz="4" w:space="0" w:color="000000"/>
              <w:right w:val="single" w:sz="4" w:space="0" w:color="000000"/>
            </w:tcBorders>
            <w:shd w:val="clear" w:color="auto" w:fill="D2D2D2"/>
          </w:tcPr>
          <w:p>
            <w:pPr/>
          </w:p>
        </w:tc>
        <w:tc>
          <w:tcPr>
            <w:tcW w:w="2410"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exact" w:before="9"/>
              <w:ind w:left="23" w:right="-15" w:firstLine="55"/>
              <w:jc w:val="left"/>
              <w:rPr>
                <w:rFonts w:ascii="宋体" w:hAnsi="宋体" w:cs="宋体" w:eastAsia="宋体" w:hint="default"/>
                <w:sz w:val="18"/>
                <w:szCs w:val="18"/>
              </w:rPr>
            </w:pPr>
            <w:r>
              <w:rPr>
                <w:rFonts w:ascii="宋体" w:hAnsi="宋体" w:cs="宋体" w:eastAsia="宋体" w:hint="default"/>
                <w:sz w:val="18"/>
                <w:szCs w:val="18"/>
              </w:rPr>
              <w:t>比重增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132"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26" w:right="59" w:firstLine="36"/>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p>
        </w:tc>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23" w:right="58" w:firstLine="36"/>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p>
        </w:tc>
        <w:tc>
          <w:tcPr>
            <w:tcW w:w="708"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6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vMerge/>
            <w:tcBorders>
              <w:left w:val="single" w:sz="4" w:space="0" w:color="000000"/>
              <w:right w:val="single" w:sz="4" w:space="0" w:color="000000"/>
            </w:tcBorders>
            <w:shd w:val="clear" w:color="auto" w:fill="D2D2D2"/>
          </w:tcPr>
          <w:p>
            <w:pP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right="0"/>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176"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609"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628,617,892.00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8.97%</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1,087,630,855.00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12.24%</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-3.27%</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主要是由于本年度公司经营性净现 </w:t>
            </w:r>
            <w:r>
              <w:rPr>
                <w:rFonts w:ascii="宋体" w:hAnsi="宋体" w:cs="宋体" w:eastAsia="宋体" w:hint="default"/>
                <w:spacing w:val="-2"/>
                <w:sz w:val="18"/>
                <w:szCs w:val="18"/>
              </w:rPr>
              <w:t>金流较为充裕，积极偿付短期借款所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09" w:type="dxa"/>
            <w:vMerge/>
            <w:tcBorders>
              <w:left w:val="single" w:sz="9"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9" w:type="dxa"/>
            <w:vMerge/>
            <w:tcBorders>
              <w:left w:val="single" w:sz="9"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9"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464,840,757.00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6.63%</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1,161,864,197.00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13.08%</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-6.45%</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主要是由于加盟商整体零售形势好 </w:t>
            </w:r>
            <w:r>
              <w:rPr>
                <w:rFonts w:ascii="宋体" w:hAnsi="宋体" w:cs="宋体" w:eastAsia="宋体" w:hint="default"/>
                <w:spacing w:val="-2"/>
                <w:sz w:val="18"/>
                <w:szCs w:val="18"/>
              </w:rPr>
              <w:t>于当季提货，其库存有所下降，现金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流持续增加，及时支付了提货款</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9" w:type="dxa"/>
            <w:vMerge/>
            <w:tcBorders>
              <w:left w:val="single" w:sz="9"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9" w:type="dxa"/>
            <w:vMerge/>
            <w:tcBorders>
              <w:left w:val="single" w:sz="9"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2,005,951,249.00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28.63%</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2,559,836,156.00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28.82%</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-0.19%</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主要是由于公司继续采取积极策略 </w:t>
            </w:r>
            <w:r>
              <w:rPr>
                <w:rFonts w:ascii="宋体" w:hAnsi="宋体" w:cs="宋体" w:eastAsia="宋体" w:hint="default"/>
                <w:spacing w:val="-2"/>
                <w:sz w:val="18"/>
                <w:szCs w:val="18"/>
              </w:rPr>
              <w:t>消化库存货品，同时继续适度控制生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产采购规模，从而降低了存货水平</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09" w:type="dxa"/>
            <w:vMerge/>
            <w:tcBorders>
              <w:left w:val="single" w:sz="9"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9" w:type="dxa"/>
            <w:vMerge/>
            <w:tcBorders>
              <w:left w:val="single" w:sz="9"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0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531" w:right="0"/>
              <w:jc w:val="left"/>
              <w:rPr>
                <w:rFonts w:ascii="Times New Roman" w:hAnsi="Times New Roman" w:cs="Times New Roman" w:eastAsia="Times New Roman" w:hint="default"/>
                <w:sz w:val="18"/>
                <w:szCs w:val="18"/>
              </w:rPr>
            </w:pPr>
            <w:r>
              <w:rPr>
                <w:rFonts w:ascii="Times New Roman"/>
                <w:sz w:val="18"/>
              </w:rPr>
              <w:t>80,583,309.00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1.15%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2" w:right="0"/>
              <w:jc w:val="left"/>
              <w:rPr>
                <w:rFonts w:ascii="Times New Roman" w:hAnsi="Times New Roman" w:cs="Times New Roman" w:eastAsia="Times New Roman" w:hint="default"/>
                <w:sz w:val="18"/>
                <w:szCs w:val="18"/>
              </w:rPr>
            </w:pPr>
            <w:r>
              <w:rPr>
                <w:rFonts w:ascii="Times New Roman"/>
                <w:sz w:val="18"/>
              </w:rPr>
              <w:t>68,262,217.00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3" w:right="0"/>
              <w:jc w:val="left"/>
              <w:rPr>
                <w:rFonts w:ascii="Times New Roman" w:hAnsi="Times New Roman" w:cs="Times New Roman" w:eastAsia="Times New Roman" w:hint="default"/>
                <w:sz w:val="18"/>
                <w:szCs w:val="18"/>
              </w:rPr>
            </w:pPr>
            <w:r>
              <w:rPr>
                <w:rFonts w:ascii="Times New Roman"/>
                <w:sz w:val="18"/>
              </w:rPr>
              <w:t>0.77%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Times New Roman" w:hAnsi="Times New Roman" w:cs="Times New Roman" w:eastAsia="Times New Roman" w:hint="default"/>
                <w:sz w:val="18"/>
                <w:szCs w:val="18"/>
              </w:rPr>
            </w:pPr>
            <w:r>
              <w:rPr>
                <w:rFonts w:ascii="Times New Roman"/>
                <w:sz w:val="18"/>
              </w:rPr>
              <w:t>0.38%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6" w:right="0"/>
              <w:jc w:val="left"/>
              <w:rPr>
                <w:rFonts w:ascii="Times New Roman" w:hAnsi="Times New Roman" w:cs="Times New Roman" w:eastAsia="Times New Roman" w:hint="default"/>
                <w:sz w:val="18"/>
                <w:szCs w:val="18"/>
              </w:rPr>
            </w:pPr>
            <w:r>
              <w:rPr>
                <w:rFonts w:ascii="Times New Roman"/>
                <w:sz w:val="18"/>
              </w:rPr>
              <w:t>46,169,771.00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0.66%</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2" w:right="0"/>
              <w:jc w:val="left"/>
              <w:rPr>
                <w:rFonts w:ascii="Times New Roman" w:hAnsi="Times New Roman" w:cs="Times New Roman" w:eastAsia="Times New Roman" w:hint="default"/>
                <w:sz w:val="18"/>
                <w:szCs w:val="18"/>
              </w:rPr>
            </w:pPr>
            <w:r>
              <w:rPr>
                <w:rFonts w:ascii="Times New Roman"/>
                <w:sz w:val="18"/>
              </w:rPr>
              <w:t>24,095,002.00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0.27%</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0.39%</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主要是由于本期内向联营企业长安 基金管理有限公司增资所致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09" w:type="dxa"/>
            <w:vMerge/>
            <w:tcBorders>
              <w:left w:val="single" w:sz="9"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3"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9" w:type="dxa"/>
            <w:vMerge/>
            <w:tcBorders>
              <w:left w:val="single" w:sz="9"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after="0"/>
        <w:sectPr>
          <w:pgSz w:w="11910" w:h="16840"/>
          <w:pgMar w:header="850" w:footer="1186" w:top="1440" w:bottom="1380" w:left="980" w:right="780"/>
        </w:sectPr>
      </w:pPr>
    </w:p>
    <w:p>
      <w:pPr>
        <w:spacing w:line="240" w:lineRule="auto" w:before="6"/>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367"/>
        <w:gridCol w:w="1609"/>
        <w:gridCol w:w="852"/>
        <w:gridCol w:w="1560"/>
        <w:gridCol w:w="850"/>
        <w:gridCol w:w="708"/>
        <w:gridCol w:w="2919"/>
      </w:tblGrid>
      <w:tr>
        <w:trPr>
          <w:trHeight w:val="1352" w:hRule="exact"/>
        </w:trPr>
        <w:tc>
          <w:tcPr>
            <w:tcW w:w="136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0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2,081,082,545.00</w:t>
            </w:r>
          </w:p>
        </w:tc>
        <w:tc>
          <w:tcPr>
            <w:tcW w:w="85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29.70%</w:t>
            </w:r>
          </w:p>
        </w:tc>
        <w:tc>
          <w:tcPr>
            <w:tcW w:w="15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1,922,979,093.00</w:t>
            </w:r>
          </w:p>
        </w:tc>
        <w:tc>
          <w:tcPr>
            <w:tcW w:w="85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21.65%</w:t>
            </w:r>
          </w:p>
        </w:tc>
        <w:tc>
          <w:tcPr>
            <w:tcW w:w="70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8.05%</w:t>
            </w:r>
          </w:p>
        </w:tc>
        <w:tc>
          <w:tcPr>
            <w:tcW w:w="2919"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56"/>
              <w:ind w:left="24" w:right="22"/>
              <w:jc w:val="left"/>
              <w:rPr>
                <w:rFonts w:ascii="宋体" w:hAnsi="宋体" w:cs="宋体" w:eastAsia="宋体" w:hint="default"/>
                <w:sz w:val="18"/>
                <w:szCs w:val="18"/>
              </w:rPr>
            </w:pPr>
            <w:r>
              <w:rPr>
                <w:rFonts w:ascii="宋体" w:hAnsi="宋体" w:cs="宋体" w:eastAsia="宋体" w:hint="default"/>
                <w:sz w:val="18"/>
                <w:szCs w:val="18"/>
              </w:rPr>
              <w:t>主要是由于部分在建工程完工并投 </w:t>
            </w:r>
            <w:r>
              <w:rPr>
                <w:rFonts w:ascii="宋体" w:hAnsi="宋体" w:cs="宋体" w:eastAsia="宋体" w:hint="default"/>
                <w:spacing w:val="-2"/>
                <w:sz w:val="18"/>
                <w:szCs w:val="18"/>
              </w:rPr>
              <w:t>入使用，在本年度转为固定资产，另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有去年所购店铺在本年度相关手续 已完备后转入固定资产所致</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26,708,388.00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153,924,940.00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主要原因为六灶工业园区部分新增 </w:t>
            </w:r>
            <w:r>
              <w:rPr>
                <w:rFonts w:ascii="宋体" w:hAnsi="宋体" w:cs="宋体" w:eastAsia="宋体" w:hint="default"/>
                <w:spacing w:val="-2"/>
                <w:sz w:val="18"/>
                <w:szCs w:val="18"/>
              </w:rPr>
              <w:t>项目建设完工并投入使用，在本年度</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转为固定资产</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351"/>
        <w:jc w:val="right"/>
      </w:pPr>
      <w:r>
        <w:rPr/>
        <w:t>单位：元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982"/>
        <w:gridCol w:w="1608"/>
        <w:gridCol w:w="711"/>
        <w:gridCol w:w="1558"/>
        <w:gridCol w:w="852"/>
        <w:gridCol w:w="799"/>
        <w:gridCol w:w="3260"/>
      </w:tblGrid>
      <w:tr>
        <w:trPr>
          <w:trHeight w:val="401" w:hRule="exact"/>
        </w:trPr>
        <w:tc>
          <w:tcPr>
            <w:tcW w:w="982" w:type="dxa"/>
            <w:vMerge w:val="restart"/>
            <w:tcBorders>
              <w:top w:val="single" w:sz="4" w:space="0" w:color="000000"/>
              <w:left w:val="single" w:sz="4" w:space="0" w:color="000000"/>
              <w:right w:val="single" w:sz="4" w:space="0" w:color="000000"/>
            </w:tcBorders>
            <w:shd w:val="clear" w:color="auto" w:fill="D2D2D2"/>
          </w:tcPr>
          <w:p>
            <w:pPr/>
          </w:p>
        </w:tc>
        <w:tc>
          <w:tcPr>
            <w:tcW w:w="23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260" w:type="dxa"/>
            <w:vMerge w:val="restart"/>
            <w:tcBorders>
              <w:top w:val="single" w:sz="4" w:space="0" w:color="000000"/>
              <w:left w:val="single" w:sz="4" w:space="0" w:color="000000"/>
              <w:right w:val="single" w:sz="4" w:space="0" w:color="000000"/>
            </w:tcBorders>
            <w:shd w:val="clear" w:color="auto" w:fill="D2D2D2"/>
          </w:tcPr>
          <w:p>
            <w:pPr/>
          </w:p>
        </w:tc>
      </w:tr>
      <w:tr>
        <w:trPr>
          <w:trHeight w:val="118" w:hRule="exact"/>
        </w:trPr>
        <w:tc>
          <w:tcPr>
            <w:tcW w:w="982" w:type="dxa"/>
            <w:vMerge/>
            <w:tcBorders>
              <w:left w:val="single" w:sz="4" w:space="0" w:color="000000"/>
              <w:bottom w:val="nil" w:sz="6" w:space="0" w:color="auto"/>
              <w:right w:val="single" w:sz="4" w:space="0" w:color="000000"/>
            </w:tcBorders>
            <w:shd w:val="clear" w:color="auto" w:fill="D2D2D2"/>
          </w:tcPr>
          <w:p>
            <w:pPr/>
          </w:p>
        </w:tc>
        <w:tc>
          <w:tcPr>
            <w:tcW w:w="1608" w:type="dxa"/>
            <w:vMerge w:val="restart"/>
            <w:tcBorders>
              <w:top w:val="single" w:sz="4" w:space="0" w:color="000000"/>
              <w:left w:val="single" w:sz="4" w:space="0" w:color="000000"/>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9" w:right="80"/>
              <w:jc w:val="left"/>
              <w:rPr>
                <w:rFonts w:ascii="宋体" w:hAnsi="宋体" w:cs="宋体" w:eastAsia="宋体" w:hint="default"/>
                <w:sz w:val="18"/>
                <w:szCs w:val="18"/>
              </w:rPr>
            </w:pPr>
            <w:r>
              <w:rPr>
                <w:rFonts w:ascii="宋体" w:hAnsi="宋体" w:cs="宋体" w:eastAsia="宋体" w:hint="default"/>
                <w:sz w:val="18"/>
                <w:szCs w:val="18"/>
              </w:rPr>
              <w:t>占总资 产比例</w:t>
            </w:r>
          </w:p>
          <w:p>
            <w:pPr>
              <w:pStyle w:val="TableParagraph"/>
              <w:spacing w:line="240" w:lineRule="auto" w:before="19"/>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58" w:type="dxa"/>
            <w:vMerge w:val="restart"/>
            <w:tcBorders>
              <w:top w:val="single" w:sz="4" w:space="0" w:color="000000"/>
              <w:left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25" w:lineRule="exact"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182"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3260"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982" w:type="dxa"/>
            <w:vMerge w:val="restart"/>
            <w:tcBorders>
              <w:top w:val="nil" w:sz="6" w:space="0" w:color="auto"/>
              <w:left w:val="single" w:sz="4" w:space="0" w:color="000000"/>
              <w:right w:val="single" w:sz="4" w:space="0" w:color="000000"/>
            </w:tcBorders>
            <w:shd w:val="clear" w:color="auto" w:fill="D2D2D2"/>
          </w:tcPr>
          <w:p>
            <w:pPr/>
          </w:p>
        </w:tc>
        <w:tc>
          <w:tcPr>
            <w:tcW w:w="1608"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4" w:right="60" w:firstLine="36"/>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32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982" w:type="dxa"/>
            <w:vMerge/>
            <w:tcBorders>
              <w:left w:val="single" w:sz="4" w:space="0" w:color="000000"/>
              <w:bottom w:val="nil" w:sz="6" w:space="0" w:color="auto"/>
              <w:right w:val="single" w:sz="4" w:space="0" w:color="000000"/>
            </w:tcBorders>
            <w:shd w:val="clear" w:color="auto" w:fill="D2D2D2"/>
          </w:tcPr>
          <w:p>
            <w:pPr/>
          </w:p>
        </w:tc>
        <w:tc>
          <w:tcPr>
            <w:tcW w:w="16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1" w:type="dxa"/>
            <w:vMerge/>
            <w:tcBorders>
              <w:left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3260"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982" w:type="dxa"/>
            <w:vMerge w:val="restart"/>
            <w:tcBorders>
              <w:top w:val="nil" w:sz="6" w:space="0" w:color="auto"/>
              <w:left w:val="single" w:sz="4" w:space="0" w:color="000000"/>
              <w:right w:val="single" w:sz="4" w:space="0" w:color="000000"/>
            </w:tcBorders>
            <w:shd w:val="clear" w:color="auto" w:fill="D2D2D2"/>
          </w:tcPr>
          <w:p>
            <w:pPr/>
          </w:p>
        </w:tc>
        <w:tc>
          <w:tcPr>
            <w:tcW w:w="1608"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1558"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3260" w:type="dxa"/>
            <w:vMerge w:val="restart"/>
            <w:tcBorders>
              <w:top w:val="nil" w:sz="6" w:space="0" w:color="auto"/>
              <w:left w:val="single" w:sz="4" w:space="0" w:color="000000"/>
              <w:right w:val="single" w:sz="4" w:space="0" w:color="000000"/>
            </w:tcBorders>
            <w:shd w:val="clear" w:color="auto" w:fill="D2D2D2"/>
          </w:tcPr>
          <w:p>
            <w:pPr/>
          </w:p>
        </w:tc>
      </w:tr>
      <w:tr>
        <w:trPr>
          <w:trHeight w:val="167" w:hRule="exact"/>
        </w:trPr>
        <w:tc>
          <w:tcPr>
            <w:tcW w:w="982" w:type="dxa"/>
            <w:vMerge/>
            <w:tcBorders>
              <w:left w:val="single" w:sz="4" w:space="0" w:color="000000"/>
              <w:right w:val="single" w:sz="4" w:space="0" w:color="000000"/>
            </w:tcBorders>
            <w:shd w:val="clear" w:color="auto" w:fill="D2D2D2"/>
          </w:tcPr>
          <w:p>
            <w:pPr/>
          </w:p>
        </w:tc>
        <w:tc>
          <w:tcPr>
            <w:tcW w:w="1608" w:type="dxa"/>
            <w:vMerge w:val="restart"/>
            <w:tcBorders>
              <w:top w:val="nil" w:sz="6" w:space="0" w:color="auto"/>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1558"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
        </w:tc>
        <w:tc>
          <w:tcPr>
            <w:tcW w:w="3260" w:type="dxa"/>
            <w:vMerge/>
            <w:tcBorders>
              <w:left w:val="single" w:sz="4" w:space="0" w:color="000000"/>
              <w:right w:val="single" w:sz="4" w:space="0" w:color="000000"/>
            </w:tcBorders>
            <w:shd w:val="clear" w:color="auto" w:fill="D2D2D2"/>
          </w:tcPr>
          <w:p>
            <w:pPr/>
          </w:p>
        </w:tc>
      </w:tr>
      <w:tr>
        <w:trPr>
          <w:trHeight w:val="161" w:hRule="exact"/>
        </w:trPr>
        <w:tc>
          <w:tcPr>
            <w:tcW w:w="982" w:type="dxa"/>
            <w:vMerge/>
            <w:tcBorders>
              <w:left w:val="single" w:sz="4" w:space="0" w:color="000000"/>
              <w:bottom w:val="single" w:sz="4" w:space="0" w:color="000000"/>
              <w:right w:val="single" w:sz="4" w:space="0" w:color="000000"/>
            </w:tcBorders>
            <w:shd w:val="clear" w:color="auto" w:fill="D2D2D2"/>
          </w:tcPr>
          <w:p>
            <w:pPr/>
          </w:p>
        </w:tc>
        <w:tc>
          <w:tcPr>
            <w:tcW w:w="1608"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326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794,224,413.00</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11.34%</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2,369,314,076.00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26.67%</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-15.34%</w:t>
            </w:r>
          </w:p>
        </w:tc>
        <w:tc>
          <w:tcPr>
            <w:tcW w:w="326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主要是由于本年度经营性现金流充裕，偿</w:t>
            </w:r>
            <w:r>
              <w:rPr>
                <w:rFonts w:ascii="宋体" w:hAnsi="宋体" w:cs="宋体" w:eastAsia="宋体" w:hint="default"/>
                <w:sz w:val="18"/>
                <w:szCs w:val="18"/>
              </w:rPr>
              <w:t> 还较多短期借款所致</w:t>
            </w:r>
          </w:p>
        </w:tc>
      </w:tr>
      <w:tr>
        <w:trPr>
          <w:trHeight w:val="391" w:hRule="exact"/>
        </w:trPr>
        <w:tc>
          <w:tcPr>
            <w:tcW w:w="9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08" w:type="dxa"/>
            <w:vMerge/>
            <w:tcBorders>
              <w:left w:val="single" w:sz="9" w:space="0" w:color="D2D2D2"/>
              <w:right w:val="single" w:sz="4" w:space="0" w:color="000000"/>
            </w:tcBorders>
          </w:tcPr>
          <w:p>
            <w:pPr/>
          </w:p>
        </w:tc>
        <w:tc>
          <w:tcPr>
            <w:tcW w:w="711"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3260" w:type="dxa"/>
            <w:vMerge/>
            <w:tcBorders>
              <w:left w:val="single" w:sz="4" w:space="0" w:color="000000"/>
              <w:right w:val="single" w:sz="4" w:space="0" w:color="000000"/>
            </w:tcBorders>
          </w:tcPr>
          <w:p>
            <w:pPr/>
          </w:p>
        </w:tc>
      </w:tr>
      <w:tr>
        <w:trPr>
          <w:trHeight w:val="161" w:hRule="exact"/>
        </w:trPr>
        <w:tc>
          <w:tcPr>
            <w:tcW w:w="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8" w:type="dxa"/>
            <w:vMerge/>
            <w:tcBorders>
              <w:left w:val="single" w:sz="9" w:space="0" w:color="D2D2D2"/>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3260" w:type="dxa"/>
            <w:vMerge/>
            <w:tcBorders>
              <w:left w:val="single" w:sz="4" w:space="0" w:color="000000"/>
              <w:bottom w:val="single" w:sz="4" w:space="0" w:color="000000"/>
              <w:right w:val="single" w:sz="4" w:space="0" w:color="000000"/>
            </w:tcBorders>
          </w:tcPr>
          <w:p>
            <w:pPr/>
          </w:p>
        </w:tc>
      </w:tr>
      <w:tr>
        <w:trPr>
          <w:trHeight w:val="161" w:hRule="exact"/>
        </w:trPr>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1" w:type="dxa"/>
            <w:vMerge w:val="restart"/>
            <w:tcBorders>
              <w:top w:val="single" w:sz="4" w:space="0" w:color="000000"/>
              <w:left w:val="single" w:sz="4" w:space="0" w:color="000000"/>
              <w:right w:val="single" w:sz="4" w:space="0" w:color="000000"/>
            </w:tcBorders>
          </w:tcPr>
          <w:p>
            <w:pP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100,000,000.00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1.13%</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-1.13%</w:t>
            </w:r>
          </w:p>
        </w:tc>
        <w:tc>
          <w:tcPr>
            <w:tcW w:w="326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64"/>
              <w:jc w:val="left"/>
              <w:rPr>
                <w:rFonts w:ascii="宋体" w:hAnsi="宋体" w:cs="宋体" w:eastAsia="宋体" w:hint="default"/>
                <w:sz w:val="18"/>
                <w:szCs w:val="18"/>
              </w:rPr>
            </w:pPr>
            <w:r>
              <w:rPr>
                <w:rFonts w:ascii="宋体" w:hAnsi="宋体" w:cs="宋体" w:eastAsia="宋体" w:hint="default"/>
                <w:sz w:val="18"/>
                <w:szCs w:val="18"/>
              </w:rPr>
              <w:t>主要由于本年度归还了到期的长期借款 所致</w:t>
            </w:r>
          </w:p>
        </w:tc>
      </w:tr>
      <w:tr>
        <w:trPr>
          <w:trHeight w:val="394" w:hRule="exact"/>
        </w:trPr>
        <w:tc>
          <w:tcPr>
            <w:tcW w:w="9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08" w:type="dxa"/>
            <w:vMerge/>
            <w:tcBorders>
              <w:left w:val="single" w:sz="9" w:space="0" w:color="D2D2D2"/>
              <w:right w:val="single" w:sz="4" w:space="0" w:color="000000"/>
            </w:tcBorders>
          </w:tcPr>
          <w:p>
            <w:pPr/>
          </w:p>
        </w:tc>
        <w:tc>
          <w:tcPr>
            <w:tcW w:w="711"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3260" w:type="dxa"/>
            <w:vMerge/>
            <w:tcBorders>
              <w:left w:val="single" w:sz="4" w:space="0" w:color="000000"/>
              <w:right w:val="single" w:sz="4" w:space="0" w:color="000000"/>
            </w:tcBorders>
          </w:tcPr>
          <w:p>
            <w:pPr/>
          </w:p>
        </w:tc>
      </w:tr>
      <w:tr>
        <w:trPr>
          <w:trHeight w:val="161" w:hRule="exact"/>
        </w:trPr>
        <w:tc>
          <w:tcPr>
            <w:tcW w:w="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8" w:type="dxa"/>
            <w:vMerge/>
            <w:tcBorders>
              <w:left w:val="single" w:sz="9" w:space="0" w:color="D2D2D2"/>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3260" w:type="dxa"/>
            <w:vMerge/>
            <w:tcBorders>
              <w:left w:val="single" w:sz="4" w:space="0" w:color="000000"/>
              <w:bottom w:val="single" w:sz="4" w:space="0" w:color="000000"/>
              <w:right w:val="single" w:sz="4" w:space="0" w:color="000000"/>
            </w:tcBorders>
          </w:tcPr>
          <w:p>
            <w:pPr/>
          </w:p>
        </w:tc>
      </w:tr>
    </w:tbl>
    <w:p>
      <w:pPr>
        <w:spacing w:after="0"/>
        <w:sectPr>
          <w:pgSz w:w="11910" w:h="16840"/>
          <w:pgMar w:header="850" w:footer="1186" w:top="1440" w:bottom="1380" w:left="1020" w:right="7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2"/>
        <w:spacing w:line="240" w:lineRule="auto" w:before="33"/>
        <w:ind w:right="0"/>
        <w:jc w:val="left"/>
        <w:rPr>
          <w:b w:val="0"/>
          <w:bCs w:val="0"/>
        </w:rPr>
      </w:pPr>
      <w:r>
        <w:rPr/>
        <w:t>五、核心竞争力分析</w:t>
      </w:r>
      <w:r>
        <w:rPr>
          <w:b w:val="0"/>
          <w:bCs w:val="0"/>
        </w:rPr>
      </w:r>
    </w:p>
    <w:p>
      <w:pPr>
        <w:pStyle w:val="BodyText"/>
        <w:spacing w:line="451" w:lineRule="auto" w:before="203"/>
        <w:ind w:left="633" w:right="0" w:firstLine="2"/>
        <w:jc w:val="left"/>
      </w:pPr>
      <w:r>
        <w:rPr>
          <w:rFonts w:ascii="Times New Roman" w:hAnsi="Times New Roman" w:cs="Times New Roman" w:eastAsia="Times New Roman" w:hint="default"/>
          <w:b/>
          <w:bCs/>
        </w:rPr>
        <w:t>1</w:t>
      </w:r>
      <w:r>
        <w:rPr>
          <w:rFonts w:ascii="宋体" w:hAnsi="宋体" w:cs="宋体" w:eastAsia="宋体" w:hint="default"/>
          <w:b/>
          <w:bCs/>
        </w:rPr>
        <w:t>、品牌优势</w:t>
      </w:r>
      <w:r>
        <w:rPr>
          <w:rFonts w:ascii="宋体" w:hAnsi="宋体" w:cs="宋体" w:eastAsia="宋体" w:hint="default"/>
          <w:b/>
          <w:bCs/>
          <w:w w:val="99"/>
        </w:rPr>
        <w:t> </w:t>
      </w:r>
      <w:r>
        <w:rPr>
          <w:spacing w:val="-2"/>
        </w:rPr>
        <w:t>本公司紧密地围绕</w:t>
      </w:r>
      <w:r>
        <w:rPr>
          <w:rFonts w:ascii="Times New Roman" w:hAnsi="Times New Roman" w:cs="Times New Roman" w:eastAsia="Times New Roman" w:hint="default"/>
          <w:spacing w:val="-2"/>
        </w:rPr>
        <w:t>Meters/bonwe</w:t>
      </w:r>
      <w:r>
        <w:rPr>
          <w:spacing w:val="-2"/>
        </w:rPr>
        <w:t>以及</w:t>
      </w:r>
      <w:r>
        <w:rPr>
          <w:rFonts w:ascii="Times New Roman" w:hAnsi="Times New Roman" w:cs="Times New Roman" w:eastAsia="Times New Roman" w:hint="default"/>
          <w:spacing w:val="-2"/>
        </w:rPr>
        <w:t>ME&amp;CITY</w:t>
      </w:r>
      <w:r>
        <w:rPr>
          <w:spacing w:val="-2"/>
        </w:rPr>
        <w:t>品牌的定位、价值与个性，通过产品设计、产品陈列、店铺设计、广告</w:t>
      </w:r>
    </w:p>
    <w:p>
      <w:pPr>
        <w:pStyle w:val="BodyText"/>
        <w:spacing w:line="463" w:lineRule="auto" w:before="43"/>
        <w:ind w:right="188"/>
        <w:jc w:val="both"/>
      </w:pPr>
      <w:r>
        <w:rPr>
          <w:spacing w:val="-2"/>
        </w:rPr>
        <w:t>投放、签约代言和各类营销活动，借助目标消费群体所关注的国内外各类公众、时尚事件，进行高频率、多层次的整合营销</w:t>
      </w:r>
      <w:r>
        <w:rPr>
          <w:spacing w:val="-67"/>
        </w:rPr>
        <w:t> </w:t>
      </w:r>
      <w:r>
        <w:rPr>
          <w:spacing w:val="-67"/>
        </w:rPr>
      </w:r>
      <w:r>
        <w:rPr/>
        <w:t>活动，不断提升</w:t>
      </w:r>
      <w:r>
        <w:rPr>
          <w:rFonts w:ascii="Times New Roman" w:hAnsi="Times New Roman" w:cs="Times New Roman" w:eastAsia="Times New Roman" w:hint="default"/>
        </w:rPr>
        <w:t>Meters/bonwe</w:t>
      </w:r>
      <w:r>
        <w:rPr/>
        <w:t>、</w:t>
      </w:r>
      <w:r>
        <w:rPr>
          <w:rFonts w:ascii="Times New Roman" w:hAnsi="Times New Roman" w:cs="Times New Roman" w:eastAsia="Times New Roman" w:hint="default"/>
        </w:rPr>
        <w:t>ME&amp;CITY</w:t>
      </w:r>
      <w:r>
        <w:rPr/>
        <w:t>两大品牌以及下属子品牌的品牌形象，并推出了包括</w:t>
      </w:r>
      <w:r>
        <w:rPr>
          <w:rFonts w:ascii="Times New Roman" w:hAnsi="Times New Roman" w:cs="Times New Roman" w:eastAsia="Times New Roman" w:hint="default"/>
        </w:rPr>
        <w:t>“TAGLINE”</w:t>
      </w:r>
      <w:r>
        <w:rPr/>
        <w:t>及</w:t>
      </w:r>
      <w:r>
        <w:rPr>
          <w:rFonts w:ascii="Times New Roman" w:hAnsi="Times New Roman" w:cs="Times New Roman" w:eastAsia="Times New Roman" w:hint="default"/>
        </w:rPr>
        <w:t>“MooMoo”</w:t>
      </w:r>
      <w:r>
        <w:rPr/>
        <w:t>在</w:t>
      </w:r>
      <w:r>
        <w:rPr>
          <w:spacing w:val="-41"/>
        </w:rPr>
        <w:t> </w:t>
      </w:r>
      <w:r>
        <w:rPr/>
        <w:t>内的下属品牌；同时，</w:t>
      </w:r>
      <w:r>
        <w:rPr>
          <w:rFonts w:ascii="Times New Roman" w:hAnsi="Times New Roman" w:cs="Times New Roman" w:eastAsia="Times New Roman" w:hint="default"/>
        </w:rPr>
        <w:t>ME&amp;CITY</w:t>
      </w:r>
      <w:r>
        <w:rPr/>
        <w:t>品牌也已成功推出下属童装品牌</w:t>
      </w:r>
      <w:r>
        <w:rPr>
          <w:rFonts w:ascii="Times New Roman" w:hAnsi="Times New Roman" w:cs="Times New Roman" w:eastAsia="Times New Roman" w:hint="default"/>
        </w:rPr>
        <w:t>“ME&amp;CITY</w:t>
      </w:r>
      <w:r>
        <w:rPr>
          <w:rFonts w:ascii="Times New Roman" w:hAnsi="Times New Roman" w:cs="Times New Roman" w:eastAsia="Times New Roman" w:hint="default"/>
          <w:spacing w:val="-6"/>
        </w:rPr>
        <w:t> </w:t>
      </w:r>
      <w:r>
        <w:rPr>
          <w:rFonts w:ascii="Times New Roman" w:hAnsi="Times New Roman" w:cs="Times New Roman" w:eastAsia="Times New Roman" w:hint="default"/>
        </w:rPr>
        <w:t>Kids”</w:t>
      </w:r>
      <w:r>
        <w:rPr/>
        <w:t>。</w:t>
      </w:r>
    </w:p>
    <w:p>
      <w:pPr>
        <w:pStyle w:val="BodyText"/>
        <w:spacing w:line="240" w:lineRule="auto" w:before="33"/>
        <w:ind w:left="633" w:right="0"/>
        <w:jc w:val="left"/>
        <w:rPr>
          <w:rFonts w:ascii="Times New Roman" w:hAnsi="Times New Roman" w:cs="Times New Roman" w:eastAsia="Times New Roman" w:hint="default"/>
        </w:rPr>
      </w:pPr>
      <w:r>
        <w:rPr>
          <w:rFonts w:ascii="Times New Roman" w:hAnsi="Times New Roman" w:cs="Times New Roman" w:eastAsia="Times New Roman" w:hint="default"/>
        </w:rPr>
        <w:t>Meters/bonwe</w:t>
      </w:r>
      <w:r>
        <w:rPr/>
        <w:t>品牌不仅在市场调研结果中名列前茅，也同时获得了国家及国际国内各类权威机构的认可，并于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0"/>
        <w:jc w:val="left"/>
      </w:pPr>
      <w:r>
        <w:rPr/>
        <w:t>月获得了国家商标局颁发的</w:t>
      </w:r>
      <w:r>
        <w:rPr>
          <w:rFonts w:ascii="Times New Roman" w:hAnsi="Times New Roman" w:cs="Times New Roman" w:eastAsia="Times New Roman" w:hint="default"/>
        </w:rPr>
        <w:t>“</w:t>
      </w:r>
      <w:r>
        <w:rPr/>
        <w:t>中国驰名商标</w:t>
      </w:r>
      <w:r>
        <w:rPr>
          <w:rFonts w:ascii="Times New Roman" w:hAnsi="Times New Roman" w:cs="Times New Roman" w:eastAsia="Times New Roman" w:hint="default"/>
        </w:rPr>
        <w:t>”</w:t>
      </w:r>
      <w:r>
        <w:rPr/>
        <w:t>称号。</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Heading6"/>
        <w:spacing w:line="240" w:lineRule="auto"/>
        <w:ind w:left="635" w:right="0"/>
        <w:jc w:val="left"/>
        <w:rPr>
          <w:b w:val="0"/>
          <w:bCs w:val="0"/>
        </w:rPr>
      </w:pPr>
      <w:r>
        <w:rPr>
          <w:rFonts w:ascii="Times New Roman" w:hAnsi="Times New Roman" w:cs="Times New Roman" w:eastAsia="Times New Roman" w:hint="default"/>
        </w:rPr>
        <w:t>2</w:t>
      </w:r>
      <w:r>
        <w:rPr/>
        <w:t>、营销网络优势</w:t>
      </w:r>
      <w:r>
        <w:rPr>
          <w:b w:val="0"/>
          <w:bCs w:val="0"/>
        </w:rPr>
      </w:r>
    </w:p>
    <w:p>
      <w:pPr>
        <w:pStyle w:val="BodyText"/>
        <w:spacing w:line="451" w:lineRule="auto" w:before="142"/>
        <w:ind w:left="633" w:right="0"/>
        <w:jc w:val="left"/>
      </w:pPr>
      <w:r>
        <w:rPr/>
        <w:t>（</w:t>
      </w:r>
      <w:r>
        <w:rPr>
          <w:rFonts w:ascii="Times New Roman" w:hAnsi="Times New Roman" w:cs="Times New Roman" w:eastAsia="Times New Roman" w:hint="default"/>
        </w:rPr>
        <w:t>1</w:t>
      </w:r>
      <w:r>
        <w:rPr/>
        <w:t>）营销网络规模及布局优势 截至</w:t>
      </w:r>
      <w:r>
        <w:rPr>
          <w:rFonts w:ascii="Times New Roman" w:hAnsi="Times New Roman" w:cs="Times New Roman" w:eastAsia="Times New Roman" w:hint="default"/>
        </w:rPr>
        <w:t>2012</w:t>
      </w:r>
      <w:r>
        <w:rPr/>
        <w:t>年底，本公司在全国拥有直营店和加盟店共计</w:t>
      </w:r>
      <w:r>
        <w:rPr>
          <w:rFonts w:ascii="Times New Roman" w:hAnsi="Times New Roman" w:cs="Times New Roman" w:eastAsia="Times New Roman" w:hint="default"/>
        </w:rPr>
        <w:t>5,220</w:t>
      </w:r>
      <w:r>
        <w:rPr/>
        <w:t>家，其中加盟店</w:t>
      </w:r>
      <w:r>
        <w:rPr>
          <w:rFonts w:ascii="Times New Roman" w:hAnsi="Times New Roman" w:cs="Times New Roman" w:eastAsia="Times New Roman" w:hint="default"/>
        </w:rPr>
        <w:t>3,914</w:t>
      </w:r>
      <w:r>
        <w:rPr/>
        <w:t>家，直营店</w:t>
      </w:r>
      <w:r>
        <w:rPr>
          <w:rFonts w:ascii="Times New Roman" w:hAnsi="Times New Roman" w:cs="Times New Roman" w:eastAsia="Times New Roman" w:hint="default"/>
        </w:rPr>
        <w:t>1,306</w:t>
      </w:r>
      <w:r>
        <w:rPr/>
        <w:t>家。本公司的营销</w:t>
      </w:r>
    </w:p>
    <w:p>
      <w:pPr>
        <w:pStyle w:val="BodyText"/>
        <w:spacing w:line="477" w:lineRule="auto" w:before="43"/>
        <w:ind w:right="0"/>
        <w:jc w:val="left"/>
      </w:pPr>
      <w:r>
        <w:rPr>
          <w:spacing w:val="-2"/>
        </w:rPr>
        <w:t>网络遍布全国，其中直营店在公司营销网络布局战略中发挥着重要的作用。公司通过在重点一线城市建立销售子公司并开设</w:t>
      </w:r>
      <w:r>
        <w:rPr>
          <w:spacing w:val="-64"/>
        </w:rPr>
        <w:t> </w:t>
      </w:r>
      <w:r>
        <w:rPr>
          <w:spacing w:val="-64"/>
        </w:rPr>
      </w:r>
      <w:r>
        <w:rPr>
          <w:spacing w:val="-4"/>
        </w:rPr>
        <w:t>直营店的方式，有效地提升品牌的影响力和知名度，并能够更加深入的推动管理创新和品牌升级，从而对一线城市周边和二、</w:t>
      </w:r>
      <w:r>
        <w:rPr>
          <w:spacing w:val="-43"/>
        </w:rPr>
        <w:t> </w:t>
      </w:r>
      <w:r>
        <w:rPr>
          <w:spacing w:val="-43"/>
        </w:rPr>
      </w:r>
      <w:r>
        <w:rPr>
          <w:spacing w:val="-4"/>
        </w:rPr>
        <w:t>三线市场产生有力的辐射作用。公司品牌和产品形象的提升吸引了更多优质加盟商的加入，使得公司可以借助加盟商的人力、</w:t>
      </w:r>
      <w:r>
        <w:rPr>
          <w:spacing w:val="-44"/>
        </w:rPr>
        <w:t> </w:t>
      </w:r>
      <w:r>
        <w:rPr>
          <w:spacing w:val="-44"/>
        </w:rPr>
      </w:r>
      <w:r>
        <w:rPr>
          <w:spacing w:val="-2"/>
        </w:rPr>
        <w:t>物力和财力进行迅速地市场拓展与渗透。通过在直营店和加盟店数量和销售面积上的合理配比，满足市场消费者的差异化的</w:t>
      </w:r>
      <w:r>
        <w:rPr>
          <w:spacing w:val="-63"/>
        </w:rPr>
        <w:t> </w:t>
      </w:r>
      <w:r>
        <w:rPr>
          <w:spacing w:val="-63"/>
        </w:rPr>
      </w:r>
      <w:r>
        <w:rPr>
          <w:spacing w:val="-2"/>
        </w:rPr>
        <w:t>需求的同时达到了提升销售业绩与拓展销售渠道的有效平衡；通过直营店和加盟店在时间和空间上的战略性布局，短时间内</w:t>
      </w:r>
      <w:r>
        <w:rPr>
          <w:spacing w:val="-64"/>
        </w:rPr>
        <w:t> </w:t>
      </w:r>
      <w:r>
        <w:rPr>
          <w:spacing w:val="-64"/>
        </w:rPr>
      </w:r>
      <w:r>
        <w:rPr/>
        <w:t>覆盖了全国大部分重点省市，并在某些地区占据了市场主导地位，为未来进一步扩大市场份额打下了坚实的基础。</w:t>
      </w:r>
    </w:p>
    <w:p>
      <w:pPr>
        <w:pStyle w:val="BodyText"/>
        <w:spacing w:line="451" w:lineRule="auto" w:before="54"/>
        <w:ind w:left="633" w:right="0"/>
        <w:jc w:val="left"/>
      </w:pPr>
      <w:r>
        <w:rPr/>
        <w:t>（</w:t>
      </w:r>
      <w:r>
        <w:rPr>
          <w:rFonts w:ascii="Times New Roman" w:hAnsi="Times New Roman" w:cs="Times New Roman" w:eastAsia="Times New Roman" w:hint="default"/>
        </w:rPr>
        <w:t>3</w:t>
      </w:r>
      <w:r>
        <w:rPr/>
        <w:t>）营销网络管理能力优势 </w:t>
      </w:r>
      <w:r>
        <w:rPr>
          <w:spacing w:val="-1"/>
        </w:rPr>
        <w:t>借助多年来营销网络建设和管理经验，公司已发展出一套针对由直营店和加盟店所组成的混合营销网络的成熟管理方</w:t>
      </w:r>
    </w:p>
    <w:p>
      <w:pPr>
        <w:pStyle w:val="BodyText"/>
        <w:spacing w:line="477" w:lineRule="auto" w:before="74"/>
        <w:ind w:right="0"/>
        <w:jc w:val="left"/>
      </w:pPr>
      <w:r>
        <w:rPr>
          <w:spacing w:val="-2"/>
        </w:rPr>
        <w:t>法，有力地支持了公司营销网络的拓展与维护。在终端管理方面，直营和加盟渠道开始全面实施的终端形象升级、店铺管理</w:t>
      </w:r>
      <w:r>
        <w:rPr>
          <w:spacing w:val="-64"/>
        </w:rPr>
        <w:t> </w:t>
      </w:r>
      <w:r>
        <w:rPr>
          <w:spacing w:val="-64"/>
        </w:rPr>
      </w:r>
      <w:r>
        <w:rPr>
          <w:spacing w:val="-2"/>
        </w:rPr>
        <w:t>标准化、精细化、促销管理精细化已经取得了显著成效。通过店铺形象升级、新渠道的开发、标准店铺模块化管理、周新品</w:t>
      </w:r>
      <w:r>
        <w:rPr>
          <w:spacing w:val="-68"/>
        </w:rPr>
        <w:t> </w:t>
      </w:r>
      <w:r>
        <w:rPr>
          <w:spacing w:val="-68"/>
        </w:rPr>
      </w:r>
      <w:r>
        <w:rPr>
          <w:spacing w:val="-2"/>
        </w:rPr>
        <w:t>上市、授权店经理负责制等举措，店铺更时尚精致，店铺运作逐渐与国际品牌全面接轨。在加盟商管理方面，公司在店铺开</w:t>
      </w:r>
      <w:r>
        <w:rPr>
          <w:spacing w:val="-66"/>
        </w:rPr>
        <w:t> </w:t>
      </w:r>
      <w:r>
        <w:rPr>
          <w:spacing w:val="-66"/>
        </w:rPr>
      </w:r>
      <w:r>
        <w:rPr>
          <w:spacing w:val="-4"/>
        </w:rPr>
        <w:t>设、日常运营、信息系统运用、销售培训、信用支持、物流运输等方面给予加盟商全方位的支持，着力培育有潜力的加盟商，</w:t>
      </w:r>
      <w:r>
        <w:rPr>
          <w:spacing w:val="-43"/>
        </w:rPr>
        <w:t> </w:t>
      </w:r>
      <w:r>
        <w:rPr>
          <w:spacing w:val="-43"/>
        </w:rPr>
      </w:r>
      <w:r>
        <w:rPr>
          <w:spacing w:val="-2"/>
        </w:rPr>
        <w:t>全力激发加盟商的网络拓展热情，注重长期战略伙伴关系的建立。店铺发展中心通过覆盖所有直营和加盟店铺的信息管理系</w:t>
      </w:r>
      <w:r>
        <w:rPr>
          <w:spacing w:val="-64"/>
        </w:rPr>
        <w:t> </w:t>
      </w:r>
      <w:r>
        <w:rPr>
          <w:spacing w:val="-64"/>
        </w:rPr>
      </w:r>
      <w:r>
        <w:rPr/>
        <w:t>统及时获取并分析销售终端的情况，最终形成了公司优秀的营销网络管理能力。</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1"/>
          <w:szCs w:val="21"/>
        </w:rPr>
      </w:pPr>
    </w:p>
    <w:p>
      <w:pPr>
        <w:pStyle w:val="BodyText"/>
        <w:spacing w:line="451" w:lineRule="auto"/>
        <w:ind w:left="633" w:right="0" w:firstLine="2"/>
        <w:jc w:val="left"/>
      </w:pPr>
      <w:r>
        <w:rPr>
          <w:rFonts w:ascii="Times New Roman" w:hAnsi="Times New Roman" w:cs="Times New Roman" w:eastAsia="Times New Roman" w:hint="default"/>
          <w:b/>
          <w:bCs/>
        </w:rPr>
        <w:t>3</w:t>
      </w:r>
      <w:r>
        <w:rPr>
          <w:rFonts w:ascii="宋体" w:hAnsi="宋体" w:cs="宋体" w:eastAsia="宋体" w:hint="default"/>
          <w:b/>
          <w:bCs/>
        </w:rPr>
        <w:t>、产品设计开发优势</w:t>
      </w:r>
      <w:r>
        <w:rPr>
          <w:rFonts w:ascii="宋体" w:hAnsi="宋体" w:cs="宋体" w:eastAsia="宋体" w:hint="default"/>
          <w:b/>
          <w:bCs/>
          <w:w w:val="99"/>
        </w:rPr>
        <w:t> </w:t>
      </w:r>
      <w:r>
        <w:rPr>
          <w:spacing w:val="-1"/>
        </w:rPr>
        <w:t>公司的设计团队多年来始终坚持国际化与本土化相结合，以自主培养设计师为主的原则组建设计团队。设计团队自建</w:t>
      </w:r>
    </w:p>
    <w:p>
      <w:pPr>
        <w:pStyle w:val="BodyText"/>
        <w:spacing w:line="240" w:lineRule="auto" w:before="74"/>
        <w:ind w:right="0"/>
        <w:jc w:val="left"/>
      </w:pPr>
      <w:r>
        <w:rPr/>
        <w:t>设伊始一直保持了很好的稳定性，设计人员年龄结构分布均匀，使得设计团队在保持年轻活力的同时也令国际化资深设计师</w:t>
      </w:r>
    </w:p>
    <w:p>
      <w:pPr>
        <w:spacing w:after="0" w:line="240" w:lineRule="auto"/>
        <w:jc w:val="left"/>
        <w:sectPr>
          <w:pgSz w:w="11910" w:h="16840"/>
          <w:pgMar w:header="850" w:footer="1186" w:top="1440" w:bottom="1380" w:left="980" w:right="9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451" w:lineRule="auto" w:before="81"/>
        <w:ind w:right="191"/>
        <w:jc w:val="both"/>
      </w:pPr>
      <w:r>
        <w:rPr/>
        <w:t>经验得到了有效传承。目前公司设计工艺团队由近</w:t>
      </w:r>
      <w:r>
        <w:rPr>
          <w:rFonts w:ascii="Times New Roman" w:hAnsi="Times New Roman" w:cs="Times New Roman" w:eastAsia="Times New Roman" w:hint="default"/>
        </w:rPr>
        <w:t>500</w:t>
      </w:r>
      <w:r>
        <w:rPr/>
        <w:t>人的专业设计人员和工艺专家组成，具备年上市数千款各类休闲服饰</w:t>
      </w:r>
      <w:r>
        <w:rPr>
          <w:spacing w:val="-85"/>
        </w:rPr>
        <w:t> </w:t>
      </w:r>
      <w:r>
        <w:rPr>
          <w:spacing w:val="-85"/>
        </w:rPr>
      </w:r>
      <w:r>
        <w:rPr/>
        <w:t>产品的设计能力。</w:t>
      </w:r>
    </w:p>
    <w:p>
      <w:pPr>
        <w:pStyle w:val="BodyText"/>
        <w:spacing w:line="477" w:lineRule="auto" w:before="74"/>
        <w:ind w:right="190" w:firstLine="480"/>
        <w:jc w:val="both"/>
      </w:pPr>
      <w:r>
        <w:rPr>
          <w:spacing w:val="-1"/>
        </w:rPr>
        <w:t>公司产品设计的最大特点在于保持了感性与理性的平衡，不仅从国际、国内的流行时尚情况、对自有品牌定位、国内</w:t>
      </w:r>
      <w:r>
        <w:rPr/>
        <w:t> </w:t>
      </w:r>
      <w:r>
        <w:rPr>
          <w:spacing w:val="-2"/>
        </w:rPr>
        <w:t>不同区域消费者对服装款式的不同需求、竞争对手的产品设计和过往公司各类产品的销售情况出发，也综合考虑了供应链下</w:t>
      </w:r>
      <w:r>
        <w:rPr>
          <w:spacing w:val="-64"/>
        </w:rPr>
        <w:t> </w:t>
      </w:r>
      <w:r>
        <w:rPr>
          <w:spacing w:val="-64"/>
        </w:rPr>
      </w:r>
      <w:r>
        <w:rPr/>
        <w:t>游各加盟商所处的各地市场和其店铺情况的独特性，对供应链上游供应商的生产成本控制要求。</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451" w:lineRule="auto"/>
        <w:ind w:left="633" w:right="0" w:firstLine="2"/>
        <w:jc w:val="left"/>
      </w:pPr>
      <w:r>
        <w:rPr>
          <w:rFonts w:ascii="Times New Roman" w:hAnsi="Times New Roman" w:cs="Times New Roman" w:eastAsia="Times New Roman" w:hint="default"/>
          <w:b/>
          <w:bCs/>
        </w:rPr>
        <w:t>4</w:t>
      </w:r>
      <w:r>
        <w:rPr>
          <w:rFonts w:ascii="宋体" w:hAnsi="宋体" w:cs="宋体" w:eastAsia="宋体" w:hint="default"/>
          <w:b/>
          <w:bCs/>
        </w:rPr>
        <w:t>、供应链管理能力优势</w:t>
      </w:r>
      <w:r>
        <w:rPr>
          <w:rFonts w:ascii="宋体" w:hAnsi="宋体" w:cs="宋体" w:eastAsia="宋体" w:hint="default"/>
          <w:b/>
          <w:bCs/>
          <w:w w:val="99"/>
        </w:rPr>
        <w:t> </w:t>
      </w:r>
      <w:r>
        <w:rPr>
          <w:spacing w:val="-1"/>
        </w:rPr>
        <w:t>经过近年努力，公司始终不断探索并建立一条能充分适应国内休闲服装业情况以及公司业务现状与未来发展方向的供</w:t>
      </w:r>
    </w:p>
    <w:p>
      <w:pPr>
        <w:pStyle w:val="BodyText"/>
        <w:spacing w:line="477" w:lineRule="auto" w:before="74"/>
        <w:ind w:left="633" w:right="0" w:hanging="481"/>
        <w:jc w:val="left"/>
      </w:pPr>
      <w:r>
        <w:rPr/>
        <w:t>应链和相应的供应链管理方法，构筑起强大的供应链管理能力。 </w:t>
      </w:r>
      <w:r>
        <w:rPr>
          <w:spacing w:val="-1"/>
        </w:rPr>
        <w:t>公司的供应链基本实现了商务流、信息流、物流和资金流的结合与同步，不断把国际化管理的标准引入到我们供应链</w:t>
      </w:r>
    </w:p>
    <w:p>
      <w:pPr>
        <w:pStyle w:val="BodyText"/>
        <w:spacing w:line="477" w:lineRule="auto" w:before="54"/>
        <w:ind w:right="110"/>
        <w:jc w:val="both"/>
      </w:pPr>
      <w:r>
        <w:rPr>
          <w:spacing w:val="-2"/>
        </w:rPr>
        <w:t>管理中去，加快整合供应链资源，建立从源头到终端一致性、标准化的管理体系。通过对直营和加盟店的差异化管理，以及</w:t>
      </w:r>
      <w:r>
        <w:rPr>
          <w:spacing w:val="-66"/>
        </w:rPr>
        <w:t> </w:t>
      </w:r>
      <w:r>
        <w:rPr>
          <w:spacing w:val="-66"/>
        </w:rPr>
      </w:r>
      <w:r>
        <w:rPr/>
        <w:t>各方在硬件和软件上的标准化，正逐步构建起一条能适应休闲服零售业特征的，具备对客户需求快速反应的敏捷型供应链。</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451" w:lineRule="auto"/>
        <w:ind w:left="633" w:right="0" w:firstLine="2"/>
        <w:jc w:val="left"/>
      </w:pPr>
      <w:r>
        <w:rPr>
          <w:rFonts w:ascii="Times New Roman" w:hAnsi="Times New Roman" w:cs="Times New Roman" w:eastAsia="Times New Roman" w:hint="default"/>
          <w:b/>
          <w:bCs/>
        </w:rPr>
        <w:t>5</w:t>
      </w:r>
      <w:r>
        <w:rPr>
          <w:rFonts w:ascii="宋体" w:hAnsi="宋体" w:cs="宋体" w:eastAsia="宋体" w:hint="default"/>
          <w:b/>
          <w:bCs/>
        </w:rPr>
        <w:t>、信息管理系统优势</w:t>
      </w:r>
      <w:r>
        <w:rPr>
          <w:rFonts w:ascii="宋体" w:hAnsi="宋体" w:cs="宋体" w:eastAsia="宋体" w:hint="default"/>
          <w:b/>
          <w:bCs/>
          <w:w w:val="99"/>
        </w:rPr>
        <w:t> </w:t>
      </w:r>
      <w:r>
        <w:rPr>
          <w:spacing w:val="-1"/>
        </w:rPr>
        <w:t>一直以来，本公司的信息化战略与企业的发展保持着高度的融合，信息技术的运用以及信息化战略的制定与执行均与</w:t>
      </w:r>
    </w:p>
    <w:p>
      <w:pPr>
        <w:pStyle w:val="BodyText"/>
        <w:spacing w:line="477" w:lineRule="auto" w:before="74"/>
        <w:ind w:right="189"/>
        <w:jc w:val="both"/>
      </w:pPr>
      <w:r>
        <w:rPr>
          <w:spacing w:val="-2"/>
        </w:rPr>
        <w:t>公司的业务深度结合。利用部分上市募集资金对信息系统进行改进，紧密围绕公司核心业务，优化和完善公司在全国的营销</w:t>
      </w:r>
      <w:r>
        <w:rPr>
          <w:spacing w:val="-62"/>
        </w:rPr>
        <w:t> </w:t>
      </w:r>
      <w:r>
        <w:rPr>
          <w:spacing w:val="-62"/>
        </w:rPr>
      </w:r>
      <w:r>
        <w:rPr/>
        <w:t>网络；同时改进公司信息管理系统，对日益增长的业务起到有效支持和推进作用。</w:t>
      </w:r>
    </w:p>
    <w:p>
      <w:pPr>
        <w:pStyle w:val="BodyText"/>
        <w:spacing w:line="477" w:lineRule="auto" w:before="54"/>
        <w:ind w:right="191" w:firstLine="480"/>
        <w:jc w:val="both"/>
      </w:pPr>
      <w:r>
        <w:rPr>
          <w:spacing w:val="-1"/>
        </w:rPr>
        <w:t>公司目前使用的同时具备标准化和针对供应链各方差异化的第二代信息管理系统，建立在休闲服装零售业整条供应链</w:t>
      </w:r>
      <w:r>
        <w:rPr/>
        <w:t> </w:t>
      </w:r>
      <w:r>
        <w:rPr>
          <w:spacing w:val="-2"/>
        </w:rPr>
        <w:t>的基础之上，在数据库和软件应用底层完全整合；大幅度提升了公司的运营效率，增强了持续发展能力，核心竞争力亦获得</w:t>
      </w:r>
      <w:r>
        <w:rPr>
          <w:spacing w:val="-65"/>
        </w:rPr>
        <w:t> </w:t>
      </w:r>
      <w:r>
        <w:rPr>
          <w:spacing w:val="-65"/>
        </w:rPr>
      </w:r>
      <w:r>
        <w:rPr/>
        <w:t>到进一步提高。</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BodyText"/>
        <w:spacing w:line="451" w:lineRule="auto"/>
        <w:ind w:left="633" w:right="0" w:firstLine="2"/>
        <w:jc w:val="left"/>
      </w:pPr>
      <w:r>
        <w:rPr>
          <w:rFonts w:ascii="Times New Roman" w:hAnsi="Times New Roman" w:cs="Times New Roman" w:eastAsia="Times New Roman" w:hint="default"/>
          <w:b/>
          <w:bCs/>
        </w:rPr>
        <w:t>6</w:t>
      </w:r>
      <w:r>
        <w:rPr>
          <w:rFonts w:ascii="宋体" w:hAnsi="宋体" w:cs="宋体" w:eastAsia="宋体" w:hint="default"/>
          <w:b/>
          <w:bCs/>
        </w:rPr>
        <w:t>、物流系统优势</w:t>
      </w:r>
      <w:r>
        <w:rPr>
          <w:rFonts w:ascii="宋体" w:hAnsi="宋体" w:cs="宋体" w:eastAsia="宋体" w:hint="default"/>
          <w:b/>
          <w:bCs/>
          <w:w w:val="99"/>
        </w:rPr>
        <w:t> </w:t>
      </w:r>
      <w:r>
        <w:rPr/>
        <w:t>公司目前拥有</w:t>
      </w:r>
      <w:r>
        <w:rPr>
          <w:rFonts w:ascii="Times New Roman" w:hAnsi="Times New Roman" w:cs="Times New Roman" w:eastAsia="Times New Roman" w:hint="default"/>
        </w:rPr>
        <w:t>7</w:t>
      </w:r>
      <w:r>
        <w:rPr/>
        <w:t>大区域物流中心：上海、温州、沈阳、东莞、西安、成都、天津，主要负责所辖区域内货物的存放和</w:t>
      </w:r>
    </w:p>
    <w:p>
      <w:pPr>
        <w:pStyle w:val="BodyText"/>
        <w:spacing w:line="463" w:lineRule="auto" w:before="43"/>
        <w:ind w:right="192"/>
        <w:jc w:val="both"/>
      </w:pPr>
      <w:r>
        <w:rPr>
          <w:spacing w:val="-2"/>
        </w:rPr>
        <w:t>配送。形成运行高效的三级配送体系：从工厂运送至区域物流中心，然后分拣配送至分公司仓库，最后配送至各店铺。上海</w:t>
      </w:r>
      <w:r>
        <w:rPr>
          <w:spacing w:val="-67"/>
        </w:rPr>
        <w:t> </w:t>
      </w:r>
      <w:r>
        <w:rPr>
          <w:spacing w:val="-67"/>
        </w:rPr>
      </w:r>
      <w:r>
        <w:rPr>
          <w:spacing w:val="-2"/>
        </w:rPr>
        <w:t>六灶物流中心日均物流产可达到</w:t>
      </w:r>
      <w:r>
        <w:rPr>
          <w:rFonts w:ascii="Times New Roman" w:hAnsi="Times New Roman" w:cs="Times New Roman" w:eastAsia="Times New Roman" w:hint="default"/>
          <w:spacing w:val="-2"/>
        </w:rPr>
        <w:t>50</w:t>
      </w:r>
      <w:r>
        <w:rPr>
          <w:spacing w:val="-2"/>
        </w:rPr>
        <w:t>万件服饰产品的营运能力，大大提高了交叉转运的运作能力，实摘果拣选模式和播种拣选</w:t>
      </w:r>
      <w:r>
        <w:rPr>
          <w:spacing w:val="-63"/>
        </w:rPr>
        <w:t> </w:t>
      </w:r>
      <w:r>
        <w:rPr>
          <w:spacing w:val="-63"/>
        </w:rPr>
      </w:r>
      <w:r>
        <w:rPr/>
        <w:t>模式的兼容转换，大幅度的提升了供应链物流的快速流通能力和效率，有效支持了企业的战略发展。</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pStyle w:val="BodyText"/>
        <w:spacing w:line="451" w:lineRule="auto"/>
        <w:ind w:left="633" w:right="153" w:firstLine="2"/>
        <w:jc w:val="left"/>
      </w:pPr>
      <w:r>
        <w:rPr>
          <w:rFonts w:ascii="Times New Roman" w:hAnsi="Times New Roman" w:cs="Times New Roman" w:eastAsia="Times New Roman" w:hint="default"/>
          <w:b/>
          <w:bCs/>
        </w:rPr>
        <w:t>7</w:t>
      </w:r>
      <w:r>
        <w:rPr>
          <w:rFonts w:ascii="宋体" w:hAnsi="宋体" w:cs="宋体" w:eastAsia="宋体" w:hint="default"/>
          <w:b/>
          <w:bCs/>
        </w:rPr>
        <w:t>、较强的风险管控能力</w:t>
      </w:r>
      <w:r>
        <w:rPr>
          <w:rFonts w:ascii="宋体" w:hAnsi="宋体" w:cs="宋体" w:eastAsia="宋体" w:hint="default"/>
          <w:b/>
          <w:bCs/>
          <w:w w:val="99"/>
        </w:rPr>
        <w:t> </w:t>
      </w:r>
      <w:r>
        <w:rPr/>
        <w:t>公司深刻认识到风险管控对于企业长远发展的重要意义，并能针对经营过程中面临的各种风险采取相应的应对措施，</w:t>
      </w:r>
    </w:p>
    <w:p>
      <w:pPr>
        <w:spacing w:after="0" w:line="451" w:lineRule="auto"/>
        <w:jc w:val="left"/>
        <w:sectPr>
          <w:pgSz w:w="11910" w:h="16840"/>
          <w:pgMar w:header="850" w:footer="1186" w:top="1440" w:bottom="1380" w:left="980" w:right="940"/>
        </w:sectPr>
      </w:pPr>
    </w:p>
    <w:p>
      <w:pPr>
        <w:pStyle w:val="BodyText"/>
        <w:spacing w:line="477" w:lineRule="auto" w:before="138"/>
        <w:ind w:left="633" w:right="0" w:hanging="481"/>
        <w:jc w:val="left"/>
      </w:pPr>
      <w:r>
        <w:rPr/>
        <w:t>体现了较强的风险管控能力。 </w:t>
      </w:r>
      <w:r>
        <w:rPr>
          <w:spacing w:val="-1"/>
        </w:rPr>
        <w:t>公司针对可能的财务风险，一直保持稳健谨慎的财务策略，</w:t>
      </w:r>
      <w:r>
        <w:rPr>
          <w:rFonts w:ascii="Times New Roman" w:hAnsi="Times New Roman" w:cs="Times New Roman" w:eastAsia="Times New Roman" w:hint="default"/>
          <w:spacing w:val="-1"/>
        </w:rPr>
        <w:t>2012</w:t>
      </w:r>
      <w:r>
        <w:rPr>
          <w:spacing w:val="-1"/>
        </w:rPr>
        <w:t>年存货规模逐季下降，经营性现金流及资产质量大幅</w:t>
      </w:r>
    </w:p>
    <w:p>
      <w:pPr>
        <w:pStyle w:val="BodyText"/>
        <w:spacing w:line="477" w:lineRule="auto" w:before="21"/>
        <w:ind w:left="633" w:right="0" w:hanging="481"/>
        <w:jc w:val="left"/>
      </w:pPr>
      <w:r>
        <w:rPr/>
        <w:t>提升，融资渠道不断丰富，在银行间市场及合作的商业银行均建立良好的信誉。 </w:t>
      </w:r>
      <w:r>
        <w:rPr>
          <w:spacing w:val="6"/>
        </w:rPr>
        <w:t>经营风险方面，公司针对注重时尚活力的年轻消费者群体以大众化的价格不断挖掘该细分市场的不同需求。目前</w:t>
      </w:r>
      <w:r>
        <w:rPr/>
      </w:r>
    </w:p>
    <w:p>
      <w:pPr>
        <w:pStyle w:val="BodyText"/>
        <w:spacing w:line="468" w:lineRule="auto" w:before="54"/>
        <w:ind w:right="190"/>
        <w:jc w:val="both"/>
      </w:pPr>
      <w:r>
        <w:rPr>
          <w:rFonts w:ascii="Times New Roman" w:hAnsi="Times New Roman" w:cs="Times New Roman" w:eastAsia="Times New Roman" w:hint="default"/>
        </w:rPr>
        <w:t>Meters/bonwe</w:t>
      </w:r>
      <w:r>
        <w:rPr/>
        <w:t>品牌、</w:t>
      </w:r>
      <w:r>
        <w:rPr>
          <w:rFonts w:ascii="Times New Roman" w:hAnsi="Times New Roman" w:cs="Times New Roman" w:eastAsia="Times New Roman" w:hint="default"/>
        </w:rPr>
        <w:t>ME&amp;CITY</w:t>
      </w:r>
      <w:r>
        <w:rPr/>
        <w:t>品牌及下属子品牌清晰的市场定位使公司从产品开发、设计到生产、销售都紧紧围绕目标消</w:t>
      </w:r>
      <w:r>
        <w:rPr>
          <w:spacing w:val="-59"/>
        </w:rPr>
        <w:t> </w:t>
      </w:r>
      <w:r>
        <w:rPr>
          <w:spacing w:val="-59"/>
        </w:rPr>
      </w:r>
      <w:r>
        <w:rPr>
          <w:spacing w:val="-2"/>
        </w:rPr>
        <w:t>费群的需求。同时，针对服装行业经营业绩季节性波动的风险，公司主动采取了稳健经营的策略，增加季中补单的比重，严</w:t>
      </w:r>
      <w:r>
        <w:rPr>
          <w:spacing w:val="-68"/>
        </w:rPr>
        <w:t> </w:t>
      </w:r>
      <w:r>
        <w:rPr>
          <w:spacing w:val="-68"/>
        </w:rPr>
      </w:r>
      <w:r>
        <w:rPr>
          <w:spacing w:val="-2"/>
        </w:rPr>
        <w:t>格控制新品生产规模，采取丰富服饰品种、颜色、款式以及有效降低服饰成本等方式降低经营风险，并根据南北方温差情况</w:t>
      </w:r>
      <w:r>
        <w:rPr>
          <w:spacing w:val="-64"/>
        </w:rPr>
        <w:t> </w:t>
      </w:r>
      <w:r>
        <w:rPr>
          <w:spacing w:val="-64"/>
        </w:rPr>
      </w:r>
      <w:r>
        <w:rPr/>
        <w:t>适度调配货品的方式来平抑波动。</w:t>
      </w:r>
    </w:p>
    <w:p>
      <w:pPr>
        <w:pStyle w:val="BodyText"/>
        <w:spacing w:line="451" w:lineRule="auto" w:before="61"/>
        <w:ind w:right="104" w:firstLine="480"/>
        <w:jc w:val="both"/>
      </w:pPr>
      <w:r>
        <w:rPr/>
        <w:t>管理风险方面，</w:t>
      </w:r>
      <w:r>
        <w:rPr>
          <w:rFonts w:ascii="Times New Roman" w:hAnsi="Times New Roman" w:cs="Times New Roman" w:eastAsia="Times New Roman" w:hint="default"/>
        </w:rPr>
        <w:t>1</w:t>
      </w:r>
      <w:r>
        <w:rPr/>
        <w:t>）对于直营店，由各自分属的销售子公司负责管理。为充分发挥直营店在提升公司形象和支持市场 拓展战略方面的作用，公司总部管理中心针对直营店制定了全方位的管理体系。</w:t>
      </w:r>
      <w:r>
        <w:rPr>
          <w:rFonts w:ascii="Times New Roman" w:hAnsi="Times New Roman" w:cs="Times New Roman" w:eastAsia="Times New Roman" w:hint="default"/>
        </w:rPr>
        <w:t>2</w:t>
      </w:r>
      <w:r>
        <w:rPr/>
        <w:t>）对于加盟管理，针对加盟建立与直营一</w:t>
      </w:r>
      <w:r>
        <w:rPr>
          <w:spacing w:val="-83"/>
        </w:rPr>
        <w:t> </w:t>
      </w:r>
      <w:r>
        <w:rPr>
          <w:spacing w:val="-83"/>
        </w:rPr>
      </w:r>
      <w:r>
        <w:rPr>
          <w:spacing w:val="-4"/>
        </w:rPr>
        <w:t>样的垂直化的管理团队，在充分借鉴直营管理经验的基础上，帮助加盟商与直营一样持续提高管理能力，实现可持续的发展。</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pStyle w:val="Heading2"/>
        <w:spacing w:line="240" w:lineRule="auto" w:before="0"/>
        <w:ind w:right="0"/>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pacing w:val="-1"/>
                <w:sz w:val="18"/>
                <w:szCs w:val="18"/>
              </w:rPr>
              <w:t>上市公司占被投资公司权益比例（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长安基金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基金管理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33%</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81"/>
        <w:gridCol w:w="538"/>
        <w:gridCol w:w="1133"/>
        <w:gridCol w:w="1136"/>
        <w:gridCol w:w="425"/>
        <w:gridCol w:w="1126"/>
        <w:gridCol w:w="718"/>
        <w:gridCol w:w="1018"/>
        <w:gridCol w:w="1109"/>
        <w:gridCol w:w="629"/>
        <w:gridCol w:w="854"/>
      </w:tblGrid>
      <w:tr>
        <w:trPr>
          <w:trHeight w:val="1649" w:hRule="exact"/>
        </w:trPr>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84" w:right="83"/>
              <w:jc w:val="left"/>
              <w:rPr>
                <w:rFonts w:ascii="宋体" w:hAnsi="宋体" w:cs="宋体" w:eastAsia="宋体" w:hint="default"/>
                <w:sz w:val="18"/>
                <w:szCs w:val="18"/>
              </w:rPr>
            </w:pPr>
            <w:r>
              <w:rPr>
                <w:rFonts w:ascii="宋体" w:hAnsi="宋体" w:cs="宋体" w:eastAsia="宋体" w:hint="default"/>
                <w:sz w:val="18"/>
                <w:szCs w:val="18"/>
              </w:rPr>
              <w:t>公司 类别</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01" w:right="108" w:hanging="89"/>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01" w:right="111" w:hanging="89"/>
              <w:jc w:val="left"/>
              <w:rPr>
                <w:rFonts w:ascii="宋体" w:hAnsi="宋体" w:cs="宋体" w:eastAsia="宋体" w:hint="default"/>
                <w:sz w:val="18"/>
                <w:szCs w:val="18"/>
              </w:rPr>
            </w:pPr>
            <w:r>
              <w:rPr>
                <w:rFonts w:ascii="宋体" w:hAnsi="宋体" w:cs="宋体" w:eastAsia="宋体" w:hint="default"/>
                <w:sz w:val="18"/>
                <w:szCs w:val="18"/>
              </w:rPr>
              <w:t>期初持股数 量（股）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4"/>
              <w:jc w:val="both"/>
              <w:rPr>
                <w:rFonts w:ascii="宋体" w:hAnsi="宋体" w:cs="宋体" w:eastAsia="宋体" w:hint="default"/>
                <w:sz w:val="18"/>
                <w:szCs w:val="18"/>
              </w:rPr>
            </w:pPr>
            <w:r>
              <w:rPr>
                <w:rFonts w:ascii="宋体" w:hAnsi="宋体" w:cs="宋体" w:eastAsia="宋体" w:hint="default"/>
                <w:sz w:val="18"/>
                <w:szCs w:val="18"/>
              </w:rPr>
              <w:t>期初 持股 比例</w:t>
            </w:r>
          </w:p>
          <w:p>
            <w:pPr>
              <w:pStyle w:val="TableParagraph"/>
              <w:spacing w:line="240" w:lineRule="auto" w:before="19"/>
              <w:ind w:left="4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17" w:right="0"/>
              <w:jc w:val="both"/>
              <w:rPr>
                <w:rFonts w:ascii="宋体" w:hAnsi="宋体" w:cs="宋体" w:eastAsia="宋体" w:hint="default"/>
                <w:sz w:val="18"/>
                <w:szCs w:val="18"/>
              </w:rPr>
            </w:pP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199" w:right="107" w:hanging="92"/>
              <w:jc w:val="left"/>
              <w:rPr>
                <w:rFonts w:ascii="宋体" w:hAnsi="宋体" w:cs="宋体" w:eastAsia="宋体" w:hint="default"/>
                <w:sz w:val="18"/>
                <w:szCs w:val="18"/>
              </w:rPr>
            </w:pPr>
            <w:r>
              <w:rPr>
                <w:rFonts w:ascii="宋体" w:hAnsi="宋体" w:cs="宋体" w:eastAsia="宋体" w:hint="default"/>
                <w:sz w:val="18"/>
                <w:szCs w:val="18"/>
              </w:rPr>
              <w:t>期末持股数 量（股）</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83" w:right="82"/>
              <w:jc w:val="left"/>
              <w:rPr>
                <w:rFonts w:ascii="宋体" w:hAnsi="宋体" w:cs="宋体" w:eastAsia="宋体" w:hint="default"/>
                <w:sz w:val="18"/>
                <w:szCs w:val="18"/>
              </w:rPr>
            </w:pPr>
            <w:r>
              <w:rPr>
                <w:rFonts w:ascii="宋体" w:hAnsi="宋体" w:cs="宋体" w:eastAsia="宋体" w:hint="default"/>
                <w:sz w:val="18"/>
                <w:szCs w:val="18"/>
              </w:rPr>
              <w:t>期末持 股比例</w:t>
            </w:r>
          </w:p>
          <w:p>
            <w:pPr>
              <w:pStyle w:val="TableParagraph"/>
              <w:spacing w:line="240" w:lineRule="auto" w:before="19"/>
              <w:ind w:left="9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40" w:right="38"/>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715"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1"/>
              <w:jc w:val="center"/>
              <w:rPr>
                <w:rFonts w:ascii="宋体" w:hAnsi="宋体" w:cs="宋体" w:eastAsia="宋体" w:hint="default"/>
                <w:sz w:val="18"/>
                <w:szCs w:val="18"/>
              </w:rPr>
            </w:pPr>
            <w:r>
              <w:rPr>
                <w:rFonts w:ascii="宋体" w:hAnsi="宋体" w:cs="宋体" w:eastAsia="宋体" w:hint="default"/>
                <w:sz w:val="18"/>
                <w:szCs w:val="18"/>
              </w:rPr>
              <w:t>长安基金</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33%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66,000,000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33%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46,169,771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-10,925,231</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z w:val="18"/>
                <w:szCs w:val="18"/>
              </w:rPr>
              <w:t>发起设立</w:t>
            </w:r>
          </w:p>
        </w:tc>
      </w:tr>
      <w:tr>
        <w:trPr>
          <w:trHeight w:val="401" w:hRule="exact"/>
        </w:trPr>
        <w:tc>
          <w:tcPr>
            <w:tcW w:w="14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33,000,000</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26"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66,000,000</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46,169,771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-10,925,231</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0" w:footer="1186" w:top="1440" w:bottom="1380" w:left="980" w:right="94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rPr>
        <w:t>2</w:t>
      </w:r>
      <w:r>
        <w:rPr/>
        <w:t>、主要子公司、参股公司分析</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主要子公司、参股公司情况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46"/>
        <w:gridCol w:w="473"/>
        <w:gridCol w:w="708"/>
        <w:gridCol w:w="708"/>
        <w:gridCol w:w="994"/>
        <w:gridCol w:w="1135"/>
        <w:gridCol w:w="1133"/>
        <w:gridCol w:w="1135"/>
        <w:gridCol w:w="1359"/>
        <w:gridCol w:w="1078"/>
      </w:tblGrid>
      <w:tr>
        <w:trPr>
          <w:trHeight w:val="1025"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2" w:right="48"/>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所处行 业</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center"/>
              <w:rPr>
                <w:rFonts w:ascii="宋体" w:hAnsi="宋体" w:cs="宋体" w:eastAsia="宋体" w:hint="default"/>
                <w:sz w:val="18"/>
                <w:szCs w:val="18"/>
              </w:rPr>
            </w:pPr>
            <w:r>
              <w:rPr>
                <w:rFonts w:ascii="宋体" w:hAnsi="宋体" w:cs="宋体" w:eastAsia="宋体" w:hint="default"/>
                <w:sz w:val="18"/>
                <w:szCs w:val="18"/>
              </w:rPr>
              <w:t>主要产 品或服 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hAnsi="宋体" w:cs="宋体" w:eastAsia="宋体" w:hint="default"/>
                <w:sz w:val="18"/>
                <w:szCs w:val="18"/>
              </w:rPr>
              <w:t>总资产（元）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
              <w:jc w:val="right"/>
              <w:rPr>
                <w:rFonts w:ascii="宋体" w:hAnsi="宋体" w:cs="宋体" w:eastAsia="宋体" w:hint="default"/>
                <w:sz w:val="18"/>
                <w:szCs w:val="18"/>
              </w:rPr>
            </w:pPr>
            <w:r>
              <w:rPr>
                <w:rFonts w:ascii="宋体" w:hAnsi="宋体" w:cs="宋体" w:eastAsia="宋体" w:hint="default"/>
                <w:sz w:val="18"/>
                <w:szCs w:val="18"/>
              </w:rPr>
              <w:t>净资产（元）</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right"/>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37"/>
              <w:jc w:val="center"/>
              <w:rPr>
                <w:rFonts w:ascii="宋体" w:hAnsi="宋体" w:cs="宋体" w:eastAsia="宋体" w:hint="default"/>
                <w:sz w:val="18"/>
                <w:szCs w:val="18"/>
              </w:rPr>
            </w:pPr>
            <w:r>
              <w:rPr>
                <w:rFonts w:ascii="宋体" w:hAnsi="宋体" w:cs="宋体" w:eastAsia="宋体" w:hint="default"/>
                <w:sz w:val="18"/>
                <w:szCs w:val="18"/>
              </w:rPr>
              <w:t>净利润（元）</w:t>
            </w:r>
          </w:p>
        </w:tc>
      </w:tr>
      <w:tr>
        <w:trPr>
          <w:trHeight w:val="71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上海企发</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批发零 售业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服装销 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pacing w:val="-1"/>
                <w:sz w:val="18"/>
              </w:rPr>
              <w:t>50,000,000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479,379,271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244,420,486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287,247,936</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162,703,921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124,867,991</w:t>
            </w:r>
          </w:p>
        </w:tc>
      </w:tr>
      <w:tr>
        <w:trPr>
          <w:trHeight w:val="71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温州美邦</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批发零 售业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服装销 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pacing w:val="-1"/>
                <w:sz w:val="18"/>
              </w:rPr>
              <w:t>50,000,000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572,294,734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278,214,340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523,879,519</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29,219,919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center"/>
              <w:rPr>
                <w:rFonts w:ascii="Times New Roman" w:hAnsi="Times New Roman" w:cs="Times New Roman" w:eastAsia="Times New Roman" w:hint="default"/>
                <w:sz w:val="18"/>
                <w:szCs w:val="18"/>
              </w:rPr>
            </w:pPr>
            <w:r>
              <w:rPr>
                <w:rFonts w:ascii="Times New Roman"/>
                <w:sz w:val="18"/>
              </w:rPr>
              <w:t>21,381,015</w:t>
            </w:r>
          </w:p>
        </w:tc>
      </w:tr>
      <w:tr>
        <w:trPr>
          <w:trHeight w:val="71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上海销售</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子公 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批发零 售业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服装销 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7"/>
              <w:jc w:val="right"/>
              <w:rPr>
                <w:rFonts w:ascii="Times New Roman" w:hAnsi="Times New Roman" w:cs="Times New Roman" w:eastAsia="Times New Roman" w:hint="default"/>
                <w:sz w:val="18"/>
                <w:szCs w:val="18"/>
              </w:rPr>
            </w:pPr>
            <w:r>
              <w:rPr>
                <w:rFonts w:ascii="Times New Roman"/>
                <w:spacing w:val="-1"/>
                <w:sz w:val="18"/>
              </w:rPr>
              <w:t>20,000,000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223,347,132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69,509,220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519,958,615</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5,034,579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9" w:right="0"/>
              <w:jc w:val="center"/>
              <w:rPr>
                <w:rFonts w:ascii="Times New Roman" w:hAnsi="Times New Roman" w:cs="Times New Roman" w:eastAsia="Times New Roman" w:hint="default"/>
                <w:sz w:val="18"/>
                <w:szCs w:val="18"/>
              </w:rPr>
            </w:pPr>
            <w:r>
              <w:rPr>
                <w:rFonts w:ascii="Times New Roman"/>
                <w:sz w:val="18"/>
              </w:rPr>
              <w:t>14,303,685</w:t>
            </w:r>
          </w:p>
        </w:tc>
      </w:tr>
    </w:tbl>
    <w:p>
      <w:pPr>
        <w:spacing w:line="240" w:lineRule="auto" w:before="1"/>
        <w:rPr>
          <w:rFonts w:ascii="宋体" w:hAnsi="宋体" w:cs="宋体" w:eastAsia="宋体" w:hint="default"/>
          <w:sz w:val="18"/>
          <w:szCs w:val="18"/>
        </w:rPr>
      </w:pPr>
    </w:p>
    <w:p>
      <w:pPr>
        <w:pStyle w:val="Heading2"/>
        <w:spacing w:line="240" w:lineRule="auto"/>
        <w:ind w:right="0"/>
        <w:jc w:val="both"/>
        <w:rPr>
          <w:b w:val="0"/>
          <w:bCs w:val="0"/>
        </w:rPr>
      </w:pPr>
      <w:r>
        <w:rPr/>
        <w:t>七、公司未来发展的展望</w:t>
      </w:r>
      <w:r>
        <w:rPr>
          <w:b w:val="0"/>
          <w:bCs w:val="0"/>
        </w:rPr>
      </w:r>
    </w:p>
    <w:p>
      <w:pPr>
        <w:spacing w:line="240" w:lineRule="auto" w:before="4"/>
        <w:rPr>
          <w:rFonts w:ascii="宋体" w:hAnsi="宋体" w:cs="宋体" w:eastAsia="宋体" w:hint="default"/>
          <w:b/>
          <w:bCs/>
          <w:sz w:val="32"/>
          <w:szCs w:val="32"/>
        </w:rPr>
      </w:pPr>
    </w:p>
    <w:p>
      <w:pPr>
        <w:pStyle w:val="BodyText"/>
        <w:spacing w:line="451" w:lineRule="auto"/>
        <w:ind w:right="0" w:firstLine="360"/>
        <w:jc w:val="left"/>
      </w:pPr>
      <w:r>
        <w:rPr>
          <w:spacing w:val="-2"/>
        </w:rPr>
        <w:t>总体来看</w:t>
      </w:r>
      <w:r>
        <w:rPr>
          <w:rFonts w:ascii="Times New Roman" w:hAnsi="Times New Roman" w:cs="Times New Roman" w:eastAsia="Times New Roman" w:hint="default"/>
          <w:spacing w:val="-2"/>
        </w:rPr>
        <w:t>2013</w:t>
      </w:r>
      <w:r>
        <w:rPr>
          <w:spacing w:val="-2"/>
        </w:rPr>
        <w:t>年终端消费市场将逐步回暖，但依然存在部分不确定性因素。在策略上公司将继续坚持稳健经营，深化组</w:t>
      </w:r>
      <w:r>
        <w:rPr/>
        <w:t> </w:t>
      </w:r>
      <w:r>
        <w:rPr>
          <w:spacing w:val="-4"/>
        </w:rPr>
        <w:t>织和流程的优化改造，提升供应链反应速度，加强企业应对市场起伏变化的能力，保持更高标准、更高质量的持续健康发展。</w:t>
      </w:r>
    </w:p>
    <w:p>
      <w:pPr>
        <w:pStyle w:val="BodyText"/>
        <w:tabs>
          <w:tab w:pos="993" w:val="left" w:leader="none"/>
        </w:tabs>
        <w:spacing w:line="451" w:lineRule="auto" w:before="74"/>
        <w:ind w:left="578" w:right="191" w:hanging="65"/>
        <w:jc w:val="left"/>
      </w:pPr>
      <w:r>
        <w:rPr>
          <w:rFonts w:ascii="Times New Roman" w:hAnsi="Times New Roman" w:cs="Times New Roman" w:eastAsia="Times New Roman" w:hint="default"/>
        </w:rPr>
        <w:t>1</w:t>
      </w:r>
      <w:r>
        <w:rPr/>
        <w:t>、</w:t>
        <w:tab/>
        <w:t>品牌经营 一方面公司将继续加大对加盟商发展支持力度，适度调整提货折扣，同时上半年继续加大库存商品消化力度。另一方</w:t>
      </w:r>
    </w:p>
    <w:p>
      <w:pPr>
        <w:pStyle w:val="BodyText"/>
        <w:spacing w:line="240" w:lineRule="auto" w:before="74"/>
        <w:ind w:right="0"/>
        <w:jc w:val="both"/>
      </w:pPr>
      <w:r>
        <w:rPr/>
        <w:t>面，公司将继续探索开展商品模块化运作，增加季中补单商品比重，提高产品适销性，带动新品正价销售比率的提高。</w:t>
      </w:r>
    </w:p>
    <w:p>
      <w:pPr>
        <w:spacing w:line="240" w:lineRule="auto" w:before="10"/>
        <w:rPr>
          <w:rFonts w:ascii="宋体" w:hAnsi="宋体" w:cs="宋体" w:eastAsia="宋体" w:hint="default"/>
          <w:sz w:val="17"/>
          <w:szCs w:val="17"/>
        </w:rPr>
      </w:pPr>
    </w:p>
    <w:p>
      <w:pPr>
        <w:pStyle w:val="BodyText"/>
        <w:tabs>
          <w:tab w:pos="993" w:val="left" w:leader="none"/>
        </w:tabs>
        <w:spacing w:line="451" w:lineRule="auto"/>
        <w:ind w:left="513" w:right="193"/>
        <w:jc w:val="left"/>
      </w:pPr>
      <w:r>
        <w:rPr>
          <w:rFonts w:ascii="Times New Roman" w:hAnsi="Times New Roman" w:cs="Times New Roman" w:eastAsia="Times New Roman" w:hint="default"/>
        </w:rPr>
        <w:t>2</w:t>
      </w:r>
      <w:r>
        <w:rPr/>
        <w:t>、</w:t>
        <w:tab/>
        <w:t>物流供应链管理 </w:t>
      </w:r>
      <w:r>
        <w:rPr>
          <w:spacing w:val="-2"/>
        </w:rPr>
        <w:t>优化供应链上游流程，对产品的开发、生产、流通计划等流程进行梳理和优化，强化供应链计划职能，建立供应链体系</w:t>
      </w:r>
    </w:p>
    <w:p>
      <w:pPr>
        <w:pStyle w:val="BodyText"/>
        <w:spacing w:line="477" w:lineRule="auto" w:before="74"/>
        <w:ind w:right="189"/>
        <w:jc w:val="both"/>
      </w:pPr>
      <w:r>
        <w:rPr>
          <w:spacing w:val="-2"/>
        </w:rPr>
        <w:t>各职能部门之间的信息共享和问题反馈机制，确保流程无缝衔接；同时，进一步深化物流供应链的改革，大力提升供应链的</w:t>
      </w:r>
      <w:r>
        <w:rPr>
          <w:spacing w:val="-63"/>
        </w:rPr>
        <w:t> </w:t>
      </w:r>
      <w:r>
        <w:rPr>
          <w:spacing w:val="-63"/>
        </w:rPr>
      </w:r>
      <w:r>
        <w:rPr>
          <w:spacing w:val="-2"/>
        </w:rPr>
        <w:t>可靠性和服务质量，充分整合公司物流资源，实现物流资源的高度共享，建立标准化、专业化、精细化物流管理体系，打造</w:t>
      </w:r>
      <w:r>
        <w:rPr>
          <w:spacing w:val="-66"/>
        </w:rPr>
        <w:t> </w:t>
      </w:r>
      <w:r>
        <w:rPr>
          <w:spacing w:val="-66"/>
        </w:rPr>
      </w:r>
      <w:r>
        <w:rPr/>
        <w:t>快速反应的供应链。</w:t>
      </w:r>
    </w:p>
    <w:p>
      <w:pPr>
        <w:pStyle w:val="BodyText"/>
        <w:tabs>
          <w:tab w:pos="993" w:val="left" w:leader="none"/>
        </w:tabs>
        <w:spacing w:line="451" w:lineRule="auto" w:before="54"/>
        <w:ind w:left="578" w:right="191" w:hanging="65"/>
        <w:jc w:val="left"/>
      </w:pPr>
      <w:r>
        <w:rPr>
          <w:rFonts w:ascii="Times New Roman" w:hAnsi="Times New Roman" w:cs="Times New Roman" w:eastAsia="Times New Roman" w:hint="default"/>
        </w:rPr>
        <w:t>3</w:t>
      </w:r>
      <w:r>
        <w:rPr/>
        <w:t>、</w:t>
        <w:tab/>
        <w:t>信息系统建设 重点关注终端管理精细化，提升管理水平，继续加强线下与线上的融合，提高快速反应能力；另外，公司将继续提高</w:t>
      </w:r>
    </w:p>
    <w:p>
      <w:pPr>
        <w:pStyle w:val="BodyText"/>
        <w:spacing w:line="451" w:lineRule="auto" w:before="74"/>
        <w:ind w:left="578" w:right="0" w:hanging="426"/>
        <w:jc w:val="left"/>
      </w:pPr>
      <w:r>
        <w:rPr>
          <w:rFonts w:ascii="Times New Roman" w:hAnsi="Times New Roman" w:cs="Times New Roman" w:eastAsia="Times New Roman" w:hint="default"/>
        </w:rPr>
        <w:t>BI</w:t>
      </w:r>
      <w:r>
        <w:rPr/>
        <w:t>系统在业务运营决策中的应用深度，为公司科学决策、科学管理提供坚实有力的保障。</w:t>
      </w:r>
      <w:r>
        <w:rPr>
          <w:w w:val="99"/>
        </w:rPr>
        <w:t> </w:t>
      </w:r>
      <w:r>
        <w:rPr/>
        <w:t>开展企业信息安全系统实施工作，围绕企业内终端、服务器、网络、数据等方面开展相关项目，优化信息安全管理策</w:t>
      </w:r>
    </w:p>
    <w:p>
      <w:pPr>
        <w:pStyle w:val="BodyText"/>
        <w:spacing w:line="240" w:lineRule="auto" w:before="74"/>
        <w:ind w:right="0"/>
        <w:jc w:val="both"/>
      </w:pPr>
      <w:r>
        <w:rPr/>
        <w:t>略，提升企业内部信息安全管理水平。</w:t>
      </w:r>
    </w:p>
    <w:p>
      <w:pPr>
        <w:spacing w:after="0" w:line="240" w:lineRule="auto"/>
        <w:jc w:val="both"/>
        <w:sectPr>
          <w:pgSz w:w="11910" w:h="16840"/>
          <w:pgMar w:header="850" w:footer="1186" w:top="1440" w:bottom="1380" w:left="980" w:right="9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201"/>
        <w:ind w:right="0"/>
        <w:jc w:val="left"/>
        <w:rPr>
          <w:b w:val="0"/>
          <w:bCs w:val="0"/>
        </w:rPr>
      </w:pPr>
      <w:r>
        <w:rPr/>
        <w:t>八、与上年度财务报告相比，合并报表范围发生变化的情况说明</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报告期内公司全资设立了如下子公司</w:t>
      </w:r>
    </w:p>
    <w:p>
      <w:pPr>
        <w:pStyle w:val="BodyText"/>
        <w:spacing w:line="240" w:lineRule="auto" w:before="76"/>
        <w:ind w:left="0" w:right="191"/>
        <w:jc w:val="right"/>
      </w:pPr>
      <w:r>
        <w:rPr/>
        <w:t>（单位：万元）</w:t>
      </w:r>
    </w:p>
    <w:p>
      <w:pPr>
        <w:spacing w:line="240" w:lineRule="auto" w:before="8"/>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5221"/>
        <w:gridCol w:w="1455"/>
        <w:gridCol w:w="1387"/>
        <w:gridCol w:w="1573"/>
      </w:tblGrid>
      <w:tr>
        <w:trPr>
          <w:trHeight w:val="346" w:hRule="exact"/>
        </w:trPr>
        <w:tc>
          <w:tcPr>
            <w:tcW w:w="52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4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362" w:right="0"/>
              <w:jc w:val="left"/>
              <w:rPr>
                <w:rFonts w:ascii="宋体" w:hAnsi="宋体" w:cs="宋体" w:eastAsia="宋体" w:hint="default"/>
                <w:sz w:val="18"/>
                <w:szCs w:val="18"/>
              </w:rPr>
            </w:pPr>
            <w:r>
              <w:rPr>
                <w:rFonts w:ascii="宋体" w:hAnsi="宋体" w:cs="宋体" w:eastAsia="宋体" w:hint="default"/>
                <w:sz w:val="18"/>
                <w:szCs w:val="18"/>
              </w:rPr>
              <w:t>项目金额</w:t>
            </w:r>
          </w:p>
        </w:tc>
        <w:tc>
          <w:tcPr>
            <w:tcW w:w="13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3"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362" w:hRule="exact"/>
        </w:trPr>
        <w:tc>
          <w:tcPr>
            <w:tcW w:w="522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新设立岳阳美特斯邦威服饰有限公司</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200</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100%</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62"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新设立上海邦彤实业有限公司</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100%</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62"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新设立西宁美特斯邦威服饰有限责任公司</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200</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100%</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504" w:hRule="exact"/>
        </w:trPr>
        <w:tc>
          <w:tcPr>
            <w:tcW w:w="5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right="-1"/>
              <w:jc w:val="right"/>
              <w:rPr>
                <w:rFonts w:ascii="Times New Roman" w:hAnsi="Times New Roman" w:cs="Times New Roman" w:eastAsia="Times New Roman" w:hint="default"/>
                <w:sz w:val="18"/>
                <w:szCs w:val="18"/>
              </w:rPr>
            </w:pPr>
            <w:r>
              <w:rPr>
                <w:rFonts w:ascii="Times New Roman"/>
                <w:sz w:val="18"/>
              </w:rPr>
              <w:t>1400</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9"/>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88"/>
        <w:ind w:right="0"/>
        <w:jc w:val="left"/>
      </w:pPr>
      <w:r>
        <w:rPr/>
        <w:t>除本年度新设立子公司岳阳美邦、邦彤实业、及西宁美邦外，合并财务报表范围与上年度一致。</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before="0"/>
        <w:ind w:right="0"/>
        <w:jc w:val="left"/>
        <w:rPr>
          <w:b w:val="0"/>
          <w:bCs w:val="0"/>
        </w:rPr>
      </w:pPr>
      <w:r>
        <w:rPr/>
        <w:t>九、公司利润分配及分红派息情况</w:t>
      </w:r>
      <w:r>
        <w:rPr>
          <w:b w:val="0"/>
          <w:bCs w:val="0"/>
        </w:rPr>
      </w:r>
    </w:p>
    <w:p>
      <w:pPr>
        <w:spacing w:line="240" w:lineRule="auto" w:before="7"/>
        <w:rPr>
          <w:rFonts w:ascii="宋体" w:hAnsi="宋体" w:cs="宋体" w:eastAsia="宋体" w:hint="default"/>
          <w:b/>
          <w:bCs/>
          <w:sz w:val="32"/>
          <w:szCs w:val="32"/>
        </w:rPr>
      </w:pPr>
    </w:p>
    <w:p>
      <w:pPr>
        <w:pStyle w:val="BodyText"/>
        <w:spacing w:line="516" w:lineRule="auto"/>
        <w:ind w:left="573" w:right="243" w:hanging="421"/>
        <w:jc w:val="left"/>
      </w:pPr>
      <w:r>
        <w:rPr/>
        <w:t>报告期内利润分配政策特别是现金分红政策的制定、执行或调整情况 上市几年来，公司的分红政策一直较为稳定，每年的股利支付率基本维持在当年每股利润</w:t>
      </w:r>
      <w:r>
        <w:rPr>
          <w:rFonts w:ascii="Times New Roman" w:hAnsi="Times New Roman" w:cs="Times New Roman" w:eastAsia="Times New Roman" w:hint="default"/>
        </w:rPr>
        <w:t>70%</w:t>
      </w:r>
      <w:r>
        <w:rPr/>
        <w:t>的水平。公司制定当年</w:t>
      </w:r>
    </w:p>
    <w:p>
      <w:pPr>
        <w:pStyle w:val="BodyText"/>
        <w:spacing w:line="477" w:lineRule="auto"/>
        <w:ind w:right="0"/>
        <w:jc w:val="left"/>
      </w:pPr>
      <w:r>
        <w:rPr>
          <w:spacing w:val="-2"/>
        </w:rPr>
        <w:t>利润分配政策须经董事会讨论审议，在审议之前独立董事针对当年经营业绩实现情况、公司整体现金流情况对具体利润分配</w:t>
      </w:r>
      <w:r>
        <w:rPr>
          <w:spacing w:val="-64"/>
        </w:rPr>
        <w:t> </w:t>
      </w:r>
      <w:r>
        <w:rPr>
          <w:spacing w:val="-64"/>
        </w:rPr>
      </w:r>
      <w:r>
        <w:rPr>
          <w:spacing w:val="-4"/>
        </w:rPr>
        <w:t>方案进行了认真思考并在董事会上审慎的发表意见；在年度股东大会上，公司广大中小股东能够针对此项议案充分发表意见，</w:t>
      </w:r>
      <w:r>
        <w:rPr>
          <w:spacing w:val="-44"/>
        </w:rPr>
        <w:t> </w:t>
      </w:r>
      <w:r>
        <w:rPr>
          <w:spacing w:val="-44"/>
        </w:rPr>
      </w:r>
      <w:r>
        <w:rPr/>
        <w:t>维护自身合法权益。</w:t>
      </w:r>
    </w:p>
    <w:p>
      <w:pPr>
        <w:pStyle w:val="BodyText"/>
        <w:spacing w:line="465" w:lineRule="auto" w:before="95"/>
        <w:ind w:right="192" w:firstLine="362"/>
        <w:jc w:val="both"/>
      </w:pPr>
      <w:r>
        <w:rPr>
          <w:spacing w:val="-5"/>
        </w:rPr>
        <w:t>为进一步保障广大股东权益，根据中国证监会《关于进一步落实上市公司现金分红有关事项的通知》的要求，公司于</w:t>
      </w:r>
      <w:r>
        <w:rPr>
          <w:rFonts w:ascii="Times New Roman" w:hAnsi="Times New Roman" w:cs="Times New Roman" w:eastAsia="Times New Roman" w:hint="default"/>
          <w:spacing w:val="-5"/>
        </w:rPr>
        <w:t>2012</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8</w:t>
      </w:r>
      <w:r>
        <w:rPr/>
        <w:t>月份召开董事会对现行《公司章程》中有关利润分配政策的相关条款进行修改，包括利润分配形式、现金分红的具体条</w:t>
      </w:r>
      <w:r>
        <w:rPr>
          <w:spacing w:val="-84"/>
        </w:rPr>
        <w:t> </w:t>
      </w:r>
      <w:r>
        <w:rPr>
          <w:spacing w:val="-84"/>
        </w:rPr>
      </w:r>
      <w:r>
        <w:rPr>
          <w:spacing w:val="-2"/>
        </w:rPr>
        <w:t>件和比例、未分配利润的使用原则等具体政策。《公司章程》明确规定公司应每年原则上进行一次利润分配。公司董事会可</w:t>
      </w:r>
      <w:r>
        <w:rPr>
          <w:spacing w:val="-67"/>
        </w:rPr>
        <w:t> </w:t>
      </w:r>
      <w:r>
        <w:rPr>
          <w:spacing w:val="-67"/>
        </w:rPr>
      </w:r>
      <w:r>
        <w:rPr/>
        <w:t>以根据公司盈利情况及资金需求状况提议公司进行中期分红并提交公司股东大会批准。</w:t>
      </w:r>
      <w:r>
        <w:rPr>
          <w:spacing w:val="8"/>
        </w:rPr>
        <w:t> </w:t>
      </w:r>
      <w:r>
        <w:rPr/>
        <w:t>在公司盈利且现金能满足持续经营</w:t>
      </w:r>
      <w:r>
        <w:rPr/>
        <w:t> </w:t>
      </w:r>
      <w:r>
        <w:rPr>
          <w:spacing w:val="-2"/>
        </w:rPr>
        <w:t>和长期发展的情况下，公司应保持权益分派政策的连续性与稳定性，原则上每年以现金方式分配的利润应不低于当年实现的</w:t>
      </w:r>
      <w:r>
        <w:rPr>
          <w:spacing w:val="-64"/>
        </w:rPr>
        <w:t> </w:t>
      </w:r>
      <w:r>
        <w:rPr>
          <w:spacing w:val="-64"/>
        </w:rPr>
      </w:r>
      <w:r>
        <w:rPr/>
        <w:t>可分配利润的</w:t>
      </w:r>
      <w:r>
        <w:rPr>
          <w:rFonts w:ascii="Times New Roman" w:hAnsi="Times New Roman" w:cs="Times New Roman" w:eastAsia="Times New Roman" w:hint="default"/>
        </w:rPr>
        <w:t>20%</w:t>
      </w:r>
      <w:r>
        <w:rPr/>
        <w:t>，近三年公司以现金方式累计分配的利润不少于该三年实现的年均可分配的利润的</w:t>
      </w:r>
      <w:r>
        <w:rPr>
          <w:rFonts w:ascii="Times New Roman" w:hAnsi="Times New Roman" w:cs="Times New Roman" w:eastAsia="Times New Roman" w:hint="default"/>
        </w:rPr>
        <w:t>30%</w:t>
      </w:r>
      <w:r>
        <w:rPr/>
        <w:t>。</w:t>
      </w:r>
    </w:p>
    <w:p>
      <w:pPr>
        <w:spacing w:line="240" w:lineRule="auto" w:before="8"/>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1,005,000,000.00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753,750,000.00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1,448,608,006.00</w:t>
            </w:r>
          </w:p>
        </w:tc>
      </w:tr>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bl>
    <w:p>
      <w:pPr>
        <w:spacing w:after="0" w:line="240" w:lineRule="auto"/>
        <w:jc w:val="left"/>
        <w:rPr>
          <w:rFonts w:ascii="宋体" w:hAnsi="宋体" w:cs="宋体" w:eastAsia="宋体" w:hint="default"/>
          <w:sz w:val="18"/>
          <w:szCs w:val="18"/>
        </w:rPr>
        <w:sectPr>
          <w:pgSz w:w="11910" w:h="16840"/>
          <w:pgMar w:header="850" w:footer="1186" w:top="1440" w:bottom="1380" w:left="980" w:right="940"/>
        </w:sectPr>
      </w:pPr>
    </w:p>
    <w:p>
      <w:pPr>
        <w:spacing w:line="240" w:lineRule="auto" w:before="11"/>
        <w:rPr>
          <w:rFonts w:ascii="宋体" w:hAnsi="宋体" w:cs="宋体" w:eastAsia="宋体" w:hint="default"/>
          <w:sz w:val="2"/>
          <w:szCs w:val="2"/>
        </w:rPr>
      </w:pPr>
    </w:p>
    <w:p>
      <w:pPr>
        <w:spacing w:line="1524" w:lineRule="exact"/>
        <w:ind w:left="116" w:right="0" w:firstLine="0"/>
        <w:rPr>
          <w:rFonts w:ascii="宋体" w:hAnsi="宋体" w:cs="宋体" w:eastAsia="宋体" w:hint="default"/>
          <w:sz w:val="20"/>
          <w:szCs w:val="20"/>
        </w:rPr>
      </w:pPr>
      <w:r>
        <w:rPr>
          <w:rFonts w:ascii="宋体" w:hAnsi="宋体" w:cs="宋体" w:eastAsia="宋体" w:hint="default"/>
          <w:position w:val="-29"/>
          <w:sz w:val="20"/>
          <w:szCs w:val="20"/>
        </w:rPr>
        <w:pict>
          <v:group style="width:485.65pt;height:76.25pt;mso-position-horizontal-relative:char;mso-position-vertical-relative:line" coordorigin="0,0" coordsize="9713,1525">
            <v:group style="position:absolute;left:7;top:7;width:9698;height:2" coordorigin="7,7" coordsize="9698,2">
              <v:shape style="position:absolute;left:7;top:7;width:9698;height:2" coordorigin="7,7" coordsize="9698,0" path="m7,7l9705,7e" filled="false" stroked="true" strokeweight=".72pt" strokecolor="#000000">
                <v:path arrowok="t"/>
              </v:shape>
            </v:group>
            <v:group style="position:absolute;left:41;top:19;width:9562;height:2" coordorigin="41,19" coordsize="9562,2">
              <v:shape style="position:absolute;left:41;top:19;width:9562;height:2" coordorigin="41,19" coordsize="9562,0" path="m41,19l9602,19e" filled="false" stroked="true" strokeweight=".48pt" strokecolor="#000000">
                <v:path arrowok="t"/>
              </v:shape>
            </v:group>
            <v:group style="position:absolute;left:36;top:14;width:2;height:1506" coordorigin="36,14" coordsize="2,1506">
              <v:shape style="position:absolute;left:36;top:14;width:2;height:1506" coordorigin="36,14" coordsize="0,1506" path="m36,14l36,1520e" filled="false" stroked="true" strokeweight=".48pt" strokecolor="#000000">
                <v:path arrowok="t"/>
              </v:shape>
            </v:group>
            <v:group style="position:absolute;left:41;top:1515;width:9562;height:2" coordorigin="41,1515" coordsize="9562,2">
              <v:shape style="position:absolute;left:41;top:1515;width:9562;height:2" coordorigin="41,1515" coordsize="9562,0" path="m41,1515l9602,1515e" filled="false" stroked="true" strokeweight=".48pt" strokecolor="#000000">
                <v:path arrowok="t"/>
              </v:shape>
            </v:group>
            <v:group style="position:absolute;left:9607;top:14;width:2;height:1506" coordorigin="9607,14" coordsize="2,1506">
              <v:shape style="position:absolute;left:9607;top:14;width:2;height:1506" coordorigin="9607,14" coordsize="0,1506" path="m9607,14l9607,1520e" filled="false" stroked="true" strokeweight=".47998pt" strokecolor="#000000">
                <v:path arrowok="t"/>
              </v:shape>
              <v:shape style="position:absolute;left:36;top:12;width:9571;height:1503" type="#_x0000_t202" filled="false" stroked="false">
                <v:textbox inset="0,0,0,0">
                  <w:txbxContent>
                    <w:p>
                      <w:pPr>
                        <w:spacing w:line="448" w:lineRule="auto" w:before="142"/>
                        <w:ind w:left="28" w:right="23" w:firstLine="425"/>
                        <w:jc w:val="left"/>
                        <w:rPr>
                          <w:rFonts w:ascii="宋体" w:hAnsi="宋体" w:cs="宋体" w:eastAsia="宋体" w:hint="default"/>
                          <w:sz w:val="18"/>
                          <w:szCs w:val="18"/>
                        </w:rPr>
                      </w:pPr>
                      <w:r>
                        <w:rPr>
                          <w:rFonts w:ascii="宋体" w:hAnsi="宋体" w:cs="宋体" w:eastAsia="宋体" w:hint="default"/>
                          <w:spacing w:val="-1"/>
                          <w:sz w:val="18"/>
                          <w:szCs w:val="18"/>
                        </w:rPr>
                        <w:t>公司第二届董事会第十五次会议审议通过</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年度利润分配方案：以</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年末公司总股本</w:t>
                      </w:r>
                      <w:r>
                        <w:rPr>
                          <w:rFonts w:ascii="Times New Roman" w:hAnsi="Times New Roman" w:cs="Times New Roman" w:eastAsia="Times New Roman" w:hint="default"/>
                          <w:spacing w:val="-1"/>
                          <w:sz w:val="18"/>
                          <w:szCs w:val="18"/>
                        </w:rPr>
                        <w:t>1,005,000,000</w:t>
                      </w:r>
                      <w:r>
                        <w:rPr>
                          <w:rFonts w:ascii="宋体" w:hAnsi="宋体" w:cs="宋体" w:eastAsia="宋体" w:hint="default"/>
                          <w:spacing w:val="-1"/>
                          <w:sz w:val="18"/>
                          <w:szCs w:val="18"/>
                        </w:rPr>
                        <w:t>股为基数，向</w:t>
                      </w:r>
                      <w:r>
                        <w:rPr>
                          <w:rFonts w:ascii="宋体" w:hAnsi="宋体" w:cs="宋体" w:eastAsia="宋体" w:hint="default"/>
                          <w:sz w:val="18"/>
                          <w:szCs w:val="18"/>
                        </w:rPr>
                        <w:t> </w:t>
                      </w:r>
                      <w:r>
                        <w:rPr>
                          <w:rFonts w:ascii="宋体" w:hAnsi="宋体" w:cs="宋体" w:eastAsia="宋体" w:hint="default"/>
                          <w:spacing w:val="-2"/>
                          <w:sz w:val="18"/>
                          <w:szCs w:val="18"/>
                        </w:rPr>
                        <w:t>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股派发现金</w:t>
                      </w:r>
                      <w:r>
                        <w:rPr>
                          <w:rFonts w:ascii="Times New Roman" w:hAnsi="Times New Roman" w:cs="Times New Roman" w:eastAsia="Times New Roman" w:hint="default"/>
                          <w:spacing w:val="-2"/>
                          <w:sz w:val="18"/>
                          <w:szCs w:val="18"/>
                        </w:rPr>
                        <w:t>7.5</w:t>
                      </w:r>
                      <w:r>
                        <w:rPr>
                          <w:rFonts w:ascii="宋体" w:hAnsi="宋体" w:cs="宋体" w:eastAsia="宋体" w:hint="default"/>
                          <w:spacing w:val="-2"/>
                          <w:sz w:val="18"/>
                          <w:szCs w:val="18"/>
                        </w:rPr>
                        <w:t>元（含税），本次利润分配</w:t>
                      </w:r>
                      <w:r>
                        <w:rPr>
                          <w:rFonts w:ascii="Times New Roman" w:hAnsi="Times New Roman" w:cs="Times New Roman" w:eastAsia="Times New Roman" w:hint="default"/>
                          <w:spacing w:val="-2"/>
                          <w:sz w:val="18"/>
                          <w:szCs w:val="18"/>
                        </w:rPr>
                        <w:t>753,750,000</w:t>
                      </w:r>
                      <w:r>
                        <w:rPr>
                          <w:rFonts w:ascii="宋体" w:hAnsi="宋体" w:cs="宋体" w:eastAsia="宋体" w:hint="default"/>
                          <w:spacing w:val="-2"/>
                          <w:sz w:val="18"/>
                          <w:szCs w:val="18"/>
                        </w:rPr>
                        <w:t>元，利润分配后，剩余未分配利润</w:t>
                      </w:r>
                      <w:r>
                        <w:rPr>
                          <w:rFonts w:ascii="Times New Roman" w:hAnsi="Times New Roman" w:cs="Times New Roman" w:eastAsia="Times New Roman" w:hint="default"/>
                          <w:spacing w:val="-2"/>
                          <w:sz w:val="18"/>
                          <w:szCs w:val="18"/>
                        </w:rPr>
                        <w:t>694,858,006</w:t>
                      </w:r>
                      <w:r>
                        <w:rPr>
                          <w:rFonts w:ascii="宋体" w:hAnsi="宋体" w:cs="宋体" w:eastAsia="宋体" w:hint="default"/>
                          <w:spacing w:val="-2"/>
                          <w:sz w:val="18"/>
                          <w:szCs w:val="18"/>
                        </w:rPr>
                        <w:t>元转入下</w:t>
                      </w:r>
                    </w:p>
                    <w:p>
                      <w:pPr>
                        <w:spacing w:before="45"/>
                        <w:ind w:left="28" w:right="0" w:firstLine="0"/>
                        <w:jc w:val="left"/>
                        <w:rPr>
                          <w:rFonts w:ascii="宋体" w:hAnsi="宋体" w:cs="宋体" w:eastAsia="宋体" w:hint="default"/>
                          <w:sz w:val="18"/>
                          <w:szCs w:val="18"/>
                        </w:rPr>
                      </w:pPr>
                      <w:r>
                        <w:rPr>
                          <w:rFonts w:ascii="宋体" w:hAnsi="宋体" w:cs="宋体" w:eastAsia="宋体" w:hint="default"/>
                          <w:sz w:val="18"/>
                          <w:szCs w:val="18"/>
                        </w:rPr>
                        <w:t>一年度。本次利润分配预案须经</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年年度股东大会审议批准后实施。</w:t>
                      </w:r>
                    </w:p>
                  </w:txbxContent>
                </v:textbox>
                <w10:wrap type="none"/>
              </v:shape>
            </v:group>
          </v:group>
        </w:pict>
      </w:r>
      <w:r>
        <w:rPr>
          <w:rFonts w:ascii="宋体" w:hAnsi="宋体" w:cs="宋体" w:eastAsia="宋体" w:hint="default"/>
          <w:position w:val="-29"/>
          <w:sz w:val="20"/>
          <w:szCs w:val="20"/>
        </w:rPr>
      </w:r>
    </w:p>
    <w:p>
      <w:pPr>
        <w:spacing w:line="240" w:lineRule="auto" w:before="1"/>
        <w:rPr>
          <w:rFonts w:ascii="宋体" w:hAnsi="宋体" w:cs="宋体" w:eastAsia="宋体" w:hint="default"/>
          <w:sz w:val="6"/>
          <w:szCs w:val="6"/>
        </w:rPr>
      </w:pPr>
    </w:p>
    <w:p>
      <w:pPr>
        <w:pStyle w:val="BodyText"/>
        <w:spacing w:line="240" w:lineRule="auto" w:before="44"/>
        <w:ind w:left="578" w:right="0"/>
        <w:jc w:val="left"/>
      </w:pPr>
      <w:r>
        <w:rPr/>
        <w:t>公司近</w:t>
      </w:r>
      <w:r>
        <w:rPr>
          <w:rFonts w:ascii="Times New Roman" w:hAnsi="Times New Roman" w:cs="Times New Roman" w:eastAsia="Times New Roman" w:hint="default"/>
        </w:rPr>
        <w:t>3</w:t>
      </w:r>
      <w:r>
        <w:rPr/>
        <w:t>年（含报告期）的利润分配方案及资本公积金转增股本方案情况</w:t>
      </w:r>
    </w:p>
    <w:p>
      <w:pPr>
        <w:spacing w:line="240" w:lineRule="auto" w:before="9"/>
        <w:rPr>
          <w:rFonts w:ascii="宋体" w:hAnsi="宋体" w:cs="宋体" w:eastAsia="宋体" w:hint="default"/>
          <w:sz w:val="19"/>
          <w:szCs w:val="19"/>
        </w:rPr>
      </w:pPr>
    </w:p>
    <w:p>
      <w:pPr>
        <w:pStyle w:val="BodyText"/>
        <w:spacing w:line="451" w:lineRule="auto"/>
        <w:ind w:right="0" w:firstLine="425"/>
        <w:jc w:val="left"/>
      </w:pPr>
      <w:r>
        <w:rPr>
          <w:rFonts w:ascii="Times New Roman" w:hAnsi="Times New Roman" w:cs="Times New Roman" w:eastAsia="Times New Roman" w:hint="default"/>
          <w:spacing w:val="-1"/>
        </w:rPr>
        <w:t>1</w:t>
      </w:r>
      <w:r>
        <w:rPr>
          <w:spacing w:val="-1"/>
        </w:rPr>
        <w:t>、公司第二届董事会第三次会议审议通过</w:t>
      </w:r>
      <w:r>
        <w:rPr>
          <w:rFonts w:ascii="Times New Roman" w:hAnsi="Times New Roman" w:cs="Times New Roman" w:eastAsia="Times New Roman" w:hint="default"/>
          <w:spacing w:val="-1"/>
        </w:rPr>
        <w:t>2010</w:t>
      </w:r>
      <w:r>
        <w:rPr>
          <w:spacing w:val="-1"/>
        </w:rPr>
        <w:t>年度利润分配方案：以</w:t>
      </w:r>
      <w:r>
        <w:rPr>
          <w:rFonts w:ascii="Times New Roman" w:hAnsi="Times New Roman" w:cs="Times New Roman" w:eastAsia="Times New Roman" w:hint="default"/>
          <w:spacing w:val="-1"/>
        </w:rPr>
        <w:t>2010</w:t>
      </w:r>
      <w:r>
        <w:rPr>
          <w:spacing w:val="-1"/>
        </w:rPr>
        <w:t>年末公司总股本</w:t>
      </w:r>
      <w:r>
        <w:rPr>
          <w:rFonts w:ascii="Times New Roman" w:hAnsi="Times New Roman" w:cs="Times New Roman" w:eastAsia="Times New Roman" w:hint="default"/>
          <w:spacing w:val="-1"/>
        </w:rPr>
        <w:t>1,005,000,000</w:t>
      </w:r>
      <w:r>
        <w:rPr>
          <w:spacing w:val="-1"/>
        </w:rPr>
        <w:t>股为基数，向</w:t>
      </w:r>
      <w:r>
        <w:rPr/>
        <w:t> 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5.3</w:t>
      </w:r>
      <w:r>
        <w:rPr/>
        <w:t>元（含税），本次利润分配</w:t>
      </w:r>
      <w:r>
        <w:rPr>
          <w:rFonts w:ascii="Times New Roman" w:hAnsi="Times New Roman" w:cs="Times New Roman" w:eastAsia="Times New Roman" w:hint="default"/>
        </w:rPr>
        <w:t>532,650,000</w:t>
      </w:r>
      <w:r>
        <w:rPr/>
        <w:t>元，利润分配后，剩余未分配利润转入下一年度。</w:t>
      </w:r>
    </w:p>
    <w:p>
      <w:pPr>
        <w:pStyle w:val="BodyText"/>
        <w:spacing w:line="451" w:lineRule="auto" w:before="84"/>
        <w:ind w:right="0" w:firstLine="425"/>
        <w:jc w:val="left"/>
      </w:pPr>
      <w:r>
        <w:rPr>
          <w:rFonts w:ascii="Times New Roman" w:hAnsi="Times New Roman" w:cs="Times New Roman" w:eastAsia="Times New Roman" w:hint="default"/>
          <w:spacing w:val="-1"/>
        </w:rPr>
        <w:t>2</w:t>
      </w:r>
      <w:r>
        <w:rPr>
          <w:spacing w:val="-1"/>
        </w:rPr>
        <w:t>、公司第二届董事会第九次会议审议通过</w:t>
      </w:r>
      <w:r>
        <w:rPr>
          <w:rFonts w:ascii="Times New Roman" w:hAnsi="Times New Roman" w:cs="Times New Roman" w:eastAsia="Times New Roman" w:hint="default"/>
          <w:spacing w:val="-1"/>
        </w:rPr>
        <w:t>2011</w:t>
      </w:r>
      <w:r>
        <w:rPr>
          <w:spacing w:val="-1"/>
        </w:rPr>
        <w:t>年度利润分配方案：以</w:t>
      </w:r>
      <w:r>
        <w:rPr>
          <w:rFonts w:ascii="Times New Roman" w:hAnsi="Times New Roman" w:cs="Times New Roman" w:eastAsia="Times New Roman" w:hint="default"/>
          <w:spacing w:val="-1"/>
        </w:rPr>
        <w:t>2011</w:t>
      </w:r>
      <w:r>
        <w:rPr>
          <w:spacing w:val="-1"/>
        </w:rPr>
        <w:t>年末公司总股本</w:t>
      </w:r>
      <w:r>
        <w:rPr>
          <w:rFonts w:ascii="Times New Roman" w:hAnsi="Times New Roman" w:cs="Times New Roman" w:eastAsia="Times New Roman" w:hint="default"/>
          <w:spacing w:val="-1"/>
        </w:rPr>
        <w:t>1,005,000,000</w:t>
      </w:r>
      <w:r>
        <w:rPr>
          <w:spacing w:val="-1"/>
        </w:rPr>
        <w:t>股为基数，向</w:t>
      </w:r>
      <w:r>
        <w:rPr/>
        <w:t> 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8.4</w:t>
      </w:r>
      <w:r>
        <w:rPr/>
        <w:t>元（含税），本次利润分配</w:t>
      </w:r>
      <w:r>
        <w:rPr>
          <w:rFonts w:ascii="Times New Roman" w:hAnsi="Times New Roman" w:cs="Times New Roman" w:eastAsia="Times New Roman" w:hint="default"/>
        </w:rPr>
        <w:t>844,200,000</w:t>
      </w:r>
      <w:r>
        <w:rPr/>
        <w:t>元，利润分配后，剩余未分配利润转入下一年度。</w:t>
      </w:r>
    </w:p>
    <w:p>
      <w:pPr>
        <w:pStyle w:val="BodyText"/>
        <w:spacing w:line="451" w:lineRule="auto" w:before="85"/>
        <w:ind w:right="124" w:firstLine="425"/>
        <w:jc w:val="left"/>
      </w:pPr>
      <w:r>
        <w:rPr>
          <w:rFonts w:ascii="Times New Roman" w:hAnsi="Times New Roman" w:cs="Times New Roman" w:eastAsia="Times New Roman" w:hint="default"/>
        </w:rPr>
        <w:t>3</w:t>
      </w:r>
      <w:r>
        <w:rPr/>
        <w:t>、公司第二届董事会第十五次会议审议通过</w:t>
      </w:r>
      <w:r>
        <w:rPr>
          <w:rFonts w:ascii="Times New Roman" w:hAnsi="Times New Roman" w:cs="Times New Roman" w:eastAsia="Times New Roman" w:hint="default"/>
        </w:rPr>
        <w:t>2012</w:t>
      </w:r>
      <w:r>
        <w:rPr/>
        <w:t>年度利润分配方案：以</w:t>
      </w:r>
      <w:r>
        <w:rPr>
          <w:rFonts w:ascii="Times New Roman" w:hAnsi="Times New Roman" w:cs="Times New Roman" w:eastAsia="Times New Roman" w:hint="default"/>
        </w:rPr>
        <w:t>2012</w:t>
      </w:r>
      <w:r>
        <w:rPr/>
        <w:t>年末公司总股本</w:t>
      </w:r>
      <w:r>
        <w:rPr>
          <w:rFonts w:ascii="Times New Roman" w:hAnsi="Times New Roman" w:cs="Times New Roman" w:eastAsia="Times New Roman" w:hint="default"/>
        </w:rPr>
        <w:t>1,005,000,000</w:t>
      </w:r>
      <w:r>
        <w:rPr/>
        <w:t>股为基数， 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7.5</w:t>
      </w:r>
      <w:r>
        <w:rPr/>
        <w:t>元（含税），本次利润分配</w:t>
      </w:r>
      <w:r>
        <w:rPr>
          <w:rFonts w:ascii="Times New Roman" w:hAnsi="Times New Roman" w:cs="Times New Roman" w:eastAsia="Times New Roman" w:hint="default"/>
        </w:rPr>
        <w:t>753,750,000</w:t>
      </w:r>
      <w:r>
        <w:rPr/>
        <w:t>元，利润分配后，剩余未分配利润转入下一年度。</w:t>
      </w:r>
    </w:p>
    <w:p>
      <w:pPr>
        <w:pStyle w:val="BodyText"/>
        <w:spacing w:line="240" w:lineRule="auto" w:before="82"/>
        <w:ind w:left="578" w:right="0"/>
        <w:jc w:val="left"/>
      </w:pPr>
      <w:r>
        <w:rPr/>
        <w:t>公司近三年现金分红情况表</w:t>
      </w:r>
    </w:p>
    <w:p>
      <w:pPr>
        <w:spacing w:line="240" w:lineRule="auto" w:before="11"/>
        <w:rPr>
          <w:rFonts w:ascii="宋体" w:hAnsi="宋体" w:cs="宋体" w:eastAsia="宋体" w:hint="default"/>
          <w:sz w:val="14"/>
          <w:szCs w:val="14"/>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5"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753,750,000.00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849,582,393.00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88.72%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1,206,007,412.00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532,650,000.00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757,852,287.00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70.28%</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186" w:top="1440" w:bottom="13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2"/>
        <w:spacing w:line="240" w:lineRule="auto"/>
        <w:ind w:right="0"/>
        <w:jc w:val="left"/>
        <w:rPr>
          <w:b w:val="0"/>
          <w:bCs w:val="0"/>
        </w:rPr>
      </w:pPr>
      <w:r>
        <w:rPr/>
        <w:t>十、社会责任情况</w:t>
      </w:r>
      <w:r>
        <w:rPr>
          <w:b w:val="0"/>
          <w:bCs w:val="0"/>
        </w:rPr>
      </w:r>
    </w:p>
    <w:p>
      <w:pPr>
        <w:spacing w:line="240" w:lineRule="auto" w:before="7"/>
        <w:rPr>
          <w:rFonts w:ascii="宋体" w:hAnsi="宋体" w:cs="宋体" w:eastAsia="宋体" w:hint="default"/>
          <w:b/>
          <w:bCs/>
          <w:sz w:val="32"/>
          <w:szCs w:val="32"/>
        </w:rPr>
      </w:pPr>
    </w:p>
    <w:p>
      <w:pPr>
        <w:pStyle w:val="Heading6"/>
        <w:spacing w:line="240" w:lineRule="auto"/>
        <w:ind w:right="0"/>
        <w:jc w:val="left"/>
        <w:rPr>
          <w:b w:val="0"/>
          <w:bCs w:val="0"/>
        </w:rPr>
      </w:pPr>
      <w:r>
        <w:rPr>
          <w:rFonts w:ascii="宋体" w:hAnsi="宋体" w:cs="宋体" w:eastAsia="宋体" w:hint="default"/>
        </w:rPr>
        <w:t>1.</w:t>
      </w:r>
      <w:r>
        <w:rPr/>
        <w:t>股东和债权人权益保护</w:t>
      </w:r>
      <w:r>
        <w:rPr>
          <w:b w:val="0"/>
          <w:bCs w:val="0"/>
        </w:rPr>
      </w:r>
    </w:p>
    <w:p>
      <w:pPr>
        <w:spacing w:line="240" w:lineRule="auto" w:before="10"/>
        <w:rPr>
          <w:rFonts w:ascii="宋体" w:hAnsi="宋体" w:cs="宋体" w:eastAsia="宋体" w:hint="default"/>
          <w:b/>
          <w:bCs/>
          <w:sz w:val="17"/>
          <w:szCs w:val="17"/>
        </w:rPr>
      </w:pPr>
    </w:p>
    <w:p>
      <w:pPr>
        <w:pStyle w:val="BodyText"/>
        <w:tabs>
          <w:tab w:pos="573" w:val="left" w:leader="none"/>
        </w:tabs>
        <w:spacing w:line="453" w:lineRule="auto"/>
        <w:ind w:left="578" w:right="222" w:hanging="426"/>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坚持诚信经营，重视债权人权益保护 公司充分利用资本市场平台，助力业务发展的同时降低公司财务成本。由于公司良好的信用状况，</w:t>
      </w:r>
      <w:r>
        <w:rPr>
          <w:rFonts w:ascii="Times New Roman" w:hAnsi="Times New Roman" w:cs="Times New Roman" w:eastAsia="Times New Roman" w:hint="default"/>
        </w:rPr>
        <w:t>2012</w:t>
      </w:r>
      <w:r>
        <w:rPr/>
        <w:t>年公司继续通</w:t>
      </w:r>
    </w:p>
    <w:p>
      <w:pPr>
        <w:pStyle w:val="BodyText"/>
        <w:spacing w:line="477" w:lineRule="auto" w:before="41"/>
        <w:ind w:right="111"/>
        <w:jc w:val="both"/>
      </w:pPr>
      <w:r>
        <w:rPr/>
        <w:t>过发行短期融资券进行融资，同时为保持长期稳定的资金供应，公司积极筹划发行公司债。公司高度重视债权人权益保护， 严格按照与债权人签订的合同履行义务，上市以来公司经营业绩实现快速稳健发展，债权人权益得到充分保护。</w:t>
      </w:r>
    </w:p>
    <w:p>
      <w:pPr>
        <w:pStyle w:val="BodyText"/>
        <w:spacing w:line="240" w:lineRule="auto" w:before="54"/>
        <w:ind w:right="0"/>
        <w:jc w:val="left"/>
      </w:pPr>
      <w:r>
        <w:rPr/>
        <w:t>·业绩保持稳定，积极回报股东</w:t>
      </w:r>
    </w:p>
    <w:p>
      <w:pPr>
        <w:spacing w:line="240" w:lineRule="auto" w:before="11"/>
        <w:rPr>
          <w:rFonts w:ascii="宋体" w:hAnsi="宋体" w:cs="宋体" w:eastAsia="宋体" w:hint="default"/>
          <w:sz w:val="17"/>
          <w:szCs w:val="17"/>
        </w:rPr>
      </w:pPr>
    </w:p>
    <w:p>
      <w:pPr>
        <w:pStyle w:val="BodyText"/>
        <w:spacing w:line="451" w:lineRule="auto"/>
        <w:ind w:right="94" w:firstLine="425"/>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2012</w:t>
      </w:r>
      <w:r>
        <w:rPr/>
        <w:t>年公司实现营业收入分别为</w:t>
      </w:r>
      <w:r>
        <w:rPr>
          <w:rFonts w:ascii="Times New Roman" w:hAnsi="Times New Roman" w:cs="Times New Roman" w:eastAsia="Times New Roman" w:hint="default"/>
        </w:rPr>
        <w:t>75</w:t>
      </w:r>
      <w:r>
        <w:rPr/>
        <w:t>亿、</w:t>
      </w:r>
      <w:r>
        <w:rPr>
          <w:rFonts w:ascii="Times New Roman" w:hAnsi="Times New Roman" w:cs="Times New Roman" w:eastAsia="Times New Roman" w:hint="default"/>
        </w:rPr>
        <w:t>99</w:t>
      </w:r>
      <w:r>
        <w:rPr/>
        <w:t>亿、</w:t>
      </w:r>
      <w:r>
        <w:rPr>
          <w:rFonts w:ascii="Times New Roman" w:hAnsi="Times New Roman" w:cs="Times New Roman" w:eastAsia="Times New Roman" w:hint="default"/>
        </w:rPr>
        <w:t>95</w:t>
      </w:r>
      <w:r>
        <w:rPr/>
        <w:t>亿，实现净利润</w:t>
      </w:r>
      <w:r>
        <w:rPr>
          <w:rFonts w:ascii="Times New Roman" w:hAnsi="Times New Roman" w:cs="Times New Roman" w:eastAsia="Times New Roman" w:hint="default"/>
        </w:rPr>
        <w:t>7.6</w:t>
      </w:r>
      <w:r>
        <w:rPr/>
        <w:t>亿、</w:t>
      </w:r>
      <w:r>
        <w:rPr>
          <w:rFonts w:ascii="Times New Roman" w:hAnsi="Times New Roman" w:cs="Times New Roman" w:eastAsia="Times New Roman" w:hint="default"/>
        </w:rPr>
        <w:t>12.06</w:t>
      </w:r>
      <w:r>
        <w:rPr/>
        <w:t>亿、</w:t>
      </w:r>
      <w:r>
        <w:rPr>
          <w:rFonts w:ascii="Times New Roman" w:hAnsi="Times New Roman" w:cs="Times New Roman" w:eastAsia="Times New Roman" w:hint="default"/>
        </w:rPr>
        <w:t>8.5</w:t>
      </w:r>
      <w:r>
        <w:rPr/>
        <w:t>亿。在公司业 绩发展的同时，为地方政府和社会作出了较大的贡献，</w:t>
      </w:r>
      <w:r>
        <w:rPr>
          <w:rFonts w:ascii="Times New Roman" w:hAnsi="Times New Roman" w:cs="Times New Roman" w:eastAsia="Times New Roman" w:hint="default"/>
        </w:rPr>
        <w:t>2012</w:t>
      </w:r>
      <w:r>
        <w:rPr/>
        <w:t>年度上缴税收近</w:t>
      </w:r>
      <w:r>
        <w:rPr>
          <w:rFonts w:ascii="Times New Roman" w:hAnsi="Times New Roman" w:cs="Times New Roman" w:eastAsia="Times New Roman" w:hint="default"/>
        </w:rPr>
        <w:t>10</w:t>
      </w:r>
      <w:r>
        <w:rPr/>
        <w:t>亿元，名列上海市民营企业纳税前茅。另外， 公司一贯重视对投资者的合理回报，积极构建与股东的和谐关系。为此，上市</w:t>
      </w:r>
      <w:r>
        <w:rPr>
          <w:rFonts w:ascii="Times New Roman" w:hAnsi="Times New Roman" w:cs="Times New Roman" w:eastAsia="Times New Roman" w:hint="default"/>
        </w:rPr>
        <w:t>5</w:t>
      </w:r>
      <w:r>
        <w:rPr/>
        <w:t>年以来公司实现年年利润分红，分别在</w:t>
      </w:r>
      <w:r>
        <w:rPr>
          <w:rFonts w:ascii="Times New Roman" w:hAnsi="Times New Roman" w:cs="Times New Roman" w:eastAsia="Times New Roman" w:hint="default"/>
        </w:rPr>
        <w:t>2008 </w:t>
      </w:r>
      <w:r>
        <w:rPr/>
        <w:t>年实施每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股派</w:t>
      </w:r>
      <w:r>
        <w:rPr>
          <w:rFonts w:ascii="Times New Roman" w:hAnsi="Times New Roman" w:cs="Times New Roman" w:eastAsia="Times New Roman" w:hint="default"/>
        </w:rPr>
        <w:t>3</w:t>
      </w:r>
      <w:r>
        <w:rPr/>
        <w:t>元现金、</w:t>
      </w:r>
      <w:r>
        <w:rPr>
          <w:rFonts w:ascii="Times New Roman" w:hAnsi="Times New Roman" w:cs="Times New Roman" w:eastAsia="Times New Roman" w:hint="default"/>
        </w:rPr>
        <w:t>2009</w:t>
      </w:r>
      <w:r>
        <w:rPr/>
        <w:t>年实施每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4.2</w:t>
      </w:r>
      <w:r>
        <w:rPr/>
        <w:t>元、</w:t>
      </w:r>
      <w:r>
        <w:rPr>
          <w:rFonts w:ascii="Times New Roman" w:hAnsi="Times New Roman" w:cs="Times New Roman" w:eastAsia="Times New Roman" w:hint="default"/>
        </w:rPr>
        <w:t>2010</w:t>
      </w:r>
      <w:r>
        <w:rPr/>
        <w:t>年实施每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5.3</w:t>
      </w:r>
      <w:r>
        <w:rPr/>
        <w:t>元、</w:t>
      </w:r>
      <w:r>
        <w:rPr>
          <w:rFonts w:ascii="Times New Roman" w:hAnsi="Times New Roman" w:cs="Times New Roman" w:eastAsia="Times New Roman" w:hint="default"/>
        </w:rPr>
        <w:t>2011</w:t>
      </w:r>
      <w:r>
        <w:rPr/>
        <w:t>年实施每</w:t>
      </w:r>
      <w:r>
        <w:rPr>
          <w:rFonts w:ascii="Times New Roman" w:hAnsi="Times New Roman" w:cs="Times New Roman" w:eastAsia="Times New Roman" w:hint="default"/>
        </w:rPr>
        <w:t>10</w:t>
      </w:r>
      <w:r>
        <w:rPr/>
        <w:t>股 派发现金</w:t>
      </w:r>
      <w:r>
        <w:rPr>
          <w:rFonts w:ascii="Times New Roman" w:hAnsi="Times New Roman" w:cs="Times New Roman" w:eastAsia="Times New Roman" w:hint="default"/>
        </w:rPr>
        <w:t>8.4</w:t>
      </w:r>
      <w:r>
        <w:rPr/>
        <w:t>元、</w:t>
      </w:r>
      <w:r>
        <w:rPr>
          <w:rFonts w:ascii="Times New Roman" w:hAnsi="Times New Roman" w:cs="Times New Roman" w:eastAsia="Times New Roman" w:hint="default"/>
        </w:rPr>
        <w:t>2012</w:t>
      </w:r>
      <w:r>
        <w:rPr/>
        <w:t>年实施每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7.5</w:t>
      </w:r>
      <w:r>
        <w:rPr/>
        <w:t>元，累计现金分红超过</w:t>
      </w:r>
      <w:r>
        <w:rPr>
          <w:rFonts w:ascii="Times New Roman" w:hAnsi="Times New Roman" w:cs="Times New Roman" w:eastAsia="Times New Roman" w:hint="default"/>
        </w:rPr>
        <w:t>27</w:t>
      </w:r>
      <w:r>
        <w:rPr/>
        <w:t>亿元，给投资者带来丰厚的现金回报。</w:t>
      </w:r>
    </w:p>
    <w:p>
      <w:pPr>
        <w:pStyle w:val="BodyText"/>
        <w:tabs>
          <w:tab w:pos="573" w:val="left" w:leader="none"/>
        </w:tabs>
        <w:spacing w:line="453" w:lineRule="auto" w:before="43"/>
        <w:ind w:left="578" w:right="226" w:hanging="426"/>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加强信息披露管理，</w:t>
      </w:r>
      <w:r>
        <w:rPr>
          <w:spacing w:val="1"/>
        </w:rPr>
        <w:t> </w:t>
      </w:r>
      <w:r>
        <w:rPr/>
        <w:t>维护投资者合法权益</w:t>
      </w:r>
      <w:r>
        <w:rPr/>
        <w:t> 公司严格遵守各项法律法规，认真履行信息披露的责任和义务，依法按时完成各项信息的披露，整个信息披露过程严</w:t>
      </w:r>
    </w:p>
    <w:p>
      <w:pPr>
        <w:pStyle w:val="BodyText"/>
        <w:spacing w:line="463" w:lineRule="auto" w:before="72"/>
        <w:ind w:right="189"/>
        <w:jc w:val="both"/>
      </w:pPr>
      <w:r>
        <w:rPr>
          <w:spacing w:val="-2"/>
        </w:rPr>
        <w:t>格遵循信息披露的公平、公正、真实、准确的原则，保证了投资者对公司重大事项和经营情况的知情权，极大的维护了投资</w:t>
      </w:r>
      <w:r>
        <w:rPr>
          <w:spacing w:val="-65"/>
        </w:rPr>
        <w:t> </w:t>
      </w:r>
      <w:r>
        <w:rPr>
          <w:spacing w:val="-65"/>
        </w:rPr>
      </w:r>
      <w:r>
        <w:rPr>
          <w:spacing w:val="-2"/>
        </w:rPr>
        <w:t>者的合法权益。</w:t>
      </w:r>
      <w:r>
        <w:rPr>
          <w:rFonts w:ascii="Times New Roman" w:hAnsi="Times New Roman" w:cs="Times New Roman" w:eastAsia="Times New Roman" w:hint="default"/>
          <w:spacing w:val="-2"/>
        </w:rPr>
        <w:t>2012</w:t>
      </w:r>
      <w:r>
        <w:rPr>
          <w:spacing w:val="-2"/>
        </w:rPr>
        <w:t>年未发生内幕信息泄露事件，也未受到证券监管部门的处罚，在深圳证券交易所</w:t>
      </w:r>
      <w:r>
        <w:rPr>
          <w:rFonts w:ascii="Times New Roman" w:hAnsi="Times New Roman" w:cs="Times New Roman" w:eastAsia="Times New Roman" w:hint="default"/>
          <w:spacing w:val="-2"/>
        </w:rPr>
        <w:t>2011</w:t>
      </w:r>
      <w:r>
        <w:rPr>
          <w:spacing w:val="-2"/>
        </w:rPr>
        <w:t>年度信息披露考评</w:t>
      </w:r>
      <w:r>
        <w:rPr>
          <w:spacing w:val="-57"/>
        </w:rPr>
        <w:t> </w:t>
      </w:r>
      <w:r>
        <w:rPr>
          <w:spacing w:val="-57"/>
        </w:rPr>
      </w:r>
      <w:r>
        <w:rPr/>
        <w:t>中获得</w:t>
      </w:r>
      <w:r>
        <w:rPr>
          <w:rFonts w:ascii="Times New Roman" w:hAnsi="Times New Roman" w:cs="Times New Roman" w:eastAsia="Times New Roman" w:hint="default"/>
        </w:rPr>
        <w:t>“</w:t>
      </w:r>
      <w:r>
        <w:rPr/>
        <w:t>优</w:t>
      </w:r>
      <w:r>
        <w:rPr>
          <w:rFonts w:ascii="Times New Roman" w:hAnsi="Times New Roman" w:cs="Times New Roman" w:eastAsia="Times New Roman" w:hint="default"/>
        </w:rPr>
        <w:t>”</w:t>
      </w:r>
      <w:r>
        <w:rPr/>
        <w:t>。</w:t>
      </w:r>
    </w:p>
    <w:p>
      <w:pPr>
        <w:pStyle w:val="BodyText"/>
        <w:tabs>
          <w:tab w:pos="573" w:val="left" w:leader="none"/>
        </w:tabs>
        <w:spacing w:line="453" w:lineRule="auto" w:before="33"/>
        <w:ind w:left="578" w:right="226" w:hanging="426"/>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建立良好的投资者关系，架起沟通的互通桥梁 在投资者关系工作中公司将秉承尊重与坦诚的态度接待每一位投资者。并做好与证券监管机构、股东及实际控制人、</w:t>
      </w:r>
    </w:p>
    <w:p>
      <w:pPr>
        <w:pStyle w:val="BodyText"/>
        <w:spacing w:line="475" w:lineRule="auto" w:before="72"/>
        <w:ind w:right="190"/>
        <w:jc w:val="both"/>
      </w:pPr>
      <w:r>
        <w:rPr>
          <w:spacing w:val="-2"/>
        </w:rPr>
        <w:t>保荐人、证券中介机构、媒体等之间的关系，严格按照交易所的指导文件开展信息披露和投资者关系管理工作，密切关注公</w:t>
      </w:r>
      <w:r>
        <w:rPr>
          <w:spacing w:val="-64"/>
        </w:rPr>
        <w:t> </w:t>
      </w:r>
      <w:r>
        <w:rPr>
          <w:spacing w:val="-64"/>
        </w:rPr>
      </w:r>
      <w:r>
        <w:rPr>
          <w:spacing w:val="-2"/>
        </w:rPr>
        <w:t>司股票的市场走势，对投资者和媒体关心的问题及时向相关各方进行沟通，并在第一时间做出回复。公司目前已设专员维护</w:t>
      </w:r>
      <w:r>
        <w:rPr>
          <w:spacing w:val="-63"/>
        </w:rPr>
        <w:t> </w:t>
      </w:r>
      <w:r>
        <w:rPr>
          <w:spacing w:val="-63"/>
        </w:rPr>
      </w:r>
      <w:r>
        <w:rPr>
          <w:rFonts w:ascii="Times New Roman" w:hAnsi="Times New Roman" w:cs="Times New Roman" w:eastAsia="Times New Roman" w:hint="default"/>
        </w:rPr>
        <w:t>“</w:t>
      </w:r>
      <w:r>
        <w:rPr/>
        <w:t>投资者互动平台</w:t>
      </w:r>
      <w:r>
        <w:rPr>
          <w:rFonts w:ascii="Times New Roman" w:hAnsi="Times New Roman" w:cs="Times New Roman" w:eastAsia="Times New Roman" w:hint="default"/>
        </w:rPr>
        <w:t>”</w:t>
      </w:r>
      <w:r>
        <w:rPr/>
        <w:t>及时回复网上的提问。</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BodyText"/>
        <w:spacing w:line="451" w:lineRule="auto"/>
        <w:ind w:left="578" w:right="228" w:hanging="426"/>
        <w:jc w:val="left"/>
      </w:pPr>
      <w:r>
        <w:rPr>
          <w:rFonts w:ascii="Times New Roman" w:hAnsi="Times New Roman" w:cs="Times New Roman" w:eastAsia="Times New Roman" w:hint="default"/>
          <w:b/>
          <w:bCs/>
        </w:rPr>
        <w:t>2</w:t>
      </w:r>
      <w:r>
        <w:rPr>
          <w:rFonts w:ascii="宋体" w:hAnsi="宋体" w:cs="宋体" w:eastAsia="宋体" w:hint="default"/>
          <w:b/>
          <w:bCs/>
        </w:rPr>
        <w:t>、以人为本</w:t>
      </w:r>
      <w:r>
        <w:rPr>
          <w:rFonts w:ascii="宋体" w:hAnsi="宋体" w:cs="宋体" w:eastAsia="宋体" w:hint="default"/>
          <w:b/>
          <w:bCs/>
          <w:spacing w:val="1"/>
        </w:rPr>
        <w:t> </w:t>
      </w:r>
      <w:r>
        <w:rPr>
          <w:rFonts w:ascii="宋体" w:hAnsi="宋体" w:cs="宋体" w:eastAsia="宋体" w:hint="default"/>
          <w:b/>
          <w:bCs/>
        </w:rPr>
        <w:t>关爱员工</w:t>
      </w:r>
      <w:r>
        <w:rPr>
          <w:rFonts w:ascii="宋体" w:hAnsi="宋体" w:cs="宋体" w:eastAsia="宋体" w:hint="default"/>
          <w:b/>
          <w:bCs/>
          <w:w w:val="99"/>
        </w:rPr>
        <w:t> </w:t>
      </w:r>
      <w:r>
        <w:rPr/>
        <w:t>公司以</w:t>
      </w:r>
      <w:r>
        <w:rPr>
          <w:rFonts w:ascii="Times New Roman" w:hAnsi="Times New Roman" w:cs="Times New Roman" w:eastAsia="Times New Roman" w:hint="default"/>
        </w:rPr>
        <w:t>“</w:t>
      </w:r>
      <w:r>
        <w:rPr/>
        <w:t>为员工创造更加幸福的生活</w:t>
      </w:r>
      <w:r>
        <w:rPr>
          <w:rFonts w:ascii="Times New Roman" w:hAnsi="Times New Roman" w:cs="Times New Roman" w:eastAsia="Times New Roman" w:hint="default"/>
        </w:rPr>
        <w:t>”</w:t>
      </w:r>
      <w:r>
        <w:rPr/>
        <w:t>为企业使命，公司长期以来一直把维护全体员工的利益放在工作的首位，着实提</w:t>
      </w:r>
    </w:p>
    <w:p>
      <w:pPr>
        <w:pStyle w:val="BodyText"/>
        <w:spacing w:line="240" w:lineRule="auto" w:before="43"/>
        <w:ind w:right="0"/>
        <w:jc w:val="left"/>
      </w:pPr>
      <w:r>
        <w:rPr/>
        <w:t>升员工的自身价值和培养员工的凝聚力，使员工的使命感和企业的愿景达到有机统一。</w:t>
      </w:r>
    </w:p>
    <w:p>
      <w:pPr>
        <w:spacing w:line="240" w:lineRule="auto" w:before="10"/>
        <w:rPr>
          <w:rFonts w:ascii="宋体" w:hAnsi="宋体" w:cs="宋体" w:eastAsia="宋体" w:hint="default"/>
          <w:sz w:val="17"/>
          <w:szCs w:val="17"/>
        </w:rPr>
      </w:pPr>
    </w:p>
    <w:p>
      <w:pPr>
        <w:pStyle w:val="BodyText"/>
        <w:spacing w:line="453" w:lineRule="auto"/>
        <w:ind w:right="105"/>
        <w:jc w:val="both"/>
      </w:pPr>
      <w:r>
        <w:rPr>
          <w:rFonts w:ascii="Wingdings" w:hAnsi="Wingdings" w:cs="Wingdings" w:eastAsia="Wingdings" w:hint="default"/>
        </w:rPr>
        <w:t></w:t>
      </w:r>
      <w:r>
        <w:rPr>
          <w:rFonts w:ascii="Wingdings" w:hAnsi="Wingdings" w:cs="Wingdings" w:eastAsia="Wingdings" w:hint="default"/>
          <w:spacing w:val="41"/>
        </w:rPr>
        <w:t></w:t>
      </w:r>
      <w:r>
        <w:rPr>
          <w:rFonts w:ascii="Times New Roman" w:hAnsi="Times New Roman" w:cs="Times New Roman" w:eastAsia="Times New Roman" w:hint="default"/>
          <w:spacing w:val="41"/>
        </w:rPr>
      </w:r>
      <w:r>
        <w:rPr/>
        <w:t>公司严格遵守《劳动法》，实行全员劳动合同制，与所有员工签订劳动合同；严格执行社会保障制度，参加养老保险、 </w:t>
      </w:r>
      <w:r>
        <w:rPr>
          <w:spacing w:val="-2"/>
        </w:rPr>
        <w:t>基本医疗保险、失业保险、工伤保险、生育保险和住房公积金等，同时为员工购买商业补充医疗及意外伤害保险，进一步保</w:t>
      </w:r>
    </w:p>
    <w:p>
      <w:pPr>
        <w:spacing w:after="0" w:line="453" w:lineRule="auto"/>
        <w:jc w:val="both"/>
        <w:sectPr>
          <w:pgSz w:w="11910" w:h="16840"/>
          <w:pgMar w:header="850" w:footer="1186" w:top="1440" w:bottom="1380" w:left="980" w:right="940"/>
        </w:sectPr>
      </w:pPr>
    </w:p>
    <w:p>
      <w:pPr>
        <w:pStyle w:val="BodyText"/>
        <w:spacing w:line="451" w:lineRule="auto" w:before="138"/>
        <w:ind w:right="152"/>
        <w:jc w:val="both"/>
      </w:pPr>
      <w:r>
        <w:rPr/>
        <w:t>障了员工的切身利益。公司还重视对员工的福利建设，如</w:t>
      </w:r>
      <w:r>
        <w:rPr>
          <w:rFonts w:ascii="Times New Roman" w:hAnsi="Times New Roman" w:cs="Times New Roman" w:eastAsia="Times New Roman" w:hint="default"/>
        </w:rPr>
        <w:t>“</w:t>
      </w:r>
      <w:r>
        <w:rPr/>
        <w:t>三八节</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端午节</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中秋节</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春节</w:t>
      </w:r>
      <w:r>
        <w:rPr>
          <w:rFonts w:ascii="Times New Roman" w:hAnsi="Times New Roman" w:cs="Times New Roman" w:eastAsia="Times New Roman" w:hint="default"/>
        </w:rPr>
        <w:t>”</w:t>
      </w:r>
      <w:r>
        <w:rPr/>
        <w:t>等传统节日为职工及员工 </w:t>
      </w:r>
      <w:r>
        <w:rPr>
          <w:spacing w:val="-2"/>
        </w:rPr>
        <w:t>家属送上传统佳节礼品等。</w:t>
      </w:r>
      <w:r>
        <w:rPr>
          <w:rFonts w:ascii="Times New Roman" w:hAnsi="Times New Roman" w:cs="Times New Roman" w:eastAsia="Times New Roman" w:hint="default"/>
          <w:spacing w:val="-2"/>
        </w:rPr>
        <w:t>2012</w:t>
      </w:r>
      <w:r>
        <w:rPr>
          <w:spacing w:val="-2"/>
        </w:rPr>
        <w:t>年公司继续发放长期服务奖，对长期为公司服务的员工给予假期旅行和奖金激励，让员工得</w:t>
      </w:r>
      <w:r>
        <w:rPr>
          <w:spacing w:val="-62"/>
        </w:rPr>
        <w:t> </w:t>
      </w:r>
      <w:r>
        <w:rPr>
          <w:spacing w:val="-62"/>
        </w:rPr>
      </w:r>
      <w:r>
        <w:rPr/>
        <w:t>到身心的放松。</w:t>
      </w:r>
    </w:p>
    <w:p>
      <w:pPr>
        <w:pStyle w:val="BodyText"/>
        <w:spacing w:line="451" w:lineRule="auto" w:before="74"/>
        <w:ind w:right="148"/>
        <w:jc w:val="both"/>
      </w:pPr>
      <w:r>
        <w:rPr>
          <w:rFonts w:ascii="Wingdings" w:hAnsi="Wingdings" w:cs="Wingdings" w:eastAsia="Wingdings" w:hint="default"/>
        </w:rPr>
        <w:t></w:t>
      </w:r>
      <w:r>
        <w:rPr>
          <w:rFonts w:ascii="Wingdings" w:hAnsi="Wingdings" w:cs="Wingdings" w:eastAsia="Wingdings" w:hint="default"/>
          <w:spacing w:val="121"/>
        </w:rPr>
        <w:t></w:t>
      </w:r>
      <w:r>
        <w:rPr>
          <w:rFonts w:ascii="Times New Roman" w:hAnsi="Times New Roman" w:cs="Times New Roman" w:eastAsia="Times New Roman" w:hint="default"/>
          <w:spacing w:val="121"/>
        </w:rPr>
      </w:r>
      <w:r>
        <w:rPr>
          <w:spacing w:val="-3"/>
        </w:rPr>
        <w:t>公司设有美特斯邦威大学为员工提供在职教育培训。</w:t>
      </w:r>
      <w:r>
        <w:rPr>
          <w:rFonts w:ascii="Times New Roman" w:hAnsi="Times New Roman" w:cs="Times New Roman" w:eastAsia="Times New Roman" w:hint="default"/>
          <w:spacing w:val="-3"/>
        </w:rPr>
        <w:t>2012</w:t>
      </w:r>
      <w:r>
        <w:rPr>
          <w:spacing w:val="-3"/>
        </w:rPr>
        <w:t>年美特斯邦威大学共完成新员工入职培训（包括实习生）</w:t>
      </w:r>
      <w:r>
        <w:rPr>
          <w:rFonts w:ascii="Times New Roman" w:hAnsi="Times New Roman" w:cs="Times New Roman" w:eastAsia="Times New Roman" w:hint="default"/>
          <w:spacing w:val="-3"/>
        </w:rPr>
        <w:t>1000</w:t>
      </w:r>
      <w:r>
        <w:rPr>
          <w:rFonts w:ascii="Times New Roman" w:hAnsi="Times New Roman" w:cs="Times New Roman" w:eastAsia="Times New Roman" w:hint="default"/>
          <w:spacing w:val="1"/>
        </w:rPr>
        <w:t> </w:t>
      </w:r>
      <w:r>
        <w:rPr/>
        <w:t>多人，通用素质类培训</w:t>
      </w:r>
      <w:r>
        <w:rPr>
          <w:rFonts w:ascii="Times New Roman" w:hAnsi="Times New Roman" w:cs="Times New Roman" w:eastAsia="Times New Roman" w:hint="default"/>
        </w:rPr>
        <w:t>100</w:t>
      </w:r>
      <w:r>
        <w:rPr/>
        <w:t>多人，经理级培训近百人。每位员工从入职进行新员工培训到在岗实践中的业务培训，每个阶段 都有针对性的课程设置。</w:t>
      </w:r>
    </w:p>
    <w:p>
      <w:pPr>
        <w:pStyle w:val="BodyText"/>
        <w:spacing w:line="468" w:lineRule="auto" w:before="74"/>
        <w:ind w:right="153"/>
        <w:jc w:val="both"/>
      </w:pPr>
      <w:r>
        <w:rPr>
          <w:rFonts w:ascii="Wingdings" w:hAnsi="Wingdings" w:cs="Wingdings" w:eastAsia="Wingdings" w:hint="default"/>
        </w:rPr>
        <w:t></w:t>
      </w:r>
      <w:r>
        <w:rPr>
          <w:rFonts w:ascii="Wingdings" w:hAnsi="Wingdings" w:cs="Wingdings" w:eastAsia="Wingdings" w:hint="default"/>
          <w:spacing w:val="96"/>
        </w:rPr>
        <w:t></w:t>
      </w:r>
      <w:r>
        <w:rPr>
          <w:rFonts w:ascii="Times New Roman" w:hAnsi="Times New Roman" w:cs="Times New Roman" w:eastAsia="Times New Roman" w:hint="default"/>
          <w:spacing w:val="96"/>
        </w:rPr>
      </w:r>
      <w:r>
        <w:rPr/>
        <w:t>公司长期以来按照《公司法》和公司章程的规定，保障职工的各项合法权利，积极开展各项工会活动。公司通过组织 </w:t>
      </w:r>
      <w:r>
        <w:rPr>
          <w:spacing w:val="-2"/>
        </w:rPr>
        <w:t>各形式的社团活动，不断提升员工的综合素质；目前工会社团组织各种活动包括：户外拓展、兵乓比赛、篮球联赛、足球联</w:t>
      </w:r>
      <w:r>
        <w:rPr>
          <w:spacing w:val="-70"/>
        </w:rPr>
        <w:t> </w:t>
      </w:r>
      <w:r>
        <w:rPr>
          <w:spacing w:val="-70"/>
        </w:rPr>
      </w:r>
      <w:r>
        <w:rPr>
          <w:spacing w:val="-2"/>
        </w:rPr>
        <w:t>赛、羽毛球赛等。公司通过组织员工交流活动，了解员工的工作、生活情况，极大的丰富了职工的精神文化生活，提升了员</w:t>
      </w:r>
      <w:r>
        <w:rPr>
          <w:spacing w:val="-68"/>
        </w:rPr>
        <w:t> </w:t>
      </w:r>
      <w:r>
        <w:rPr>
          <w:spacing w:val="-68"/>
        </w:rPr>
      </w:r>
      <w:r>
        <w:rPr/>
        <w:t>工的综合素质，增强了员工的凝聚力和团队协作能力。</w:t>
      </w:r>
    </w:p>
    <w:p>
      <w:pPr>
        <w:pStyle w:val="BodyText"/>
        <w:spacing w:line="465" w:lineRule="auto" w:before="61"/>
        <w:ind w:right="155"/>
        <w:jc w:val="both"/>
      </w:pPr>
      <w:r>
        <w:rPr>
          <w:rFonts w:ascii="Wingdings" w:hAnsi="Wingdings" w:cs="Wingdings" w:eastAsia="Wingdings" w:hint="default"/>
        </w:rPr>
        <w:t></w:t>
      </w:r>
      <w:r>
        <w:rPr>
          <w:rFonts w:ascii="Wingdings" w:hAnsi="Wingdings" w:cs="Wingdings" w:eastAsia="Wingdings" w:hint="default"/>
          <w:spacing w:val="96"/>
        </w:rPr>
        <w:t></w:t>
      </w:r>
      <w:r>
        <w:rPr>
          <w:rFonts w:ascii="Times New Roman" w:hAnsi="Times New Roman" w:cs="Times New Roman" w:eastAsia="Times New Roman" w:hint="default"/>
          <w:spacing w:val="96"/>
        </w:rPr>
      </w:r>
      <w:r>
        <w:rPr/>
        <w:t>公司每年组织公司全体员工进行常规体检，切实关心员工身体健康，确保员工的身心健康。针对员工的身体状况给予 </w:t>
      </w:r>
      <w:r>
        <w:rPr>
          <w:spacing w:val="-2"/>
        </w:rPr>
        <w:t>调整合适的工作岗位；夏天做好防暑降温措施落实，户外劳作的员工发放高温费；生日祝贺、伤病必访、帮助困难员工，处</w:t>
      </w:r>
      <w:r>
        <w:rPr>
          <w:spacing w:val="-70"/>
        </w:rPr>
        <w:t> </w:t>
      </w:r>
      <w:r>
        <w:rPr>
          <w:spacing w:val="-70"/>
        </w:rPr>
      </w:r>
      <w:r>
        <w:rPr/>
        <w:t>处给员工以家的温馨，体现公司对员工的关心和人性化管理。</w:t>
      </w:r>
    </w:p>
    <w:p>
      <w:pPr>
        <w:pStyle w:val="BodyText"/>
        <w:spacing w:line="451" w:lineRule="auto" w:before="63"/>
        <w:ind w:right="206"/>
        <w:jc w:val="both"/>
      </w:pPr>
      <w:r>
        <w:rPr>
          <w:rFonts w:ascii="Wingdings" w:hAnsi="Wingdings" w:cs="Wingdings" w:eastAsia="Wingdings" w:hint="default"/>
        </w:rPr>
        <w:t></w:t>
      </w:r>
      <w:r>
        <w:rPr>
          <w:rFonts w:ascii="Wingdings" w:hAnsi="Wingdings" w:cs="Wingdings" w:eastAsia="Wingdings" w:hint="default"/>
          <w:spacing w:val="97"/>
        </w:rPr>
        <w:t></w:t>
      </w:r>
      <w:r>
        <w:rPr>
          <w:rFonts w:ascii="Times New Roman" w:hAnsi="Times New Roman" w:cs="Times New Roman" w:eastAsia="Times New Roman" w:hint="default"/>
          <w:spacing w:val="97"/>
        </w:rPr>
      </w:r>
      <w:r>
        <w:rPr/>
        <w:t>公司成立了</w:t>
      </w:r>
      <w:r>
        <w:rPr>
          <w:rFonts w:ascii="Times New Roman" w:hAnsi="Times New Roman" w:cs="Times New Roman" w:eastAsia="Times New Roman" w:hint="default"/>
        </w:rPr>
        <w:t>“</w:t>
      </w:r>
      <w:r>
        <w:rPr/>
        <w:t>美邦情缘</w:t>
      </w:r>
      <w:r>
        <w:rPr>
          <w:rFonts w:ascii="Times New Roman" w:hAnsi="Times New Roman" w:cs="Times New Roman" w:eastAsia="Times New Roman" w:hint="default"/>
        </w:rPr>
        <w:t>”</w:t>
      </w:r>
      <w:r>
        <w:rPr/>
        <w:t>基金会，为员工及员工家属提供困难补助，使公司员工感受到大家庭的温暖。</w:t>
      </w:r>
      <w:r>
        <w:rPr>
          <w:rFonts w:ascii="Times New Roman" w:hAnsi="Times New Roman" w:cs="Times New Roman" w:eastAsia="Times New Roman" w:hint="default"/>
        </w:rPr>
        <w:t>2012</w:t>
      </w:r>
      <w:r>
        <w:rPr/>
        <w:t>年末情缘基 金向</w:t>
      </w:r>
      <w:r>
        <w:rPr>
          <w:rFonts w:ascii="Times New Roman" w:hAnsi="Times New Roman" w:cs="Times New Roman" w:eastAsia="Times New Roman" w:hint="default"/>
        </w:rPr>
        <w:t>13</w:t>
      </w:r>
      <w:r>
        <w:rPr/>
        <w:t>个困难家庭发放了春节慰问金。在不忘关心员工的同时也切实的关心员工家属，始终将员工视为公司的巨大财富。</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451" w:lineRule="auto"/>
        <w:ind w:left="578" w:right="168" w:hanging="426"/>
        <w:jc w:val="left"/>
      </w:pPr>
      <w:r>
        <w:rPr>
          <w:rFonts w:ascii="Times New Roman" w:hAnsi="Times New Roman" w:cs="Times New Roman" w:eastAsia="Times New Roman" w:hint="default"/>
          <w:b/>
          <w:bCs/>
        </w:rPr>
        <w:t>3</w:t>
      </w:r>
      <w:r>
        <w:rPr>
          <w:rFonts w:ascii="宋体" w:hAnsi="宋体" w:cs="宋体" w:eastAsia="宋体" w:hint="default"/>
          <w:b/>
          <w:bCs/>
        </w:rPr>
        <w:t>、诚信经营</w:t>
      </w:r>
      <w:r>
        <w:rPr>
          <w:rFonts w:ascii="宋体" w:hAnsi="宋体" w:cs="宋体" w:eastAsia="宋体" w:hint="default"/>
          <w:b/>
          <w:bCs/>
          <w:spacing w:val="1"/>
        </w:rPr>
        <w:t> </w:t>
      </w:r>
      <w:r>
        <w:rPr>
          <w:rFonts w:ascii="宋体" w:hAnsi="宋体" w:cs="宋体" w:eastAsia="宋体" w:hint="default"/>
          <w:b/>
          <w:bCs/>
        </w:rPr>
        <w:t>善待客户</w:t>
      </w:r>
      <w:r>
        <w:rPr>
          <w:rFonts w:ascii="宋体" w:hAnsi="宋体" w:cs="宋体" w:eastAsia="宋体" w:hint="default"/>
          <w:b/>
          <w:bCs/>
          <w:w w:val="99"/>
        </w:rPr>
        <w:t> </w:t>
      </w:r>
      <w:r>
        <w:rPr/>
        <w:t>公司努力实现与供应商、客户和谐共生，共同创造价值、分享成果。注重与各相关方的沟通与协调，共同构筑信任与</w:t>
      </w:r>
    </w:p>
    <w:p>
      <w:pPr>
        <w:pStyle w:val="BodyText"/>
        <w:spacing w:line="240" w:lineRule="auto" w:before="74"/>
        <w:ind w:right="0"/>
        <w:jc w:val="both"/>
      </w:pPr>
      <w:r>
        <w:rPr/>
        <w:t>合作的平台。</w:t>
      </w:r>
    </w:p>
    <w:p>
      <w:pPr>
        <w:spacing w:line="240" w:lineRule="auto" w:before="10"/>
        <w:rPr>
          <w:rFonts w:ascii="宋体" w:hAnsi="宋体" w:cs="宋体" w:eastAsia="宋体" w:hint="default"/>
          <w:sz w:val="17"/>
          <w:szCs w:val="17"/>
        </w:rPr>
      </w:pPr>
    </w:p>
    <w:p>
      <w:pPr>
        <w:pStyle w:val="BodyText"/>
        <w:spacing w:line="463" w:lineRule="auto"/>
        <w:ind w:right="151"/>
        <w:jc w:val="both"/>
      </w:pPr>
      <w:r>
        <w:rPr>
          <w:rFonts w:ascii="Wingdings" w:hAnsi="Wingdings" w:cs="Wingdings" w:eastAsia="Wingdings" w:hint="default"/>
        </w:rPr>
        <w:t></w:t>
      </w:r>
      <w:r>
        <w:rPr>
          <w:rFonts w:ascii="Wingdings" w:hAnsi="Wingdings" w:cs="Wingdings" w:eastAsia="Wingdings" w:hint="default"/>
          <w:spacing w:val="96"/>
        </w:rPr>
        <w:t></w:t>
      </w:r>
      <w:r>
        <w:rPr>
          <w:rFonts w:ascii="Times New Roman" w:hAnsi="Times New Roman" w:cs="Times New Roman" w:eastAsia="Times New Roman" w:hint="default"/>
          <w:spacing w:val="96"/>
        </w:rPr>
      </w:r>
      <w:r>
        <w:rPr/>
        <w:t>高度重视产品的质量，积极落实质量管理体系建设。美特斯邦威作为国内知名品牌，一直追求质量是品牌的核心竞争 </w:t>
      </w:r>
      <w:r>
        <w:rPr>
          <w:spacing w:val="-2"/>
        </w:rPr>
        <w:t>力的质量管理方针，建立完善的质量管理体系，并通过</w:t>
      </w:r>
      <w:r>
        <w:rPr>
          <w:rFonts w:ascii="Times New Roman" w:hAnsi="Times New Roman" w:cs="Times New Roman" w:eastAsia="Times New Roman" w:hint="default"/>
          <w:spacing w:val="-2"/>
        </w:rPr>
        <w:t>ISO9001</w:t>
      </w:r>
      <w:r>
        <w:rPr>
          <w:spacing w:val="-2"/>
        </w:rPr>
        <w:t>体系认证。美特斯邦威一直与各国家</w:t>
      </w:r>
      <w:r>
        <w:rPr>
          <w:rFonts w:ascii="Times New Roman" w:hAnsi="Times New Roman" w:cs="Times New Roman" w:eastAsia="Times New Roman" w:hint="default"/>
          <w:spacing w:val="-2"/>
        </w:rPr>
        <w:t>/</w:t>
      </w:r>
      <w:r>
        <w:rPr>
          <w:spacing w:val="-2"/>
        </w:rPr>
        <w:t>省级权威纺织品检测机</w:t>
      </w:r>
      <w:r>
        <w:rPr>
          <w:spacing w:val="-43"/>
        </w:rPr>
        <w:t> </w:t>
      </w:r>
      <w:r>
        <w:rPr>
          <w:spacing w:val="-2"/>
        </w:rPr>
        <w:t>构以及国际第三方公正行合作，为公司产品符合性评定提供重要证据，同时建立较完善、科学的测试管理流程和规范。在产</w:t>
      </w:r>
      <w:r>
        <w:rPr>
          <w:spacing w:val="-64"/>
        </w:rPr>
        <w:t> </w:t>
      </w:r>
      <w:r>
        <w:rPr>
          <w:spacing w:val="-64"/>
        </w:rPr>
      </w:r>
      <w:r>
        <w:rPr>
          <w:spacing w:val="-2"/>
        </w:rPr>
        <w:t>品执行标准选用及安全技术规范方面有严格的评审批核程序。产品前期评审、生产阶段的验货和最终产品的入库、出库都设</w:t>
      </w:r>
      <w:r>
        <w:rPr>
          <w:spacing w:val="-65"/>
        </w:rPr>
        <w:t> </w:t>
      </w:r>
      <w:r>
        <w:rPr>
          <w:spacing w:val="-65"/>
        </w:rPr>
      </w:r>
      <w:r>
        <w:rPr/>
        <w:t>有质量检验点，以保证合格产品进入市场。</w:t>
      </w:r>
    </w:p>
    <w:p>
      <w:pPr>
        <w:pStyle w:val="BodyText"/>
        <w:tabs>
          <w:tab w:pos="573" w:val="left" w:leader="none"/>
        </w:tabs>
        <w:spacing w:line="451" w:lineRule="auto" w:before="65"/>
        <w:ind w:right="161"/>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建立和完善客户管理体系，打通与消费者沟通平台。一方面定期进行消费者调研，贴近消费者需求，切实提供新时尚 的生活体验。另一方面建立</w:t>
      </w:r>
      <w:r>
        <w:rPr>
          <w:rFonts w:ascii="Times New Roman" w:hAnsi="Times New Roman" w:cs="Times New Roman" w:eastAsia="Times New Roman" w:hint="default"/>
        </w:rPr>
        <w:t>“</w:t>
      </w:r>
      <w:r>
        <w:rPr/>
        <w:t>客户沟通渠道保障</w:t>
      </w:r>
      <w:r>
        <w:rPr>
          <w:rFonts w:ascii="Times New Roman" w:hAnsi="Times New Roman" w:cs="Times New Roman" w:eastAsia="Times New Roman" w:hint="default"/>
        </w:rPr>
        <w:t>”</w:t>
      </w:r>
      <w:r>
        <w:rPr/>
        <w:t>系统。公司通过企业网站</w:t>
      </w:r>
      <w:hyperlink r:id="rId11">
        <w:r>
          <w:rPr>
            <w:rFonts w:ascii="Times New Roman" w:hAnsi="Times New Roman" w:cs="Times New Roman" w:eastAsia="Times New Roman" w:hint="default"/>
          </w:rPr>
          <w:t>http://corp.metersbonwe.com/</w:t>
        </w:r>
      </w:hyperlink>
      <w:r>
        <w:rPr/>
        <w:t>以及品牌官方网站 </w:t>
      </w:r>
      <w:hyperlink r:id="rId8">
        <w:r>
          <w:rPr>
            <w:rFonts w:ascii="Times New Roman" w:hAnsi="Times New Roman" w:cs="Times New Roman" w:eastAsia="Times New Roman" w:hint="default"/>
          </w:rPr>
          <w:t>www.metersbonwe.com</w:t>
        </w:r>
      </w:hyperlink>
      <w:r>
        <w:rPr/>
        <w:t>、</w:t>
      </w:r>
      <w:hyperlink r:id="rId12">
        <w:r>
          <w:rPr>
            <w:rFonts w:ascii="Times New Roman" w:hAnsi="Times New Roman" w:cs="Times New Roman" w:eastAsia="Times New Roman" w:hint="default"/>
          </w:rPr>
          <w:t>www.me-city.com</w:t>
        </w:r>
      </w:hyperlink>
      <w:r>
        <w:rPr/>
        <w:t>、</w:t>
      </w:r>
      <w:hyperlink r:id="rId13">
        <w:r>
          <w:rPr>
            <w:rFonts w:ascii="Times New Roman" w:hAnsi="Times New Roman" w:cs="Times New Roman" w:eastAsia="Times New Roman" w:hint="default"/>
          </w:rPr>
          <w:t>www.banggo.com</w:t>
        </w:r>
        <w:r>
          <w:rPr/>
          <w:t>及时刊登本企业最新营销活动。另外，公司高度重视客户投诉</w:t>
        </w:r>
      </w:hyperlink>
      <w:r>
        <w:rPr/>
        <w:t> 处理。公司开设了</w:t>
      </w:r>
      <w:r>
        <w:rPr>
          <w:rFonts w:ascii="Times New Roman" w:hAnsi="Times New Roman" w:cs="Times New Roman" w:eastAsia="Times New Roman" w:hint="default"/>
        </w:rPr>
        <w:t>800</w:t>
      </w:r>
      <w:r>
        <w:rPr/>
        <w:t>热线服务电话安排专门人员按规程处理客户投诉，以及业务咨询等问题。</w:t>
      </w:r>
    </w:p>
    <w:p>
      <w:pPr>
        <w:pStyle w:val="BodyText"/>
        <w:spacing w:line="240" w:lineRule="auto" w:before="43"/>
        <w:ind w:right="0"/>
        <w:jc w:val="both"/>
      </w:pPr>
      <w:r>
        <w:rPr>
          <w:rFonts w:ascii="Wingdings" w:hAnsi="Wingdings" w:cs="Wingdings" w:eastAsia="Wingdings" w:hint="default"/>
        </w:rPr>
        <w:t></w:t>
      </w:r>
      <w:r>
        <w:rPr>
          <w:rFonts w:ascii="Wingdings" w:hAnsi="Wingdings" w:cs="Wingdings" w:eastAsia="Wingdings" w:hint="default"/>
          <w:spacing w:val="96"/>
        </w:rPr>
        <w:t></w:t>
      </w:r>
      <w:r>
        <w:rPr>
          <w:rFonts w:ascii="Times New Roman" w:hAnsi="Times New Roman" w:cs="Times New Roman" w:eastAsia="Times New Roman" w:hint="default"/>
          <w:spacing w:val="96"/>
        </w:rPr>
      </w:r>
      <w:r>
        <w:rPr/>
        <w:t>公司与供应商保持互惠互利合作共赢的良性关系。为保证公司集中采购统一配送工作的实施，公司制定了供应商准入</w:t>
      </w:r>
    </w:p>
    <w:p>
      <w:pPr>
        <w:spacing w:after="0" w:line="240" w:lineRule="auto"/>
        <w:jc w:val="both"/>
        <w:sectPr>
          <w:pgSz w:w="11910" w:h="16840"/>
          <w:pgMar w:header="850" w:footer="1186" w:top="1440" w:bottom="1380" w:left="980" w:right="980"/>
        </w:sectPr>
      </w:pPr>
    </w:p>
    <w:p>
      <w:pPr>
        <w:pStyle w:val="BodyText"/>
        <w:spacing w:line="477" w:lineRule="auto" w:before="138"/>
        <w:ind w:right="153"/>
        <w:jc w:val="both"/>
      </w:pPr>
      <w:r>
        <w:rPr>
          <w:spacing w:val="-2"/>
        </w:rPr>
        <w:t>制度。对主要采购商品实施公开招标，使供应商间形成公平竞争、优胜劣汰的机制。同时，公司逐步与信誉良好的上游产品</w:t>
      </w:r>
      <w:r>
        <w:rPr>
          <w:spacing w:val="-66"/>
        </w:rPr>
        <w:t> </w:t>
      </w:r>
      <w:r>
        <w:rPr>
          <w:spacing w:val="-66"/>
        </w:rPr>
      </w:r>
      <w:r>
        <w:rPr/>
        <w:t>供应商建立战略合作关系。</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spacing w:line="451" w:lineRule="auto" w:before="0"/>
        <w:ind w:left="578" w:right="2688" w:hanging="426"/>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、保护环境 节约资源</w:t>
      </w:r>
      <w:r>
        <w:rPr>
          <w:rFonts w:ascii="宋体" w:hAnsi="宋体" w:cs="宋体" w:eastAsia="宋体" w:hint="default"/>
          <w:b/>
          <w:bCs/>
          <w:w w:val="99"/>
          <w:sz w:val="18"/>
          <w:szCs w:val="18"/>
        </w:rPr>
        <w:t> </w:t>
      </w:r>
      <w:r>
        <w:rPr>
          <w:rFonts w:ascii="宋体" w:hAnsi="宋体" w:cs="宋体" w:eastAsia="宋体" w:hint="default"/>
          <w:sz w:val="18"/>
          <w:szCs w:val="18"/>
        </w:rPr>
        <w:t>公司长期倡导绿色环保，积极践行环境责任，提高资源利用效率，强化废弃物管理。</w:t>
      </w:r>
    </w:p>
    <w:p>
      <w:pPr>
        <w:pStyle w:val="BodyText"/>
        <w:spacing w:line="465" w:lineRule="auto" w:before="74"/>
        <w:ind w:right="151"/>
        <w:jc w:val="both"/>
      </w:pPr>
      <w:r>
        <w:rPr>
          <w:rFonts w:ascii="Wingdings" w:hAnsi="Wingdings" w:cs="Wingdings" w:eastAsia="Wingdings" w:hint="default"/>
        </w:rPr>
        <w:t></w:t>
      </w:r>
      <w:r>
        <w:rPr>
          <w:rFonts w:ascii="Wingdings" w:hAnsi="Wingdings" w:cs="Wingdings" w:eastAsia="Wingdings" w:hint="default"/>
          <w:spacing w:val="96"/>
        </w:rPr>
        <w:t></w:t>
      </w:r>
      <w:r>
        <w:rPr>
          <w:rFonts w:ascii="Times New Roman" w:hAnsi="Times New Roman" w:cs="Times New Roman" w:eastAsia="Times New Roman" w:hint="default"/>
          <w:spacing w:val="96"/>
        </w:rPr>
      </w:r>
      <w:r>
        <w:rPr/>
        <w:t>公司不仅自身积极履行环保责任，还关注上下游企业的环保情况，从上游供应商公司严格对供应商的筛选进行把控， </w:t>
      </w:r>
      <w:r>
        <w:rPr>
          <w:spacing w:val="-2"/>
        </w:rPr>
        <w:t>选择设备先进管理体系到位并获得相关国家认证的单位进行合作。</w:t>
      </w:r>
      <w:r>
        <w:rPr>
          <w:rFonts w:ascii="Times New Roman" w:hAnsi="Times New Roman" w:cs="Times New Roman" w:eastAsia="Times New Roman" w:hint="default"/>
          <w:spacing w:val="-2"/>
        </w:rPr>
        <w:t>2012</w:t>
      </w:r>
      <w:r>
        <w:rPr>
          <w:spacing w:val="-2"/>
        </w:rPr>
        <w:t>年，针对绿色和平组织发布了关于服装行业有毒有害</w:t>
      </w:r>
      <w:r>
        <w:rPr>
          <w:spacing w:val="-61"/>
        </w:rPr>
        <w:t> </w:t>
      </w:r>
      <w:r>
        <w:rPr>
          <w:spacing w:val="-61"/>
        </w:rPr>
      </w:r>
      <w:r>
        <w:rPr>
          <w:spacing w:val="-2"/>
        </w:rPr>
        <w:t>物质残留的报告后，公司立即给予高度关注，积极考虑将其列入限制物质清单，逐步推动所有供应商达到相关控制标准，并</w:t>
      </w:r>
      <w:r>
        <w:rPr>
          <w:spacing w:val="-64"/>
        </w:rPr>
        <w:t> </w:t>
      </w:r>
      <w:r>
        <w:rPr>
          <w:spacing w:val="-64"/>
        </w:rPr>
      </w:r>
      <w:r>
        <w:rPr>
          <w:spacing w:val="-2"/>
        </w:rPr>
        <w:t>将产品委托国家纺织服装产品质量监督检验中心、国家级纤维检验所等权威外检机构进行检测，所有产品检测合格后才准入</w:t>
      </w:r>
      <w:r>
        <w:rPr>
          <w:spacing w:val="-63"/>
        </w:rPr>
        <w:t> </w:t>
      </w:r>
      <w:r>
        <w:rPr>
          <w:spacing w:val="-63"/>
        </w:rPr>
      </w:r>
      <w:r>
        <w:rPr/>
        <w:t>市场，同时无条件接受全国各级质量技术监督局、各级工商行政管理局的产品质量监督和市场产品质量监测。</w:t>
      </w:r>
    </w:p>
    <w:p>
      <w:pPr>
        <w:pStyle w:val="BodyText"/>
        <w:spacing w:line="453" w:lineRule="auto" w:before="63"/>
        <w:ind w:right="191"/>
        <w:jc w:val="both"/>
      </w:pPr>
      <w:r>
        <w:rPr>
          <w:rFonts w:ascii="Wingdings" w:hAnsi="Wingdings" w:cs="Wingdings" w:eastAsia="Wingdings" w:hint="default"/>
        </w:rPr>
        <w:t></w:t>
      </w:r>
      <w:r>
        <w:rPr>
          <w:rFonts w:ascii="Wingdings" w:hAnsi="Wingdings" w:cs="Wingdings" w:eastAsia="Wingdings" w:hint="default"/>
          <w:spacing w:val="96"/>
        </w:rPr>
        <w:t></w:t>
      </w:r>
      <w:r>
        <w:rPr>
          <w:rFonts w:ascii="Times New Roman" w:hAnsi="Times New Roman" w:cs="Times New Roman" w:eastAsia="Times New Roman" w:hint="default"/>
          <w:spacing w:val="96"/>
        </w:rPr>
      </w:r>
      <w:r>
        <w:rPr/>
        <w:t>积极倡导节能环保，充分利用网络电子工具，积极推行无纸化办公，在各项办公设备的选用中坚持选用能耗低的节能 设备，减少固体废弃物排放，降低办公环境辐射。</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BodyText"/>
        <w:spacing w:line="477" w:lineRule="auto"/>
        <w:ind w:left="578" w:right="168" w:hanging="426"/>
        <w:jc w:val="left"/>
      </w:pPr>
      <w:r>
        <w:rPr>
          <w:rFonts w:ascii="宋体" w:hAnsi="宋体" w:cs="宋体" w:eastAsia="宋体" w:hint="default"/>
          <w:b/>
          <w:bCs/>
        </w:rPr>
        <w:t>五、勇担责任</w:t>
      </w:r>
      <w:r>
        <w:rPr>
          <w:rFonts w:ascii="宋体" w:hAnsi="宋体" w:cs="宋体" w:eastAsia="宋体" w:hint="default"/>
          <w:b/>
          <w:bCs/>
          <w:spacing w:val="1"/>
        </w:rPr>
        <w:t> </w:t>
      </w:r>
      <w:r>
        <w:rPr>
          <w:rFonts w:ascii="宋体" w:hAnsi="宋体" w:cs="宋体" w:eastAsia="宋体" w:hint="default"/>
          <w:b/>
          <w:bCs/>
        </w:rPr>
        <w:t>服务社会</w:t>
      </w:r>
      <w:r>
        <w:rPr>
          <w:rFonts w:ascii="宋体" w:hAnsi="宋体" w:cs="宋体" w:eastAsia="宋体" w:hint="default"/>
          <w:b/>
          <w:bCs/>
          <w:w w:val="99"/>
        </w:rPr>
        <w:t> </w:t>
      </w:r>
      <w:r>
        <w:rPr/>
        <w:t>回报社会是企业应尽的社会责任，公司长期以来一贯注重履行自身的社会责任，以自身的发展来带动当地经济和社会</w:t>
      </w:r>
    </w:p>
    <w:p>
      <w:pPr>
        <w:pStyle w:val="BodyText"/>
        <w:spacing w:line="240" w:lineRule="auto" w:before="54"/>
        <w:ind w:right="0"/>
        <w:jc w:val="both"/>
      </w:pPr>
      <w:r>
        <w:rPr/>
        <w:t>的发展，把促进社会和谐和经济繁荣作为企业应尽的社会义务和企业对社会的承诺。</w:t>
      </w:r>
    </w:p>
    <w:p>
      <w:pPr>
        <w:spacing w:line="240" w:lineRule="auto" w:before="10"/>
        <w:rPr>
          <w:rFonts w:ascii="宋体" w:hAnsi="宋体" w:cs="宋体" w:eastAsia="宋体" w:hint="default"/>
          <w:sz w:val="17"/>
          <w:szCs w:val="17"/>
        </w:rPr>
      </w:pPr>
    </w:p>
    <w:p>
      <w:pPr>
        <w:pStyle w:val="BodyText"/>
        <w:spacing w:line="451" w:lineRule="auto"/>
        <w:ind w:right="211"/>
        <w:jc w:val="both"/>
      </w:pPr>
      <w:r>
        <w:rPr>
          <w:rFonts w:ascii="Wingdings" w:hAnsi="Wingdings" w:cs="Wingdings" w:eastAsia="Wingdings" w:hint="default"/>
        </w:rPr>
        <w:t></w:t>
      </w:r>
      <w:r>
        <w:rPr>
          <w:rFonts w:ascii="Wingdings" w:hAnsi="Wingdings" w:cs="Wingdings" w:eastAsia="Wingdings" w:hint="default"/>
          <w:spacing w:val="94"/>
        </w:rPr>
        <w:t></w:t>
      </w:r>
      <w:r>
        <w:rPr>
          <w:rFonts w:ascii="Times New Roman" w:hAnsi="Times New Roman" w:cs="Times New Roman" w:eastAsia="Times New Roman" w:hint="default"/>
          <w:spacing w:val="94"/>
        </w:rPr>
      </w:r>
      <w:r>
        <w:rPr/>
        <w:t>公司积极履行纳税义务，在上海市税务部门向社会公布</w:t>
      </w:r>
      <w:r>
        <w:rPr>
          <w:rFonts w:ascii="Times New Roman" w:hAnsi="Times New Roman" w:cs="Times New Roman" w:eastAsia="Times New Roman" w:hint="default"/>
        </w:rPr>
        <w:t>2012</w:t>
      </w:r>
      <w:r>
        <w:rPr/>
        <w:t>年纳税排名榜中</w:t>
      </w:r>
      <w:r>
        <w:rPr>
          <w:rFonts w:ascii="Times New Roman" w:hAnsi="Times New Roman" w:cs="Times New Roman" w:eastAsia="Times New Roman" w:hint="default"/>
        </w:rPr>
        <w:t>“</w:t>
      </w:r>
      <w:r>
        <w:rPr/>
        <w:t>上海美特斯邦威服饰股份有限公司</w:t>
      </w:r>
      <w:r>
        <w:rPr>
          <w:rFonts w:ascii="Times New Roman" w:hAnsi="Times New Roman" w:cs="Times New Roman" w:eastAsia="Times New Roman" w:hint="default"/>
        </w:rPr>
        <w:t>”</w:t>
      </w:r>
      <w:r>
        <w:rPr/>
        <w:t>不仅 跻身百强，在私营企业和非国有控股企业中继续名列前三甲</w:t>
      </w:r>
    </w:p>
    <w:p>
      <w:pPr>
        <w:pStyle w:val="BodyText"/>
        <w:spacing w:line="240" w:lineRule="auto" w:before="74"/>
        <w:ind w:right="0"/>
        <w:jc w:val="both"/>
      </w:pPr>
      <w:r>
        <w:rPr>
          <w:rFonts w:ascii="Wingdings" w:hAnsi="Wingdings" w:cs="Wingdings" w:eastAsia="Wingdings" w:hint="default"/>
        </w:rPr>
        <w:t></w:t>
      </w:r>
      <w:r>
        <w:rPr>
          <w:rFonts w:ascii="Times New Roman" w:hAnsi="Times New Roman" w:cs="Times New Roman" w:eastAsia="Times New Roman" w:hint="default"/>
        </w:rPr>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 </w:t>
      </w:r>
      <w:r>
        <w:rPr>
          <w:spacing w:val="2"/>
        </w:rPr>
        <w:t> </w:t>
      </w:r>
      <w:r>
        <w:rPr/>
        <w:t>公司向中国光华科技基金会捐助人民币壹佰万元</w:t>
      </w:r>
    </w:p>
    <w:p>
      <w:pPr>
        <w:spacing w:line="240" w:lineRule="auto" w:before="9"/>
        <w:rPr>
          <w:rFonts w:ascii="宋体" w:hAnsi="宋体" w:cs="宋体" w:eastAsia="宋体" w:hint="default"/>
          <w:sz w:val="16"/>
          <w:szCs w:val="16"/>
        </w:rPr>
      </w:pPr>
    </w:p>
    <w:p>
      <w:pPr>
        <w:pStyle w:val="BodyText"/>
        <w:tabs>
          <w:tab w:pos="573" w:val="left" w:leader="none"/>
        </w:tabs>
        <w:spacing w:line="451" w:lineRule="auto"/>
        <w:ind w:left="578" w:right="186" w:hanging="426"/>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月公司参与上海浦东新区康桥镇人民政府发起的</w:t>
      </w:r>
      <w:r>
        <w:rPr>
          <w:rFonts w:ascii="Times New Roman" w:hAnsi="Times New Roman" w:cs="Times New Roman" w:eastAsia="Times New Roman" w:hint="default"/>
        </w:rPr>
        <w:t>“2012</w:t>
      </w:r>
      <w:r>
        <w:rPr/>
        <w:t>年慈善联合捐</w:t>
      </w:r>
      <w:r>
        <w:rPr>
          <w:rFonts w:ascii="Times New Roman" w:hAnsi="Times New Roman" w:cs="Times New Roman" w:eastAsia="Times New Roman" w:hint="default"/>
        </w:rPr>
        <w:t>”</w:t>
      </w:r>
      <w:r>
        <w:rPr/>
        <w:t>，捐助人民币伍拾万元 </w:t>
      </w:r>
      <w:r>
        <w:rPr>
          <w:rFonts w:ascii="Times New Roman" w:hAnsi="Times New Roman" w:cs="Times New Roman" w:eastAsia="Times New Roman" w:hint="default"/>
        </w:rPr>
        <w:t>2012</w:t>
      </w:r>
      <w:r>
        <w:rPr/>
        <w:t>年公司将继续把公司的发展战略和企业的社会责任相结合，将社会责任的发展规划和实践同公司自身的发展目标</w:t>
      </w:r>
    </w:p>
    <w:p>
      <w:pPr>
        <w:pStyle w:val="BodyText"/>
        <w:spacing w:line="477" w:lineRule="auto" w:before="43"/>
        <w:ind w:right="151"/>
        <w:jc w:val="both"/>
      </w:pPr>
      <w:r>
        <w:rPr/>
        <w:t>相结合。深入贯彻科学发展观，积极带动当地经济和社会的发展，继续倡导节能减排、绿色环保，</w:t>
      </w:r>
      <w:r>
        <w:rPr>
          <w:spacing w:val="1"/>
        </w:rPr>
        <w:t> </w:t>
      </w:r>
      <w:r>
        <w:rPr/>
        <w:t>致力于维护公司全体员</w:t>
      </w:r>
      <w:r>
        <w:rPr/>
        <w:t> </w:t>
      </w:r>
      <w:r>
        <w:rPr>
          <w:spacing w:val="-2"/>
        </w:rPr>
        <w:t>工的利益，继续加强与利益相关方进行沟通合作，奋力推进公司可持续发展，大力发展循环经济，为建设环境友好型和资源</w:t>
      </w:r>
      <w:r>
        <w:rPr>
          <w:spacing w:val="-65"/>
        </w:rPr>
        <w:t> </w:t>
      </w:r>
      <w:r>
        <w:rPr>
          <w:spacing w:val="-65"/>
        </w:rPr>
      </w:r>
      <w:r>
        <w:rPr/>
        <w:t>节约型社会做出应有的贡献，努力实现企业的社会价值和自身价值的有机统一。</w:t>
      </w:r>
    </w:p>
    <w:p>
      <w:pPr>
        <w:spacing w:after="0" w:line="477" w:lineRule="auto"/>
        <w:jc w:val="both"/>
        <w:sectPr>
          <w:pgSz w:w="11910" w:h="16840"/>
          <w:pgMar w:header="850" w:footer="1186" w:top="1440" w:bottom="1380" w:left="980" w:right="9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2"/>
        <w:spacing w:line="240" w:lineRule="auto"/>
        <w:ind w:right="0"/>
        <w:jc w:val="left"/>
        <w:rPr>
          <w:b w:val="0"/>
          <w:bCs w:val="0"/>
        </w:rPr>
      </w:pPr>
      <w:r>
        <w:rPr/>
        <w:t>十一、报告期内接待调研、沟通、采访等活动登记表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东方证券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公司主要经营情况</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华泰联合</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公司主要经营情况</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华夏基金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公司主要经营情况</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国海富兰克林</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公司主要经营情况</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公司主要经营情况</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富国基金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公司主要经营情况</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申银万国证券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公司主要经营情况</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光大证券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公司主要经营情况</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里昂证券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公司主要经营情况</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复华投信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公司主要经营情况</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野村证券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公司主要经营情况</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宏源证券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公司主要经营情况</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东方证券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公司主要经营情况</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腾跃资产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公司主要经营情况</w:t>
            </w:r>
          </w:p>
        </w:tc>
      </w:tr>
      <w:tr>
        <w:trPr>
          <w:trHeight w:val="40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长江证券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公司主要经营情况</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涌容资产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公司主要经营情况</w:t>
            </w:r>
          </w:p>
        </w:tc>
      </w:tr>
    </w:tbl>
    <w:p>
      <w:pPr>
        <w:spacing w:after="0" w:line="240" w:lineRule="auto"/>
        <w:jc w:val="left"/>
        <w:rPr>
          <w:rFonts w:ascii="宋体" w:hAnsi="宋体" w:cs="宋体" w:eastAsia="宋体" w:hint="default"/>
          <w:sz w:val="18"/>
          <w:szCs w:val="18"/>
        </w:rPr>
        <w:sectPr>
          <w:pgSz w:w="11910" w:h="16840"/>
          <w:pgMar w:header="850" w:footer="1186" w:top="1440" w:bottom="1380" w:left="980" w:right="98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Heading1"/>
        <w:spacing w:line="240" w:lineRule="auto"/>
        <w:ind w:right="134"/>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32"/>
          <w:szCs w:val="32"/>
        </w:rPr>
      </w:pPr>
    </w:p>
    <w:p>
      <w:pPr>
        <w:pStyle w:val="BodyText"/>
        <w:spacing w:line="518" w:lineRule="auto"/>
        <w:ind w:right="6534"/>
        <w:jc w:val="left"/>
      </w:pPr>
      <w:r>
        <w:rPr/>
        <w:t>本年度公司无重大诉讼、仲裁事项。 媒体质疑情况 本年度公司无媒体对重大诉讼质疑事项。</w:t>
      </w:r>
    </w:p>
    <w:p>
      <w:pPr>
        <w:spacing w:line="240" w:lineRule="auto" w:before="13"/>
        <w:rPr>
          <w:rFonts w:ascii="宋体" w:hAnsi="宋体" w:cs="宋体" w:eastAsia="宋体" w:hint="default"/>
          <w:sz w:val="14"/>
          <w:szCs w:val="14"/>
        </w:rPr>
      </w:pPr>
    </w:p>
    <w:p>
      <w:pPr>
        <w:pStyle w:val="Heading2"/>
        <w:spacing w:line="240" w:lineRule="auto" w:before="0"/>
        <w:ind w:right="0"/>
        <w:jc w:val="left"/>
        <w:rPr>
          <w:b w:val="0"/>
          <w:bCs w:val="0"/>
        </w:rPr>
      </w:pPr>
      <w:r>
        <w:rPr/>
        <w:t>二、公司股权激励的实施情况及其影响</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513" w:right="0"/>
        <w:jc w:val="left"/>
      </w:pPr>
      <w:r>
        <w:rPr/>
        <w:t>公司于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7"/>
        </w:rPr>
        <w:t> </w:t>
      </w:r>
      <w:r>
        <w:rPr/>
        <w:t>年正式推出了股权激励计划，此次激励计划覆盖了部门经理及以上中高层管理团队和核心技术人员。首期</w:t>
      </w:r>
    </w:p>
    <w:p>
      <w:pPr>
        <w:spacing w:line="240" w:lineRule="auto" w:before="9"/>
        <w:rPr>
          <w:rFonts w:ascii="宋体" w:hAnsi="宋体" w:cs="宋体" w:eastAsia="宋体" w:hint="default"/>
          <w:sz w:val="16"/>
          <w:szCs w:val="16"/>
        </w:rPr>
      </w:pPr>
    </w:p>
    <w:p>
      <w:pPr>
        <w:pStyle w:val="BodyText"/>
        <w:spacing w:line="451" w:lineRule="auto"/>
        <w:ind w:right="139"/>
        <w:jc w:val="left"/>
      </w:pPr>
      <w:r>
        <w:rPr/>
        <w:t>授予期权</w:t>
      </w:r>
      <w:r>
        <w:rPr>
          <w:spacing w:val="-58"/>
        </w:rPr>
        <w:t> </w:t>
      </w:r>
      <w:r>
        <w:rPr>
          <w:rFonts w:ascii="Times New Roman" w:hAnsi="Times New Roman" w:cs="Times New Roman" w:eastAsia="Times New Roman" w:hint="default"/>
        </w:rPr>
        <w:t>581.4</w:t>
      </w:r>
      <w:r>
        <w:rPr>
          <w:rFonts w:ascii="Times New Roman" w:hAnsi="Times New Roman" w:cs="Times New Roman" w:eastAsia="Times New Roman" w:hint="default"/>
          <w:spacing w:val="-12"/>
        </w:rPr>
        <w:t> </w:t>
      </w:r>
      <w:r>
        <w:rPr>
          <w:spacing w:val="-5"/>
        </w:rPr>
        <w:t>万份，其中预留</w:t>
      </w:r>
      <w:r>
        <w:rPr>
          <w:spacing w:val="-58"/>
        </w:rPr>
        <w:t> </w:t>
      </w:r>
      <w:r>
        <w:rPr>
          <w:rFonts w:ascii="Times New Roman" w:hAnsi="Times New Roman" w:cs="Times New Roman" w:eastAsia="Times New Roman" w:hint="default"/>
        </w:rPr>
        <w:t>57.5</w:t>
      </w:r>
      <w:r>
        <w:rPr>
          <w:rFonts w:ascii="Times New Roman" w:hAnsi="Times New Roman" w:cs="Times New Roman" w:eastAsia="Times New Roman" w:hint="default"/>
          <w:spacing w:val="-12"/>
        </w:rPr>
        <w:t> </w:t>
      </w:r>
      <w:r>
        <w:rPr/>
        <w:t>万份。股权激励计划的实施，将经营管理者的利益与公司的持续经营能力和全体股东利 益紧密结合起来，对公司未来持续经营能力的提高和股东权益的增加产生深远且积极的影响。</w:t>
      </w:r>
    </w:p>
    <w:p>
      <w:pPr>
        <w:spacing w:line="240" w:lineRule="auto" w:before="1"/>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596"/>
        <w:gridCol w:w="1997"/>
        <w:gridCol w:w="1995"/>
        <w:gridCol w:w="1994"/>
        <w:gridCol w:w="1988"/>
      </w:tblGrid>
      <w:tr>
        <w:trPr>
          <w:trHeight w:val="427" w:hRule="exact"/>
        </w:trPr>
        <w:tc>
          <w:tcPr>
            <w:tcW w:w="9571"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527" w:right="0"/>
              <w:jc w:val="left"/>
              <w:rPr>
                <w:rFonts w:ascii="宋体" w:hAnsi="宋体" w:cs="宋体" w:eastAsia="宋体" w:hint="default"/>
                <w:sz w:val="18"/>
                <w:szCs w:val="18"/>
              </w:rPr>
            </w:pPr>
            <w:r>
              <w:rPr>
                <w:rFonts w:ascii="宋体" w:hAnsi="宋体" w:cs="宋体" w:eastAsia="宋体" w:hint="default"/>
                <w:sz w:val="18"/>
                <w:szCs w:val="18"/>
              </w:rPr>
              <w:t>董事、监事、高级管理人员报告期内获授和行使权益情况</w:t>
            </w:r>
          </w:p>
        </w:tc>
      </w:tr>
      <w:tr>
        <w:trPr>
          <w:trHeight w:val="739" w:hRule="exact"/>
        </w:trPr>
        <w:tc>
          <w:tcPr>
            <w:tcW w:w="15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9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9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报告期内获授权益数量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报告期内行使权益数量</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9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58"/>
              <w:ind w:left="446" w:right="86" w:hanging="360"/>
              <w:jc w:val="left"/>
              <w:rPr>
                <w:rFonts w:ascii="宋体" w:hAnsi="宋体" w:cs="宋体" w:eastAsia="宋体" w:hint="default"/>
                <w:sz w:val="18"/>
                <w:szCs w:val="18"/>
              </w:rPr>
            </w:pPr>
            <w:r>
              <w:rPr>
                <w:rFonts w:ascii="宋体" w:hAnsi="宋体" w:cs="宋体" w:eastAsia="宋体" w:hint="default"/>
                <w:sz w:val="18"/>
                <w:szCs w:val="18"/>
              </w:rPr>
              <w:t>报告期末尚未行使的权 益数量（股）</w:t>
            </w:r>
          </w:p>
        </w:tc>
      </w:tr>
      <w:tr>
        <w:trPr>
          <w:trHeight w:val="427"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王泉庚</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副总裁</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0</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0</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427"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徐卫东</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副总裁</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0</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0</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428"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周文武</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
              <w:jc w:val="right"/>
              <w:rPr>
                <w:rFonts w:ascii="Times New Roman" w:hAnsi="Times New Roman" w:cs="Times New Roman" w:eastAsia="Times New Roman" w:hint="default"/>
                <w:sz w:val="18"/>
                <w:szCs w:val="18"/>
              </w:rPr>
            </w:pPr>
            <w:r>
              <w:rPr>
                <w:rFonts w:ascii="Times New Roman"/>
                <w:sz w:val="18"/>
              </w:rPr>
              <w:t>0</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0</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250,000</w:t>
            </w:r>
          </w:p>
        </w:tc>
      </w:tr>
      <w:tr>
        <w:trPr>
          <w:trHeight w:val="425"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尹剑侠</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z w:val="18"/>
              </w:rPr>
              <w:t>0</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0</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200,000</w:t>
            </w:r>
          </w:p>
        </w:tc>
      </w:tr>
      <w:tr>
        <w:trPr>
          <w:trHeight w:val="1133"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韩钟伟</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61"/>
              <w:ind w:left="4" w:right="896"/>
              <w:jc w:val="left"/>
              <w:rPr>
                <w:rFonts w:ascii="宋体" w:hAnsi="宋体" w:cs="宋体" w:eastAsia="宋体" w:hint="default"/>
                <w:sz w:val="18"/>
                <w:szCs w:val="18"/>
              </w:rPr>
            </w:pPr>
            <w:r>
              <w:rPr>
                <w:rFonts w:ascii="宋体" w:hAnsi="宋体" w:cs="宋体" w:eastAsia="宋体" w:hint="default"/>
                <w:sz w:val="18"/>
                <w:szCs w:val="18"/>
              </w:rPr>
              <w:t>副总裁</w:t>
            </w:r>
            <w:r>
              <w:rPr>
                <w:rFonts w:ascii="Times New Roman" w:hAnsi="Times New Roman" w:cs="Times New Roman" w:eastAsia="Times New Roman" w:hint="default"/>
                <w:sz w:val="18"/>
                <w:szCs w:val="18"/>
              </w:rPr>
              <w:t>; </w:t>
            </w:r>
            <w:r>
              <w:rPr>
                <w:rFonts w:ascii="宋体" w:hAnsi="宋体" w:cs="宋体" w:eastAsia="宋体" w:hint="default"/>
                <w:sz w:val="18"/>
                <w:szCs w:val="18"/>
              </w:rPr>
              <w:t>董事会秘书； 财务总监</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z w:val="18"/>
              </w:rPr>
              <w:t>0</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0</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150,000</w:t>
            </w:r>
          </w:p>
        </w:tc>
      </w:tr>
      <w:tr>
        <w:trPr>
          <w:trHeight w:val="346" w:hRule="exact"/>
        </w:trPr>
        <w:tc>
          <w:tcPr>
            <w:tcW w:w="1596" w:type="dxa"/>
            <w:tcBorders>
              <w:top w:val="single" w:sz="6" w:space="0" w:color="000000"/>
              <w:left w:val="single" w:sz="6" w:space="0" w:color="000000"/>
              <w:bottom w:val="single" w:sz="6" w:space="0" w:color="000000"/>
              <w:right w:val="single" w:sz="6" w:space="0" w:color="000000"/>
            </w:tcBorders>
          </w:tcPr>
          <w:p>
            <w:pPr/>
          </w:p>
        </w:tc>
        <w:tc>
          <w:tcPr>
            <w:tcW w:w="1997" w:type="dxa"/>
            <w:tcBorders>
              <w:top w:val="single" w:sz="6" w:space="0" w:color="000000"/>
              <w:left w:val="single" w:sz="6" w:space="0" w:color="000000"/>
              <w:bottom w:val="single" w:sz="6" w:space="0" w:color="000000"/>
              <w:right w:val="single" w:sz="6" w:space="0" w:color="000000"/>
            </w:tcBorders>
          </w:tcPr>
          <w:p>
            <w:pPr/>
          </w:p>
        </w:tc>
        <w:tc>
          <w:tcPr>
            <w:tcW w:w="1995" w:type="dxa"/>
            <w:tcBorders>
              <w:top w:val="single" w:sz="6" w:space="0" w:color="000000"/>
              <w:left w:val="single" w:sz="6" w:space="0" w:color="000000"/>
              <w:bottom w:val="single" w:sz="6" w:space="0" w:color="000000"/>
              <w:right w:val="single" w:sz="6" w:space="0" w:color="000000"/>
            </w:tcBorders>
          </w:tcPr>
          <w:p>
            <w:pPr/>
          </w:p>
        </w:tc>
        <w:tc>
          <w:tcPr>
            <w:tcW w:w="1994" w:type="dxa"/>
            <w:tcBorders>
              <w:top w:val="single" w:sz="6" w:space="0" w:color="000000"/>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59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因激励对象行权所引起的股本变动情况</w:t>
            </w:r>
          </w:p>
        </w:tc>
        <w:tc>
          <w:tcPr>
            <w:tcW w:w="59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0</w:t>
            </w:r>
          </w:p>
        </w:tc>
      </w:tr>
      <w:tr>
        <w:trPr>
          <w:trHeight w:val="427" w:hRule="exact"/>
        </w:trPr>
        <w:tc>
          <w:tcPr>
            <w:tcW w:w="359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权益工具公允价值的计量方法</w:t>
            </w:r>
          </w:p>
        </w:tc>
        <w:tc>
          <w:tcPr>
            <w:tcW w:w="59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选取权益工具公允价值计量模型进行测算和计量</w:t>
            </w:r>
          </w:p>
        </w:tc>
      </w:tr>
      <w:tr>
        <w:trPr>
          <w:trHeight w:val="1052" w:hRule="exact"/>
        </w:trPr>
        <w:tc>
          <w:tcPr>
            <w:tcW w:w="359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估值技术采用的模型、参数及选取标准</w:t>
            </w:r>
          </w:p>
        </w:tc>
        <w:tc>
          <w:tcPr>
            <w:tcW w:w="5977" w:type="dxa"/>
            <w:gridSpan w:val="3"/>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0"/>
              <w:jc w:val="both"/>
              <w:rPr>
                <w:rFonts w:ascii="宋体" w:hAnsi="宋体" w:cs="宋体" w:eastAsia="宋体" w:hint="default"/>
                <w:sz w:val="18"/>
                <w:szCs w:val="18"/>
              </w:rPr>
            </w:pPr>
            <w:r>
              <w:rPr>
                <w:rFonts w:ascii="宋体" w:hAnsi="宋体" w:cs="宋体" w:eastAsia="宋体" w:hint="default"/>
                <w:spacing w:val="-1"/>
                <w:sz w:val="18"/>
                <w:szCs w:val="18"/>
              </w:rPr>
              <w:t>采用布莱克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斯科尔斯模型计算期权的公允价值；公司董事会确定首次授予日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为</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日，当日公司股票收盘价为</w:t>
            </w:r>
            <w:r>
              <w:rPr>
                <w:rFonts w:ascii="Times New Roman" w:hAnsi="Times New Roman" w:cs="Times New Roman" w:eastAsia="Times New Roman" w:hint="default"/>
                <w:spacing w:val="-2"/>
                <w:sz w:val="18"/>
                <w:szCs w:val="18"/>
              </w:rPr>
              <w:t>38.75</w:t>
            </w:r>
            <w:r>
              <w:rPr>
                <w:rFonts w:ascii="宋体" w:hAnsi="宋体" w:cs="宋体" w:eastAsia="宋体" w:hint="default"/>
                <w:spacing w:val="-2"/>
                <w:sz w:val="18"/>
                <w:szCs w:val="18"/>
              </w:rPr>
              <w:t>元，则根据布莱克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斯科尔斯</w:t>
            </w:r>
            <w:r>
              <w:rPr>
                <w:rFonts w:ascii="宋体" w:hAnsi="宋体" w:cs="宋体" w:eastAsia="宋体" w:hint="default"/>
                <w:spacing w:val="-88"/>
                <w:sz w:val="18"/>
                <w:szCs w:val="18"/>
              </w:rPr>
              <w:t> </w:t>
            </w:r>
            <w:r>
              <w:rPr>
                <w:rFonts w:ascii="宋体" w:hAnsi="宋体" w:cs="宋体" w:eastAsia="宋体" w:hint="default"/>
                <w:sz w:val="18"/>
                <w:szCs w:val="18"/>
              </w:rPr>
              <w:t>模型计算，首次授予的</w:t>
            </w:r>
            <w:r>
              <w:rPr>
                <w:rFonts w:ascii="Times New Roman" w:hAnsi="Times New Roman" w:cs="Times New Roman" w:eastAsia="Times New Roman" w:hint="default"/>
                <w:sz w:val="18"/>
                <w:szCs w:val="18"/>
              </w:rPr>
              <w:t>523.9</w:t>
            </w:r>
            <w:r>
              <w:rPr>
                <w:rFonts w:ascii="宋体" w:hAnsi="宋体" w:cs="宋体" w:eastAsia="宋体" w:hint="default"/>
                <w:sz w:val="18"/>
                <w:szCs w:val="18"/>
              </w:rPr>
              <w:t>万份股票期权总价值为</w:t>
            </w:r>
            <w:r>
              <w:rPr>
                <w:rFonts w:ascii="Times New Roman" w:hAnsi="Times New Roman" w:cs="Times New Roman" w:eastAsia="Times New Roman" w:hint="default"/>
                <w:sz w:val="18"/>
                <w:szCs w:val="18"/>
              </w:rPr>
              <w:t>9,570.09</w:t>
            </w:r>
            <w:r>
              <w:rPr>
                <w:rFonts w:ascii="宋体" w:hAnsi="宋体" w:cs="宋体" w:eastAsia="宋体" w:hint="default"/>
                <w:sz w:val="18"/>
                <w:szCs w:val="18"/>
              </w:rPr>
              <w:t>万元。</w:t>
            </w:r>
          </w:p>
        </w:tc>
      </w:tr>
      <w:tr>
        <w:trPr>
          <w:trHeight w:val="739" w:hRule="exact"/>
        </w:trPr>
        <w:tc>
          <w:tcPr>
            <w:tcW w:w="359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权益工具公允价值的分摊期间及结果</w:t>
            </w:r>
          </w:p>
        </w:tc>
        <w:tc>
          <w:tcPr>
            <w:tcW w:w="5977" w:type="dxa"/>
            <w:gridSpan w:val="3"/>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2"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2010-2014</w:t>
            </w:r>
            <w:r>
              <w:rPr>
                <w:rFonts w:ascii="宋体" w:hAnsi="宋体" w:cs="宋体" w:eastAsia="宋体" w:hint="default"/>
                <w:sz w:val="18"/>
                <w:szCs w:val="18"/>
              </w:rPr>
              <w:t>年；</w:t>
            </w:r>
            <w:r>
              <w:rPr>
                <w:rFonts w:ascii="Times New Roman" w:hAnsi="Times New Roman" w:cs="Times New Roman" w:eastAsia="Times New Roman" w:hint="default"/>
                <w:sz w:val="18"/>
                <w:szCs w:val="18"/>
              </w:rPr>
              <w:t>2010</w:t>
            </w:r>
            <w:r>
              <w:rPr>
                <w:rFonts w:ascii="宋体" w:hAnsi="宋体" w:cs="宋体" w:eastAsia="宋体" w:hint="default"/>
                <w:sz w:val="18"/>
                <w:szCs w:val="18"/>
              </w:rPr>
              <w:t>年分摊</w:t>
            </w:r>
            <w:r>
              <w:rPr>
                <w:rFonts w:ascii="Times New Roman" w:hAnsi="Times New Roman" w:cs="Times New Roman" w:eastAsia="Times New Roman" w:hint="default"/>
                <w:sz w:val="18"/>
                <w:szCs w:val="18"/>
              </w:rPr>
              <w:t>4,153,700</w:t>
            </w:r>
            <w:r>
              <w:rPr>
                <w:rFonts w:ascii="宋体" w:hAnsi="宋体" w:cs="宋体" w:eastAsia="宋体" w:hint="default"/>
                <w:sz w:val="18"/>
                <w:szCs w:val="18"/>
              </w:rPr>
              <w:t>元，</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年分摊</w:t>
            </w:r>
            <w:r>
              <w:rPr>
                <w:rFonts w:ascii="Times New Roman" w:hAnsi="Times New Roman" w:cs="Times New Roman" w:eastAsia="Times New Roman" w:hint="default"/>
                <w:sz w:val="18"/>
                <w:szCs w:val="18"/>
              </w:rPr>
              <w:t>46,693,205</w:t>
            </w:r>
            <w:r>
              <w:rPr>
                <w:rFonts w:ascii="宋体" w:hAnsi="宋体" w:cs="宋体" w:eastAsia="宋体" w:hint="default"/>
                <w:sz w:val="18"/>
                <w:szCs w:val="18"/>
              </w:rPr>
              <w:t>元，</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年分 摊</w:t>
            </w:r>
            <w:r>
              <w:rPr>
                <w:rFonts w:ascii="Times New Roman" w:hAnsi="Times New Roman" w:cs="Times New Roman" w:eastAsia="Times New Roman" w:hint="default"/>
                <w:sz w:val="18"/>
                <w:szCs w:val="18"/>
              </w:rPr>
              <w:t>555,903</w:t>
            </w:r>
            <w:r>
              <w:rPr>
                <w:rFonts w:ascii="宋体" w:hAnsi="宋体" w:cs="宋体" w:eastAsia="宋体" w:hint="default"/>
                <w:sz w:val="18"/>
                <w:szCs w:val="18"/>
              </w:rPr>
              <w:t>元</w:t>
            </w:r>
          </w:p>
        </w:tc>
      </w:tr>
    </w:tbl>
    <w:p>
      <w:pPr>
        <w:spacing w:after="0" w:line="300" w:lineRule="auto"/>
        <w:jc w:val="left"/>
        <w:rPr>
          <w:rFonts w:ascii="宋体" w:hAnsi="宋体" w:cs="宋体" w:eastAsia="宋体" w:hint="default"/>
          <w:sz w:val="18"/>
          <w:szCs w:val="18"/>
        </w:rPr>
        <w:sectPr>
          <w:pgSz w:w="11910" w:h="16840"/>
          <w:pgMar w:header="850" w:footer="1186" w:top="1440" w:bottom="1380" w:left="980" w:right="980"/>
        </w:sectPr>
      </w:pPr>
    </w:p>
    <w:p>
      <w:pPr>
        <w:pStyle w:val="Heading2"/>
        <w:spacing w:line="240" w:lineRule="auto" w:before="13"/>
        <w:ind w:right="0"/>
        <w:jc w:val="left"/>
        <w:rPr>
          <w:b w:val="0"/>
          <w:bCs w:val="0"/>
        </w:rPr>
      </w:pPr>
      <w:r>
        <w:rPr/>
        <w:pict>
          <v:group style="position:absolute;margin-left:55.200001pt;margin-top:2.185603pt;width:484.9pt;height:.1pt;mso-position-horizontal-relative:page;mso-position-vertical-relative:paragraph;z-index:-752152" coordorigin="1104,44" coordsize="9698,2">
            <v:shape style="position:absolute;left:1104;top:44;width:9698;height:2" coordorigin="1104,44" coordsize="9698,0" path="m1104,44l10802,44e" filled="false" stroked="true" strokeweight=".72pt" strokecolor="#000000">
              <v:path arrowok="t"/>
            </v:shape>
            <w10:wrap type="none"/>
          </v:group>
        </w:pict>
      </w:r>
      <w:r>
        <w:rPr/>
        <w:t>三、重大关联交易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800"/>
        <w:gridCol w:w="494"/>
        <w:gridCol w:w="991"/>
        <w:gridCol w:w="994"/>
        <w:gridCol w:w="566"/>
        <w:gridCol w:w="566"/>
        <w:gridCol w:w="994"/>
        <w:gridCol w:w="977"/>
        <w:gridCol w:w="797"/>
      </w:tblGrid>
      <w:tr>
        <w:trPr>
          <w:trHeight w:val="1962"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4" w:lineRule="auto"/>
              <w:ind w:left="305" w:right="32"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62" w:right="60"/>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4"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关联交易价 格</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14" w:lineRule="auto"/>
              <w:ind w:left="40" w:right="41"/>
              <w:jc w:val="left"/>
              <w:rPr>
                <w:rFonts w:ascii="宋体" w:hAnsi="宋体" w:cs="宋体" w:eastAsia="宋体" w:hint="default"/>
                <w:sz w:val="18"/>
                <w:szCs w:val="18"/>
              </w:rPr>
            </w:pPr>
            <w:r>
              <w:rPr>
                <w:rFonts w:ascii="宋体" w:hAnsi="宋体" w:cs="宋体" w:eastAsia="宋体" w:hint="default"/>
                <w:sz w:val="18"/>
                <w:szCs w:val="18"/>
              </w:rPr>
              <w:t>关联交易金 额（万元）</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8" w:right="96"/>
              <w:jc w:val="both"/>
              <w:rPr>
                <w:rFonts w:ascii="宋体" w:hAnsi="宋体" w:cs="宋体" w:eastAsia="宋体" w:hint="default"/>
                <w:sz w:val="18"/>
                <w:szCs w:val="18"/>
              </w:rPr>
            </w:pPr>
            <w:r>
              <w:rPr>
                <w:rFonts w:ascii="宋体" w:hAnsi="宋体" w:cs="宋体" w:eastAsia="宋体" w:hint="default"/>
                <w:sz w:val="18"/>
                <w:szCs w:val="18"/>
              </w:rPr>
              <w:t>占同 类交 易金 额的 比例</w:t>
            </w:r>
          </w:p>
          <w:p>
            <w:pPr>
              <w:pStyle w:val="TableParagraph"/>
              <w:spacing w:line="240" w:lineRule="auto" w:before="61"/>
              <w:ind w:left="144" w:right="0"/>
              <w:jc w:val="both"/>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98" w:right="96"/>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31"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2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爱裳邦购</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同一控制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购买或销 售商品</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4"/>
              <w:jc w:val="left"/>
              <w:rPr>
                <w:rFonts w:ascii="宋体" w:hAnsi="宋体" w:cs="宋体" w:eastAsia="宋体" w:hint="default"/>
                <w:sz w:val="18"/>
                <w:szCs w:val="18"/>
              </w:rPr>
            </w:pPr>
            <w:r>
              <w:rPr>
                <w:rFonts w:ascii="宋体" w:hAnsi="宋体" w:cs="宋体" w:eastAsia="宋体" w:hint="default"/>
                <w:sz w:val="18"/>
                <w:szCs w:val="18"/>
              </w:rPr>
              <w:t>购买服饰 产品</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49,992.43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49,992.43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银行 转账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49,992.43</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2012.4.26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
              <w:jc w:val="left"/>
              <w:rPr>
                <w:rFonts w:ascii="宋体" w:hAnsi="宋体" w:cs="宋体" w:eastAsia="宋体" w:hint="default"/>
                <w:sz w:val="18"/>
                <w:szCs w:val="18"/>
              </w:rPr>
            </w:pPr>
            <w:r>
              <w:rPr>
                <w:rFonts w:ascii="宋体" w:hAnsi="宋体" w:cs="宋体" w:eastAsia="宋体" w:hint="default"/>
                <w:spacing w:val="7"/>
                <w:sz w:val="18"/>
                <w:szCs w:val="18"/>
              </w:rPr>
              <w:t>巨潮资讯 </w:t>
            </w:r>
            <w:r>
              <w:rPr>
                <w:rFonts w:ascii="宋体" w:hAnsi="宋体" w:cs="宋体" w:eastAsia="宋体" w:hint="default"/>
                <w:sz w:val="18"/>
                <w:szCs w:val="18"/>
              </w:rPr>
              <w:t>网</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41"/>
              <w:jc w:val="left"/>
              <w:rPr>
                <w:rFonts w:ascii="宋体" w:hAnsi="宋体" w:cs="宋体" w:eastAsia="宋体" w:hint="default"/>
                <w:sz w:val="18"/>
                <w:szCs w:val="18"/>
              </w:rPr>
            </w:pPr>
            <w:r>
              <w:rPr>
                <w:rFonts w:ascii="宋体" w:hAnsi="宋体" w:cs="宋体" w:eastAsia="宋体" w:hint="default"/>
                <w:sz w:val="18"/>
                <w:szCs w:val="18"/>
              </w:rPr>
              <w:t>黄岑期、 周文汉</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4"/>
              <w:jc w:val="left"/>
              <w:rPr>
                <w:rFonts w:ascii="宋体" w:hAnsi="宋体" w:cs="宋体" w:eastAsia="宋体" w:hint="default"/>
                <w:sz w:val="18"/>
                <w:szCs w:val="18"/>
              </w:rPr>
            </w:pPr>
            <w:r>
              <w:rPr>
                <w:rFonts w:ascii="宋体" w:hAnsi="宋体" w:cs="宋体" w:eastAsia="宋体" w:hint="default"/>
                <w:spacing w:val="7"/>
                <w:sz w:val="18"/>
                <w:szCs w:val="18"/>
              </w:rPr>
              <w:t>关联自然 </w:t>
            </w:r>
            <w:r>
              <w:rPr>
                <w:rFonts w:ascii="宋体" w:hAnsi="宋体" w:cs="宋体" w:eastAsia="宋体" w:hint="default"/>
                <w:sz w:val="18"/>
                <w:szCs w:val="18"/>
              </w:rPr>
              <w:t>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41"/>
              <w:jc w:val="left"/>
              <w:rPr>
                <w:rFonts w:ascii="宋体" w:hAnsi="宋体" w:cs="宋体" w:eastAsia="宋体" w:hint="default"/>
                <w:sz w:val="18"/>
                <w:szCs w:val="18"/>
              </w:rPr>
            </w:pPr>
            <w:r>
              <w:rPr>
                <w:rFonts w:ascii="宋体" w:hAnsi="宋体" w:cs="宋体" w:eastAsia="宋体" w:hint="default"/>
                <w:sz w:val="18"/>
                <w:szCs w:val="18"/>
              </w:rPr>
              <w:t>购买或销 售商品</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44"/>
              <w:jc w:val="left"/>
              <w:rPr>
                <w:rFonts w:ascii="宋体" w:hAnsi="宋体" w:cs="宋体" w:eastAsia="宋体" w:hint="default"/>
                <w:sz w:val="18"/>
                <w:szCs w:val="18"/>
              </w:rPr>
            </w:pPr>
            <w:r>
              <w:rPr>
                <w:rFonts w:ascii="宋体" w:hAnsi="宋体" w:cs="宋体" w:eastAsia="宋体" w:hint="default"/>
                <w:sz w:val="18"/>
                <w:szCs w:val="18"/>
              </w:rPr>
              <w:t>购买服饰 产品</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98"/>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4,021.06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4,021.06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70"/>
              <w:jc w:val="left"/>
              <w:rPr>
                <w:rFonts w:ascii="宋体" w:hAnsi="宋体" w:cs="宋体" w:eastAsia="宋体" w:hint="default"/>
                <w:sz w:val="18"/>
                <w:szCs w:val="18"/>
              </w:rPr>
            </w:pPr>
            <w:r>
              <w:rPr>
                <w:rFonts w:ascii="宋体" w:hAnsi="宋体" w:cs="宋体" w:eastAsia="宋体" w:hint="default"/>
                <w:sz w:val="18"/>
                <w:szCs w:val="18"/>
              </w:rPr>
              <w:t>银行 转账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4,021.06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2012.4.26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2"/>
              <w:jc w:val="left"/>
              <w:rPr>
                <w:rFonts w:ascii="宋体" w:hAnsi="宋体" w:cs="宋体" w:eastAsia="宋体" w:hint="default"/>
                <w:sz w:val="18"/>
                <w:szCs w:val="18"/>
              </w:rPr>
            </w:pPr>
            <w:r>
              <w:rPr>
                <w:rFonts w:ascii="宋体" w:hAnsi="宋体" w:cs="宋体" w:eastAsia="宋体" w:hint="default"/>
                <w:spacing w:val="7"/>
                <w:sz w:val="18"/>
                <w:szCs w:val="18"/>
              </w:rPr>
              <w:t>巨潮资讯 </w:t>
            </w:r>
            <w:r>
              <w:rPr>
                <w:rFonts w:ascii="宋体" w:hAnsi="宋体" w:cs="宋体" w:eastAsia="宋体" w:hint="default"/>
                <w:sz w:val="18"/>
                <w:szCs w:val="18"/>
              </w:rPr>
              <w:t>网</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
              <w:jc w:val="left"/>
              <w:rPr>
                <w:rFonts w:ascii="宋体" w:hAnsi="宋体" w:cs="宋体" w:eastAsia="宋体" w:hint="default"/>
                <w:sz w:val="18"/>
                <w:szCs w:val="18"/>
              </w:rPr>
            </w:pPr>
            <w:r>
              <w:rPr>
                <w:rFonts w:ascii="宋体" w:hAnsi="宋体" w:cs="宋体" w:eastAsia="宋体" w:hint="default"/>
                <w:spacing w:val="7"/>
                <w:sz w:val="18"/>
                <w:szCs w:val="18"/>
              </w:rPr>
              <w:t>关联自然 </w:t>
            </w:r>
            <w:r>
              <w:rPr>
                <w:rFonts w:ascii="宋体" w:hAnsi="宋体" w:cs="宋体" w:eastAsia="宋体" w:hint="default"/>
                <w:sz w:val="18"/>
                <w:szCs w:val="18"/>
              </w:rPr>
              <w:t>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购买或销 售商品</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4"/>
              <w:jc w:val="left"/>
              <w:rPr>
                <w:rFonts w:ascii="宋体" w:hAnsi="宋体" w:cs="宋体" w:eastAsia="宋体" w:hint="default"/>
                <w:sz w:val="18"/>
                <w:szCs w:val="18"/>
              </w:rPr>
            </w:pPr>
            <w:r>
              <w:rPr>
                <w:rFonts w:ascii="宋体" w:hAnsi="宋体" w:cs="宋体" w:eastAsia="宋体" w:hint="default"/>
                <w:sz w:val="18"/>
                <w:szCs w:val="18"/>
              </w:rPr>
              <w:t>购买服饰 产品</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3,988.77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3,988.77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银行 转账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3,988.77</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2012.4.26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
              <w:jc w:val="left"/>
              <w:rPr>
                <w:rFonts w:ascii="宋体" w:hAnsi="宋体" w:cs="宋体" w:eastAsia="宋体" w:hint="default"/>
                <w:sz w:val="18"/>
                <w:szCs w:val="18"/>
              </w:rPr>
            </w:pPr>
            <w:r>
              <w:rPr>
                <w:rFonts w:ascii="宋体" w:hAnsi="宋体" w:cs="宋体" w:eastAsia="宋体" w:hint="default"/>
                <w:spacing w:val="7"/>
                <w:sz w:val="18"/>
                <w:szCs w:val="18"/>
              </w:rPr>
              <w:t>巨潮资讯 </w:t>
            </w:r>
            <w:r>
              <w:rPr>
                <w:rFonts w:ascii="宋体" w:hAnsi="宋体" w:cs="宋体" w:eastAsia="宋体" w:hint="default"/>
                <w:sz w:val="18"/>
                <w:szCs w:val="18"/>
              </w:rPr>
              <w:t>网</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关联自然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购买或销 售商品</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购买服饰 产品</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3,061.85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3,061.85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0"/>
              <w:jc w:val="left"/>
              <w:rPr>
                <w:rFonts w:ascii="宋体" w:hAnsi="宋体" w:cs="宋体" w:eastAsia="宋体" w:hint="default"/>
                <w:sz w:val="18"/>
                <w:szCs w:val="18"/>
              </w:rPr>
            </w:pPr>
            <w:r>
              <w:rPr>
                <w:rFonts w:ascii="宋体" w:hAnsi="宋体" w:cs="宋体" w:eastAsia="宋体" w:hint="default"/>
                <w:sz w:val="18"/>
                <w:szCs w:val="18"/>
              </w:rPr>
              <w:t>银行 转账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3,061.85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2012.4.26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
              <w:jc w:val="left"/>
              <w:rPr>
                <w:rFonts w:ascii="宋体" w:hAnsi="宋体" w:cs="宋体" w:eastAsia="宋体" w:hint="default"/>
                <w:sz w:val="18"/>
                <w:szCs w:val="18"/>
              </w:rPr>
            </w:pPr>
            <w:r>
              <w:rPr>
                <w:rFonts w:ascii="宋体" w:hAnsi="宋体" w:cs="宋体" w:eastAsia="宋体" w:hint="default"/>
                <w:spacing w:val="7"/>
                <w:sz w:val="18"/>
                <w:szCs w:val="18"/>
              </w:rPr>
              <w:t>巨潮资讯 </w:t>
            </w:r>
            <w:r>
              <w:rPr>
                <w:rFonts w:ascii="宋体" w:hAnsi="宋体" w:cs="宋体" w:eastAsia="宋体" w:hint="default"/>
                <w:sz w:val="18"/>
                <w:szCs w:val="18"/>
              </w:rPr>
              <w:t>网</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同一控制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向关联方 承租房屋</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4"/>
              <w:jc w:val="left"/>
              <w:rPr>
                <w:rFonts w:ascii="宋体" w:hAnsi="宋体" w:cs="宋体" w:eastAsia="宋体" w:hint="default"/>
                <w:sz w:val="18"/>
                <w:szCs w:val="18"/>
              </w:rPr>
            </w:pPr>
            <w:r>
              <w:rPr>
                <w:rFonts w:ascii="宋体" w:hAnsi="宋体" w:cs="宋体" w:eastAsia="宋体" w:hint="default"/>
                <w:sz w:val="18"/>
                <w:szCs w:val="18"/>
              </w:rPr>
              <w:t>承租营业 房屋</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1,539.38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1,539.38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0"/>
              <w:jc w:val="left"/>
              <w:rPr>
                <w:rFonts w:ascii="宋体" w:hAnsi="宋体" w:cs="宋体" w:eastAsia="宋体" w:hint="default"/>
                <w:sz w:val="18"/>
                <w:szCs w:val="18"/>
              </w:rPr>
            </w:pPr>
            <w:r>
              <w:rPr>
                <w:rFonts w:ascii="宋体" w:hAnsi="宋体" w:cs="宋体" w:eastAsia="宋体" w:hint="default"/>
                <w:sz w:val="18"/>
                <w:szCs w:val="18"/>
              </w:rPr>
              <w:t>银行 转账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1,539.38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2012.4.26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
              <w:jc w:val="left"/>
              <w:rPr>
                <w:rFonts w:ascii="宋体" w:hAnsi="宋体" w:cs="宋体" w:eastAsia="宋体" w:hint="default"/>
                <w:sz w:val="18"/>
                <w:szCs w:val="18"/>
              </w:rPr>
            </w:pPr>
            <w:r>
              <w:rPr>
                <w:rFonts w:ascii="宋体" w:hAnsi="宋体" w:cs="宋体" w:eastAsia="宋体" w:hint="default"/>
                <w:spacing w:val="7"/>
                <w:sz w:val="18"/>
                <w:szCs w:val="18"/>
              </w:rPr>
              <w:t>巨潮资讯 </w:t>
            </w:r>
            <w:r>
              <w:rPr>
                <w:rFonts w:ascii="宋体" w:hAnsi="宋体" w:cs="宋体" w:eastAsia="宋体" w:hint="default"/>
                <w:sz w:val="18"/>
                <w:szCs w:val="18"/>
              </w:rPr>
              <w:t>网</w:t>
            </w:r>
          </w:p>
        </w:tc>
      </w:tr>
      <w:tr>
        <w:trPr>
          <w:trHeight w:val="40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w w:val="95"/>
                <w:sz w:val="18"/>
              </w:rPr>
              <w:t>61,064.11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8"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7"/>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316" w:lineRule="auto" w:before="51"/>
              <w:ind w:left="11" w:right="43"/>
              <w:jc w:val="both"/>
              <w:rPr>
                <w:rFonts w:ascii="宋体" w:hAnsi="宋体" w:cs="宋体" w:eastAsia="宋体" w:hint="default"/>
                <w:sz w:val="18"/>
                <w:szCs w:val="18"/>
              </w:rPr>
            </w:pPr>
            <w:r>
              <w:rPr>
                <w:rFonts w:ascii="宋体" w:hAnsi="宋体" w:cs="宋体" w:eastAsia="宋体" w:hint="default"/>
                <w:sz w:val="18"/>
                <w:szCs w:val="18"/>
              </w:rPr>
              <w:t>爱裳邦购从事电子商务业务运作，主要负责本公司旗下几大品牌的网络销售；上 述其他关联方均为本公司加盟商。公司上述关联交易的开展具有充分的必要性和 持续性。</w:t>
            </w:r>
          </w:p>
        </w:tc>
      </w:tr>
      <w:tr>
        <w:trPr>
          <w:trHeight w:val="401"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无影响</w:t>
            </w:r>
          </w:p>
        </w:tc>
      </w:tr>
      <w:tr>
        <w:trPr>
          <w:trHeight w:val="715"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7"/>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314" w:lineRule="auto" w:before="51"/>
              <w:ind w:left="11" w:right="44"/>
              <w:jc w:val="left"/>
              <w:rPr>
                <w:rFonts w:ascii="宋体" w:hAnsi="宋体" w:cs="宋体" w:eastAsia="宋体" w:hint="default"/>
                <w:sz w:val="18"/>
                <w:szCs w:val="18"/>
              </w:rPr>
            </w:pPr>
            <w:r>
              <w:rPr>
                <w:rFonts w:ascii="宋体" w:hAnsi="宋体" w:cs="宋体" w:eastAsia="宋体" w:hint="default"/>
                <w:sz w:val="18"/>
                <w:szCs w:val="18"/>
              </w:rPr>
              <w:t>本公司为品牌运营商和产品提供方，上述关联方对本公司依赖程度较高，本公司 对上述关联方不存在依赖关系。</w:t>
            </w:r>
          </w:p>
        </w:tc>
      </w:tr>
      <w:tr>
        <w:trPr>
          <w:trHeight w:val="1025"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7"/>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 w:right="0"/>
              <w:jc w:val="left"/>
              <w:rPr>
                <w:rFonts w:ascii="宋体" w:hAnsi="宋体" w:cs="宋体" w:eastAsia="宋体" w:hint="default"/>
                <w:sz w:val="18"/>
                <w:szCs w:val="18"/>
              </w:rPr>
            </w:pPr>
            <w:r>
              <w:rPr>
                <w:rFonts w:ascii="宋体" w:hAnsi="宋体" w:cs="宋体" w:eastAsia="宋体" w:hint="default"/>
                <w:sz w:val="18"/>
                <w:szCs w:val="18"/>
              </w:rPr>
              <w:t>上述关联交易金额均在预计的本年度关联交易金额以内。</w:t>
            </w:r>
          </w:p>
        </w:tc>
      </w:tr>
      <w:tr>
        <w:trPr>
          <w:trHeight w:val="715"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7"/>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上述关联交易均采用市场价格。</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、关联债权债务往来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734"/>
        <w:gridCol w:w="1118"/>
        <w:gridCol w:w="1119"/>
        <w:gridCol w:w="1121"/>
        <w:gridCol w:w="1119"/>
        <w:gridCol w:w="1118"/>
        <w:gridCol w:w="1119"/>
        <w:gridCol w:w="1121"/>
      </w:tblGrid>
      <w:tr>
        <w:trPr>
          <w:trHeight w:val="1025" w:hRule="exact"/>
        </w:trPr>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92"/>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66" w:right="101"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92"/>
              <w:jc w:val="right"/>
              <w:rPr>
                <w:rFonts w:ascii="宋体" w:hAnsi="宋体" w:cs="宋体" w:eastAsia="宋体" w:hint="default"/>
                <w:sz w:val="18"/>
                <w:szCs w:val="18"/>
              </w:rPr>
            </w:pPr>
            <w:r>
              <w:rPr>
                <w:rFonts w:ascii="宋体" w:hAnsi="宋体" w:cs="宋体" w:eastAsia="宋体" w:hint="default"/>
                <w:sz w:val="18"/>
                <w:szCs w:val="18"/>
              </w:rPr>
              <w:t>形成原因</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1"/>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74" w:right="19" w:hanging="351"/>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4"/>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76" w:right="19" w:hanging="351"/>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r>
        <w:trPr>
          <w:trHeight w:val="403"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爱裳邦购</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82"/>
              <w:jc w:val="right"/>
              <w:rPr>
                <w:rFonts w:ascii="宋体" w:hAnsi="宋体" w:cs="宋体" w:eastAsia="宋体" w:hint="default"/>
                <w:sz w:val="18"/>
                <w:szCs w:val="18"/>
              </w:rPr>
            </w:pPr>
            <w:r>
              <w:rPr>
                <w:rFonts w:ascii="宋体" w:hAnsi="宋体" w:cs="宋体" w:eastAsia="宋体" w:hint="default"/>
                <w:sz w:val="18"/>
                <w:szCs w:val="18"/>
              </w:rPr>
              <w:t>与本公司受</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应收关联方</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82"/>
              <w:jc w:val="right"/>
              <w:rPr>
                <w:rFonts w:ascii="宋体" w:hAnsi="宋体" w:cs="宋体" w:eastAsia="宋体" w:hint="default"/>
                <w:sz w:val="18"/>
                <w:szCs w:val="18"/>
              </w:rPr>
            </w:pPr>
            <w:r>
              <w:rPr>
                <w:rFonts w:ascii="宋体" w:hAnsi="宋体" w:cs="宋体" w:eastAsia="宋体" w:hint="default"/>
                <w:sz w:val="18"/>
                <w:szCs w:val="18"/>
              </w:rPr>
              <w:t>销售服装及</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7" w:right="0"/>
              <w:jc w:val="left"/>
              <w:rPr>
                <w:rFonts w:ascii="Times New Roman" w:hAnsi="Times New Roman" w:cs="Times New Roman" w:eastAsia="Times New Roman" w:hint="default"/>
                <w:sz w:val="18"/>
                <w:szCs w:val="18"/>
              </w:rPr>
            </w:pPr>
            <w:r>
              <w:rPr>
                <w:rFonts w:ascii="Times New Roman"/>
                <w:sz w:val="18"/>
              </w:rPr>
              <w:t>13,496.98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5" w:right="0"/>
              <w:jc w:val="left"/>
              <w:rPr>
                <w:rFonts w:ascii="Times New Roman" w:hAnsi="Times New Roman" w:cs="Times New Roman" w:eastAsia="Times New Roman" w:hint="default"/>
                <w:sz w:val="18"/>
                <w:szCs w:val="18"/>
              </w:rPr>
            </w:pPr>
            <w:r>
              <w:rPr>
                <w:rFonts w:ascii="Times New Roman"/>
                <w:sz w:val="18"/>
              </w:rPr>
              <w:t>1,229.96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14,726.94</w:t>
            </w:r>
          </w:p>
        </w:tc>
      </w:tr>
    </w:tbl>
    <w:p>
      <w:pPr>
        <w:spacing w:after="0" w:line="240" w:lineRule="auto"/>
        <w:jc w:val="left"/>
        <w:rPr>
          <w:rFonts w:ascii="Times New Roman" w:hAnsi="Times New Roman" w:cs="Times New Roman" w:eastAsia="Times New Roman" w:hint="default"/>
          <w:sz w:val="18"/>
          <w:szCs w:val="18"/>
        </w:rPr>
        <w:sectPr>
          <w:pgSz w:w="11910" w:h="16840"/>
          <w:pgMar w:header="850" w:footer="1186" w:top="1440" w:bottom="1380" w:left="980" w:right="980"/>
        </w:sectPr>
      </w:pPr>
    </w:p>
    <w:p>
      <w:pPr>
        <w:spacing w:line="240" w:lineRule="auto" w:before="6"/>
        <w:rPr>
          <w:rFonts w:ascii="宋体" w:hAnsi="宋体" w:cs="宋体" w:eastAsia="宋体"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1736"/>
        <w:gridCol w:w="1118"/>
        <w:gridCol w:w="1119"/>
        <w:gridCol w:w="1121"/>
        <w:gridCol w:w="1119"/>
        <w:gridCol w:w="1118"/>
        <w:gridCol w:w="1119"/>
        <w:gridCol w:w="1121"/>
      </w:tblGrid>
      <w:tr>
        <w:trPr>
          <w:trHeight w:val="999" w:hRule="exact"/>
        </w:trPr>
        <w:tc>
          <w:tcPr>
            <w:tcW w:w="1736" w:type="dxa"/>
            <w:tcBorders>
              <w:top w:val="single" w:sz="10" w:space="0" w:color="000000"/>
              <w:left w:val="single" w:sz="4" w:space="0" w:color="000000"/>
              <w:bottom w:val="single" w:sz="4" w:space="0" w:color="000000"/>
              <w:right w:val="single" w:sz="4" w:space="0" w:color="000000"/>
            </w:tcBorders>
          </w:tcPr>
          <w:p>
            <w:pPr/>
          </w:p>
        </w:tc>
        <w:tc>
          <w:tcPr>
            <w:tcW w:w="1118" w:type="dxa"/>
            <w:tcBorders>
              <w:top w:val="single" w:sz="10" w:space="0" w:color="000000"/>
              <w:left w:val="single" w:sz="4" w:space="0" w:color="000000"/>
              <w:bottom w:val="single" w:sz="4" w:space="0" w:color="000000"/>
              <w:right w:val="single" w:sz="4" w:space="0" w:color="000000"/>
            </w:tcBorders>
          </w:tcPr>
          <w:p>
            <w:pPr>
              <w:pStyle w:val="TableParagraph"/>
              <w:spacing w:line="319" w:lineRule="auto" w:before="15"/>
              <w:ind w:left="23" w:right="182"/>
              <w:jc w:val="both"/>
              <w:rPr>
                <w:rFonts w:ascii="宋体" w:hAnsi="宋体" w:cs="宋体" w:eastAsia="宋体" w:hint="default"/>
                <w:sz w:val="18"/>
                <w:szCs w:val="18"/>
              </w:rPr>
            </w:pPr>
            <w:r>
              <w:rPr>
                <w:rFonts w:ascii="宋体" w:hAnsi="宋体" w:cs="宋体" w:eastAsia="宋体" w:hint="default"/>
                <w:sz w:val="18"/>
                <w:szCs w:val="18"/>
              </w:rPr>
              <w:t>同一最终控 股股东控制 的公司</w:t>
            </w:r>
          </w:p>
        </w:tc>
        <w:tc>
          <w:tcPr>
            <w:tcW w:w="111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债权</w:t>
            </w:r>
          </w:p>
        </w:tc>
        <w:tc>
          <w:tcPr>
            <w:tcW w:w="112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辅料</w:t>
            </w:r>
          </w:p>
        </w:tc>
        <w:tc>
          <w:tcPr>
            <w:tcW w:w="1119" w:type="dxa"/>
            <w:tcBorders>
              <w:top w:val="single" w:sz="10" w:space="0" w:color="000000"/>
              <w:left w:val="single" w:sz="4" w:space="0" w:color="000000"/>
              <w:bottom w:val="single" w:sz="4" w:space="0" w:color="000000"/>
              <w:right w:val="single" w:sz="4" w:space="0" w:color="000000"/>
            </w:tcBorders>
          </w:tcPr>
          <w:p>
            <w:pPr/>
          </w:p>
        </w:tc>
        <w:tc>
          <w:tcPr>
            <w:tcW w:w="1118" w:type="dxa"/>
            <w:tcBorders>
              <w:top w:val="single" w:sz="10" w:space="0" w:color="000000"/>
              <w:left w:val="single" w:sz="4" w:space="0" w:color="000000"/>
              <w:bottom w:val="single" w:sz="4" w:space="0" w:color="000000"/>
              <w:right w:val="single" w:sz="4" w:space="0" w:color="000000"/>
            </w:tcBorders>
          </w:tcPr>
          <w:p>
            <w:pPr/>
          </w:p>
        </w:tc>
        <w:tc>
          <w:tcPr>
            <w:tcW w:w="1119" w:type="dxa"/>
            <w:tcBorders>
              <w:top w:val="single" w:sz="10" w:space="0" w:color="000000"/>
              <w:left w:val="single" w:sz="4" w:space="0" w:color="000000"/>
              <w:bottom w:val="single" w:sz="4" w:space="0" w:color="000000"/>
              <w:right w:val="single" w:sz="4" w:space="0" w:color="000000"/>
            </w:tcBorders>
          </w:tcPr>
          <w:p>
            <w:pPr/>
          </w:p>
        </w:tc>
        <w:tc>
          <w:tcPr>
            <w:tcW w:w="1121" w:type="dxa"/>
            <w:tcBorders>
              <w:top w:val="single" w:sz="10" w:space="0" w:color="000000"/>
              <w:left w:val="single" w:sz="4" w:space="0" w:color="000000"/>
              <w:bottom w:val="single" w:sz="4" w:space="0" w:color="000000"/>
              <w:right w:val="single" w:sz="4" w:space="0" w:color="000000"/>
            </w:tcBorders>
          </w:tcPr>
          <w:p>
            <w:pP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最终控股股 东的妹妹</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2"/>
              <w:jc w:val="left"/>
              <w:rPr>
                <w:rFonts w:ascii="宋体" w:hAnsi="宋体" w:cs="宋体" w:eastAsia="宋体" w:hint="default"/>
                <w:sz w:val="18"/>
                <w:szCs w:val="18"/>
              </w:rPr>
            </w:pPr>
            <w:r>
              <w:rPr>
                <w:rFonts w:ascii="宋体" w:hAnsi="宋体" w:cs="宋体" w:eastAsia="宋体" w:hint="default"/>
                <w:sz w:val="18"/>
                <w:szCs w:val="18"/>
              </w:rPr>
              <w:t>销售服装及 辅料</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2,031.07</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158.94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2,190.01</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最终控股股 东的姐姐</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2"/>
              <w:jc w:val="left"/>
              <w:rPr>
                <w:rFonts w:ascii="宋体" w:hAnsi="宋体" w:cs="宋体" w:eastAsia="宋体" w:hint="default"/>
                <w:sz w:val="18"/>
                <w:szCs w:val="18"/>
              </w:rPr>
            </w:pPr>
            <w:r>
              <w:rPr>
                <w:rFonts w:ascii="宋体" w:hAnsi="宋体" w:cs="宋体" w:eastAsia="宋体" w:hint="default"/>
                <w:sz w:val="18"/>
                <w:szCs w:val="18"/>
              </w:rPr>
              <w:t>销售服装及 辅料</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1,984.74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-193.22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1,791.52</w:t>
            </w:r>
          </w:p>
        </w:tc>
      </w:tr>
      <w:tr>
        <w:trPr>
          <w:trHeight w:val="1027"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黄岑期、周文汉</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最终控股股 </w:t>
            </w:r>
            <w:r>
              <w:rPr>
                <w:rFonts w:ascii="宋体" w:hAnsi="宋体" w:cs="宋体" w:eastAsia="宋体" w:hint="default"/>
                <w:spacing w:val="-3"/>
                <w:sz w:val="18"/>
                <w:szCs w:val="18"/>
              </w:rPr>
              <w:t>东的妹夫、侄</w:t>
            </w:r>
            <w:r>
              <w:rPr>
                <w:rFonts w:ascii="宋体" w:hAnsi="宋体" w:cs="宋体" w:eastAsia="宋体" w:hint="default"/>
                <w:sz w:val="18"/>
                <w:szCs w:val="18"/>
              </w:rPr>
              <w:t> 子</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182"/>
              <w:jc w:val="left"/>
              <w:rPr>
                <w:rFonts w:ascii="宋体" w:hAnsi="宋体" w:cs="宋体" w:eastAsia="宋体" w:hint="default"/>
                <w:sz w:val="18"/>
                <w:szCs w:val="18"/>
              </w:rPr>
            </w:pPr>
            <w:r>
              <w:rPr>
                <w:rFonts w:ascii="宋体" w:hAnsi="宋体" w:cs="宋体" w:eastAsia="宋体" w:hint="default"/>
                <w:sz w:val="18"/>
                <w:szCs w:val="18"/>
              </w:rPr>
              <w:t>销售服装及 辅料</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1,532.59</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-1,395.15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137.44</w:t>
            </w:r>
          </w:p>
        </w:tc>
      </w:tr>
      <w:tr>
        <w:trPr>
          <w:trHeight w:val="713" w:hRule="exact"/>
        </w:trPr>
        <w:tc>
          <w:tcPr>
            <w:tcW w:w="28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6717" w:type="dxa"/>
            <w:gridSpan w:val="6"/>
            <w:tcBorders>
              <w:top w:val="single" w:sz="4" w:space="0" w:color="000000"/>
              <w:left w:val="single" w:sz="10" w:space="0" w:color="D2D2D2"/>
              <w:bottom w:val="single" w:sz="4" w:space="0" w:color="000000"/>
              <w:right w:val="single" w:sz="4" w:space="0" w:color="000000"/>
            </w:tcBorders>
          </w:tcPr>
          <w:p>
            <w:pPr>
              <w:pStyle w:val="TableParagraph"/>
              <w:spacing w:line="314" w:lineRule="auto" w:before="49"/>
              <w:ind w:left="17" w:right="22"/>
              <w:jc w:val="left"/>
              <w:rPr>
                <w:rFonts w:ascii="宋体" w:hAnsi="宋体" w:cs="宋体" w:eastAsia="宋体" w:hint="default"/>
                <w:sz w:val="18"/>
                <w:szCs w:val="18"/>
              </w:rPr>
            </w:pPr>
            <w:r>
              <w:rPr>
                <w:rFonts w:ascii="宋体" w:hAnsi="宋体" w:cs="宋体" w:eastAsia="宋体" w:hint="default"/>
                <w:sz w:val="18"/>
                <w:szCs w:val="18"/>
              </w:rPr>
              <w:t>上述关联交易有利于增加公司业绩。于报告披露截止日，本公司已收回关联方爱裳邦 购上述货款。</w:t>
            </w:r>
          </w:p>
        </w:tc>
      </w:tr>
    </w:tbl>
    <w:p>
      <w:pPr>
        <w:spacing w:line="240" w:lineRule="auto" w:before="1"/>
        <w:rPr>
          <w:rFonts w:ascii="宋体" w:hAnsi="宋体" w:cs="宋体" w:eastAsia="宋体" w:hint="default"/>
          <w:b/>
          <w:bCs/>
          <w:sz w:val="18"/>
          <w:szCs w:val="18"/>
        </w:rPr>
      </w:pPr>
    </w:p>
    <w:p>
      <w:pPr>
        <w:pStyle w:val="Heading2"/>
        <w:spacing w:line="240" w:lineRule="auto"/>
        <w:ind w:left="112" w:right="0"/>
        <w:jc w:val="left"/>
        <w:rPr>
          <w:b w:val="0"/>
          <w:bCs w:val="0"/>
        </w:rPr>
      </w:pPr>
      <w:r>
        <w:rPr/>
        <w:t>四、重大合同及其履行情况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12"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left="112" w:right="0" w:firstLine="420"/>
        <w:jc w:val="left"/>
      </w:pPr>
      <w:r>
        <w:rPr/>
        <w:t>报告期内，公司除正常租赁房屋进行连锁店建设外，未发生也未有以前期间发生但延续到报告期的重大托管、承包、 租赁其他公司资产或其他公司托管、承包、租赁上市公司资产事项。有关连锁店租赁房屋的合同已正常履行。</w:t>
      </w:r>
    </w:p>
    <w:p>
      <w:pPr>
        <w:spacing w:line="240" w:lineRule="auto" w:before="7"/>
        <w:rPr>
          <w:rFonts w:ascii="宋体" w:hAnsi="宋体" w:cs="宋体" w:eastAsia="宋体" w:hint="default"/>
          <w:sz w:val="17"/>
          <w:szCs w:val="17"/>
        </w:rPr>
      </w:pPr>
    </w:p>
    <w:p>
      <w:pPr>
        <w:pStyle w:val="Heading2"/>
        <w:spacing w:line="240" w:lineRule="auto" w:before="0"/>
        <w:ind w:left="112" w:right="0"/>
        <w:jc w:val="left"/>
        <w:rPr>
          <w:b w:val="0"/>
          <w:bCs w:val="0"/>
        </w:rPr>
      </w:pPr>
      <w:r>
        <w:rPr/>
        <w:t>五、承诺事项履行情况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12" w:right="0"/>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8"/>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60"/>
        <w:gridCol w:w="991"/>
        <w:gridCol w:w="3971"/>
        <w:gridCol w:w="1135"/>
        <w:gridCol w:w="644"/>
        <w:gridCol w:w="1270"/>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7" w:right="44"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20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9"/>
              <w:ind w:left="24" w:right="84"/>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57" w:lineRule="auto" w:before="158"/>
              <w:ind w:left="23" w:right="55"/>
              <w:jc w:val="left"/>
              <w:rPr>
                <w:rFonts w:ascii="宋体" w:hAnsi="宋体" w:cs="宋体" w:eastAsia="宋体" w:hint="default"/>
                <w:sz w:val="18"/>
                <w:szCs w:val="18"/>
              </w:rPr>
            </w:pPr>
            <w:r>
              <w:rPr>
                <w:rFonts w:ascii="宋体" w:hAnsi="宋体" w:cs="宋体" w:eastAsia="宋体" w:hint="default"/>
                <w:sz w:val="18"/>
                <w:szCs w:val="18"/>
              </w:rPr>
              <w:t>华服投资、 周成建、 胡佳佳</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firstLine="180"/>
              <w:jc w:val="left"/>
              <w:rPr>
                <w:rFonts w:ascii="宋体" w:hAnsi="宋体" w:cs="宋体" w:eastAsia="宋体" w:hint="default"/>
                <w:sz w:val="18"/>
                <w:szCs w:val="18"/>
              </w:rPr>
            </w:pPr>
            <w:r>
              <w:rPr>
                <w:rFonts w:ascii="宋体" w:hAnsi="宋体" w:cs="宋体" w:eastAsia="宋体" w:hint="default"/>
                <w:spacing w:val="-3"/>
                <w:sz w:val="18"/>
                <w:szCs w:val="18"/>
              </w:rPr>
              <w:t>公司控股股东华服投资、股东胡佳佳及实际控制</w:t>
            </w:r>
            <w:r>
              <w:rPr>
                <w:rFonts w:ascii="宋体" w:hAnsi="宋体" w:cs="宋体" w:eastAsia="宋体" w:hint="default"/>
                <w:sz w:val="18"/>
                <w:szCs w:val="18"/>
              </w:rPr>
              <w:t> 人周成建于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日分别签署《避免同业</w:t>
            </w:r>
            <w:r>
              <w:rPr>
                <w:rFonts w:ascii="宋体" w:hAnsi="宋体" w:cs="宋体" w:eastAsia="宋体" w:hint="default"/>
                <w:sz w:val="18"/>
                <w:szCs w:val="18"/>
              </w:rPr>
              <w:t> </w:t>
            </w:r>
            <w:r>
              <w:rPr>
                <w:rFonts w:ascii="宋体" w:hAnsi="宋体" w:cs="宋体" w:eastAsia="宋体" w:hint="default"/>
                <w:spacing w:val="-5"/>
                <w:sz w:val="18"/>
                <w:szCs w:val="18"/>
              </w:rPr>
              <w:t>竞争承诺函》，承诺其自身、以及其参与投资的企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业截至承诺函签署日没有以任何形式从事与本公 司及本公司的控股企业的主营业务构成或可能构 </w:t>
            </w:r>
            <w:r>
              <w:rPr>
                <w:rFonts w:ascii="宋体" w:hAnsi="宋体" w:cs="宋体" w:eastAsia="宋体" w:hint="default"/>
                <w:spacing w:val="-3"/>
                <w:sz w:val="18"/>
                <w:szCs w:val="18"/>
              </w:rPr>
              <w:t>成直接或间接竞争关系的业务或活动；未来也不以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任何形式直接或间接从事任何与本公司或本公司 的控股企业主营业务构成或可能构成直接或间接 </w:t>
            </w:r>
            <w:r>
              <w:rPr>
                <w:rFonts w:ascii="宋体" w:hAnsi="宋体" w:cs="宋体" w:eastAsia="宋体" w:hint="default"/>
                <w:spacing w:val="-3"/>
                <w:sz w:val="18"/>
                <w:szCs w:val="18"/>
              </w:rPr>
              <w:t>竞争关系的业务或活动，或于该等业务中持有权益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或利益。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无期限</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截止到本报告 </w:t>
            </w:r>
            <w:r>
              <w:rPr>
                <w:rFonts w:ascii="宋体" w:hAnsi="宋体" w:cs="宋体" w:eastAsia="宋体" w:hint="default"/>
                <w:spacing w:val="-7"/>
                <w:sz w:val="18"/>
                <w:szCs w:val="18"/>
              </w:rPr>
              <w:t>期末，该承诺事</w:t>
            </w:r>
            <w:r>
              <w:rPr>
                <w:rFonts w:ascii="宋体" w:hAnsi="宋体" w:cs="宋体" w:eastAsia="宋体" w:hint="default"/>
                <w:sz w:val="18"/>
                <w:szCs w:val="18"/>
              </w:rPr>
              <w:t> 项仍在严格履 行中。</w:t>
            </w:r>
          </w:p>
        </w:tc>
      </w:tr>
      <w:tr>
        <w:trPr>
          <w:trHeight w:val="1339"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23" w:right="55"/>
              <w:jc w:val="left"/>
              <w:rPr>
                <w:rFonts w:ascii="宋体" w:hAnsi="宋体" w:cs="宋体" w:eastAsia="宋体" w:hint="default"/>
                <w:sz w:val="18"/>
                <w:szCs w:val="18"/>
              </w:rPr>
            </w:pPr>
            <w:r>
              <w:rPr>
                <w:rFonts w:ascii="宋体" w:hAnsi="宋体" w:cs="宋体" w:eastAsia="宋体" w:hint="default"/>
                <w:sz w:val="18"/>
                <w:szCs w:val="18"/>
              </w:rPr>
              <w:t>华服投资、 周成建</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24"/>
              <w:jc w:val="both"/>
              <w:rPr>
                <w:rFonts w:ascii="宋体" w:hAnsi="宋体" w:cs="宋体" w:eastAsia="宋体" w:hint="default"/>
                <w:sz w:val="18"/>
                <w:szCs w:val="18"/>
              </w:rPr>
            </w:pPr>
            <w:r>
              <w:rPr>
                <w:rFonts w:ascii="宋体" w:hAnsi="宋体" w:cs="宋体" w:eastAsia="宋体" w:hint="default"/>
                <w:sz w:val="18"/>
                <w:szCs w:val="18"/>
              </w:rPr>
              <w:t>公司实际控制人周成建和控股股东华服投资承诺： </w:t>
            </w:r>
            <w:r>
              <w:rPr>
                <w:rFonts w:ascii="宋体" w:hAnsi="宋体" w:cs="宋体" w:eastAsia="宋体" w:hint="default"/>
                <w:spacing w:val="-3"/>
                <w:sz w:val="18"/>
                <w:szCs w:val="18"/>
              </w:rPr>
              <w:t>若发生税收优惠被追缴的情况，将承担被追缴的税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款和因此所产生的所有相关费用。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无期限</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截止到本报告 </w:t>
            </w:r>
            <w:r>
              <w:rPr>
                <w:rFonts w:ascii="宋体" w:hAnsi="宋体" w:cs="宋体" w:eastAsia="宋体" w:hint="default"/>
                <w:spacing w:val="-7"/>
                <w:sz w:val="18"/>
                <w:szCs w:val="18"/>
              </w:rPr>
              <w:t>期末，该承诺事</w:t>
            </w:r>
            <w:r>
              <w:rPr>
                <w:rFonts w:ascii="宋体" w:hAnsi="宋体" w:cs="宋体" w:eastAsia="宋体" w:hint="default"/>
                <w:sz w:val="18"/>
                <w:szCs w:val="18"/>
              </w:rPr>
              <w:t> 项仍在严格履 行中。</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0"/>
              <w:jc w:val="center"/>
              <w:rPr>
                <w:rFonts w:ascii="宋体" w:hAnsi="宋体" w:cs="宋体" w:eastAsia="宋体" w:hint="default"/>
                <w:sz w:val="18"/>
                <w:szCs w:val="18"/>
              </w:rPr>
            </w:pPr>
            <w:r>
              <w:rPr>
                <w:rFonts w:ascii="宋体" w:hAnsi="宋体" w:cs="宋体" w:eastAsia="宋体" w:hint="default"/>
                <w:sz w:val="18"/>
                <w:szCs w:val="18"/>
              </w:rPr>
              <w:t>承诺是否及时履行</w:t>
            </w:r>
          </w:p>
        </w:tc>
        <w:tc>
          <w:tcPr>
            <w:tcW w:w="80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50" w:footer="1186" w:top="1440" w:bottom="1380" w:left="1020" w:right="1040"/>
        </w:sectPr>
      </w:pPr>
    </w:p>
    <w:p>
      <w:pPr>
        <w:spacing w:line="240" w:lineRule="auto" w:before="11"/>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1559"/>
        <w:gridCol w:w="8010"/>
      </w:tblGrid>
      <w:tr>
        <w:trPr>
          <w:trHeight w:val="723" w:hRule="exact"/>
        </w:trPr>
        <w:tc>
          <w:tcPr>
            <w:tcW w:w="1559"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未完成履行的具体 原因及下一步计划</w:t>
            </w:r>
          </w:p>
        </w:tc>
        <w:tc>
          <w:tcPr>
            <w:tcW w:w="801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both"/>
              <w:rPr>
                <w:rFonts w:ascii="宋体" w:hAnsi="宋体" w:cs="宋体" w:eastAsia="宋体" w:hint="default"/>
                <w:sz w:val="18"/>
                <w:szCs w:val="18"/>
              </w:rPr>
            </w:pPr>
            <w:r>
              <w:rPr>
                <w:rFonts w:ascii="宋体" w:hAnsi="宋体" w:cs="宋体" w:eastAsia="宋体" w:hint="default"/>
                <w:sz w:val="18"/>
                <w:szCs w:val="18"/>
              </w:rPr>
              <w:t>是否就导致的同业 竞争和关联交易问 题作出承诺</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8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截止到本报告期末，该承诺事项仍在严格履行中</w:t>
            </w:r>
          </w:p>
        </w:tc>
      </w:tr>
    </w:tbl>
    <w:p>
      <w:pPr>
        <w:spacing w:line="240" w:lineRule="auto" w:before="1"/>
        <w:rPr>
          <w:rFonts w:ascii="宋体" w:hAnsi="宋体" w:cs="宋体" w:eastAsia="宋体" w:hint="default"/>
          <w:b/>
          <w:bCs/>
          <w:sz w:val="18"/>
          <w:szCs w:val="18"/>
        </w:rPr>
      </w:pPr>
    </w:p>
    <w:p>
      <w:pPr>
        <w:pStyle w:val="Heading2"/>
        <w:spacing w:line="240" w:lineRule="auto"/>
        <w:ind w:left="112" w:right="0"/>
        <w:jc w:val="left"/>
        <w:rPr>
          <w:b w:val="0"/>
          <w:bCs w:val="0"/>
        </w:rPr>
      </w:pPr>
      <w:r>
        <w:rPr/>
        <w:t>六、聘任、解聘会计师事务所情况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2" w:right="0"/>
        <w:jc w:val="left"/>
      </w:pPr>
      <w:r>
        <w:rPr/>
        <w:t>现聘任的会计事务所</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安永华明会计师事务所</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335</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毕舜杰、张炯</w:t>
            </w:r>
          </w:p>
        </w:tc>
      </w:tr>
    </w:tbl>
    <w:p>
      <w:pPr>
        <w:spacing w:line="240" w:lineRule="auto" w:before="1"/>
        <w:rPr>
          <w:rFonts w:ascii="宋体" w:hAnsi="宋体" w:cs="宋体" w:eastAsia="宋体" w:hint="default"/>
          <w:sz w:val="18"/>
          <w:szCs w:val="18"/>
        </w:rPr>
      </w:pPr>
    </w:p>
    <w:p>
      <w:pPr>
        <w:pStyle w:val="Heading2"/>
        <w:spacing w:line="240" w:lineRule="auto"/>
        <w:ind w:left="112" w:right="0"/>
        <w:jc w:val="both"/>
        <w:rPr>
          <w:b w:val="0"/>
          <w:bCs w:val="0"/>
        </w:rPr>
      </w:pPr>
      <w:r>
        <w:rPr/>
        <w:t>七、公司发行公司债券的情况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473" w:right="0"/>
        <w:jc w:val="left"/>
      </w:pPr>
      <w:r>
        <w:rPr/>
        <w:t>公司于</w:t>
      </w:r>
      <w:r>
        <w:rPr>
          <w:spacing w:val="-52"/>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日及</w:t>
      </w:r>
      <w:r>
        <w:rPr>
          <w:spacing w:val="-52"/>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年</w:t>
      </w:r>
      <w:r>
        <w:rPr>
          <w:spacing w:val="-5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日</w:t>
      </w:r>
      <w:r>
        <w:rPr>
          <w:spacing w:val="-92"/>
        </w:rPr>
        <w:t>，</w:t>
      </w:r>
      <w:r>
        <w:rPr/>
        <w:t>分别召开第二届董事会第十三次会议及</w:t>
      </w:r>
      <w:r>
        <w:rPr>
          <w:spacing w:val="-52"/>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年度第二次临时股东大会，</w:t>
      </w:r>
    </w:p>
    <w:p>
      <w:pPr>
        <w:spacing w:line="240" w:lineRule="auto" w:before="9"/>
        <w:rPr>
          <w:rFonts w:ascii="宋体" w:hAnsi="宋体" w:cs="宋体" w:eastAsia="宋体" w:hint="default"/>
          <w:sz w:val="16"/>
          <w:szCs w:val="16"/>
        </w:rPr>
      </w:pPr>
    </w:p>
    <w:p>
      <w:pPr>
        <w:pStyle w:val="BodyText"/>
        <w:spacing w:line="458" w:lineRule="auto"/>
        <w:ind w:left="112" w:right="190"/>
        <w:jc w:val="both"/>
      </w:pPr>
      <w:r>
        <w:rPr/>
        <w:t>董事会及股东大会分别审议通过了《关于发行公司债券的议案》，同意公司公开发行不超过人民币</w:t>
      </w:r>
      <w:r>
        <w:rPr>
          <w:spacing w:val="-44"/>
        </w:rPr>
        <w:t> </w:t>
      </w:r>
      <w:r>
        <w:rPr>
          <w:rFonts w:ascii="Times New Roman" w:hAnsi="Times New Roman" w:cs="Times New Roman" w:eastAsia="Times New Roman" w:hint="default"/>
        </w:rPr>
        <w:t>16 </w:t>
      </w:r>
      <w:r>
        <w:rPr/>
        <w:t>亿元且不超过发行时 最近一期净资产的</w:t>
      </w:r>
      <w:r>
        <w:rPr>
          <w:spacing w:val="-55"/>
        </w:rPr>
        <w:t> </w:t>
      </w:r>
      <w:r>
        <w:rPr>
          <w:rFonts w:ascii="Times New Roman" w:hAnsi="Times New Roman" w:cs="Times New Roman" w:eastAsia="Times New Roman" w:hint="default"/>
        </w:rPr>
        <w:t>40%</w:t>
      </w:r>
      <w:r>
        <w:rPr/>
        <w:t>的公司债券，</w:t>
      </w:r>
      <w:r>
        <w:rPr>
          <w:spacing w:val="-68"/>
        </w:rPr>
        <w:t> </w:t>
      </w:r>
      <w:r>
        <w:rPr/>
        <w:t>债券期限为不超过</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年，募集资金拟用于偿还金融机构贷款和补充流动资金。发行人 股东大会关于本次公司债券发行的决议的有效期为自决议做出之日起</w:t>
      </w:r>
      <w:r>
        <w:rPr>
          <w:spacing w:val="-57"/>
        </w:rPr>
        <w:t> </w:t>
      </w:r>
      <w:r>
        <w:rPr>
          <w:rFonts w:ascii="Times New Roman" w:hAnsi="Times New Roman" w:cs="Times New Roman" w:eastAsia="Times New Roman" w:hint="default"/>
        </w:rPr>
        <w:t>24</w:t>
      </w:r>
      <w:r>
        <w:rPr>
          <w:rFonts w:ascii="Times New Roman" w:hAnsi="Times New Roman" w:cs="Times New Roman" w:eastAsia="Times New Roman" w:hint="default"/>
          <w:spacing w:val="21"/>
        </w:rPr>
        <w:t> </w:t>
      </w:r>
      <w:r>
        <w:rPr/>
        <w:t>个月。同时，股东大会同意授权董事会或董事会授 </w:t>
      </w:r>
      <w:r>
        <w:rPr>
          <w:spacing w:val="-2"/>
        </w:rPr>
        <w:t>权人士全权办理本次发行公司债券的相关事宜。截至本报告披露日，公司已向中国证监会上报相关申请材料，尚未发行公司</w:t>
      </w:r>
      <w:r>
        <w:rPr>
          <w:spacing w:val="-63"/>
        </w:rPr>
        <w:t> </w:t>
      </w:r>
      <w:r>
        <w:rPr>
          <w:spacing w:val="-63"/>
        </w:rPr>
      </w:r>
      <w:r>
        <w:rPr/>
        <w:t>债券。</w:t>
      </w:r>
    </w:p>
    <w:p>
      <w:pPr>
        <w:spacing w:after="0" w:line="458" w:lineRule="auto"/>
        <w:jc w:val="both"/>
        <w:sectPr>
          <w:pgSz w:w="11910" w:h="16840"/>
          <w:pgMar w:header="850" w:footer="1186" w:top="1440" w:bottom="1380" w:left="1020" w:right="9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1"/>
        <w:spacing w:line="240" w:lineRule="auto"/>
        <w:ind w:left="2963" w:right="0"/>
        <w:jc w:val="left"/>
        <w:rPr>
          <w:b w:val="0"/>
          <w:bCs w:val="0"/>
        </w:rPr>
      </w:pPr>
      <w:bookmarkStart w:name="_bookmark5" w:id="6"/>
      <w:bookmarkEnd w:id="6"/>
      <w:r>
        <w:rPr>
          <w:b w:val="0"/>
          <w:bCs w:val="0"/>
        </w:rPr>
      </w: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815"/>
        <w:gridCol w:w="1364"/>
        <w:gridCol w:w="900"/>
        <w:gridCol w:w="612"/>
        <w:gridCol w:w="466"/>
        <w:gridCol w:w="756"/>
        <w:gridCol w:w="756"/>
        <w:gridCol w:w="607"/>
        <w:gridCol w:w="1664"/>
        <w:gridCol w:w="869"/>
      </w:tblGrid>
      <w:tr>
        <w:trPr>
          <w:trHeight w:val="403" w:hRule="exact"/>
        </w:trPr>
        <w:tc>
          <w:tcPr>
            <w:tcW w:w="1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19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5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815" w:type="dxa"/>
            <w:vMerge w:val="restart"/>
            <w:tcBorders>
              <w:top w:val="nil" w:sz="6" w:space="0" w:color="auto"/>
              <w:left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61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11" w:right="29"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4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5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94" w:right="101"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7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815" w:type="dxa"/>
            <w:vMerge/>
            <w:tcBorders>
              <w:left w:val="single" w:sz="4" w:space="0" w:color="000000"/>
              <w:bottom w:val="nil" w:sz="6" w:space="0" w:color="auto"/>
              <w:right w:val="single" w:sz="4" w:space="0" w:color="000000"/>
            </w:tcBorders>
            <w:shd w:val="clear" w:color="auto" w:fill="D2D2D2"/>
          </w:tcPr>
          <w:p>
            <w:pPr/>
          </w:p>
        </w:tc>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612" w:type="dxa"/>
            <w:vMerge/>
            <w:tcBorders>
              <w:left w:val="single" w:sz="4" w:space="0" w:color="000000"/>
              <w:right w:val="single" w:sz="4" w:space="0" w:color="000000"/>
            </w:tcBorders>
            <w:shd w:val="clear" w:color="auto" w:fill="D2D2D2"/>
          </w:tcPr>
          <w:p>
            <w:pPr/>
          </w:p>
        </w:tc>
        <w:tc>
          <w:tcPr>
            <w:tcW w:w="4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56" w:type="dxa"/>
            <w:vMerge/>
            <w:tcBorders>
              <w:left w:val="single" w:sz="4" w:space="0" w:color="000000"/>
              <w:right w:val="single" w:sz="4" w:space="0" w:color="000000"/>
            </w:tcBorders>
            <w:shd w:val="clear" w:color="auto" w:fill="D2D2D2"/>
          </w:tcPr>
          <w:p>
            <w:pPr/>
          </w:p>
        </w:tc>
        <w:tc>
          <w:tcPr>
            <w:tcW w:w="7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1815" w:type="dxa"/>
            <w:vMerge w:val="restart"/>
            <w:tcBorders>
              <w:top w:val="nil" w:sz="6" w:space="0" w:color="auto"/>
              <w:left w:val="single" w:sz="4" w:space="0" w:color="000000"/>
              <w:right w:val="single" w:sz="4" w:space="0" w:color="000000"/>
            </w:tcBorders>
            <w:shd w:val="clear" w:color="auto" w:fill="D2D2D2"/>
          </w:tcPr>
          <w:p>
            <w:pPr/>
          </w:p>
        </w:tc>
        <w:tc>
          <w:tcPr>
            <w:tcW w:w="1364"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bottom w:val="nil" w:sz="6" w:space="0" w:color="auto"/>
              <w:right w:val="single" w:sz="4" w:space="0" w:color="000000"/>
            </w:tcBorders>
            <w:shd w:val="clear" w:color="auto" w:fill="D2D2D2"/>
          </w:tcPr>
          <w:p>
            <w:pPr/>
          </w:p>
        </w:tc>
        <w:tc>
          <w:tcPr>
            <w:tcW w:w="612" w:type="dxa"/>
            <w:vMerge/>
            <w:tcBorders>
              <w:left w:val="single" w:sz="4" w:space="0" w:color="000000"/>
              <w:right w:val="single" w:sz="4" w:space="0" w:color="000000"/>
            </w:tcBorders>
            <w:shd w:val="clear" w:color="auto" w:fill="D2D2D2"/>
          </w:tcPr>
          <w:p>
            <w:pPr/>
          </w:p>
        </w:tc>
        <w:tc>
          <w:tcPr>
            <w:tcW w:w="466" w:type="dxa"/>
            <w:vMerge/>
            <w:tcBorders>
              <w:left w:val="single" w:sz="4" w:space="0" w:color="000000"/>
              <w:bottom w:val="nil" w:sz="6" w:space="0" w:color="auto"/>
              <w:right w:val="single" w:sz="4" w:space="0" w:color="000000"/>
            </w:tcBorders>
            <w:shd w:val="clear" w:color="auto" w:fill="D2D2D2"/>
          </w:tcPr>
          <w:p>
            <w:pPr/>
          </w:p>
        </w:tc>
        <w:tc>
          <w:tcPr>
            <w:tcW w:w="756" w:type="dxa"/>
            <w:vMerge/>
            <w:tcBorders>
              <w:left w:val="single" w:sz="4" w:space="0" w:color="000000"/>
              <w:right w:val="single" w:sz="4" w:space="0" w:color="000000"/>
            </w:tcBorders>
            <w:shd w:val="clear" w:color="auto" w:fill="D2D2D2"/>
          </w:tcPr>
          <w:p>
            <w:pPr/>
          </w:p>
        </w:tc>
        <w:tc>
          <w:tcPr>
            <w:tcW w:w="756" w:type="dxa"/>
            <w:vMerge/>
            <w:tcBorders>
              <w:left w:val="single" w:sz="4" w:space="0" w:color="000000"/>
              <w:bottom w:val="nil" w:sz="6" w:space="0" w:color="auto"/>
              <w:right w:val="single" w:sz="4" w:space="0" w:color="000000"/>
            </w:tcBorders>
            <w:shd w:val="clear" w:color="auto" w:fill="D2D2D2"/>
          </w:tcPr>
          <w:p>
            <w:pPr/>
          </w:p>
        </w:tc>
        <w:tc>
          <w:tcPr>
            <w:tcW w:w="607" w:type="dxa"/>
            <w:vMerge/>
            <w:tcBorders>
              <w:left w:val="single" w:sz="4" w:space="0" w:color="000000"/>
              <w:bottom w:val="nil" w:sz="6" w:space="0" w:color="auto"/>
              <w:right w:val="single" w:sz="4" w:space="0" w:color="000000"/>
            </w:tcBorders>
            <w:shd w:val="clear" w:color="auto" w:fill="D2D2D2"/>
          </w:tcPr>
          <w:p>
            <w:pPr/>
          </w:p>
        </w:tc>
        <w:tc>
          <w:tcPr>
            <w:tcW w:w="1664" w:type="dxa"/>
            <w:vMerge/>
            <w:tcBorders>
              <w:left w:val="single" w:sz="4" w:space="0" w:color="000000"/>
              <w:bottom w:val="nil" w:sz="6" w:space="0" w:color="auto"/>
              <w:right w:val="single" w:sz="4" w:space="0" w:color="000000"/>
            </w:tcBorders>
            <w:shd w:val="clear" w:color="auto" w:fill="D2D2D2"/>
          </w:tcPr>
          <w:p>
            <w:pPr/>
          </w:p>
        </w:tc>
        <w:tc>
          <w:tcPr>
            <w:tcW w:w="86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815" w:type="dxa"/>
            <w:vMerge/>
            <w:tcBorders>
              <w:left w:val="single" w:sz="4" w:space="0" w:color="000000"/>
              <w:bottom w:val="single" w:sz="4" w:space="0" w:color="000000"/>
              <w:right w:val="single" w:sz="4" w:space="0" w:color="000000"/>
            </w:tcBorders>
            <w:shd w:val="clear" w:color="auto" w:fill="D2D2D2"/>
          </w:tcPr>
          <w:p>
            <w:pPr/>
          </w:p>
        </w:tc>
        <w:tc>
          <w:tcPr>
            <w:tcW w:w="1364"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shd w:val="clear" w:color="auto" w:fill="D2D2D2"/>
          </w:tcPr>
          <w:p>
            <w:pPr/>
          </w:p>
        </w:tc>
        <w:tc>
          <w:tcPr>
            <w:tcW w:w="612"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6" w:type="dxa"/>
            <w:vMerge/>
            <w:tcBorders>
              <w:left w:val="single" w:sz="4" w:space="0" w:color="000000"/>
              <w:bottom w:val="single" w:sz="4" w:space="0" w:color="000000"/>
              <w:right w:val="single" w:sz="4" w:space="0" w:color="000000"/>
            </w:tcBorders>
            <w:shd w:val="clear" w:color="auto" w:fill="D2D2D2"/>
          </w:tcPr>
          <w:p>
            <w:pPr/>
          </w:p>
        </w:tc>
        <w:tc>
          <w:tcPr>
            <w:tcW w:w="7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36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6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36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6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404" w:hRule="exact"/>
        </w:trPr>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36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612"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二、股东和实际控制人情况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35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1"/>
        <w:gridCol w:w="1364"/>
        <w:gridCol w:w="1110"/>
        <w:gridCol w:w="1129"/>
        <w:gridCol w:w="684"/>
        <w:gridCol w:w="684"/>
        <w:gridCol w:w="1466"/>
        <w:gridCol w:w="705"/>
        <w:gridCol w:w="1372"/>
      </w:tblGrid>
      <w:tr>
        <w:trPr>
          <w:trHeight w:val="406" w:hRule="exact"/>
        </w:trPr>
        <w:tc>
          <w:tcPr>
            <w:tcW w:w="2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11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12,229</w:t>
            </w:r>
          </w:p>
        </w:tc>
        <w:tc>
          <w:tcPr>
            <w:tcW w:w="466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个交易日末股东总数</w:t>
            </w:r>
          </w:p>
        </w:tc>
        <w:tc>
          <w:tcPr>
            <w:tcW w:w="13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13,876</w:t>
            </w:r>
          </w:p>
        </w:tc>
      </w:tr>
      <w:tr>
        <w:trPr>
          <w:trHeight w:val="394" w:hRule="exact"/>
        </w:trPr>
        <w:tc>
          <w:tcPr>
            <w:tcW w:w="98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322" w:hRule="exact"/>
        </w:trPr>
        <w:tc>
          <w:tcPr>
            <w:tcW w:w="1361" w:type="dxa"/>
            <w:vMerge w:val="restart"/>
            <w:tcBorders>
              <w:top w:val="single" w:sz="4" w:space="0" w:color="000000"/>
              <w:left w:val="single" w:sz="4" w:space="0" w:color="000000"/>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
        </w:tc>
        <w:tc>
          <w:tcPr>
            <w:tcW w:w="11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5"/>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14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0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08"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4" w:type="dxa"/>
            <w:vMerge/>
            <w:tcBorders>
              <w:left w:val="single" w:sz="4" w:space="0" w:color="000000"/>
              <w:bottom w:val="nil" w:sz="6" w:space="0" w:color="auto"/>
              <w:right w:val="single" w:sz="4" w:space="0" w:color="000000"/>
            </w:tcBorders>
            <w:shd w:val="clear" w:color="auto" w:fill="D2D2D2"/>
          </w:tcPr>
          <w:p>
            <w:pPr/>
          </w:p>
        </w:tc>
        <w:tc>
          <w:tcPr>
            <w:tcW w:w="11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2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6" w:right="11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4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
              <w:ind w:left="278" w:right="96" w:hanging="180"/>
              <w:jc w:val="left"/>
              <w:rPr>
                <w:rFonts w:ascii="宋体" w:hAnsi="宋体" w:cs="宋体" w:eastAsia="宋体" w:hint="default"/>
                <w:sz w:val="18"/>
                <w:szCs w:val="18"/>
              </w:rPr>
            </w:pPr>
            <w:r>
              <w:rPr>
                <w:rFonts w:ascii="宋体" w:hAnsi="宋体" w:cs="宋体" w:eastAsia="宋体" w:hint="default"/>
                <w:sz w:val="18"/>
                <w:szCs w:val="18"/>
              </w:rPr>
              <w:t>持有无限售条件 的股份数量</w:t>
            </w:r>
          </w:p>
        </w:tc>
        <w:tc>
          <w:tcPr>
            <w:tcW w:w="7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2" w:type="dxa"/>
            <w:vMerge w:val="restart"/>
            <w:tcBorders>
              <w:top w:val="single" w:sz="4" w:space="0" w:color="000000"/>
              <w:left w:val="single" w:sz="4" w:space="0" w:color="000000"/>
              <w:right w:val="single" w:sz="4" w:space="0" w:color="000000"/>
            </w:tcBorders>
            <w:shd w:val="clear" w:color="auto" w:fill="D2D2D2"/>
          </w:tcPr>
          <w:p>
            <w:pPr/>
          </w:p>
        </w:tc>
      </w:tr>
      <w:tr>
        <w:trPr>
          <w:trHeight w:val="205" w:hRule="exact"/>
        </w:trPr>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10" w:type="dxa"/>
            <w:vMerge/>
            <w:tcBorders>
              <w:left w:val="single" w:sz="4" w:space="0" w:color="000000"/>
              <w:right w:val="single" w:sz="4" w:space="0" w:color="000000"/>
            </w:tcBorders>
            <w:shd w:val="clear" w:color="auto" w:fill="D2D2D2"/>
          </w:tcPr>
          <w:p>
            <w:pPr/>
          </w:p>
        </w:tc>
        <w:tc>
          <w:tcPr>
            <w:tcW w:w="1129"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466" w:type="dxa"/>
            <w:vMerge/>
            <w:tcBorders>
              <w:left w:val="single" w:sz="4" w:space="0" w:color="000000"/>
              <w:right w:val="single" w:sz="4" w:space="0" w:color="000000"/>
            </w:tcBorders>
            <w:shd w:val="clear" w:color="auto" w:fill="D2D2D2"/>
          </w:tcPr>
          <w:p>
            <w:pPr/>
          </w:p>
        </w:tc>
        <w:tc>
          <w:tcPr>
            <w:tcW w:w="70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98"/>
              <w:ind w:left="259" w:right="74"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1372"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4" w:type="dxa"/>
            <w:vMerge/>
            <w:tcBorders>
              <w:left w:val="single" w:sz="4" w:space="0" w:color="000000"/>
              <w:bottom w:val="nil" w:sz="6" w:space="0" w:color="auto"/>
              <w:right w:val="single" w:sz="4" w:space="0" w:color="000000"/>
            </w:tcBorders>
            <w:shd w:val="clear" w:color="auto" w:fill="D2D2D2"/>
          </w:tcPr>
          <w:p>
            <w:pPr/>
          </w:p>
        </w:tc>
        <w:tc>
          <w:tcPr>
            <w:tcW w:w="1110" w:type="dxa"/>
            <w:vMerge/>
            <w:tcBorders>
              <w:left w:val="single" w:sz="4" w:space="0" w:color="000000"/>
              <w:right w:val="single" w:sz="4" w:space="0" w:color="000000"/>
            </w:tcBorders>
            <w:shd w:val="clear" w:color="auto" w:fill="D2D2D2"/>
          </w:tcPr>
          <w:p>
            <w:pPr/>
          </w:p>
        </w:tc>
        <w:tc>
          <w:tcPr>
            <w:tcW w:w="1129"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466" w:type="dxa"/>
            <w:vMerge/>
            <w:tcBorders>
              <w:left w:val="single" w:sz="4" w:space="0" w:color="000000"/>
              <w:right w:val="single" w:sz="4" w:space="0" w:color="000000"/>
            </w:tcBorders>
            <w:shd w:val="clear" w:color="auto" w:fill="D2D2D2"/>
          </w:tcPr>
          <w:p>
            <w:pPr/>
          </w:p>
        </w:tc>
        <w:tc>
          <w:tcPr>
            <w:tcW w:w="705" w:type="dxa"/>
            <w:vMerge/>
            <w:tcBorders>
              <w:left w:val="single" w:sz="4" w:space="0" w:color="000000"/>
              <w:right w:val="single" w:sz="4" w:space="0" w:color="000000"/>
            </w:tcBorders>
            <w:shd w:val="clear" w:color="auto" w:fill="D2D2D2"/>
          </w:tcPr>
          <w:p>
            <w:pPr/>
          </w:p>
        </w:tc>
        <w:tc>
          <w:tcPr>
            <w:tcW w:w="13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1" w:type="dxa"/>
            <w:vMerge w:val="restart"/>
            <w:tcBorders>
              <w:top w:val="nil" w:sz="6" w:space="0" w:color="auto"/>
              <w:left w:val="single" w:sz="4" w:space="0" w:color="000000"/>
              <w:right w:val="single" w:sz="4" w:space="0" w:color="000000"/>
            </w:tcBorders>
            <w:shd w:val="clear" w:color="auto" w:fill="D2D2D2"/>
          </w:tcPr>
          <w:p>
            <w:pPr/>
          </w:p>
        </w:tc>
        <w:tc>
          <w:tcPr>
            <w:tcW w:w="1364" w:type="dxa"/>
            <w:vMerge w:val="restart"/>
            <w:tcBorders>
              <w:top w:val="nil" w:sz="6" w:space="0" w:color="auto"/>
              <w:left w:val="single" w:sz="4" w:space="0" w:color="000000"/>
              <w:right w:val="single" w:sz="4" w:space="0" w:color="000000"/>
            </w:tcBorders>
            <w:shd w:val="clear" w:color="auto" w:fill="D2D2D2"/>
          </w:tcPr>
          <w:p>
            <w:pPr/>
          </w:p>
        </w:tc>
        <w:tc>
          <w:tcPr>
            <w:tcW w:w="1110" w:type="dxa"/>
            <w:vMerge/>
            <w:tcBorders>
              <w:left w:val="single" w:sz="4" w:space="0" w:color="000000"/>
              <w:bottom w:val="nil" w:sz="6" w:space="0" w:color="auto"/>
              <w:right w:val="single" w:sz="4" w:space="0" w:color="000000"/>
            </w:tcBorders>
            <w:shd w:val="clear" w:color="auto" w:fill="D2D2D2"/>
          </w:tcPr>
          <w:p>
            <w:pPr/>
          </w:p>
        </w:tc>
        <w:tc>
          <w:tcPr>
            <w:tcW w:w="1129"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466" w:type="dxa"/>
            <w:vMerge/>
            <w:tcBorders>
              <w:left w:val="single" w:sz="4" w:space="0" w:color="000000"/>
              <w:bottom w:val="nil" w:sz="6" w:space="0" w:color="auto"/>
              <w:right w:val="single" w:sz="4" w:space="0" w:color="000000"/>
            </w:tcBorders>
            <w:shd w:val="clear" w:color="auto" w:fill="D2D2D2"/>
          </w:tcPr>
          <w:p>
            <w:pPr/>
          </w:p>
        </w:tc>
        <w:tc>
          <w:tcPr>
            <w:tcW w:w="705" w:type="dxa"/>
            <w:vMerge/>
            <w:tcBorders>
              <w:left w:val="single" w:sz="4" w:space="0" w:color="000000"/>
              <w:right w:val="single" w:sz="4" w:space="0" w:color="000000"/>
            </w:tcBorders>
            <w:shd w:val="clear" w:color="auto" w:fill="D2D2D2"/>
          </w:tcPr>
          <w:p>
            <w:pPr/>
          </w:p>
        </w:tc>
        <w:tc>
          <w:tcPr>
            <w:tcW w:w="1372" w:type="dxa"/>
            <w:vMerge/>
            <w:tcBorders>
              <w:left w:val="single" w:sz="4" w:space="0" w:color="000000"/>
              <w:bottom w:val="nil" w:sz="6" w:space="0" w:color="auto"/>
              <w:right w:val="single" w:sz="4" w:space="0" w:color="000000"/>
            </w:tcBorders>
            <w:shd w:val="clear" w:color="auto" w:fill="D2D2D2"/>
          </w:tcPr>
          <w:p>
            <w:pPr/>
          </w:p>
        </w:tc>
      </w:tr>
      <w:tr>
        <w:trPr>
          <w:trHeight w:val="294" w:hRule="exact"/>
        </w:trPr>
        <w:tc>
          <w:tcPr>
            <w:tcW w:w="1361"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1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14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5" w:type="dxa"/>
            <w:vMerge/>
            <w:tcBorders>
              <w:left w:val="single" w:sz="4" w:space="0" w:color="000000"/>
              <w:bottom w:val="single" w:sz="4" w:space="0" w:color="000000"/>
              <w:right w:val="single" w:sz="4" w:space="0" w:color="000000"/>
            </w:tcBorders>
            <w:shd w:val="clear" w:color="auto" w:fill="D2D2D2"/>
          </w:tcPr>
          <w:p>
            <w:pPr/>
          </w:p>
        </w:tc>
        <w:tc>
          <w:tcPr>
            <w:tcW w:w="137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上海华服投资有 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80.6%</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810,000,000</w:t>
            </w:r>
          </w:p>
        </w:tc>
        <w:tc>
          <w:tcPr>
            <w:tcW w:w="705"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512,530,713</w:t>
            </w: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8.96%</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705"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9"/>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7150" w:type="dxa"/>
            <w:gridSpan w:val="7"/>
            <w:tcBorders>
              <w:top w:val="single" w:sz="4" w:space="0" w:color="000000"/>
              <w:left w:val="single" w:sz="13" w:space="0" w:color="D2D2D2"/>
              <w:bottom w:val="single" w:sz="4" w:space="0" w:color="000000"/>
              <w:right w:val="single" w:sz="4" w:space="0" w:color="000000"/>
            </w:tcBorders>
          </w:tcPr>
          <w:p>
            <w:pPr>
              <w:pStyle w:val="TableParagraph"/>
              <w:spacing w:line="316" w:lineRule="auto" w:before="49"/>
              <w:ind w:left="15" w:right="90"/>
              <w:jc w:val="left"/>
              <w:rPr>
                <w:rFonts w:ascii="宋体" w:hAnsi="宋体" w:cs="宋体" w:eastAsia="宋体" w:hint="default"/>
                <w:sz w:val="18"/>
                <w:szCs w:val="18"/>
              </w:rPr>
            </w:pPr>
            <w:r>
              <w:rPr>
                <w:rFonts w:ascii="宋体" w:hAnsi="宋体" w:cs="宋体" w:eastAsia="宋体" w:hint="default"/>
                <w:sz w:val="18"/>
                <w:szCs w:val="18"/>
              </w:rPr>
              <w:t>本公司控股股东上海华服投资有限公司的实际控制人周成建先生与本公司股东胡佳佳小姐 系父女关系。</w:t>
            </w:r>
          </w:p>
        </w:tc>
      </w:tr>
      <w:tr>
        <w:trPr>
          <w:trHeight w:val="401" w:hRule="exact"/>
        </w:trPr>
        <w:tc>
          <w:tcPr>
            <w:tcW w:w="98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362" w:hRule="exact"/>
        </w:trPr>
        <w:tc>
          <w:tcPr>
            <w:tcW w:w="272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074"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0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202" w:hRule="exact"/>
        </w:trPr>
        <w:tc>
          <w:tcPr>
            <w:tcW w:w="272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74"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26"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0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9"/>
              <w:ind w:left="259" w:right="74" w:hanging="180"/>
              <w:jc w:val="left"/>
              <w:rPr>
                <w:rFonts w:ascii="宋体" w:hAnsi="宋体" w:cs="宋体" w:eastAsia="宋体" w:hint="default"/>
                <w:sz w:val="18"/>
                <w:szCs w:val="18"/>
              </w:rPr>
            </w:pPr>
            <w:r>
              <w:rPr>
                <w:rFonts w:ascii="宋体" w:hAnsi="宋体" w:cs="宋体" w:eastAsia="宋体" w:hint="default"/>
                <w:sz w:val="18"/>
                <w:szCs w:val="18"/>
              </w:rPr>
              <w:t>股份种 类</w:t>
            </w:r>
          </w:p>
        </w:tc>
        <w:tc>
          <w:tcPr>
            <w:tcW w:w="137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725" w:type="dxa"/>
            <w:gridSpan w:val="2"/>
            <w:vMerge/>
            <w:tcBorders>
              <w:left w:val="single" w:sz="4" w:space="0" w:color="000000"/>
              <w:bottom w:val="nil" w:sz="6" w:space="0" w:color="auto"/>
              <w:right w:val="single" w:sz="4" w:space="0" w:color="000000"/>
            </w:tcBorders>
            <w:shd w:val="clear" w:color="auto" w:fill="D2D2D2"/>
          </w:tcPr>
          <w:p>
            <w:pPr/>
          </w:p>
        </w:tc>
        <w:tc>
          <w:tcPr>
            <w:tcW w:w="5074" w:type="dxa"/>
            <w:gridSpan w:val="5"/>
            <w:vMerge/>
            <w:tcBorders>
              <w:left w:val="single" w:sz="4" w:space="0" w:color="000000"/>
              <w:bottom w:val="nil" w:sz="6" w:space="0" w:color="auto"/>
              <w:right w:val="single" w:sz="4" w:space="0" w:color="000000"/>
            </w:tcBorders>
            <w:shd w:val="clear" w:color="auto" w:fill="D2D2D2"/>
          </w:tcPr>
          <w:p>
            <w:pPr/>
          </w:p>
        </w:tc>
        <w:tc>
          <w:tcPr>
            <w:tcW w:w="705" w:type="dxa"/>
            <w:vMerge/>
            <w:tcBorders>
              <w:left w:val="single" w:sz="4" w:space="0" w:color="000000"/>
              <w:right w:val="single" w:sz="4" w:space="0" w:color="000000"/>
            </w:tcBorders>
            <w:shd w:val="clear" w:color="auto" w:fill="D2D2D2"/>
          </w:tcPr>
          <w:p>
            <w:pPr/>
          </w:p>
        </w:tc>
        <w:tc>
          <w:tcPr>
            <w:tcW w:w="13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2" w:hRule="exact"/>
        </w:trPr>
        <w:tc>
          <w:tcPr>
            <w:tcW w:w="2725" w:type="dxa"/>
            <w:gridSpan w:val="2"/>
            <w:vMerge w:val="restart"/>
            <w:tcBorders>
              <w:top w:val="nil" w:sz="6" w:space="0" w:color="auto"/>
              <w:left w:val="single" w:sz="4" w:space="0" w:color="000000"/>
              <w:right w:val="single" w:sz="4" w:space="0" w:color="000000"/>
            </w:tcBorders>
            <w:shd w:val="clear" w:color="auto" w:fill="D2D2D2"/>
          </w:tcPr>
          <w:p>
            <w:pPr/>
          </w:p>
        </w:tc>
        <w:tc>
          <w:tcPr>
            <w:tcW w:w="5074" w:type="dxa"/>
            <w:gridSpan w:val="5"/>
            <w:vMerge w:val="restart"/>
            <w:tcBorders>
              <w:top w:val="nil" w:sz="6" w:space="0" w:color="auto"/>
              <w:left w:val="single" w:sz="4" w:space="0" w:color="000000"/>
              <w:right w:val="single" w:sz="4" w:space="0" w:color="000000"/>
            </w:tcBorders>
            <w:shd w:val="clear" w:color="auto" w:fill="D2D2D2"/>
          </w:tcPr>
          <w:p>
            <w:pPr/>
          </w:p>
        </w:tc>
        <w:tc>
          <w:tcPr>
            <w:tcW w:w="705" w:type="dxa"/>
            <w:vMerge/>
            <w:tcBorders>
              <w:left w:val="single" w:sz="4" w:space="0" w:color="000000"/>
              <w:right w:val="single" w:sz="4" w:space="0" w:color="000000"/>
            </w:tcBorders>
            <w:shd w:val="clear" w:color="auto" w:fill="D2D2D2"/>
          </w:tcPr>
          <w:p>
            <w:pPr/>
          </w:p>
        </w:tc>
        <w:tc>
          <w:tcPr>
            <w:tcW w:w="137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725" w:type="dxa"/>
            <w:gridSpan w:val="2"/>
            <w:vMerge/>
            <w:tcBorders>
              <w:left w:val="single" w:sz="4" w:space="0" w:color="000000"/>
              <w:bottom w:val="single" w:sz="4" w:space="0" w:color="000000"/>
              <w:right w:val="single" w:sz="4" w:space="0" w:color="000000"/>
            </w:tcBorders>
            <w:shd w:val="clear" w:color="auto" w:fill="D2D2D2"/>
          </w:tcPr>
          <w:p>
            <w:pPr/>
          </w:p>
        </w:tc>
        <w:tc>
          <w:tcPr>
            <w:tcW w:w="5074" w:type="dxa"/>
            <w:gridSpan w:val="5"/>
            <w:vMerge/>
            <w:tcBorders>
              <w:left w:val="single" w:sz="4" w:space="0" w:color="000000"/>
              <w:bottom w:val="single" w:sz="4" w:space="0" w:color="000000"/>
              <w:right w:val="single" w:sz="4" w:space="0" w:color="000000"/>
            </w:tcBorders>
            <w:shd w:val="clear" w:color="auto" w:fill="D2D2D2"/>
          </w:tcPr>
          <w:p>
            <w:pPr/>
          </w:p>
        </w:tc>
        <w:tc>
          <w:tcPr>
            <w:tcW w:w="705" w:type="dxa"/>
            <w:vMerge/>
            <w:tcBorders>
              <w:left w:val="single" w:sz="4" w:space="0" w:color="000000"/>
              <w:bottom w:val="single" w:sz="4" w:space="0" w:color="000000"/>
              <w:right w:val="single" w:sz="4" w:space="0" w:color="000000"/>
            </w:tcBorders>
            <w:shd w:val="clear" w:color="auto" w:fill="D2D2D2"/>
          </w:tcPr>
          <w:p>
            <w:pPr/>
          </w:p>
        </w:tc>
        <w:tc>
          <w:tcPr>
            <w:tcW w:w="137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2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c>
          <w:tcPr>
            <w:tcW w:w="50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810,000,000</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810,000,000</w:t>
            </w:r>
          </w:p>
        </w:tc>
      </w:tr>
      <w:tr>
        <w:trPr>
          <w:trHeight w:val="713" w:hRule="exact"/>
        </w:trPr>
        <w:tc>
          <w:tcPr>
            <w:tcW w:w="2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50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715" w:hRule="exact"/>
        </w:trPr>
        <w:tc>
          <w:tcPr>
            <w:tcW w:w="272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9"/>
              <w:jc w:val="left"/>
              <w:rPr>
                <w:rFonts w:ascii="宋体" w:hAnsi="宋体" w:cs="宋体" w:eastAsia="宋体" w:hint="default"/>
                <w:sz w:val="18"/>
                <w:szCs w:val="18"/>
              </w:rPr>
            </w:pPr>
            <w:r>
              <w:rPr>
                <w:rFonts w:ascii="宋体" w:hAnsi="宋体" w:cs="宋体" w:eastAsia="宋体" w:hint="default"/>
                <w:sz w:val="18"/>
                <w:szCs w:val="18"/>
              </w:rPr>
              <w:t>交通银行－华安策略优选股票型 证券投资基金</w:t>
            </w:r>
          </w:p>
        </w:tc>
        <w:tc>
          <w:tcPr>
            <w:tcW w:w="50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22,000,000</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22,000,000</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186" w:top="1440" w:bottom="1380" w:left="980" w:right="78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729"/>
        <w:gridCol w:w="5070"/>
        <w:gridCol w:w="709"/>
        <w:gridCol w:w="1368"/>
      </w:tblGrid>
      <w:tr>
        <w:trPr>
          <w:trHeight w:val="728" w:hRule="exact"/>
        </w:trPr>
        <w:tc>
          <w:tcPr>
            <w:tcW w:w="272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东证资管－招行－东方红－新睿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号集合资产管理计划</w:t>
            </w:r>
          </w:p>
        </w:tc>
        <w:tc>
          <w:tcPr>
            <w:tcW w:w="507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4,260,934</w:t>
            </w:r>
          </w:p>
        </w:tc>
        <w:tc>
          <w:tcPr>
            <w:tcW w:w="709"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56"/>
              <w:ind w:left="23" w:right="134"/>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4,260,934</w:t>
            </w:r>
          </w:p>
        </w:tc>
      </w:tr>
      <w:tr>
        <w:trPr>
          <w:trHeight w:val="71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东证资管－工行－东方红</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号－灵 活配置集合资产管理计划</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715"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全国社保基金一一四组合</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2,481,236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2,481,236</w:t>
            </w:r>
          </w:p>
        </w:tc>
      </w:tr>
      <w:tr>
        <w:trPr>
          <w:trHeight w:val="71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东证资管－工行－东方红</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号积极 成长集合资产管理计划</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715"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中国银行－易方达深证</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交易型 开放式指数证券投资基金</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1,784,966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1,784,966</w:t>
            </w:r>
          </w:p>
        </w:tc>
      </w:tr>
      <w:tr>
        <w:trPr>
          <w:trHeight w:val="71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中国银行－华泰柏瑞盛世中国股 票型开放式证券投资基金</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1,289,975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1,289,975</w:t>
            </w:r>
          </w:p>
        </w:tc>
      </w:tr>
      <w:tr>
        <w:trPr>
          <w:trHeight w:val="715"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中国工商银行－融通深证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指数 证券投资基金</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1,252,951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4"/>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1,252,951</w:t>
            </w:r>
          </w:p>
        </w:tc>
      </w:tr>
      <w:tr>
        <w:trPr>
          <w:trHeight w:val="1337"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4" w:right="8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714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本公司控股股东上海华服投资有限公司的实际控制人周成建先生与本公司股东胡佳佳小姐 系父女关系。</w:t>
            </w:r>
            <w:r>
              <w:rPr>
                <w:rFonts w:ascii="宋体" w:hAnsi="宋体" w:cs="宋体" w:eastAsia="宋体" w:hint="default"/>
                <w:spacing w:val="-20"/>
                <w:sz w:val="18"/>
                <w:szCs w:val="18"/>
              </w:rPr>
              <w:t> </w:t>
            </w:r>
            <w:r>
              <w:rPr>
                <w:rFonts w:ascii="宋体" w:hAnsi="宋体" w:cs="宋体" w:eastAsia="宋体" w:hint="default"/>
                <w:sz w:val="18"/>
                <w:szCs w:val="18"/>
              </w:rPr>
              <w:t>除前述关联关系外，未知公司前十名主要股东、前十名无限售条件股东之间</w:t>
            </w:r>
            <w:r>
              <w:rPr>
                <w:rFonts w:ascii="宋体" w:hAnsi="宋体" w:cs="宋体" w:eastAsia="宋体" w:hint="default"/>
                <w:sz w:val="18"/>
                <w:szCs w:val="18"/>
              </w:rPr>
              <w:t> 是否存在其他关联关系，也未知是否存在《上市公司收购管理办法》中规定的一致行动人 的情况。</w:t>
            </w:r>
          </w:p>
        </w:tc>
      </w:tr>
      <w:tr>
        <w:trPr>
          <w:trHeight w:val="715"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1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公司股东上海华服投资有限公司除通过普通证券账户持有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779,850,000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股外，通过华泰证券</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股份有限公司客户信用交易担保账户持有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30,150,000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810,000,000 </w:t>
            </w:r>
            <w:r>
              <w:rPr>
                <w:rFonts w:ascii="宋体" w:hAnsi="宋体" w:cs="宋体" w:eastAsia="宋体" w:hint="default"/>
                <w:sz w:val="18"/>
                <w:szCs w:val="18"/>
              </w:rPr>
              <w:t>股。</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112" w:right="0"/>
        <w:jc w:val="left"/>
      </w:pPr>
      <w:r>
        <w:rPr/>
        <w:t>法人</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182"/>
        <w:gridCol w:w="1093"/>
        <w:gridCol w:w="888"/>
        <w:gridCol w:w="1803"/>
        <w:gridCol w:w="1800"/>
        <w:gridCol w:w="1803"/>
      </w:tblGrid>
      <w:tr>
        <w:trPr>
          <w:trHeight w:val="715"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3"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华服投资</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66604978-3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335285714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实业投资、投资管理</w:t>
            </w:r>
          </w:p>
        </w:tc>
      </w:tr>
      <w:tr>
        <w:trPr>
          <w:trHeight w:val="1027"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无此情况</w:t>
            </w:r>
          </w:p>
        </w:tc>
      </w:tr>
    </w:tbl>
    <w:p>
      <w:pPr>
        <w:spacing w:after="0" w:line="240" w:lineRule="auto"/>
        <w:jc w:val="left"/>
        <w:rPr>
          <w:rFonts w:ascii="宋体" w:hAnsi="宋体" w:cs="宋体" w:eastAsia="宋体" w:hint="default"/>
          <w:sz w:val="18"/>
          <w:szCs w:val="18"/>
        </w:rPr>
        <w:sectPr>
          <w:pgSz w:w="11910" w:h="16840"/>
          <w:pgMar w:header="850" w:footer="1186" w:top="1440" w:bottom="1380" w:left="1020" w:right="7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tabs>
                <w:tab w:pos="2997" w:val="left" w:leader="none"/>
              </w:tabs>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上海美特斯邦威服饰股份有限公司</w:t>
              <w:tab/>
              <w:t>董事长、总裁</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公司与实际控制人之间的产权及控制关系的方框图</w:t>
      </w:r>
    </w:p>
    <w:p>
      <w:pPr>
        <w:spacing w:line="240" w:lineRule="auto" w:before="10"/>
        <w:rPr>
          <w:rFonts w:ascii="宋体" w:hAnsi="宋体" w:cs="宋体" w:eastAsia="宋体" w:hint="default"/>
          <w:sz w:val="25"/>
          <w:szCs w:val="25"/>
        </w:rPr>
      </w:pPr>
    </w:p>
    <w:p>
      <w:pPr>
        <w:spacing w:line="3915" w:lineRule="exact"/>
        <w:ind w:left="1912"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3884215" cy="24860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3884215" cy="2486025"/>
                    </a:xfrm>
                    <a:prstGeom prst="rect">
                      <a:avLst/>
                    </a:prstGeom>
                  </pic:spPr>
                </pic:pic>
              </a:graphicData>
            </a:graphic>
          </wp:inline>
        </w:drawing>
      </w:r>
      <w:r>
        <w:rPr>
          <w:rFonts w:ascii="宋体" w:hAnsi="宋体" w:cs="宋体" w:eastAsia="宋体" w:hint="default"/>
          <w:position w:val="-77"/>
          <w:sz w:val="20"/>
          <w:szCs w:val="20"/>
        </w:rPr>
      </w:r>
    </w:p>
    <w:p>
      <w:pPr>
        <w:spacing w:after="0" w:line="3915" w:lineRule="exact"/>
        <w:rPr>
          <w:rFonts w:ascii="宋体" w:hAnsi="宋体" w:cs="宋体" w:eastAsia="宋体" w:hint="default"/>
          <w:sz w:val="20"/>
          <w:szCs w:val="20"/>
        </w:rPr>
        <w:sectPr>
          <w:pgSz w:w="11910" w:h="16840"/>
          <w:pgMar w:header="850" w:footer="1186" w:top="1440" w:bottom="13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46"/>
        <w:ind w:left="1679" w:right="0"/>
        <w:jc w:val="left"/>
        <w:rPr>
          <w:b w:val="0"/>
          <w:bCs w:val="0"/>
        </w:rPr>
      </w:pPr>
      <w:bookmarkStart w:name="_bookmark6" w:id="7"/>
      <w:bookmarkEnd w:id="7"/>
      <w:r>
        <w:rPr>
          <w:b w:val="0"/>
          <w:bCs w:val="0"/>
        </w:rPr>
      </w:r>
      <w:r>
        <w:rPr/>
        <w:t>第七节</w:t>
      </w:r>
      <w:r>
        <w:rPr>
          <w:spacing w:val="-9"/>
        </w:rPr>
        <w:t> </w:t>
      </w:r>
      <w:r>
        <w:rPr/>
        <w:t>董事、监事、高级管理人员和员工情况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一、任职情况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73" w:right="0" w:hanging="421"/>
        <w:jc w:val="left"/>
      </w:pPr>
      <w:r>
        <w:rPr/>
        <w:t>公司现任董事、监事、高级管理人员最近</w:t>
      </w:r>
      <w:r>
        <w:rPr>
          <w:spacing w:val="-44"/>
        </w:rPr>
        <w:t> </w:t>
      </w:r>
      <w:r>
        <w:rPr>
          <w:rFonts w:ascii="Times New Roman" w:hAnsi="Times New Roman" w:cs="Times New Roman" w:eastAsia="Times New Roman" w:hint="default"/>
        </w:rPr>
        <w:t>5 </w:t>
      </w:r>
      <w:r>
        <w:rPr/>
        <w:t>年的主要工作经历 周成建先生，</w:t>
      </w:r>
      <w:r>
        <w:rPr>
          <w:rFonts w:ascii="Times New Roman" w:hAnsi="Times New Roman" w:cs="Times New Roman" w:eastAsia="Times New Roman" w:hint="default"/>
        </w:rPr>
        <w:t>48</w:t>
      </w:r>
      <w:r>
        <w:rPr/>
        <w:t>岁，中国国籍，浙江大学</w:t>
      </w:r>
      <w:r>
        <w:rPr>
          <w:rFonts w:ascii="Times New Roman" w:hAnsi="Times New Roman" w:cs="Times New Roman" w:eastAsia="Times New Roman" w:hint="default"/>
        </w:rPr>
        <w:t>EMBA</w:t>
      </w:r>
      <w:r>
        <w:rPr/>
        <w:t>，全国政协委员、上海市人大代表、上海市浙江商会会长、中国服装</w:t>
      </w:r>
    </w:p>
    <w:p>
      <w:pPr>
        <w:pStyle w:val="BodyText"/>
        <w:spacing w:line="228" w:lineRule="exact"/>
        <w:ind w:right="0"/>
        <w:jc w:val="left"/>
      </w:pPr>
      <w:r>
        <w:rPr/>
        <w:t>协会副会长。于</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5</w:t>
      </w:r>
      <w:r>
        <w:rPr/>
        <w:t>月开始个体经商，</w:t>
      </w:r>
      <w:r>
        <w:rPr>
          <w:rFonts w:ascii="Times New Roman" w:hAnsi="Times New Roman" w:cs="Times New Roman" w:eastAsia="Times New Roman" w:hint="default"/>
        </w:rPr>
        <w:t>1995</w:t>
      </w:r>
      <w:r>
        <w:rPr/>
        <w:t>年在温州开设第一家美特斯</w:t>
      </w:r>
      <w:r>
        <w:rPr>
          <w:rFonts w:ascii="Times New Roman" w:hAnsi="Times New Roman" w:cs="Times New Roman" w:eastAsia="Times New Roman" w:hint="default"/>
        </w:rPr>
        <w:t>·</w:t>
      </w:r>
      <w:r>
        <w:rPr/>
        <w:t>邦威专卖店，实行品牌连锁经营；曾任温州市凯</w:t>
      </w:r>
    </w:p>
    <w:p>
      <w:pPr>
        <w:pStyle w:val="BodyText"/>
        <w:spacing w:line="316" w:lineRule="auto" w:before="63"/>
        <w:ind w:right="0"/>
        <w:jc w:val="left"/>
      </w:pPr>
      <w:r>
        <w:rPr>
          <w:spacing w:val="-2"/>
        </w:rPr>
        <w:t>莉莎服装厂总经理、温州市美特斯制衣有限公司董事长、温州美特斯邦威有限公司董事长、美特斯邦威集团有限公司董事长</w:t>
      </w:r>
      <w:r>
        <w:rPr>
          <w:spacing w:val="-63"/>
        </w:rPr>
        <w:t> </w:t>
      </w:r>
      <w:r>
        <w:rPr>
          <w:spacing w:val="-63"/>
        </w:rPr>
      </w:r>
      <w:r>
        <w:rPr/>
        <w:t>兼总裁、上海美特斯邦威服饰有限公司董事长兼总裁。现任本公司董事长兼总裁。</w:t>
      </w:r>
    </w:p>
    <w:p>
      <w:pPr>
        <w:spacing w:line="240" w:lineRule="auto" w:before="4"/>
        <w:rPr>
          <w:rFonts w:ascii="宋体" w:hAnsi="宋体" w:cs="宋体" w:eastAsia="宋体" w:hint="default"/>
          <w:sz w:val="25"/>
          <w:szCs w:val="25"/>
        </w:rPr>
      </w:pPr>
    </w:p>
    <w:p>
      <w:pPr>
        <w:pStyle w:val="BodyText"/>
        <w:spacing w:line="300" w:lineRule="auto"/>
        <w:ind w:right="0" w:firstLine="420"/>
        <w:jc w:val="left"/>
      </w:pPr>
      <w:r>
        <w:rPr/>
        <w:t>王泉庚先生，</w:t>
      </w:r>
      <w:r>
        <w:rPr>
          <w:rFonts w:ascii="Times New Roman" w:hAnsi="Times New Roman" w:cs="Times New Roman" w:eastAsia="Times New Roman" w:hint="default"/>
        </w:rPr>
        <w:t>41</w:t>
      </w:r>
      <w:r>
        <w:rPr/>
        <w:t>岁，中国国籍，中欧国际工商管理学院</w:t>
      </w:r>
      <w:r>
        <w:rPr>
          <w:rFonts w:ascii="Times New Roman" w:hAnsi="Times New Roman" w:cs="Times New Roman" w:eastAsia="Times New Roman" w:hint="default"/>
        </w:rPr>
        <w:t>EMBA</w:t>
      </w:r>
      <w:r>
        <w:rPr/>
        <w:t>，曾就职于温州南方照明电器有限公司、温州联谊旅游 </w:t>
      </w:r>
      <w:r>
        <w:rPr>
          <w:spacing w:val="-4"/>
        </w:rPr>
        <w:t>用品总厂，</w:t>
      </w:r>
      <w:r>
        <w:rPr>
          <w:rFonts w:ascii="Times New Roman" w:hAnsi="Times New Roman" w:cs="Times New Roman" w:eastAsia="Times New Roman" w:hint="default"/>
          <w:spacing w:val="-4"/>
        </w:rPr>
        <w:t>1995</w:t>
      </w:r>
      <w:r>
        <w:rPr>
          <w:spacing w:val="-4"/>
        </w:rPr>
        <w:t>年加入温州市美特斯制衣有限公司后从营销部统计员开始做起，曾任市场信息部副经理、计算机中心副主任、</w:t>
      </w:r>
      <w:r>
        <w:rPr>
          <w:spacing w:val="-38"/>
        </w:rPr>
        <w:t> </w:t>
      </w:r>
      <w:r>
        <w:rPr>
          <w:spacing w:val="-38"/>
        </w:rPr>
      </w:r>
      <w:r>
        <w:rPr/>
        <w:t>配送中心副主任、副总经理和美特斯邦威集团有限公司副总裁等职位。现任本公司董事兼副总裁，</w:t>
      </w:r>
      <w:r>
        <w:rPr>
          <w:rFonts w:ascii="Times New Roman" w:hAnsi="Times New Roman" w:cs="Times New Roman" w:eastAsia="Times New Roman" w:hint="default"/>
        </w:rPr>
        <w:t>Meters/bonwe</w:t>
      </w:r>
      <w:r>
        <w:rPr/>
        <w:t>品牌事业部 总裁。</w:t>
      </w:r>
    </w:p>
    <w:p>
      <w:pPr>
        <w:spacing w:line="240" w:lineRule="auto" w:before="3"/>
        <w:rPr>
          <w:rFonts w:ascii="宋体" w:hAnsi="宋体" w:cs="宋体" w:eastAsia="宋体" w:hint="default"/>
          <w:sz w:val="26"/>
          <w:szCs w:val="26"/>
        </w:rPr>
      </w:pPr>
    </w:p>
    <w:p>
      <w:pPr>
        <w:pStyle w:val="BodyText"/>
        <w:spacing w:line="300" w:lineRule="auto"/>
        <w:ind w:right="0" w:firstLine="420"/>
        <w:jc w:val="left"/>
      </w:pPr>
      <w:r>
        <w:rPr/>
        <w:t>徐卫东先生，</w:t>
      </w:r>
      <w:r>
        <w:rPr>
          <w:rFonts w:ascii="Times New Roman" w:hAnsi="Times New Roman" w:cs="Times New Roman" w:eastAsia="Times New Roman" w:hint="default"/>
        </w:rPr>
        <w:t>38</w:t>
      </w:r>
      <w:r>
        <w:rPr/>
        <w:t>岁，中国国籍，</w:t>
      </w:r>
      <w:r>
        <w:rPr>
          <w:rFonts w:ascii="Times New Roman" w:hAnsi="Times New Roman" w:cs="Times New Roman" w:eastAsia="Times New Roman" w:hint="default"/>
        </w:rPr>
        <w:t>1997</w:t>
      </w:r>
      <w:r>
        <w:rPr/>
        <w:t>年毕业于浙江丝绸工业学院（现浙江理工大学）服装艺术设计专业毕业，中欧国 </w:t>
      </w:r>
      <w:r>
        <w:rPr>
          <w:spacing w:val="-1"/>
        </w:rPr>
        <w:t>际工商学院</w:t>
      </w:r>
      <w:r>
        <w:rPr>
          <w:rFonts w:ascii="Times New Roman" w:hAnsi="Times New Roman" w:cs="Times New Roman" w:eastAsia="Times New Roman" w:hint="default"/>
          <w:spacing w:val="-1"/>
        </w:rPr>
        <w:t>EMBA</w:t>
      </w:r>
      <w:r>
        <w:rPr>
          <w:spacing w:val="-1"/>
        </w:rPr>
        <w:t>。曾任温州集团公司设计中心主任、企划中心主任、商品企划部部长、美特斯</w:t>
      </w:r>
      <w:r>
        <w:rPr>
          <w:rFonts w:ascii="Times New Roman" w:hAnsi="Times New Roman" w:cs="Times New Roman" w:eastAsia="Times New Roman" w:hint="default"/>
          <w:spacing w:val="-1"/>
        </w:rPr>
        <w:t>·</w:t>
      </w:r>
      <w:r>
        <w:rPr>
          <w:spacing w:val="-1"/>
        </w:rPr>
        <w:t>邦威品牌产品副总设计师、</w:t>
      </w:r>
      <w:r>
        <w:rPr>
          <w:spacing w:val="-70"/>
        </w:rPr>
        <w:t> </w:t>
      </w:r>
      <w:r>
        <w:rPr/>
        <w:t>本公司校园品类设计总监兼设计开发体系行政管理总监。现任本公司董事兼副总裁，</w:t>
      </w:r>
      <w:r>
        <w:rPr>
          <w:rFonts w:ascii="Times New Roman" w:hAnsi="Times New Roman" w:cs="Times New Roman" w:eastAsia="Times New Roman" w:hint="default"/>
        </w:rPr>
        <w:t>Meters/bonwe</w:t>
      </w:r>
      <w:r>
        <w:rPr/>
        <w:t>品牌事业部副总裁。</w:t>
      </w:r>
    </w:p>
    <w:p>
      <w:pPr>
        <w:spacing w:line="240" w:lineRule="auto" w:before="11"/>
        <w:rPr>
          <w:rFonts w:ascii="宋体" w:hAnsi="宋体" w:cs="宋体" w:eastAsia="宋体" w:hint="default"/>
          <w:sz w:val="24"/>
          <w:szCs w:val="24"/>
        </w:rPr>
      </w:pPr>
    </w:p>
    <w:p>
      <w:pPr>
        <w:pStyle w:val="BodyText"/>
        <w:spacing w:line="300" w:lineRule="auto"/>
        <w:ind w:right="193" w:firstLine="420"/>
        <w:jc w:val="both"/>
      </w:pPr>
      <w:r>
        <w:rPr>
          <w:spacing w:val="-2"/>
        </w:rPr>
        <w:t>周文武先生，</w:t>
      </w:r>
      <w:r>
        <w:rPr>
          <w:rFonts w:ascii="Times New Roman" w:hAnsi="Times New Roman" w:cs="Times New Roman" w:eastAsia="Times New Roman" w:hint="default"/>
          <w:spacing w:val="-2"/>
        </w:rPr>
        <w:t>36</w:t>
      </w:r>
      <w:r>
        <w:rPr>
          <w:spacing w:val="-2"/>
        </w:rPr>
        <w:t>岁，中国国籍，大专学历，曾任美邦企发公司中山生产办事处负责人。现任本公司董事、</w:t>
      </w:r>
      <w:r>
        <w:rPr>
          <w:rFonts w:ascii="Times New Roman" w:hAnsi="Times New Roman" w:cs="Times New Roman" w:eastAsia="Times New Roman" w:hint="default"/>
          <w:spacing w:val="-2"/>
        </w:rPr>
        <w:t>Meters/bonwe</w:t>
      </w:r>
      <w:r>
        <w:rPr>
          <w:rFonts w:ascii="Times New Roman" w:hAnsi="Times New Roman" w:cs="Times New Roman" w:eastAsia="Times New Roman" w:hint="default"/>
        </w:rPr>
        <w:t> </w:t>
      </w:r>
      <w:r>
        <w:rPr/>
        <w:t>品牌事业部副总裁。</w:t>
      </w:r>
    </w:p>
    <w:p>
      <w:pPr>
        <w:spacing w:line="240" w:lineRule="auto" w:before="3"/>
        <w:rPr>
          <w:rFonts w:ascii="宋体" w:hAnsi="宋体" w:cs="宋体" w:eastAsia="宋体" w:hint="default"/>
          <w:sz w:val="26"/>
          <w:szCs w:val="26"/>
        </w:rPr>
      </w:pPr>
    </w:p>
    <w:p>
      <w:pPr>
        <w:pStyle w:val="BodyText"/>
        <w:spacing w:line="300" w:lineRule="auto"/>
        <w:ind w:right="188" w:firstLine="420"/>
        <w:jc w:val="both"/>
      </w:pPr>
      <w:r>
        <w:rPr/>
        <w:t>王</w:t>
      </w:r>
      <w:r>
        <w:rPr>
          <w:spacing w:val="34"/>
        </w:rPr>
        <w:t> </w:t>
      </w:r>
      <w:r>
        <w:rPr/>
        <w:t>石先生，独立董事，</w:t>
      </w:r>
      <w:r>
        <w:rPr>
          <w:rFonts w:ascii="Times New Roman" w:hAnsi="Times New Roman" w:cs="Times New Roman" w:eastAsia="Times New Roman" w:hint="default"/>
        </w:rPr>
        <w:t>62</w:t>
      </w:r>
      <w:r>
        <w:rPr/>
        <w:t>岁，中国国籍，大学学历，工程师，现担任万科企业股份有限公司董事会主席。</w:t>
      </w:r>
      <w:r>
        <w:rPr>
          <w:rFonts w:ascii="Times New Roman" w:hAnsi="Times New Roman" w:cs="Times New Roman" w:eastAsia="Times New Roman" w:hint="default"/>
        </w:rPr>
        <w:t>1968</w:t>
      </w:r>
      <w:r>
        <w:rPr/>
        <w:t>年参 </w:t>
      </w:r>
      <w:r>
        <w:rPr>
          <w:spacing w:val="-2"/>
        </w:rPr>
        <w:t>军，</w:t>
      </w:r>
      <w:r>
        <w:rPr>
          <w:rFonts w:ascii="Times New Roman" w:hAnsi="Times New Roman" w:cs="Times New Roman" w:eastAsia="Times New Roman" w:hint="default"/>
          <w:spacing w:val="-2"/>
        </w:rPr>
        <w:t>1973</w:t>
      </w:r>
      <w:r>
        <w:rPr>
          <w:spacing w:val="-2"/>
        </w:rPr>
        <w:t>年转业，转业后就职于郑州铁路水电段，曾先后供职于广州铁路局、广东省委、深圳特区发展公司。</w:t>
      </w:r>
      <w:r>
        <w:rPr>
          <w:rFonts w:ascii="Times New Roman" w:hAnsi="Times New Roman" w:cs="Times New Roman" w:eastAsia="Times New Roman" w:hint="default"/>
          <w:spacing w:val="-2"/>
        </w:rPr>
        <w:t>1984</w:t>
      </w:r>
      <w:r>
        <w:rPr>
          <w:spacing w:val="-2"/>
        </w:rPr>
        <w:t>年组建万</w:t>
      </w:r>
      <w:r>
        <w:rPr>
          <w:spacing w:val="-60"/>
        </w:rPr>
        <w:t> </w:t>
      </w:r>
      <w:r>
        <w:rPr>
          <w:spacing w:val="-60"/>
        </w:rPr>
      </w:r>
      <w:r>
        <w:rPr>
          <w:spacing w:val="-2"/>
        </w:rPr>
        <w:t>科前身深圳现代科教仪器展销中心，任总经理。</w:t>
      </w:r>
      <w:r>
        <w:rPr>
          <w:rFonts w:ascii="Times New Roman" w:hAnsi="Times New Roman" w:cs="Times New Roman" w:eastAsia="Times New Roman" w:hint="default"/>
          <w:spacing w:val="-2"/>
        </w:rPr>
        <w:t>1988</w:t>
      </w:r>
      <w:r>
        <w:rPr>
          <w:spacing w:val="-2"/>
        </w:rPr>
        <w:t>年中心改组发行股票，更名为</w:t>
      </w:r>
      <w:r>
        <w:rPr>
          <w:rFonts w:ascii="Times New Roman" w:hAnsi="Times New Roman" w:cs="Times New Roman" w:eastAsia="Times New Roman" w:hint="default"/>
          <w:spacing w:val="-2"/>
        </w:rPr>
        <w:t>“</w:t>
      </w:r>
      <w:r>
        <w:rPr>
          <w:spacing w:val="-2"/>
        </w:rPr>
        <w:t>深圳万科企业股份有限公司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1991</w:t>
      </w:r>
      <w:r>
        <w:rPr>
          <w:spacing w:val="-2"/>
        </w:rPr>
        <w:t>年该</w:t>
      </w:r>
      <w:r>
        <w:rPr>
          <w:spacing w:val="-43"/>
        </w:rPr>
        <w:t> </w:t>
      </w:r>
      <w:r>
        <w:rPr/>
        <w:t>公司在深圳证券交易所正式挂牌上市交易，历任公司董事长兼总经理，</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2</w:t>
      </w:r>
      <w:r>
        <w:rPr/>
        <w:t>月辞去总经理职务。任深圳壹基金公益基金</w:t>
      </w:r>
      <w:r>
        <w:rPr>
          <w:spacing w:val="-85"/>
        </w:rPr>
        <w:t> </w:t>
      </w:r>
      <w:r>
        <w:rPr>
          <w:spacing w:val="-85"/>
        </w:rPr>
      </w:r>
      <w:r>
        <w:rPr/>
        <w:t>会执行理事长、阿拉善</w:t>
      </w:r>
      <w:r>
        <w:rPr>
          <w:rFonts w:ascii="Times New Roman" w:hAnsi="Times New Roman" w:cs="Times New Roman" w:eastAsia="Times New Roman" w:hint="default"/>
        </w:rPr>
        <w:t>SEE</w:t>
      </w:r>
      <w:r>
        <w:rPr/>
        <w:t>生态协会会员发展委员会主席等社会职务。</w:t>
      </w:r>
    </w:p>
    <w:p>
      <w:pPr>
        <w:spacing w:line="240" w:lineRule="auto" w:before="11"/>
        <w:rPr>
          <w:rFonts w:ascii="宋体" w:hAnsi="宋体" w:cs="宋体" w:eastAsia="宋体" w:hint="default"/>
          <w:sz w:val="24"/>
          <w:szCs w:val="24"/>
        </w:rPr>
      </w:pPr>
    </w:p>
    <w:p>
      <w:pPr>
        <w:pStyle w:val="BodyText"/>
        <w:spacing w:line="312" w:lineRule="auto"/>
        <w:ind w:right="191" w:firstLine="420"/>
        <w:jc w:val="both"/>
      </w:pPr>
      <w:r>
        <w:rPr/>
        <w:t>吕红兵先生，独立董事，</w:t>
      </w:r>
      <w:r>
        <w:rPr>
          <w:rFonts w:ascii="Times New Roman" w:hAnsi="Times New Roman" w:cs="Times New Roman" w:eastAsia="Times New Roman" w:hint="default"/>
        </w:rPr>
        <w:t>47</w:t>
      </w:r>
      <w:r>
        <w:rPr/>
        <w:t>岁，中国国籍，法学硕士，在读管理博士，高级律师，担任中华全国律师协会副会长，国 </w:t>
      </w:r>
      <w:r>
        <w:rPr>
          <w:spacing w:val="-2"/>
        </w:rPr>
        <w:t>浩律师集团事务所首席执行合伙人，华东政法大学、上海外贸大学兼职教授，上海证券交易所上市委员会委员，中国国际经</w:t>
      </w:r>
      <w:r>
        <w:rPr>
          <w:spacing w:val="-64"/>
        </w:rPr>
        <w:t> </w:t>
      </w:r>
      <w:r>
        <w:rPr>
          <w:spacing w:val="-64"/>
        </w:rPr>
      </w:r>
      <w:r>
        <w:rPr>
          <w:spacing w:val="-2"/>
        </w:rPr>
        <w:t>济贸易仲裁委员会、上海仲裁委员会仲裁员，上海市政协委员及社会法制委员会副主任，上海市青年联合会副主席，曾任中</w:t>
      </w:r>
      <w:r>
        <w:rPr>
          <w:spacing w:val="-65"/>
        </w:rPr>
        <w:t> </w:t>
      </w:r>
      <w:r>
        <w:rPr>
          <w:spacing w:val="-65"/>
        </w:rPr>
      </w:r>
      <w:r>
        <w:rPr/>
        <w:t>国证监会第六届股票发行审核委员会专职委员。</w:t>
      </w:r>
    </w:p>
    <w:p>
      <w:pPr>
        <w:spacing w:line="240" w:lineRule="auto" w:before="7"/>
        <w:rPr>
          <w:rFonts w:ascii="宋体" w:hAnsi="宋体" w:cs="宋体" w:eastAsia="宋体" w:hint="default"/>
          <w:sz w:val="25"/>
          <w:szCs w:val="25"/>
        </w:rPr>
      </w:pPr>
    </w:p>
    <w:p>
      <w:pPr>
        <w:pStyle w:val="BodyText"/>
        <w:spacing w:line="307" w:lineRule="auto"/>
        <w:ind w:right="190" w:firstLine="420"/>
        <w:jc w:val="both"/>
      </w:pPr>
      <w:r>
        <w:rPr/>
        <w:t>薛云奎先生，独立董事，</w:t>
      </w:r>
      <w:r>
        <w:rPr>
          <w:rFonts w:ascii="Times New Roman" w:hAnsi="Times New Roman" w:cs="Times New Roman" w:eastAsia="Times New Roman" w:hint="default"/>
        </w:rPr>
        <w:t>47</w:t>
      </w:r>
      <w:r>
        <w:rPr/>
        <w:t>岁，中国国籍，担任长江商学院副院长，会计学教授，中国注册会计师（非执业），上海 </w:t>
      </w:r>
      <w:r>
        <w:rPr>
          <w:spacing w:val="-2"/>
        </w:rPr>
        <w:t>财经大学会计学院教授、博士生导师，厦门大学管理学院兼职教授。曾任上海国家会计学院副院长、上海财经大学会计学院</w:t>
      </w:r>
      <w:r>
        <w:rPr>
          <w:spacing w:val="-64"/>
        </w:rPr>
        <w:t> </w:t>
      </w:r>
      <w:r>
        <w:rPr>
          <w:spacing w:val="-64"/>
        </w:rPr>
      </w:r>
      <w:r>
        <w:rPr>
          <w:spacing w:val="-1"/>
        </w:rPr>
        <w:t>副院长、财政部</w:t>
      </w:r>
      <w:r>
        <w:rPr>
          <w:rFonts w:ascii="Times New Roman" w:hAnsi="Times New Roman" w:cs="Times New Roman" w:eastAsia="Times New Roman" w:hint="default"/>
          <w:spacing w:val="-1"/>
        </w:rPr>
        <w:t>“</w:t>
      </w:r>
      <w:r>
        <w:rPr>
          <w:spacing w:val="-1"/>
        </w:rPr>
        <w:t>国家会计学院教学指导委员会副主任委员</w:t>
      </w:r>
      <w:r>
        <w:rPr>
          <w:rFonts w:ascii="Times New Roman" w:hAnsi="Times New Roman" w:cs="Times New Roman" w:eastAsia="Times New Roman" w:hint="default"/>
          <w:spacing w:val="-1"/>
        </w:rPr>
        <w:t>”</w:t>
      </w:r>
      <w:r>
        <w:rPr>
          <w:spacing w:val="-1"/>
        </w:rPr>
        <w:t>、上海市</w:t>
      </w:r>
      <w:r>
        <w:rPr>
          <w:rFonts w:ascii="Times New Roman" w:hAnsi="Times New Roman" w:cs="Times New Roman" w:eastAsia="Times New Roman" w:hint="default"/>
          <w:spacing w:val="-1"/>
        </w:rPr>
        <w:t>“</w:t>
      </w:r>
      <w:r>
        <w:rPr>
          <w:spacing w:val="-1"/>
        </w:rPr>
        <w:t>司法会计鉴定专家委员会</w:t>
      </w:r>
      <w:r>
        <w:rPr>
          <w:rFonts w:ascii="Times New Roman" w:hAnsi="Times New Roman" w:cs="Times New Roman" w:eastAsia="Times New Roman" w:hint="default"/>
          <w:spacing w:val="-1"/>
        </w:rPr>
        <w:t>”</w:t>
      </w:r>
      <w:r>
        <w:rPr>
          <w:spacing w:val="-1"/>
        </w:rPr>
        <w:t>副主任委员、中国注册会计</w:t>
      </w:r>
      <w:r>
        <w:rPr>
          <w:spacing w:val="-79"/>
        </w:rPr>
        <w:t> </w:t>
      </w:r>
      <w:r>
        <w:rPr>
          <w:spacing w:val="-79"/>
        </w:rPr>
      </w:r>
      <w:r>
        <w:rPr/>
        <w:t>师协会职业后续教育教材编审委员会委员和中国资产评估协会职业后续教育教材编审委员会委员。</w:t>
      </w:r>
    </w:p>
    <w:p>
      <w:pPr>
        <w:spacing w:line="240" w:lineRule="auto" w:before="11"/>
        <w:rPr>
          <w:rFonts w:ascii="宋体" w:hAnsi="宋体" w:cs="宋体" w:eastAsia="宋体" w:hint="default"/>
          <w:sz w:val="25"/>
          <w:szCs w:val="25"/>
        </w:rPr>
      </w:pPr>
    </w:p>
    <w:p>
      <w:pPr>
        <w:pStyle w:val="BodyText"/>
        <w:spacing w:line="300" w:lineRule="auto"/>
        <w:ind w:right="139" w:firstLine="420"/>
        <w:jc w:val="both"/>
      </w:pPr>
      <w:r>
        <w:rPr/>
        <w:t>涂</w:t>
      </w:r>
      <w:r>
        <w:rPr>
          <w:spacing w:val="89"/>
        </w:rPr>
        <w:t> </w:t>
      </w:r>
      <w:r>
        <w:rPr/>
        <w:t>珂先生，</w:t>
      </w:r>
      <w:r>
        <w:rPr>
          <w:rFonts w:ascii="Times New Roman" w:hAnsi="Times New Roman" w:cs="Times New Roman" w:eastAsia="Times New Roman" w:hint="default"/>
        </w:rPr>
        <w:t>38</w:t>
      </w:r>
      <w:r>
        <w:rPr/>
        <w:t>岁，中国国籍，大学学历，曾任中国光大银行重庆分行信贷经理、中国光大银行总行信贷审批经理。 现任本公司监事会监事长。</w:t>
      </w:r>
    </w:p>
    <w:p>
      <w:pPr>
        <w:spacing w:line="240" w:lineRule="auto" w:before="3"/>
        <w:rPr>
          <w:rFonts w:ascii="宋体" w:hAnsi="宋体" w:cs="宋体" w:eastAsia="宋体" w:hint="default"/>
          <w:sz w:val="26"/>
          <w:szCs w:val="26"/>
        </w:rPr>
      </w:pPr>
    </w:p>
    <w:p>
      <w:pPr>
        <w:pStyle w:val="BodyText"/>
        <w:spacing w:line="240" w:lineRule="auto"/>
        <w:ind w:left="573" w:right="0"/>
        <w:jc w:val="left"/>
      </w:pPr>
      <w:r>
        <w:rPr/>
        <w:t>赖昌钱先生，</w:t>
      </w:r>
      <w:r>
        <w:rPr>
          <w:rFonts w:ascii="Times New Roman" w:hAnsi="Times New Roman" w:cs="Times New Roman" w:eastAsia="Times New Roman" w:hint="default"/>
        </w:rPr>
        <w:t>39</w:t>
      </w:r>
      <w:r>
        <w:rPr/>
        <w:t>岁，中国国籍，大专学历，曾任上海美邦有限工艺中心副主任、生产计划部副部长、面辅料采购部副</w:t>
      </w:r>
    </w:p>
    <w:p>
      <w:pPr>
        <w:spacing w:after="0" w:line="240" w:lineRule="auto"/>
        <w:jc w:val="left"/>
        <w:sectPr>
          <w:pgSz w:w="11910" w:h="16840"/>
          <w:pgMar w:header="850" w:footer="1186" w:top="1440" w:bottom="1380" w:left="980" w:right="9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
        <w:ind w:right="0"/>
        <w:jc w:val="left"/>
      </w:pPr>
      <w:r>
        <w:rPr/>
        <w:t>部长。现任本公司职工代表监事兼</w:t>
      </w:r>
      <w:r>
        <w:rPr>
          <w:rFonts w:ascii="Times New Roman" w:hAnsi="Times New Roman" w:cs="Times New Roman" w:eastAsia="Times New Roman" w:hint="default"/>
        </w:rPr>
        <w:t>Meters/bonwe</w:t>
      </w:r>
      <w:r>
        <w:rPr/>
        <w:t>品牌事业部产品设计中心工艺高级经理。</w:t>
      </w:r>
    </w:p>
    <w:p>
      <w:pPr>
        <w:spacing w:line="240" w:lineRule="auto" w:before="0"/>
        <w:rPr>
          <w:rFonts w:ascii="宋体" w:hAnsi="宋体" w:cs="宋体" w:eastAsia="宋体" w:hint="default"/>
          <w:sz w:val="18"/>
          <w:szCs w:val="18"/>
        </w:rPr>
      </w:pPr>
    </w:p>
    <w:p>
      <w:pPr>
        <w:pStyle w:val="BodyText"/>
        <w:spacing w:line="309" w:lineRule="auto" w:before="139"/>
        <w:ind w:right="153" w:firstLine="420"/>
        <w:jc w:val="both"/>
      </w:pPr>
      <w:r>
        <w:rPr/>
        <w:t>王必华先生，</w:t>
      </w:r>
      <w:r>
        <w:rPr>
          <w:rFonts w:ascii="Times New Roman" w:hAnsi="Times New Roman" w:cs="Times New Roman" w:eastAsia="Times New Roman" w:hint="default"/>
        </w:rPr>
        <w:t>34</w:t>
      </w:r>
      <w:r>
        <w:rPr/>
        <w:t>岁，中国国籍，大学学历，曾任温州美特斯邦威有限公司销售部经营分析科员、上海美特斯邦威服饰 </w:t>
      </w:r>
      <w:r>
        <w:rPr>
          <w:spacing w:val="-2"/>
        </w:rPr>
        <w:t>有限公司商品管理部公司商品组主管、上海美特斯邦威服饰股份有限公司商品企划与管理中心商品经营管理部系统管理组主</w:t>
      </w:r>
      <w:r>
        <w:rPr>
          <w:spacing w:val="-64"/>
        </w:rPr>
        <w:t> </w:t>
      </w:r>
      <w:r>
        <w:rPr>
          <w:spacing w:val="-64"/>
        </w:rPr>
      </w:r>
      <w:r>
        <w:rPr/>
        <w:t>管。现任本公司职工代表监事兼</w:t>
      </w:r>
      <w:r>
        <w:rPr>
          <w:rFonts w:ascii="Times New Roman" w:hAnsi="Times New Roman" w:cs="Times New Roman" w:eastAsia="Times New Roman" w:hint="default"/>
        </w:rPr>
        <w:t>Meters/bonwe</w:t>
      </w:r>
      <w:r>
        <w:rPr/>
        <w:t>品牌事业部商品管理中心男装商品管理部助理经理。</w:t>
      </w:r>
    </w:p>
    <w:p>
      <w:pPr>
        <w:spacing w:line="240" w:lineRule="auto" w:before="3"/>
        <w:rPr>
          <w:rFonts w:ascii="宋体" w:hAnsi="宋体" w:cs="宋体" w:eastAsia="宋体" w:hint="default"/>
          <w:sz w:val="24"/>
          <w:szCs w:val="24"/>
        </w:rPr>
      </w:pPr>
    </w:p>
    <w:p>
      <w:pPr>
        <w:pStyle w:val="BodyText"/>
        <w:spacing w:line="309" w:lineRule="auto"/>
        <w:ind w:right="146" w:firstLine="420"/>
        <w:jc w:val="both"/>
      </w:pPr>
      <w:r>
        <w:rPr/>
        <w:t>尹剑侠先生，</w:t>
      </w:r>
      <w:r>
        <w:rPr>
          <w:rFonts w:ascii="Times New Roman" w:hAnsi="Times New Roman" w:cs="Times New Roman" w:eastAsia="Times New Roman" w:hint="default"/>
        </w:rPr>
        <w:t>38</w:t>
      </w:r>
      <w:r>
        <w:rPr/>
        <w:t>岁，中国国籍，</w:t>
      </w:r>
      <w:r>
        <w:rPr>
          <w:rFonts w:ascii="Times New Roman" w:hAnsi="Times New Roman" w:cs="Times New Roman" w:eastAsia="Times New Roman" w:hint="default"/>
        </w:rPr>
        <w:t>1997</w:t>
      </w:r>
      <w:r>
        <w:rPr/>
        <w:t>年毕业于北京服装学院服装艺术设计专业，现中欧国际工商学院</w:t>
      </w:r>
      <w:r>
        <w:rPr>
          <w:rFonts w:ascii="Times New Roman" w:hAnsi="Times New Roman" w:cs="Times New Roman" w:eastAsia="Times New Roman" w:hint="default"/>
        </w:rPr>
        <w:t>EMBA</w:t>
      </w:r>
      <w:r>
        <w:rPr/>
        <w:t>在读。曾</w:t>
      </w:r>
      <w:r>
        <w:rPr>
          <w:spacing w:val="2"/>
        </w:rPr>
        <w:t> </w:t>
      </w:r>
      <w:r>
        <w:rPr>
          <w:spacing w:val="-2"/>
        </w:rPr>
        <w:t>任温州集团公司设计中心副主任、美特斯邦威品牌产品副总设计师、都市品类设计总监兼店铺形象设计顾问。现任本公司副</w:t>
      </w:r>
      <w:r>
        <w:rPr>
          <w:spacing w:val="-63"/>
        </w:rPr>
        <w:t> </w:t>
      </w:r>
      <w:r>
        <w:rPr>
          <w:spacing w:val="-63"/>
        </w:rPr>
      </w:r>
      <w:r>
        <w:rPr/>
        <w:t>总裁、</w:t>
      </w:r>
      <w:r>
        <w:rPr>
          <w:rFonts w:ascii="Times New Roman" w:hAnsi="Times New Roman" w:cs="Times New Roman" w:eastAsia="Times New Roman" w:hint="default"/>
        </w:rPr>
        <w:t>ME&amp;CITY</w:t>
      </w:r>
      <w:r>
        <w:rPr/>
        <w:t>品牌事业部副总裁。</w:t>
      </w:r>
    </w:p>
    <w:p>
      <w:pPr>
        <w:spacing w:line="240" w:lineRule="auto" w:before="3"/>
        <w:rPr>
          <w:rFonts w:ascii="宋体" w:hAnsi="宋体" w:cs="宋体" w:eastAsia="宋体" w:hint="default"/>
          <w:sz w:val="24"/>
          <w:szCs w:val="24"/>
        </w:rPr>
      </w:pPr>
    </w:p>
    <w:p>
      <w:pPr>
        <w:pStyle w:val="BodyText"/>
        <w:spacing w:line="300" w:lineRule="auto"/>
        <w:ind w:right="156" w:firstLine="420"/>
        <w:jc w:val="both"/>
      </w:pPr>
      <w:r>
        <w:rPr/>
        <w:t>韩钟伟先生，</w:t>
      </w:r>
      <w:r>
        <w:rPr>
          <w:rFonts w:ascii="Times New Roman" w:hAnsi="Times New Roman" w:cs="Times New Roman" w:eastAsia="Times New Roman" w:hint="default"/>
        </w:rPr>
        <w:t>38</w:t>
      </w:r>
      <w:r>
        <w:rPr/>
        <w:t>岁，中国国籍，经济学博士，</w:t>
      </w:r>
      <w:r>
        <w:rPr>
          <w:rFonts w:ascii="Times New Roman" w:hAnsi="Times New Roman" w:cs="Times New Roman" w:eastAsia="Times New Roman" w:hint="default"/>
        </w:rPr>
        <w:t>1998</w:t>
      </w:r>
      <w:r>
        <w:rPr/>
        <w:t>年毕业于南京大学国际金融专业，曾任中国招商银行杭州分行国际 部项目经理、英国米德塞克斯大学金融经济学讲师，中英经济学会成员。现任本公司副总裁、董事会秘书、财务总监。</w:t>
      </w:r>
    </w:p>
    <w:p>
      <w:pPr>
        <w:spacing w:line="240" w:lineRule="auto" w:before="0"/>
        <w:rPr>
          <w:rFonts w:ascii="宋体" w:hAnsi="宋体" w:cs="宋体" w:eastAsia="宋体" w:hint="default"/>
          <w:sz w:val="18"/>
          <w:szCs w:val="18"/>
        </w:rPr>
      </w:pPr>
    </w:p>
    <w:p>
      <w:pPr>
        <w:pStyle w:val="BodyText"/>
        <w:spacing w:line="240" w:lineRule="auto" w:before="149"/>
        <w:ind w:right="0"/>
        <w:jc w:val="left"/>
      </w:pPr>
      <w:r>
        <w:rPr/>
        <w:t>在股东单位任职情况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6"/>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39" w:right="68"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上海祺格实业有限公司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52"/>
              <w:jc w:val="both"/>
              <w:rPr>
                <w:rFonts w:ascii="宋体" w:hAnsi="宋体" w:cs="宋体" w:eastAsia="宋体" w:hint="default"/>
                <w:sz w:val="18"/>
                <w:szCs w:val="18"/>
              </w:rPr>
            </w:pPr>
            <w:r>
              <w:rPr>
                <w:rFonts w:ascii="宋体" w:hAnsi="宋体" w:cs="宋体" w:eastAsia="宋体" w:hint="default"/>
                <w:sz w:val="18"/>
                <w:szCs w:val="18"/>
              </w:rPr>
              <w:t>本公司董事长兼总裁周成建先生现为美特斯邦威集团有限公司执行董事、华服投资执行董事、祺格实业执 行董事、上海佳威投资有限公司执行董事。本公司的其他董事、监事及高级管理人员均未在控股股东及其 控制的其他企业中担任除董事以外的其他职务，未在控股股东及其控制的其他企业中领薪。</w:t>
            </w:r>
          </w:p>
        </w:tc>
      </w:tr>
    </w:tbl>
    <w:p>
      <w:pPr>
        <w:pStyle w:val="BodyText"/>
        <w:spacing w:line="240" w:lineRule="auto" w:before="49"/>
        <w:ind w:right="0"/>
        <w:jc w:val="left"/>
      </w:pPr>
      <w:r>
        <w:rPr/>
        <w:t>在其他单位任职情况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万科企业股份有限公司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董事会主席</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建业地产股份有限公司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现代传播控股有限公司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华润置地有限公司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SOHU.COM</w:t>
            </w:r>
            <w:r>
              <w:rPr>
                <w:rFonts w:ascii="Times New Roman"/>
                <w:spacing w:val="-2"/>
                <w:sz w:val="18"/>
              </w:rPr>
              <w:t> </w:t>
            </w:r>
            <w:r>
              <w:rPr>
                <w:rFonts w:ascii="Times New Roman"/>
                <w:sz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吕红兵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国浩律师集团事务所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首席执行合 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吕红兵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上海大众公用事业股份有限公司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吕红兵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上海交大昂立股份有限公司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吕红兵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上海浦东路桥建设股份有限公司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吕红兵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上海航天汽车机电股份有限公司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薛云奎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长江商学院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副院长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薛云奎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广东威华股份有限公司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50" w:footer="1186" w:top="1440" w:bottom="1380" w:left="980" w:right="98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416" w:hRule="exact"/>
        </w:trPr>
        <w:tc>
          <w:tcPr>
            <w:tcW w:w="12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薛云奎</w:t>
            </w:r>
          </w:p>
        </w:tc>
        <w:tc>
          <w:tcPr>
            <w:tcW w:w="31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上海申通地铁股份有限公司</w:t>
            </w:r>
          </w:p>
        </w:tc>
        <w:tc>
          <w:tcPr>
            <w:tcW w:w="106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10" w:space="0" w:color="000000"/>
              <w:left w:val="single" w:sz="4" w:space="0" w:color="000000"/>
              <w:bottom w:val="single" w:sz="4" w:space="0" w:color="000000"/>
              <w:right w:val="single" w:sz="4" w:space="0" w:color="000000"/>
            </w:tcBorders>
          </w:tcPr>
          <w:p>
            <w:pPr/>
          </w:p>
        </w:tc>
        <w:tc>
          <w:tcPr>
            <w:tcW w:w="1325" w:type="dxa"/>
            <w:tcBorders>
              <w:top w:val="single" w:sz="10" w:space="0" w:color="000000"/>
              <w:left w:val="single" w:sz="4" w:space="0" w:color="000000"/>
              <w:bottom w:val="single" w:sz="4" w:space="0" w:color="000000"/>
              <w:right w:val="single" w:sz="4" w:space="0" w:color="000000"/>
            </w:tcBorders>
          </w:tcPr>
          <w:p>
            <w:pP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薛云奎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大连万达集团股份有限公司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薛云奎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广东长实通信股份有限公司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2"/>
        <w:spacing w:line="240" w:lineRule="auto"/>
        <w:ind w:left="112" w:right="0"/>
        <w:jc w:val="left"/>
        <w:rPr>
          <w:b w:val="0"/>
          <w:bCs w:val="0"/>
        </w:rPr>
      </w:pPr>
      <w:r>
        <w:rPr/>
        <w:t>二、董事、监事、高级管理人员报酬情况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12" w:right="0"/>
        <w:jc w:val="left"/>
      </w:pPr>
      <w:r>
        <w:rPr/>
        <w:t>董事、监事、高级管理人员报酬的决策程序、确定依据、实际支付情况</w:t>
      </w:r>
    </w:p>
    <w:p>
      <w:pPr>
        <w:pStyle w:val="BodyText"/>
        <w:spacing w:line="312" w:lineRule="auto" w:before="115"/>
        <w:ind w:left="112" w:right="158"/>
        <w:jc w:val="left"/>
      </w:pPr>
      <w:r>
        <w:rPr>
          <w:rFonts w:ascii="Times New Roman" w:hAnsi="Times New Roman" w:cs="Times New Roman" w:eastAsia="Times New Roman" w:hint="default"/>
          <w:spacing w:val="-1"/>
        </w:rPr>
        <w:t>1</w:t>
      </w:r>
      <w:r>
        <w:rPr>
          <w:spacing w:val="-1"/>
        </w:rPr>
        <w:t>、董事、监事、高级管理人员年度报酬均经公司相关决策机构审议；在公司任职的董事、监事、高级管理人员按其职务根</w:t>
      </w:r>
      <w:r>
        <w:rPr>
          <w:spacing w:val="-86"/>
        </w:rPr>
        <w:t> </w:t>
      </w:r>
      <w:r>
        <w:rPr>
          <w:spacing w:val="-86"/>
        </w:rPr>
      </w:r>
      <w:r>
        <w:rPr/>
        <w:t>据公司现行的薪酬制度领取报酬，并依据风险、责任、利益相一致的原则，年底根据经营业绩和个人绩效，严格按照考核</w:t>
      </w:r>
      <w:r>
        <w:rPr>
          <w:spacing w:val="-53"/>
        </w:rPr>
        <w:t> </w:t>
      </w:r>
      <w:r>
        <w:rPr>
          <w:spacing w:val="-53"/>
        </w:rPr>
      </w:r>
      <w:r>
        <w:rPr/>
        <w:t>评定程序，由董事会确定其年度奖金和奖惩方式；董事、监事报酬每月按标准准时支付到个人账户。公司高级管理人员报</w:t>
      </w:r>
      <w:r>
        <w:rPr>
          <w:spacing w:val="-53"/>
        </w:rPr>
        <w:t> </w:t>
      </w:r>
      <w:r>
        <w:rPr>
          <w:spacing w:val="-53"/>
        </w:rPr>
      </w:r>
      <w:r>
        <w:rPr/>
        <w:t>酬按各自考核结果进行发放。 </w:t>
      </w:r>
      <w:r>
        <w:rPr>
          <w:rFonts w:ascii="Times New Roman" w:hAnsi="Times New Roman" w:cs="Times New Roman" w:eastAsia="Times New Roman" w:hint="default"/>
        </w:rPr>
        <w:t>2</w:t>
      </w:r>
      <w:r>
        <w:rPr/>
        <w:t>、公司股东大会审议通过公司独立董事年度津贴为每人每年税后</w:t>
      </w:r>
      <w:r>
        <w:rPr>
          <w:rFonts w:ascii="Times New Roman" w:hAnsi="Times New Roman" w:cs="Times New Roman" w:eastAsia="Times New Roman" w:hint="default"/>
        </w:rPr>
        <w:t>8</w:t>
      </w:r>
      <w:r>
        <w:rPr/>
        <w:t>万元，公司负担独立董事为参加会议发生的差旅费、办</w:t>
      </w:r>
      <w:r>
        <w:rPr>
          <w:spacing w:val="-57"/>
        </w:rPr>
        <w:t> </w:t>
      </w:r>
      <w:r>
        <w:rPr>
          <w:spacing w:val="-57"/>
        </w:rPr>
      </w:r>
      <w:r>
        <w:rPr/>
        <w:t>公费等履职费用。</w:t>
      </w:r>
    </w:p>
    <w:p>
      <w:pPr>
        <w:spacing w:line="240" w:lineRule="auto" w:before="4"/>
        <w:rPr>
          <w:rFonts w:ascii="宋体" w:hAnsi="宋体" w:cs="宋体" w:eastAsia="宋体" w:hint="default"/>
          <w:sz w:val="25"/>
          <w:szCs w:val="25"/>
        </w:rPr>
      </w:pPr>
    </w:p>
    <w:p>
      <w:pPr>
        <w:pStyle w:val="BodyText"/>
        <w:spacing w:line="240" w:lineRule="auto" w:before="44"/>
        <w:ind w:left="112" w:right="0"/>
        <w:jc w:val="left"/>
      </w:pPr>
      <w:r>
        <w:rPr/>
        <w:t>公司报告期内董事、监事和高级管理人员报酬情况</w:t>
      </w:r>
    </w:p>
    <w:p>
      <w:pPr>
        <w:pStyle w:val="BodyText"/>
        <w:spacing w:line="240" w:lineRule="auto" w:before="117"/>
        <w:ind w:left="0" w:right="111"/>
        <w:jc w:val="right"/>
      </w:pPr>
      <w:r>
        <w:rPr/>
        <w:t>单位：万元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姓名</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王泉庚</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徐卫东</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197.00</w:t>
            </w:r>
          </w:p>
        </w:tc>
      </w:tr>
      <w:tr>
        <w:trPr>
          <w:trHeight w:val="134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周文武</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董事、 </w:t>
            </w:r>
            <w:r>
              <w:rPr>
                <w:rFonts w:ascii="Times New Roman" w:hAnsi="Times New Roman" w:cs="Times New Roman" w:eastAsia="Times New Roman" w:hint="default"/>
                <w:sz w:val="18"/>
                <w:szCs w:val="18"/>
              </w:rPr>
              <w:t>Meters/bonwe </w:t>
            </w:r>
            <w:r>
              <w:rPr>
                <w:rFonts w:ascii="宋体" w:hAnsi="宋体" w:cs="宋体" w:eastAsia="宋体" w:hint="default"/>
                <w:sz w:val="18"/>
                <w:szCs w:val="18"/>
              </w:rPr>
              <w:t>品牌事业部副</w:t>
            </w:r>
          </w:p>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tabs>
                <w:tab w:pos="478" w:val="left" w:leader="none"/>
              </w:tabs>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w:t>
              <w:tab/>
              <w:t>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吕红兵</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薛云奎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涂 </w:t>
            </w:r>
            <w:r>
              <w:rPr>
                <w:rFonts w:ascii="宋体" w:hAnsi="宋体" w:cs="宋体" w:eastAsia="宋体" w:hint="default"/>
                <w:spacing w:val="2"/>
                <w:sz w:val="18"/>
                <w:szCs w:val="18"/>
              </w:rPr>
              <w:t> </w:t>
            </w:r>
            <w:r>
              <w:rPr>
                <w:rFonts w:ascii="宋体" w:hAnsi="宋体" w:cs="宋体" w:eastAsia="宋体" w:hint="default"/>
                <w:sz w:val="18"/>
                <w:szCs w:val="18"/>
              </w:rPr>
              <w:t>珂</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赖昌钱</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王必华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程伟雄</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尹剑侠</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151.00</w:t>
            </w:r>
          </w:p>
        </w:tc>
      </w:tr>
      <w:tr>
        <w:trPr>
          <w:trHeight w:val="102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韩钟伟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副总裁、董事 会秘书、财务 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0"/>
              <w:jc w:val="righ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1,251.00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1,251.00</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186" w:top="1440" w:bottom="1380" w:left="1020" w:right="1020"/>
        </w:sectPr>
      </w:pPr>
    </w:p>
    <w:p>
      <w:pPr>
        <w:pStyle w:val="Heading2"/>
        <w:spacing w:line="240" w:lineRule="auto" w:before="13"/>
        <w:ind w:right="0"/>
        <w:jc w:val="left"/>
        <w:rPr>
          <w:b w:val="0"/>
          <w:bCs w:val="0"/>
        </w:rPr>
      </w:pPr>
      <w:r>
        <w:rPr/>
        <w:pict>
          <v:group style="position:absolute;margin-left:55.200001pt;margin-top:2.185603pt;width:484.9pt;height:.1pt;mso-position-horizontal-relative:page;mso-position-vertical-relative:paragraph;z-index:-752032" coordorigin="1104,44" coordsize="9698,2">
            <v:shape style="position:absolute;left:1104;top:44;width:9698;height:2" coordorigin="1104,44" coordsize="9698,0" path="m1104,44l10802,44e" filled="false" stroked="true" strokeweight=".72pt" strokecolor="#000000">
              <v:path arrowok="t"/>
            </v:shape>
            <w10:wrap type="none"/>
          </v:group>
        </w:pict>
      </w:r>
      <w:r>
        <w:rPr/>
        <w:t>三、公司董事、监事、高级管理人员离职和解聘情况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028"/>
        <w:gridCol w:w="1632"/>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程伟雄</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四、公司员工情况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日，本公司共有员工</w:t>
      </w:r>
      <w:r>
        <w:rPr>
          <w:rFonts w:ascii="Times New Roman" w:hAnsi="Times New Roman" w:cs="Times New Roman" w:eastAsia="Times New Roman" w:hint="default"/>
        </w:rPr>
        <w:t>1985</w:t>
      </w:r>
      <w:r>
        <w:rPr/>
        <w:t>人，按学历、专业构成划分的员工人数如下表：</w:t>
      </w:r>
    </w:p>
    <w:p>
      <w:pPr>
        <w:spacing w:line="240" w:lineRule="auto" w:before="2"/>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1673"/>
        <w:gridCol w:w="3243"/>
        <w:gridCol w:w="2091"/>
        <w:gridCol w:w="2686"/>
      </w:tblGrid>
      <w:tr>
        <w:trPr>
          <w:trHeight w:val="322" w:hRule="exact"/>
        </w:trPr>
        <w:tc>
          <w:tcPr>
            <w:tcW w:w="16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32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细分类别</w:t>
            </w:r>
            <w:r>
              <w:rPr>
                <w:rFonts w:ascii="宋体" w:hAnsi="宋体" w:cs="宋体" w:eastAsia="宋体" w:hint="default"/>
                <w:sz w:val="18"/>
                <w:szCs w:val="18"/>
              </w:rPr>
            </w:r>
          </w:p>
        </w:tc>
        <w:tc>
          <w:tcPr>
            <w:tcW w:w="20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员工人数</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人</w:t>
            </w:r>
            <w:r>
              <w:rPr>
                <w:rFonts w:ascii="宋体" w:hAnsi="宋体" w:cs="宋体" w:eastAsia="宋体" w:hint="default"/>
                <w:sz w:val="18"/>
                <w:szCs w:val="18"/>
              </w:rPr>
            </w:r>
          </w:p>
        </w:tc>
        <w:tc>
          <w:tcPr>
            <w:tcW w:w="2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所占比例（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22" w:hRule="exact"/>
        </w:trPr>
        <w:tc>
          <w:tcPr>
            <w:tcW w:w="16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b/>
                <w:bCs/>
                <w:sz w:val="18"/>
                <w:szCs w:val="18"/>
              </w:rPr>
              <w:t>学历构成</w:t>
            </w:r>
            <w:r>
              <w:rPr>
                <w:rFonts w:ascii="宋体" w:hAnsi="宋体" w:cs="宋体" w:eastAsia="宋体" w:hint="default"/>
                <w:sz w:val="18"/>
                <w:szCs w:val="18"/>
              </w:rPr>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初中以下</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12</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0.60%</w:t>
            </w:r>
          </w:p>
        </w:tc>
      </w:tr>
      <w:tr>
        <w:trPr>
          <w:trHeight w:val="322" w:hRule="exact"/>
        </w:trPr>
        <w:tc>
          <w:tcPr>
            <w:tcW w:w="1673" w:type="dxa"/>
            <w:vMerge/>
            <w:tcBorders>
              <w:left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初中</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197</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9.92%</w:t>
            </w:r>
          </w:p>
        </w:tc>
      </w:tr>
      <w:tr>
        <w:trPr>
          <w:trHeight w:val="322" w:hRule="exact"/>
        </w:trPr>
        <w:tc>
          <w:tcPr>
            <w:tcW w:w="1673" w:type="dxa"/>
            <w:vMerge/>
            <w:tcBorders>
              <w:left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高中</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504</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25.39%</w:t>
            </w:r>
          </w:p>
        </w:tc>
      </w:tr>
      <w:tr>
        <w:trPr>
          <w:trHeight w:val="322" w:hRule="exact"/>
        </w:trPr>
        <w:tc>
          <w:tcPr>
            <w:tcW w:w="1673" w:type="dxa"/>
            <w:vMerge/>
            <w:tcBorders>
              <w:left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434</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21.86%</w:t>
            </w:r>
          </w:p>
        </w:tc>
      </w:tr>
      <w:tr>
        <w:trPr>
          <w:trHeight w:val="324" w:hRule="exact"/>
        </w:trPr>
        <w:tc>
          <w:tcPr>
            <w:tcW w:w="1673" w:type="dxa"/>
            <w:vMerge/>
            <w:tcBorders>
              <w:left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772</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38.89%</w:t>
            </w:r>
          </w:p>
        </w:tc>
      </w:tr>
      <w:tr>
        <w:trPr>
          <w:trHeight w:val="322" w:hRule="exact"/>
        </w:trPr>
        <w:tc>
          <w:tcPr>
            <w:tcW w:w="1673" w:type="dxa"/>
            <w:vMerge/>
            <w:tcBorders>
              <w:left w:val="single" w:sz="4" w:space="0" w:color="000000"/>
              <w:bottom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66</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3.32%</w:t>
            </w:r>
          </w:p>
        </w:tc>
      </w:tr>
      <w:tr>
        <w:trPr>
          <w:trHeight w:val="322" w:hRule="exact"/>
        </w:trPr>
        <w:tc>
          <w:tcPr>
            <w:tcW w:w="16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70" w:right="0"/>
              <w:jc w:val="left"/>
              <w:rPr>
                <w:rFonts w:ascii="宋体" w:hAnsi="宋体" w:cs="宋体" w:eastAsia="宋体" w:hint="default"/>
                <w:sz w:val="18"/>
                <w:szCs w:val="18"/>
              </w:rPr>
            </w:pPr>
            <w:r>
              <w:rPr>
                <w:rFonts w:ascii="宋体" w:hAnsi="宋体" w:cs="宋体" w:eastAsia="宋体" w:hint="default"/>
                <w:b/>
                <w:bCs/>
                <w:sz w:val="18"/>
                <w:szCs w:val="18"/>
              </w:rPr>
              <w:t>专业构成</w:t>
            </w:r>
            <w:r>
              <w:rPr>
                <w:rFonts w:ascii="宋体" w:hAnsi="宋体" w:cs="宋体" w:eastAsia="宋体" w:hint="default"/>
                <w:sz w:val="18"/>
                <w:szCs w:val="18"/>
              </w:rPr>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财务管理人员</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60</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3.02%</w:t>
            </w:r>
          </w:p>
        </w:tc>
      </w:tr>
      <w:tr>
        <w:trPr>
          <w:trHeight w:val="322" w:hRule="exact"/>
        </w:trPr>
        <w:tc>
          <w:tcPr>
            <w:tcW w:w="1673" w:type="dxa"/>
            <w:vMerge/>
            <w:tcBorders>
              <w:left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行政管理人员</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117</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5.89%</w:t>
            </w:r>
          </w:p>
        </w:tc>
      </w:tr>
      <w:tr>
        <w:trPr>
          <w:trHeight w:val="322" w:hRule="exact"/>
        </w:trPr>
        <w:tc>
          <w:tcPr>
            <w:tcW w:w="1673" w:type="dxa"/>
            <w:vMerge/>
            <w:tcBorders>
              <w:left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营销管理人员</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274</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13.80%</w:t>
            </w:r>
          </w:p>
        </w:tc>
      </w:tr>
      <w:tr>
        <w:trPr>
          <w:trHeight w:val="322" w:hRule="exact"/>
        </w:trPr>
        <w:tc>
          <w:tcPr>
            <w:tcW w:w="1673" w:type="dxa"/>
            <w:vMerge/>
            <w:tcBorders>
              <w:left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生产采购及管理人员</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257</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12.95%</w:t>
            </w:r>
          </w:p>
        </w:tc>
      </w:tr>
      <w:tr>
        <w:trPr>
          <w:trHeight w:val="324" w:hRule="exact"/>
        </w:trPr>
        <w:tc>
          <w:tcPr>
            <w:tcW w:w="1673" w:type="dxa"/>
            <w:vMerge/>
            <w:tcBorders>
              <w:left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物流管理人员</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499</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25.14%</w:t>
            </w:r>
          </w:p>
        </w:tc>
      </w:tr>
      <w:tr>
        <w:trPr>
          <w:trHeight w:val="322" w:hRule="exact"/>
        </w:trPr>
        <w:tc>
          <w:tcPr>
            <w:tcW w:w="1673" w:type="dxa"/>
            <w:vMerge/>
            <w:tcBorders>
              <w:left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信息管理人员</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66</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3.32%</w:t>
            </w:r>
          </w:p>
        </w:tc>
      </w:tr>
      <w:tr>
        <w:trPr>
          <w:trHeight w:val="322" w:hRule="exact"/>
        </w:trPr>
        <w:tc>
          <w:tcPr>
            <w:tcW w:w="1673" w:type="dxa"/>
            <w:vMerge/>
            <w:tcBorders>
              <w:left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设计及工艺人员</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477</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24.03%</w:t>
            </w:r>
          </w:p>
        </w:tc>
      </w:tr>
      <w:tr>
        <w:trPr>
          <w:trHeight w:val="322" w:hRule="exact"/>
        </w:trPr>
        <w:tc>
          <w:tcPr>
            <w:tcW w:w="1673" w:type="dxa"/>
            <w:vMerge/>
            <w:tcBorders>
              <w:left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品牌营销人员</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91</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4.58%</w:t>
            </w:r>
          </w:p>
        </w:tc>
      </w:tr>
      <w:tr>
        <w:trPr>
          <w:trHeight w:val="322" w:hRule="exact"/>
        </w:trPr>
        <w:tc>
          <w:tcPr>
            <w:tcW w:w="1673" w:type="dxa"/>
            <w:vMerge/>
            <w:tcBorders>
              <w:left w:val="single" w:sz="4" w:space="0" w:color="000000"/>
              <w:bottom w:val="single" w:sz="4" w:space="0" w:color="000000"/>
              <w:right w:val="single" w:sz="4" w:space="0" w:color="000000"/>
            </w:tcBorders>
          </w:tcPr>
          <w:p>
            <w:pP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144</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7.25%</w:t>
            </w:r>
          </w:p>
        </w:tc>
      </w:tr>
      <w:tr>
        <w:trPr>
          <w:trHeight w:val="324" w:hRule="exact"/>
        </w:trPr>
        <w:tc>
          <w:tcPr>
            <w:tcW w:w="4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总计</w:t>
            </w:r>
            <w:r>
              <w:rPr>
                <w:rFonts w:ascii="宋体" w:hAnsi="宋体" w:cs="宋体" w:eastAsia="宋体" w:hint="default"/>
                <w:sz w:val="18"/>
                <w:szCs w:val="18"/>
              </w:rPr>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1,985</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2</w:t>
      </w:r>
      <w:r>
        <w:rPr/>
        <w:t>、本公司没有需要承担费用的离退休职工。</w:t>
      </w:r>
    </w:p>
    <w:p>
      <w:pPr>
        <w:spacing w:after="0" w:line="240" w:lineRule="auto"/>
        <w:jc w:val="left"/>
        <w:sectPr>
          <w:pgSz w:w="11910" w:h="16840"/>
          <w:pgMar w:header="850" w:footer="1186" w:top="1440" w:bottom="13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1"/>
        <w:spacing w:line="240" w:lineRule="auto"/>
        <w:ind w:left="3590" w:right="3626"/>
        <w:jc w:val="center"/>
        <w:rPr>
          <w:b w:val="0"/>
          <w:bCs w:val="0"/>
        </w:rPr>
      </w:pPr>
      <w:bookmarkStart w:name="_bookmark7" w:id="8"/>
      <w:bookmarkEnd w:id="8"/>
      <w:r>
        <w:rPr>
          <w:b w:val="0"/>
          <w:bCs w:val="0"/>
        </w:rPr>
      </w:r>
      <w:r>
        <w:rPr/>
        <w:t>第八节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一、公司治理的基本状况</w:t>
      </w:r>
      <w:r>
        <w:rPr>
          <w:b w:val="0"/>
          <w:bCs w:val="0"/>
        </w:rPr>
      </w:r>
    </w:p>
    <w:p>
      <w:pPr>
        <w:spacing w:line="240" w:lineRule="auto" w:before="4"/>
        <w:rPr>
          <w:rFonts w:ascii="宋体" w:hAnsi="宋体" w:cs="宋体" w:eastAsia="宋体" w:hint="default"/>
          <w:b/>
          <w:bCs/>
          <w:sz w:val="32"/>
          <w:szCs w:val="32"/>
        </w:rPr>
      </w:pPr>
    </w:p>
    <w:p>
      <w:pPr>
        <w:pStyle w:val="BodyText"/>
        <w:spacing w:line="463" w:lineRule="auto"/>
        <w:ind w:right="192" w:firstLine="470"/>
        <w:jc w:val="both"/>
      </w:pPr>
      <w:r>
        <w:rPr>
          <w:spacing w:val="-1"/>
        </w:rPr>
        <w:t>报告期内，公司严格按照《公司法》、《证券法》、《上市公司治理准则》和《深圳证券交易所股票上市规则》等相</w:t>
      </w:r>
      <w:r>
        <w:rPr/>
        <w:t> </w:t>
      </w:r>
      <w:r>
        <w:rPr>
          <w:spacing w:val="-2"/>
        </w:rPr>
        <w:t>关法律、法规的规定，不断完善公司法人治理结构，健全内部控制体系，进一步实现规范运作。</w:t>
      </w:r>
      <w:r>
        <w:rPr>
          <w:rFonts w:ascii="Times New Roman" w:hAnsi="Times New Roman" w:cs="Times New Roman" w:eastAsia="Times New Roman" w:hint="default"/>
          <w:spacing w:val="-2"/>
        </w:rPr>
        <w:t>2012</w:t>
      </w:r>
      <w:r>
        <w:rPr>
          <w:spacing w:val="-2"/>
        </w:rPr>
        <w:t>年内，公司对《信息披</w:t>
      </w:r>
      <w:r>
        <w:rPr>
          <w:spacing w:val="-69"/>
        </w:rPr>
        <w:t> </w:t>
      </w:r>
      <w:r>
        <w:rPr>
          <w:spacing w:val="-69"/>
        </w:rPr>
      </w:r>
      <w:r>
        <w:rPr/>
        <w:t>露管理制度》、《公司章程》等治理文件进行了修改和完善。</w:t>
      </w:r>
    </w:p>
    <w:p>
      <w:pPr>
        <w:pStyle w:val="BodyText"/>
        <w:spacing w:line="477" w:lineRule="auto" w:before="65"/>
        <w:ind w:right="193" w:firstLine="420"/>
        <w:jc w:val="both"/>
      </w:pPr>
      <w:r>
        <w:rPr/>
        <w:t>目前，公司整体运作比较规范、独立性强、信息披露规范，实际情况与中国证监会有关上市公司治理的规范性文件要 求基本符合。</w:t>
      </w:r>
    </w:p>
    <w:p>
      <w:pPr>
        <w:pStyle w:val="BodyText"/>
        <w:spacing w:line="451" w:lineRule="auto" w:before="54"/>
        <w:ind w:right="192" w:firstLine="420"/>
        <w:jc w:val="both"/>
      </w:pPr>
      <w:r>
        <w:rPr>
          <w:rFonts w:ascii="Times New Roman" w:hAnsi="Times New Roman" w:cs="Times New Roman" w:eastAsia="Times New Roman" w:hint="default"/>
          <w:spacing w:val="-2"/>
        </w:rPr>
        <w:t>1</w:t>
      </w:r>
      <w:r>
        <w:rPr>
          <w:spacing w:val="-2"/>
        </w:rPr>
        <w:t>、关于股东与股东大会：报告期内，公司严格按照《上市公司股东大会规范意见》和《股东大会议事规则》的规定和</w:t>
      </w:r>
      <w:r>
        <w:rPr/>
        <w:t> 要求，规范股东大会的召集、召开、表决程序，平等对待所有股东，确保股东特别是中小股东能充分行使其权利。</w:t>
      </w:r>
    </w:p>
    <w:p>
      <w:pPr>
        <w:pStyle w:val="BodyText"/>
        <w:spacing w:line="463" w:lineRule="auto" w:before="74"/>
        <w:ind w:right="192" w:firstLine="420"/>
        <w:jc w:val="both"/>
      </w:pPr>
      <w:r>
        <w:rPr>
          <w:rFonts w:ascii="Times New Roman" w:hAnsi="Times New Roman" w:cs="Times New Roman" w:eastAsia="Times New Roman" w:hint="default"/>
          <w:spacing w:val="-2"/>
        </w:rPr>
        <w:t>2</w:t>
      </w:r>
      <w:r>
        <w:rPr>
          <w:spacing w:val="-2"/>
        </w:rPr>
        <w:t>、关于控股股东与上市公司的关系：公司控股股东行为规范，能依法行使其权利，并承担相应义务，没有超越公司股</w:t>
      </w:r>
      <w:r>
        <w:rPr/>
        <w:t> </w:t>
      </w:r>
      <w:r>
        <w:rPr>
          <w:spacing w:val="-2"/>
        </w:rPr>
        <w:t>东大会直接或间接干预公司的决策和经营活动。公司具有独立的经营能力和完备的供销系统，公司董事会、监事会和内部机</w:t>
      </w:r>
      <w:r>
        <w:rPr>
          <w:spacing w:val="-66"/>
        </w:rPr>
        <w:t> </w:t>
      </w:r>
      <w:r>
        <w:rPr>
          <w:spacing w:val="-66"/>
        </w:rPr>
      </w:r>
      <w:r>
        <w:rPr/>
        <w:t>构能够独立运作。</w:t>
      </w:r>
    </w:p>
    <w:p>
      <w:pPr>
        <w:pStyle w:val="BodyText"/>
        <w:spacing w:line="463" w:lineRule="auto" w:before="65"/>
        <w:ind w:right="190" w:firstLine="420"/>
        <w:jc w:val="both"/>
      </w:pPr>
      <w:r>
        <w:rPr>
          <w:rFonts w:ascii="Times New Roman" w:hAnsi="Times New Roman" w:cs="Times New Roman" w:eastAsia="Times New Roman" w:hint="default"/>
          <w:spacing w:val="-2"/>
        </w:rPr>
        <w:t>3</w:t>
      </w:r>
      <w:r>
        <w:rPr>
          <w:spacing w:val="-2"/>
        </w:rPr>
        <w:t>、关于董事和董事会：公司严格按照《公司法》、公司《章程》规定的选聘程序选举董事，董事会的人数及结构符合</w:t>
      </w:r>
      <w:r>
        <w:rPr/>
        <w:t> </w:t>
      </w:r>
      <w:r>
        <w:rPr>
          <w:spacing w:val="-2"/>
        </w:rPr>
        <w:t>法律法规和公司《章程》的要求。全体董事严格按照《公司法》和公司《章程》、《董事会议事规则》的规定，规范董事会</w:t>
      </w:r>
      <w:r>
        <w:rPr>
          <w:spacing w:val="-69"/>
        </w:rPr>
        <w:t> </w:t>
      </w:r>
      <w:r>
        <w:rPr>
          <w:spacing w:val="-69"/>
        </w:rPr>
      </w:r>
      <w:r>
        <w:rPr/>
        <w:t>的召集、召开和表决；认真出席董事会和股东大会，积极参加对相关知识的培训，熟悉有关法律法规，勤勉尽责。</w:t>
      </w:r>
    </w:p>
    <w:p>
      <w:pPr>
        <w:pStyle w:val="BodyText"/>
        <w:spacing w:line="468" w:lineRule="auto" w:before="65"/>
        <w:ind w:right="0" w:firstLine="420"/>
        <w:jc w:val="left"/>
      </w:pPr>
      <w:r>
        <w:rPr>
          <w:rFonts w:ascii="Times New Roman" w:hAnsi="Times New Roman" w:cs="Times New Roman" w:eastAsia="Times New Roman" w:hint="default"/>
        </w:rPr>
        <w:t>4</w:t>
      </w:r>
      <w:r>
        <w:rPr/>
        <w:t>、关于监事和监事会：公司严格按照《公司法》、公司《章程》的规定选举产生监事，监事会的人数及结构符合法律 </w:t>
      </w:r>
      <w:r>
        <w:rPr>
          <w:spacing w:val="-4"/>
        </w:rPr>
        <w:t>法规和公司《章程》的要求。监事会严格按照公司《章程》、《监事会议事规则》的规定，规范监事会的召集、召开和表决，</w:t>
      </w:r>
      <w:r>
        <w:rPr>
          <w:spacing w:val="-43"/>
        </w:rPr>
        <w:t> </w:t>
      </w:r>
      <w:r>
        <w:rPr>
          <w:spacing w:val="-43"/>
        </w:rPr>
      </w:r>
      <w:r>
        <w:rPr>
          <w:spacing w:val="-2"/>
        </w:rPr>
        <w:t>公司监事认真履行职责，诚信、勤勉、尽责地对公司财务以及董事、高级管理人员履行职责的合法、合规性进行监督，维护</w:t>
      </w:r>
      <w:r>
        <w:rPr>
          <w:spacing w:val="-67"/>
        </w:rPr>
        <w:t> </w:t>
      </w:r>
      <w:r>
        <w:rPr>
          <w:spacing w:val="-67"/>
        </w:rPr>
      </w:r>
      <w:r>
        <w:rPr/>
        <w:t>公司及股东的合法权益。</w:t>
      </w:r>
    </w:p>
    <w:p>
      <w:pPr>
        <w:pStyle w:val="BodyText"/>
        <w:spacing w:line="451" w:lineRule="auto" w:before="61"/>
        <w:ind w:right="192" w:firstLine="420"/>
        <w:jc w:val="both"/>
      </w:pPr>
      <w:r>
        <w:rPr>
          <w:rFonts w:ascii="Times New Roman" w:hAnsi="Times New Roman" w:cs="Times New Roman" w:eastAsia="Times New Roman" w:hint="default"/>
          <w:spacing w:val="-2"/>
        </w:rPr>
        <w:t>5</w:t>
      </w:r>
      <w:r>
        <w:rPr>
          <w:spacing w:val="-2"/>
        </w:rPr>
        <w:t>、关于绩效评价与激励约束机制：公司逐步建立和完善公正、透明的董事、监事和高级管理人员的绩效评价标准和激</w:t>
      </w:r>
      <w:r>
        <w:rPr/>
        <w:t> 励约束机制，公司高管人员的聘任公开、透明，符合法律法规的规定。</w:t>
      </w:r>
    </w:p>
    <w:p>
      <w:pPr>
        <w:pStyle w:val="BodyText"/>
        <w:spacing w:line="451" w:lineRule="auto" w:before="74"/>
        <w:ind w:right="190" w:firstLine="420"/>
        <w:jc w:val="both"/>
      </w:pPr>
      <w:r>
        <w:rPr>
          <w:rFonts w:ascii="Times New Roman" w:hAnsi="Times New Roman" w:cs="Times New Roman" w:eastAsia="Times New Roman" w:hint="default"/>
          <w:spacing w:val="-2"/>
        </w:rPr>
        <w:t>6</w:t>
      </w:r>
      <w:r>
        <w:rPr>
          <w:spacing w:val="-2"/>
        </w:rPr>
        <w:t>、关于相关利益者：公司能够充分尊重和维护相关利益者的合法权益，积极与相关利益者合作，加强与各方的沟通和</w:t>
      </w:r>
      <w:r>
        <w:rPr/>
        <w:t> 交流，实现股东、员工、社会等各方利益的均衡，以推动公司持续、稳定、健康地发展。</w:t>
      </w:r>
    </w:p>
    <w:p>
      <w:pPr>
        <w:pStyle w:val="BodyText"/>
        <w:spacing w:line="468" w:lineRule="auto" w:before="74"/>
        <w:ind w:right="190" w:firstLine="420"/>
        <w:jc w:val="both"/>
      </w:pPr>
      <w:r>
        <w:rPr>
          <w:rFonts w:ascii="Times New Roman" w:hAnsi="Times New Roman" w:cs="Times New Roman" w:eastAsia="Times New Roman" w:hint="default"/>
          <w:spacing w:val="-2"/>
        </w:rPr>
        <w:t>7</w:t>
      </w:r>
      <w:r>
        <w:rPr>
          <w:spacing w:val="-2"/>
        </w:rPr>
        <w:t>、关于信息披露与透明度：公司严格按照《信息披露管理制度》和《投资者关系管理制度》的要求，指定公司董事会</w:t>
      </w:r>
      <w:r>
        <w:rPr/>
        <w:t> </w:t>
      </w:r>
      <w:r>
        <w:rPr>
          <w:spacing w:val="-2"/>
        </w:rPr>
        <w:t>秘书负责信息披露工作、接待股东来访和咨询，严格按照有关规定真实、准确、完整、及时地披露有关信息，确保公司所有</w:t>
      </w:r>
      <w:r>
        <w:rPr>
          <w:spacing w:val="-70"/>
        </w:rPr>
        <w:t> </w:t>
      </w:r>
      <w:r>
        <w:rPr>
          <w:spacing w:val="-70"/>
        </w:rPr>
      </w:r>
      <w:r>
        <w:rPr>
          <w:spacing w:val="-2"/>
        </w:rPr>
        <w:t>股东能够以平等的机会获得信息。为加大对年报信息披露责任人的问责力度，提高年报信息披露质量和透明度，截至本报告</w:t>
      </w:r>
      <w:r>
        <w:rPr>
          <w:spacing w:val="-63"/>
        </w:rPr>
        <w:t> </w:t>
      </w:r>
      <w:r>
        <w:rPr>
          <w:spacing w:val="-63"/>
        </w:rPr>
      </w:r>
      <w:r>
        <w:rPr/>
        <w:t>出具日，公司已建立年报信息披露重大差错责任追究机制。</w:t>
      </w:r>
    </w:p>
    <w:p>
      <w:pPr>
        <w:spacing w:after="0" w:line="468" w:lineRule="auto"/>
        <w:jc w:val="both"/>
        <w:sectPr>
          <w:pgSz w:w="11910" w:h="16840"/>
          <w:pgMar w:header="850" w:footer="1186" w:top="1440" w:bottom="1380" w:left="980" w:right="9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before="44"/>
        <w:ind w:right="0"/>
        <w:jc w:val="both"/>
      </w:pPr>
      <w:r>
        <w:rPr/>
        <w:t>公司治理专项活动开展情况以及内幕信息知情人登记管理制度的制定、实施情况</w:t>
      </w:r>
    </w:p>
    <w:p>
      <w:pPr>
        <w:spacing w:line="240" w:lineRule="auto" w:before="12"/>
        <w:rPr>
          <w:rFonts w:ascii="宋体" w:hAnsi="宋体" w:cs="宋体" w:eastAsia="宋体" w:hint="default"/>
          <w:sz w:val="20"/>
          <w:szCs w:val="20"/>
        </w:rPr>
      </w:pPr>
    </w:p>
    <w:p>
      <w:pPr>
        <w:pStyle w:val="BodyText"/>
        <w:spacing w:line="458" w:lineRule="auto"/>
        <w:ind w:right="188" w:firstLine="420"/>
        <w:jc w:val="both"/>
      </w:pPr>
      <w:r>
        <w:rPr>
          <w:rFonts w:ascii="Times New Roman" w:hAnsi="Times New Roman" w:cs="Times New Roman" w:eastAsia="Times New Roman" w:hint="default"/>
          <w:spacing w:val="-1"/>
        </w:rPr>
        <w:t>1</w:t>
      </w:r>
      <w:r>
        <w:rPr>
          <w:spacing w:val="-1"/>
        </w:rPr>
        <w:t>、公司治理专项活动：根据中国证监会《关于开展加强上市公司治理专项活动有关事项的通知》</w:t>
      </w:r>
      <w:r>
        <w:rPr>
          <w:rFonts w:ascii="Times New Roman" w:hAnsi="Times New Roman" w:cs="Times New Roman" w:eastAsia="Times New Roman" w:hint="default"/>
          <w:spacing w:val="-1"/>
        </w:rPr>
        <w:t>(</w:t>
      </w:r>
      <w:r>
        <w:rPr>
          <w:spacing w:val="-1"/>
        </w:rPr>
        <w:t>证监公司字</w:t>
      </w:r>
      <w:r>
        <w:rPr>
          <w:rFonts w:ascii="Times New Roman" w:hAnsi="Times New Roman" w:cs="Times New Roman" w:eastAsia="Times New Roman" w:hint="default"/>
          <w:spacing w:val="-1"/>
        </w:rPr>
        <w:t>[2007]28</w:t>
      </w:r>
      <w:r>
        <w:rPr>
          <w:rFonts w:ascii="Times New Roman" w:hAnsi="Times New Roman" w:cs="Times New Roman" w:eastAsia="Times New Roman" w:hint="default"/>
        </w:rPr>
        <w:t> </w:t>
      </w:r>
      <w:r>
        <w:rPr/>
        <w:t>号，以下简称《通知》</w:t>
      </w:r>
      <w:r>
        <w:rPr>
          <w:rFonts w:ascii="Times New Roman" w:hAnsi="Times New Roman" w:cs="Times New Roman" w:eastAsia="Times New Roman" w:hint="default"/>
        </w:rPr>
        <w:t>)</w:t>
      </w:r>
      <w:r>
        <w:rPr/>
        <w:t>、《关于</w:t>
      </w:r>
      <w:r>
        <w:rPr>
          <w:rFonts w:ascii="Times New Roman" w:hAnsi="Times New Roman" w:cs="Times New Roman" w:eastAsia="Times New Roman" w:hint="default"/>
        </w:rPr>
        <w:t>2008</w:t>
      </w:r>
      <w:r>
        <w:rPr/>
        <w:t>年进一步深入推进公司治理专项活动的通知》（上市部函</w:t>
      </w:r>
      <w:r>
        <w:rPr>
          <w:rFonts w:ascii="Times New Roman" w:hAnsi="Times New Roman" w:cs="Times New Roman" w:eastAsia="Times New Roman" w:hint="default"/>
        </w:rPr>
        <w:t>[2008]116</w:t>
      </w:r>
      <w:r>
        <w:rPr/>
        <w:t>号）以及上海证监 </w:t>
      </w:r>
      <w:r>
        <w:rPr>
          <w:spacing w:val="-2"/>
        </w:rPr>
        <w:t>局相关的要求和统一部署，公司本着实事求是的原则，以规范运作、提高公司治理水平为目标，严格对照《公司法》、《证</w:t>
      </w:r>
      <w:r>
        <w:rPr>
          <w:spacing w:val="-64"/>
        </w:rPr>
        <w:t> </w:t>
      </w:r>
      <w:r>
        <w:rPr>
          <w:spacing w:val="-64"/>
        </w:rPr>
      </w:r>
      <w:r>
        <w:rPr/>
        <w:t>券法》等有关法律法规和以及《公司章程》等规章制度，认真开展了上市公司治理专项活动。</w:t>
      </w:r>
    </w:p>
    <w:p>
      <w:pPr>
        <w:pStyle w:val="BodyText"/>
        <w:spacing w:line="477" w:lineRule="auto" w:before="68"/>
        <w:ind w:left="573" w:right="178"/>
        <w:jc w:val="left"/>
      </w:pPr>
      <w:r>
        <w:rPr/>
        <w:t>本次上市公司治理专项活动共分为自查、公众评议和整改提高三个阶段进行： </w:t>
      </w:r>
      <w:r>
        <w:rPr>
          <w:spacing w:val="-1"/>
        </w:rPr>
        <w:t>第一阶段为自查阶段，时间为</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9</w:t>
      </w:r>
      <w:r>
        <w:rPr>
          <w:spacing w:val="-1"/>
        </w:rPr>
        <w:t>月初到</w:t>
      </w:r>
      <w:r>
        <w:rPr>
          <w:rFonts w:ascii="Times New Roman" w:hAnsi="Times New Roman" w:cs="Times New Roman" w:eastAsia="Times New Roman" w:hint="default"/>
          <w:spacing w:val="-1"/>
        </w:rPr>
        <w:t>10</w:t>
      </w:r>
      <w:r>
        <w:rPr>
          <w:spacing w:val="-1"/>
        </w:rPr>
        <w:t>月中旬：对照公司治理有关规定以及自查事项，认真查找本公司治理结</w:t>
      </w:r>
    </w:p>
    <w:p>
      <w:pPr>
        <w:pStyle w:val="BodyText"/>
        <w:spacing w:line="477" w:lineRule="auto" w:before="21"/>
        <w:ind w:right="190"/>
        <w:jc w:val="both"/>
      </w:pPr>
      <w:r>
        <w:rPr>
          <w:spacing w:val="-2"/>
        </w:rPr>
        <w:t>构方面存在的问题和不足，深入分析产生问题的深层次原因，自查应全面客观、实事求是。对查找出的问题要制订明确的整</w:t>
      </w:r>
      <w:r>
        <w:rPr>
          <w:spacing w:val="-63"/>
        </w:rPr>
        <w:t> </w:t>
      </w:r>
      <w:r>
        <w:rPr>
          <w:spacing w:val="-63"/>
        </w:rPr>
      </w:r>
      <w:r>
        <w:rPr>
          <w:spacing w:val="-2"/>
        </w:rPr>
        <w:t>改措施和整改时间表。自查报告和整改计划经董事会讨论通过后，报送上海证监局和深圳证券交易所，并在中国证监会指定</w:t>
      </w:r>
      <w:r>
        <w:rPr>
          <w:spacing w:val="-63"/>
        </w:rPr>
        <w:t> </w:t>
      </w:r>
      <w:r>
        <w:rPr>
          <w:spacing w:val="-63"/>
        </w:rPr>
      </w:r>
      <w:r>
        <w:rPr/>
        <w:t>的互联网网站上予以公布。</w:t>
      </w:r>
    </w:p>
    <w:p>
      <w:pPr>
        <w:pStyle w:val="BodyText"/>
        <w:spacing w:line="451" w:lineRule="auto" w:before="54"/>
        <w:ind w:right="190" w:firstLine="420"/>
        <w:jc w:val="both"/>
      </w:pPr>
      <w:r>
        <w:rPr/>
        <w:t>第二阶段为公众评议阶段，时间为</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月下旬到</w:t>
      </w:r>
      <w:r>
        <w:rPr>
          <w:rFonts w:ascii="Times New Roman" w:hAnsi="Times New Roman" w:cs="Times New Roman" w:eastAsia="Times New Roman" w:hint="default"/>
        </w:rPr>
        <w:t>11</w:t>
      </w:r>
      <w:r>
        <w:rPr/>
        <w:t>月中旬：设立专门的电话和网络平台听取投资者和社会公众的 </w:t>
      </w:r>
      <w:r>
        <w:rPr>
          <w:spacing w:val="-2"/>
        </w:rPr>
        <w:t>意见和建议，此项工作时间不少于</w:t>
      </w:r>
      <w:r>
        <w:rPr>
          <w:rFonts w:ascii="Times New Roman" w:hAnsi="Times New Roman" w:cs="Times New Roman" w:eastAsia="Times New Roman" w:hint="default"/>
          <w:spacing w:val="-2"/>
        </w:rPr>
        <w:t>15</w:t>
      </w:r>
      <w:r>
        <w:rPr>
          <w:spacing w:val="-2"/>
        </w:rPr>
        <w:t>天。之后上海证监局对上市公司治理情况进行全面检查，根据日常监管情况、公司自查</w:t>
      </w:r>
      <w:r>
        <w:rPr>
          <w:spacing w:val="-62"/>
        </w:rPr>
        <w:t> </w:t>
      </w:r>
      <w:r>
        <w:rPr>
          <w:spacing w:val="-62"/>
        </w:rPr>
      </w:r>
      <w:r>
        <w:rPr/>
        <w:t>情况、检查情况和社会公众评议情况对各上市公司的治理状况进行综合评价，并提出整改建议。</w:t>
      </w:r>
    </w:p>
    <w:p>
      <w:pPr>
        <w:pStyle w:val="BodyText"/>
        <w:spacing w:line="458" w:lineRule="auto" w:before="74"/>
        <w:ind w:right="191" w:firstLine="420"/>
        <w:jc w:val="both"/>
      </w:pPr>
      <w:r>
        <w:rPr/>
        <w:t>第三阶段为整改提高阶段，时间为</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月下旬：根据上海证监局和深圳证券交易所提出的整改建议和投资者、社 </w:t>
      </w:r>
      <w:r>
        <w:rPr>
          <w:spacing w:val="-2"/>
        </w:rPr>
        <w:t>会公众提出的意见建议落实整改责任，切实进行整改，提高治理水平。整改报告经董事会讨论通过后，报送上海证监局和深</w:t>
      </w:r>
      <w:r>
        <w:rPr>
          <w:spacing w:val="-64"/>
        </w:rPr>
        <w:t> </w:t>
      </w:r>
      <w:r>
        <w:rPr>
          <w:spacing w:val="-64"/>
        </w:rPr>
      </w:r>
      <w:r>
        <w:rPr>
          <w:spacing w:val="-3"/>
        </w:rPr>
        <w:t>圳证券交易所，并已于</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19</w:t>
      </w:r>
      <w:r>
        <w:rPr>
          <w:spacing w:val="-3"/>
        </w:rPr>
        <w:t>日刊登在深圳证券交易所指定网站（</w:t>
      </w:r>
      <w:hyperlink r:id="rId10">
        <w:r>
          <w:rPr>
            <w:rFonts w:ascii="Times New Roman" w:hAnsi="Times New Roman" w:cs="Times New Roman" w:eastAsia="Times New Roman" w:hint="default"/>
            <w:spacing w:val="-3"/>
          </w:rPr>
          <w:t>http://www.cninfo.com.cn</w:t>
        </w:r>
      </w:hyperlink>
      <w:r>
        <w:rPr>
          <w:spacing w:val="-3"/>
        </w:rPr>
        <w:t>）及《上海证券报》、《证</w:t>
      </w:r>
      <w:r>
        <w:rPr>
          <w:spacing w:val="-65"/>
        </w:rPr>
        <w:t> </w:t>
      </w:r>
      <w:r>
        <w:rPr>
          <w:spacing w:val="-65"/>
        </w:rPr>
      </w:r>
      <w:r>
        <w:rPr/>
        <w:t>券时报》上。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3"/>
          <w:szCs w:val="23"/>
        </w:rPr>
      </w:pPr>
    </w:p>
    <w:p>
      <w:pPr>
        <w:pStyle w:val="BodyText"/>
        <w:spacing w:line="470" w:lineRule="auto"/>
        <w:ind w:right="94" w:firstLine="420"/>
        <w:jc w:val="left"/>
      </w:pPr>
      <w:r>
        <w:rPr>
          <w:rFonts w:ascii="Times New Roman" w:hAnsi="Times New Roman" w:cs="Times New Roman" w:eastAsia="Times New Roman" w:hint="default"/>
        </w:rPr>
        <w:t>2</w:t>
      </w:r>
      <w:r>
        <w:rPr/>
        <w:t>、内幕信息知情人登记管理制度的制定、实施情况：公司于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月召开董事会一届二十次会议，审议修订了《上 </w:t>
      </w:r>
      <w:r>
        <w:rPr>
          <w:spacing w:val="-2"/>
        </w:rPr>
        <w:t>海美特斯邦威服饰股份有限公司信息披露管理制度》，本次修订增加了第七章《内幕信息知情人管理制度》。公司严格按照</w:t>
      </w:r>
      <w:r>
        <w:rPr>
          <w:spacing w:val="-67"/>
        </w:rPr>
        <w:t> </w:t>
      </w:r>
      <w:r>
        <w:rPr>
          <w:spacing w:val="-67"/>
        </w:rPr>
      </w:r>
      <w:r>
        <w:rPr>
          <w:spacing w:val="-2"/>
        </w:rPr>
        <w:t>上述管理制度的规定，做好内幕信息知情人信息登记，定期对内幕信息知情人进行教育培训，严格约束其行为，防范泄露内</w:t>
      </w:r>
      <w:r>
        <w:rPr>
          <w:spacing w:val="-64"/>
        </w:rPr>
        <w:t> </w:t>
      </w:r>
      <w:r>
        <w:rPr>
          <w:spacing w:val="-64"/>
        </w:rPr>
      </w:r>
      <w:r>
        <w:rPr/>
        <w:t>幕信息及利用内幕信息交易等行为。报告期内公司未发现内幕信息知情人买卖本公司股票及其衍生品种的情况。报告期内， 公司及相关人员均无因内幕信息知情人登记管理制度执行或涉嫌内幕交易是否被监管部门采取监管措施及行政处罚的情况。</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pStyle w:val="BodyText"/>
        <w:spacing w:line="240" w:lineRule="auto"/>
        <w:ind w:left="573" w:right="0"/>
        <w:jc w:val="left"/>
      </w:pPr>
      <w:r>
        <w:rPr>
          <w:rFonts w:ascii="Times New Roman" w:hAnsi="Times New Roman" w:cs="Times New Roman" w:eastAsia="Times New Roman" w:hint="default"/>
        </w:rPr>
        <w:t>3</w:t>
      </w:r>
      <w:r>
        <w:rPr/>
        <w:t>、关于上述活动的情况公司已经进行了披露，具体情况请参见深圳证券交所网站及巨潮资讯网。</w:t>
      </w:r>
    </w:p>
    <w:p>
      <w:pPr>
        <w:spacing w:after="0" w:line="240" w:lineRule="auto"/>
        <w:jc w:val="left"/>
        <w:sectPr>
          <w:pgSz w:w="11910" w:h="16840"/>
          <w:pgMar w:header="850" w:footer="1186" w:top="1440" w:bottom="1380" w:left="980" w:right="9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52"/>
        <w:gridCol w:w="1558"/>
        <w:gridCol w:w="3263"/>
        <w:gridCol w:w="1133"/>
        <w:gridCol w:w="1561"/>
        <w:gridCol w:w="1202"/>
      </w:tblGrid>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467"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300" w:lineRule="auto"/>
              <w:ind w:left="24"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 股东大会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年度董事会工作报</w:t>
            </w:r>
            <w:r>
              <w:rPr>
                <w:rFonts w:ascii="宋体" w:hAnsi="宋体" w:cs="宋体" w:eastAsia="宋体" w:hint="default"/>
                <w:spacing w:val="-3"/>
                <w:sz w:val="18"/>
                <w:szCs w:val="18"/>
              </w:rPr>
              <w:t>告</w:t>
            </w:r>
            <w:r>
              <w:rPr>
                <w:rFonts w:ascii="宋体" w:hAnsi="宋体" w:cs="宋体" w:eastAsia="宋体" w:hint="default"/>
                <w:sz w:val="18"/>
                <w:szCs w:val="18"/>
              </w:rPr>
              <w:t>》</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年度监事会工作报</w:t>
            </w:r>
            <w:r>
              <w:rPr>
                <w:rFonts w:ascii="宋体" w:hAnsi="宋体" w:cs="宋体" w:eastAsia="宋体" w:hint="default"/>
                <w:spacing w:val="-3"/>
                <w:sz w:val="18"/>
                <w:szCs w:val="18"/>
              </w:rPr>
              <w:t>告</w:t>
            </w:r>
            <w:r>
              <w:rPr>
                <w:rFonts w:ascii="宋体" w:hAnsi="宋体" w:cs="宋体" w:eastAsia="宋体" w:hint="default"/>
                <w:sz w:val="18"/>
                <w:szCs w:val="18"/>
              </w:rPr>
              <w:t>》</w:t>
            </w:r>
          </w:p>
          <w:p>
            <w:pPr>
              <w:pStyle w:val="TableParagraph"/>
              <w:spacing w:line="300" w:lineRule="auto" w:before="103"/>
              <w:ind w:left="24" w:right="22"/>
              <w:jc w:val="left"/>
              <w:rPr>
                <w:rFonts w:ascii="宋体" w:hAnsi="宋体" w:cs="宋体" w:eastAsia="宋体" w:hint="default"/>
                <w:sz w:val="18"/>
                <w:szCs w:val="18"/>
              </w:rPr>
            </w:pPr>
            <w:r>
              <w:rPr>
                <w:rFonts w:ascii="Times New Roman" w:hAnsi="Times New Roman" w:cs="Times New Roman" w:eastAsia="Times New Roman" w:hint="default"/>
                <w:spacing w:val="-25"/>
                <w:sz w:val="18"/>
                <w:szCs w:val="18"/>
              </w:rPr>
              <w:t>3</w:t>
            </w:r>
            <w:r>
              <w:rPr>
                <w:rFonts w:ascii="宋体" w:hAnsi="宋体" w:cs="宋体" w:eastAsia="宋体" w:hint="default"/>
                <w:spacing w:val="-25"/>
                <w:sz w:val="18"/>
                <w:szCs w:val="18"/>
              </w:rPr>
              <w:t>、《</w:t>
            </w:r>
            <w:r>
              <w:rPr>
                <w:rFonts w:ascii="Times New Roman" w:hAnsi="Times New Roman" w:cs="Times New Roman" w:eastAsia="Times New Roman" w:hint="default"/>
                <w:spacing w:val="-25"/>
                <w:sz w:val="18"/>
                <w:szCs w:val="18"/>
              </w:rPr>
              <w:t>2011</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年度募集资金使用情况的专项报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w:t>
            </w:r>
          </w:p>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年度财务决算报告》</w:t>
            </w:r>
          </w:p>
          <w:p>
            <w:pPr>
              <w:pStyle w:val="TableParagraph"/>
              <w:spacing w:line="300" w:lineRule="auto" w:before="104"/>
              <w:ind w:left="24" w:right="87"/>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5</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年年度报告》及《</w:t>
            </w:r>
            <w:r>
              <w:rPr>
                <w:rFonts w:ascii="Times New Roman" w:hAnsi="Times New Roman" w:cs="Times New Roman" w:eastAsia="Times New Roman" w:hint="default"/>
                <w:spacing w:val="-1"/>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 报告摘要》</w:t>
            </w:r>
          </w:p>
          <w:p>
            <w:pPr>
              <w:pStyle w:val="TableParagraph"/>
              <w:spacing w:line="300" w:lineRule="auto" w:before="72"/>
              <w:ind w:left="24" w:right="75"/>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6</w:t>
            </w:r>
            <w:r>
              <w:rPr>
                <w:rFonts w:ascii="宋体" w:hAnsi="宋体" w:cs="宋体" w:eastAsia="宋体" w:hint="default"/>
                <w:spacing w:val="-13"/>
                <w:sz w:val="18"/>
                <w:szCs w:val="18"/>
              </w:rPr>
              <w:t>、《关于公司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年度日常关联交易的</w:t>
            </w:r>
            <w:r>
              <w:rPr>
                <w:rFonts w:ascii="宋体" w:hAnsi="宋体" w:cs="宋体" w:eastAsia="宋体" w:hint="default"/>
                <w:sz w:val="18"/>
                <w:szCs w:val="18"/>
              </w:rPr>
              <w:t> 议案》</w:t>
            </w:r>
          </w:p>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7</w:t>
            </w:r>
            <w:r>
              <w:rPr>
                <w:rFonts w:ascii="宋体" w:hAnsi="宋体" w:cs="宋体" w:eastAsia="宋体" w:hint="default"/>
                <w:spacing w:val="-92"/>
                <w:sz w:val="18"/>
                <w:szCs w:val="18"/>
              </w:rPr>
              <w:t>、</w:t>
            </w:r>
            <w:r>
              <w:rPr>
                <w:rFonts w:ascii="宋体" w:hAnsi="宋体" w:cs="宋体" w:eastAsia="宋体" w:hint="default"/>
                <w:sz w:val="18"/>
                <w:szCs w:val="18"/>
              </w:rPr>
              <w:t>《关于续聘会计师事务所的议案》</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年度利润分配预案</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9</w:t>
            </w:r>
            <w:r>
              <w:rPr>
                <w:rFonts w:ascii="宋体" w:hAnsi="宋体" w:cs="宋体" w:eastAsia="宋体" w:hint="default"/>
                <w:spacing w:val="-92"/>
                <w:sz w:val="18"/>
                <w:szCs w:val="18"/>
              </w:rPr>
              <w:t>、</w:t>
            </w:r>
            <w:r>
              <w:rPr>
                <w:rFonts w:ascii="宋体" w:hAnsi="宋体" w:cs="宋体" w:eastAsia="宋体" w:hint="default"/>
                <w:sz w:val="18"/>
                <w:szCs w:val="18"/>
              </w:rPr>
              <w:t>《关于</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年度授信规模的议案》</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10</w:t>
            </w:r>
            <w:r>
              <w:rPr>
                <w:rFonts w:ascii="宋体" w:hAnsi="宋体" w:cs="宋体" w:eastAsia="宋体" w:hint="default"/>
                <w:spacing w:val="-92"/>
                <w:sz w:val="18"/>
                <w:szCs w:val="18"/>
              </w:rPr>
              <w:t>、</w:t>
            </w:r>
            <w:r>
              <w:rPr>
                <w:rFonts w:ascii="宋体" w:hAnsi="宋体" w:cs="宋体" w:eastAsia="宋体" w:hint="default"/>
                <w:sz w:val="18"/>
                <w:szCs w:val="18"/>
              </w:rPr>
              <w:t>《关于续发短期融资券的议案》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316" w:lineRule="auto"/>
              <w:ind w:left="24" w:right="197"/>
              <w:jc w:val="left"/>
              <w:rPr>
                <w:rFonts w:ascii="宋体" w:hAnsi="宋体" w:cs="宋体" w:eastAsia="宋体" w:hint="default"/>
                <w:sz w:val="18"/>
                <w:szCs w:val="18"/>
              </w:rPr>
            </w:pPr>
            <w:r>
              <w:rPr>
                <w:rFonts w:ascii="宋体" w:hAnsi="宋体" w:cs="宋体" w:eastAsia="宋体" w:hint="default"/>
                <w:sz w:val="18"/>
                <w:szCs w:val="18"/>
              </w:rPr>
              <w:t>经审议全部 通过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G20120517001</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84"/>
        <w:gridCol w:w="1656"/>
        <w:gridCol w:w="2991"/>
        <w:gridCol w:w="992"/>
        <w:gridCol w:w="1702"/>
        <w:gridCol w:w="1277"/>
      </w:tblGrid>
      <w:tr>
        <w:trPr>
          <w:trHeight w:val="404" w:hRule="exact"/>
        </w:trPr>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30"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一次临时 股东大会</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《关于修改</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4" w:right="55"/>
              <w:jc w:val="left"/>
              <w:rPr>
                <w:rFonts w:ascii="宋体" w:hAnsi="宋体" w:cs="宋体" w:eastAsia="宋体" w:hint="default"/>
                <w:sz w:val="18"/>
                <w:szCs w:val="18"/>
              </w:rPr>
            </w:pPr>
            <w:r>
              <w:rPr>
                <w:rFonts w:ascii="宋体" w:hAnsi="宋体" w:cs="宋体" w:eastAsia="宋体" w:hint="default"/>
                <w:sz w:val="18"/>
                <w:szCs w:val="18"/>
              </w:rPr>
              <w:t>经审议通过 该议案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6"/>
              <w:ind w:left="24" w:right="0"/>
              <w:jc w:val="left"/>
              <w:rPr>
                <w:rFonts w:ascii="Times New Roman" w:hAnsi="Times New Roman" w:cs="Times New Roman" w:eastAsia="Times New Roman" w:hint="default"/>
                <w:sz w:val="18"/>
                <w:szCs w:val="18"/>
              </w:rPr>
            </w:pPr>
            <w:r>
              <w:rPr>
                <w:rFonts w:ascii="Times New Roman"/>
                <w:sz w:val="18"/>
              </w:rPr>
              <w:t>G20120829001</w:t>
            </w:r>
          </w:p>
        </w:tc>
      </w:tr>
      <w:tr>
        <w:trPr>
          <w:trHeight w:val="1378" w:hRule="exact"/>
        </w:trPr>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309" w:lineRule="auto"/>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二次临时 股东大会</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《关于发行公司债券的议案</w:t>
            </w:r>
            <w:r>
              <w:rPr>
                <w:rFonts w:ascii="宋体" w:hAnsi="宋体" w:cs="宋体" w:eastAsia="宋体" w:hint="default"/>
                <w:spacing w:val="-89"/>
                <w:sz w:val="18"/>
                <w:szCs w:val="18"/>
              </w:rPr>
              <w:t>》</w:t>
            </w:r>
            <w:r>
              <w:rPr>
                <w:rFonts w:ascii="宋体" w:hAnsi="宋体" w:cs="宋体" w:eastAsia="宋体" w:hint="default"/>
                <w:sz w:val="18"/>
                <w:szCs w:val="18"/>
              </w:rPr>
              <w:t>；</w:t>
            </w:r>
          </w:p>
          <w:p>
            <w:pPr>
              <w:pStyle w:val="TableParagraph"/>
              <w:spacing w:line="309" w:lineRule="auto" w:before="101"/>
              <w:ind w:left="23" w:right="74"/>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、《关于提请股东大会授权董事会或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董事会授权人士全权办理本次发行公 司债券相关事宜的议案》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44"/>
              <w:ind w:left="24" w:right="55"/>
              <w:jc w:val="left"/>
              <w:rPr>
                <w:rFonts w:ascii="宋体" w:hAnsi="宋体" w:cs="宋体" w:eastAsia="宋体" w:hint="default"/>
                <w:sz w:val="18"/>
                <w:szCs w:val="18"/>
              </w:rPr>
            </w:pPr>
            <w:r>
              <w:rPr>
                <w:rFonts w:ascii="宋体" w:hAnsi="宋体" w:cs="宋体" w:eastAsia="宋体" w:hint="default"/>
                <w:sz w:val="18"/>
                <w:szCs w:val="18"/>
              </w:rPr>
              <w:t>经审议全部 通过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G20121012001</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3"/>
        <w:gridCol w:w="1325"/>
        <w:gridCol w:w="1325"/>
        <w:gridCol w:w="1322"/>
        <w:gridCol w:w="1325"/>
        <w:gridCol w:w="1325"/>
      </w:tblGrid>
      <w:tr>
        <w:trPr>
          <w:trHeight w:val="403"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石</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0" w:footer="1186" w:top="1440" w:bottom="1380" w:left="980" w:right="980"/>
        </w:sectPr>
      </w:pPr>
    </w:p>
    <w:p>
      <w:pPr>
        <w:spacing w:line="240" w:lineRule="auto" w:before="6"/>
        <w:rPr>
          <w:rFonts w:ascii="宋体" w:hAnsi="宋体" w:cs="宋体" w:eastAsia="宋体"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16" w:hRule="exact"/>
        </w:trPr>
        <w:tc>
          <w:tcPr>
            <w:tcW w:w="162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吕红兵</w:t>
            </w:r>
          </w:p>
        </w:tc>
        <w:tc>
          <w:tcPr>
            <w:tcW w:w="132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薛云奎</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3"/>
        <w:rPr>
          <w:rFonts w:ascii="宋体" w:hAnsi="宋体" w:cs="宋体" w:eastAsia="宋体" w:hint="default"/>
          <w:b/>
          <w:bCs/>
          <w:sz w:val="19"/>
          <w:szCs w:val="19"/>
        </w:rPr>
      </w:pPr>
    </w:p>
    <w:p>
      <w:pPr>
        <w:pStyle w:val="Heading4"/>
        <w:spacing w:line="240" w:lineRule="auto" w:before="36"/>
        <w:ind w:left="112"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672" w:right="0"/>
        <w:jc w:val="left"/>
      </w:pPr>
      <w:r>
        <w:rPr/>
        <w:t>报告期内独立董事对公司有关事项未提出异议。</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4"/>
        <w:spacing w:line="240" w:lineRule="auto"/>
        <w:ind w:left="112"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left="112" w:right="110" w:firstLine="559"/>
        <w:jc w:val="both"/>
      </w:pPr>
      <w:r>
        <w:rPr/>
        <w:t>公司独立董事王石先生、吕红兵先生和薛云奎先生，严格按照有关法律、法规及公司《章程》的规定履行职责，按 </w:t>
      </w:r>
      <w:r>
        <w:rPr>
          <w:spacing w:val="-2"/>
        </w:rPr>
        <w:t>时亲自以现场或通讯方式参加了全部董事会会议，认真审议各项议案，客观的发表自己的看法及观点，并利用自己的专业知</w:t>
      </w:r>
      <w:r>
        <w:rPr>
          <w:spacing w:val="-63"/>
        </w:rPr>
        <w:t> </w:t>
      </w:r>
      <w:r>
        <w:rPr>
          <w:spacing w:val="-63"/>
        </w:rPr>
      </w:r>
      <w:r>
        <w:rPr>
          <w:spacing w:val="-2"/>
        </w:rPr>
        <w:t>识做出独立、公正的判断。同时各位独立董事还深入公司现场调查，了解公司经营状况和内部控制的建设及董事会决议执行</w:t>
      </w:r>
      <w:r>
        <w:rPr>
          <w:spacing w:val="-66"/>
        </w:rPr>
        <w:t> </w:t>
      </w:r>
      <w:r>
        <w:rPr>
          <w:spacing w:val="-66"/>
        </w:rPr>
      </w:r>
      <w:r>
        <w:rPr/>
        <w:t>情况，为公司经营和发展提出了合理化的意见和建议。</w:t>
      </w:r>
    </w:p>
    <w:p>
      <w:pPr>
        <w:spacing w:line="240" w:lineRule="auto" w:before="7"/>
        <w:rPr>
          <w:rFonts w:ascii="宋体" w:hAnsi="宋体" w:cs="宋体" w:eastAsia="宋体" w:hint="default"/>
          <w:sz w:val="17"/>
          <w:szCs w:val="17"/>
        </w:rPr>
      </w:pPr>
    </w:p>
    <w:p>
      <w:pPr>
        <w:pStyle w:val="Heading2"/>
        <w:spacing w:line="240" w:lineRule="auto" w:before="0"/>
        <w:ind w:left="112" w:right="0"/>
        <w:jc w:val="left"/>
        <w:rPr>
          <w:b w:val="0"/>
          <w:bCs w:val="0"/>
        </w:rPr>
      </w:pPr>
      <w:r>
        <w:rPr/>
        <w:t>四、董事会下设专门委员会在报告期内履行职责情况</w:t>
      </w:r>
      <w:r>
        <w:rPr>
          <w:b w:val="0"/>
          <w:bCs w:val="0"/>
        </w:rPr>
      </w:r>
    </w:p>
    <w:p>
      <w:pPr>
        <w:spacing w:line="240" w:lineRule="auto" w:before="7"/>
        <w:rPr>
          <w:rFonts w:ascii="宋体" w:hAnsi="宋体" w:cs="宋体" w:eastAsia="宋体" w:hint="default"/>
          <w:b/>
          <w:bCs/>
          <w:sz w:val="32"/>
          <w:szCs w:val="32"/>
        </w:rPr>
      </w:pPr>
    </w:p>
    <w:p>
      <w:pPr>
        <w:pStyle w:val="BodyText"/>
        <w:spacing w:line="470" w:lineRule="auto"/>
        <w:ind w:left="112" w:right="110" w:firstLine="559"/>
        <w:jc w:val="both"/>
      </w:pPr>
      <w:r>
        <w:rPr>
          <w:rFonts w:ascii="Times New Roman" w:hAnsi="Times New Roman" w:cs="Times New Roman" w:eastAsia="Times New Roman" w:hint="default"/>
          <w:spacing w:val="-1"/>
        </w:rPr>
        <w:t>1</w:t>
      </w:r>
      <w:r>
        <w:rPr>
          <w:spacing w:val="-1"/>
        </w:rPr>
        <w:t>、公司董事会审计委员会在公司年审注册会计师进场前审阅了公司编制的财务会计报表，认为财务会计报表基本能</w:t>
      </w:r>
      <w:r>
        <w:rPr/>
        <w:t> </w:t>
      </w:r>
      <w:r>
        <w:rPr>
          <w:spacing w:val="-2"/>
        </w:rPr>
        <w:t>够反映公司的财务状况和经营成果。年审注册会计师进场前，审计委员会与会计师事务所共同协商确定了公司本年度财务报</w:t>
      </w:r>
      <w:r>
        <w:rPr>
          <w:spacing w:val="-64"/>
        </w:rPr>
        <w:t> </w:t>
      </w:r>
      <w:r>
        <w:rPr>
          <w:spacing w:val="-64"/>
        </w:rPr>
      </w:r>
      <w:r>
        <w:rPr>
          <w:spacing w:val="-2"/>
        </w:rPr>
        <w:t>告审计工作的时间安排，并不断加强与年审会计师的沟通，督促其在约定时限内提交审计报告。在年审注册会计师出具初步</w:t>
      </w:r>
      <w:r>
        <w:rPr>
          <w:spacing w:val="-63"/>
        </w:rPr>
        <w:t> </w:t>
      </w:r>
      <w:r>
        <w:rPr>
          <w:spacing w:val="-63"/>
        </w:rPr>
      </w:r>
      <w:r>
        <w:rPr>
          <w:spacing w:val="-2"/>
        </w:rPr>
        <w:t>审计意见后审计委员会又一次审阅了公司财务会计报表，认为公司财务会计报表真实、准确、完整的反映了公司的财务状况</w:t>
      </w:r>
      <w:r>
        <w:rPr>
          <w:spacing w:val="-63"/>
        </w:rPr>
        <w:t> </w:t>
      </w:r>
      <w:r>
        <w:rPr>
          <w:spacing w:val="-63"/>
        </w:rPr>
      </w:r>
      <w:r>
        <w:rPr/>
        <w:t>和经营成果。</w:t>
      </w:r>
    </w:p>
    <w:p>
      <w:pPr>
        <w:pStyle w:val="BodyText"/>
        <w:spacing w:line="451" w:lineRule="auto" w:before="59"/>
        <w:ind w:left="112" w:right="115" w:firstLine="559"/>
        <w:jc w:val="both"/>
      </w:pPr>
      <w:r>
        <w:rPr/>
        <w:t>按照监管机构关于</w:t>
      </w:r>
      <w:r>
        <w:rPr>
          <w:rFonts w:ascii="Times New Roman" w:hAnsi="Times New Roman" w:cs="Times New Roman" w:eastAsia="Times New Roman" w:hint="default"/>
        </w:rPr>
        <w:t>2012</w:t>
      </w:r>
      <w:r>
        <w:rPr/>
        <w:t>年报审计工作的要求，公司董事会审计委员会在年报审计过程中加强了与公司年审注册会计 师之间关于审计工作的沟通。</w:t>
      </w:r>
    </w:p>
    <w:p>
      <w:pPr>
        <w:pStyle w:val="BodyText"/>
        <w:spacing w:line="463" w:lineRule="auto" w:before="74"/>
        <w:ind w:left="112" w:right="111" w:firstLine="559"/>
        <w:jc w:val="both"/>
      </w:pPr>
      <w:r>
        <w:rPr>
          <w:spacing w:val="-1"/>
        </w:rPr>
        <w:t>在</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w:t>
      </w:r>
      <w:r>
        <w:rPr>
          <w:spacing w:val="-1"/>
        </w:rPr>
        <w:t>月份，公司董事会审计委员会就</w:t>
      </w:r>
      <w:r>
        <w:rPr>
          <w:rFonts w:ascii="Times New Roman" w:hAnsi="Times New Roman" w:cs="Times New Roman" w:eastAsia="Times New Roman" w:hint="default"/>
          <w:spacing w:val="-1"/>
        </w:rPr>
        <w:t>2012</w:t>
      </w:r>
      <w:r>
        <w:rPr>
          <w:spacing w:val="-1"/>
        </w:rPr>
        <w:t>年报审计具体工作过程与公司年审注册会计师安永华明会计师事务所</w:t>
      </w:r>
      <w:r>
        <w:rPr/>
        <w:t> </w:t>
      </w:r>
      <w:r>
        <w:rPr>
          <w:spacing w:val="-2"/>
        </w:rPr>
        <w:t>进行过多次沟通，分别就年报审计中需要注意点提出要求，分别就存货跌价准备的计提、电子商务业务调整、预计负债的初</w:t>
      </w:r>
      <w:r>
        <w:rPr>
          <w:spacing w:val="-65"/>
        </w:rPr>
        <w:t> </w:t>
      </w:r>
      <w:r>
        <w:rPr>
          <w:spacing w:val="-65"/>
        </w:rPr>
      </w:r>
      <w:r>
        <w:rPr/>
        <w:t>始确认和计量等方面进行了沟通。</w:t>
      </w:r>
    </w:p>
    <w:p>
      <w:pPr>
        <w:pStyle w:val="BodyText"/>
        <w:spacing w:line="477" w:lineRule="auto" w:before="65"/>
        <w:ind w:left="112" w:right="109" w:firstLine="559"/>
        <w:jc w:val="both"/>
      </w:pPr>
      <w:r>
        <w:rPr/>
        <w:t>安永华明会计师事务所在进驻公司进行现场审计后，公司董事会审计委员会在审计过程中也与对方保持了持续不断 </w:t>
      </w:r>
      <w:r>
        <w:rPr>
          <w:spacing w:val="-2"/>
        </w:rPr>
        <w:t>的沟通。除了不定期的口头沟通外，审计委员会还约定每两周与安永华明会计师事务所进行正式的会议沟通，参加人员分别</w:t>
      </w:r>
      <w:r>
        <w:rPr>
          <w:spacing w:val="-62"/>
        </w:rPr>
        <w:t> </w:t>
      </w:r>
      <w:r>
        <w:rPr>
          <w:spacing w:val="-62"/>
        </w:rPr>
      </w:r>
      <w:r>
        <w:rPr>
          <w:spacing w:val="-2"/>
        </w:rPr>
        <w:t>为公司审计委员会、财务管理中心相关人员，以及安永审计人员。按照上述工作规则，审计委员会共与安永华明会计师事务</w:t>
      </w:r>
      <w:r>
        <w:rPr>
          <w:spacing w:val="-64"/>
        </w:rPr>
        <w:t> </w:t>
      </w:r>
      <w:r>
        <w:rPr>
          <w:spacing w:val="-64"/>
        </w:rPr>
      </w:r>
      <w:r>
        <w:rPr/>
        <w:t>所在审计过程中共沟通了四次，分别就审计工作的进展以及其中的相关问题交换了意见。</w:t>
      </w:r>
    </w:p>
    <w:p>
      <w:pPr>
        <w:pStyle w:val="BodyText"/>
        <w:spacing w:line="451" w:lineRule="auto" w:before="54"/>
        <w:ind w:left="112" w:right="110" w:firstLine="559"/>
        <w:jc w:val="both"/>
      </w:pPr>
      <w:r>
        <w:rPr/>
        <w:t>董事会审计委员会向公司董事会提交的关于续聘会计师事务所相关事项的总结意见以及对</w:t>
      </w:r>
      <w:r>
        <w:rPr>
          <w:rFonts w:ascii="Times New Roman" w:hAnsi="Times New Roman" w:cs="Times New Roman" w:eastAsia="Times New Roman" w:hint="default"/>
        </w:rPr>
        <w:t>2012</w:t>
      </w:r>
      <w:r>
        <w:rPr/>
        <w:t>年度续聘或改聘会计 师事务所的决议书如下：</w:t>
      </w:r>
    </w:p>
    <w:p>
      <w:pPr>
        <w:spacing w:after="0" w:line="451" w:lineRule="auto"/>
        <w:jc w:val="both"/>
        <w:sectPr>
          <w:pgSz w:w="11910" w:h="16840"/>
          <w:pgMar w:header="850" w:footer="1186" w:top="1440" w:bottom="138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468" w:lineRule="auto" w:before="81"/>
        <w:ind w:right="94" w:firstLine="559"/>
        <w:jc w:val="left"/>
      </w:pPr>
      <w:r>
        <w:rPr/>
        <w:t>安永华明会计师事务所对上海美特斯邦威服饰股份有限公司</w:t>
      </w:r>
      <w:r>
        <w:rPr>
          <w:rFonts w:ascii="Times New Roman" w:hAnsi="Times New Roman" w:cs="Times New Roman" w:eastAsia="Times New Roman" w:hint="default"/>
        </w:rPr>
        <w:t>2012</w:t>
      </w:r>
      <w:r>
        <w:rPr/>
        <w:t>年度的财务报告进行了审计。内容主要是对公司年 度经营情况报告（资产负债表、利润表、股东权益变动表、现金流量表以及财务报表应收账款）进行审计并发表审计意见。 </w:t>
      </w:r>
      <w:r>
        <w:rPr>
          <w:spacing w:val="-2"/>
        </w:rPr>
        <w:t>年度审计结束后，安永华明对公司的年度审计结论以书面方式出具了无保留意见的审计报告。在安永华明审计期间，公司审</w:t>
      </w:r>
      <w:r>
        <w:rPr>
          <w:spacing w:val="-66"/>
        </w:rPr>
        <w:t> </w:t>
      </w:r>
      <w:r>
        <w:rPr>
          <w:spacing w:val="-66"/>
        </w:rPr>
      </w:r>
      <w:r>
        <w:rPr/>
        <w:t>计委员会和内部审计部门人员进行了跟踪配合，现将安永华明本年度的审计情况作如下评价：</w:t>
      </w:r>
    </w:p>
    <w:p>
      <w:pPr>
        <w:pStyle w:val="BodyText"/>
        <w:spacing w:line="231" w:lineRule="exact"/>
        <w:ind w:left="198" w:right="0"/>
        <w:jc w:val="both"/>
      </w:pPr>
      <w:r>
        <w:rPr/>
        <w:t>（</w:t>
      </w:r>
      <w:r>
        <w:rPr>
          <w:rFonts w:ascii="Times New Roman" w:hAnsi="Times New Roman" w:cs="Times New Roman" w:eastAsia="Times New Roman" w:hint="default"/>
        </w:rPr>
        <w:t>1</w:t>
      </w:r>
      <w:r>
        <w:rPr/>
        <w:t>）基本情况</w:t>
      </w:r>
    </w:p>
    <w:p>
      <w:pPr>
        <w:pStyle w:val="BodyText"/>
        <w:spacing w:line="477" w:lineRule="auto" w:before="142"/>
        <w:ind w:right="0" w:firstLine="559"/>
        <w:jc w:val="left"/>
      </w:pPr>
      <w:r>
        <w:rPr/>
        <w:t>安永华明与公司董事会、监事会和高管层进行了必要的沟通，在对公司内部控制等情况充分了解的基础上，安永华 明与公司签订了《审计业务约定书》。</w:t>
      </w:r>
    </w:p>
    <w:p>
      <w:pPr>
        <w:pStyle w:val="BodyText"/>
        <w:spacing w:line="451" w:lineRule="auto" w:before="54"/>
        <w:ind w:right="0" w:firstLine="559"/>
        <w:jc w:val="left"/>
      </w:pPr>
      <w:r>
        <w:rPr/>
        <w:t>安永华明于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日进入上海美特斯邦威服饰股份有限公司开始进行年度终审的。审计过程中，审计小组完成 了所有审计程序，取得了充分适当的审计证据，并就审计中的一些问题与公司审计委员会进行了充分的沟通。</w:t>
      </w:r>
    </w:p>
    <w:p>
      <w:pPr>
        <w:pStyle w:val="BodyText"/>
        <w:spacing w:line="240" w:lineRule="auto" w:before="74"/>
        <w:ind w:right="0"/>
        <w:jc w:val="both"/>
      </w:pPr>
      <w:r>
        <w:rPr/>
        <w:t>（</w:t>
      </w:r>
      <w:r>
        <w:rPr>
          <w:rFonts w:ascii="Times New Roman" w:hAnsi="Times New Roman" w:cs="Times New Roman" w:eastAsia="Times New Roman" w:hint="default"/>
        </w:rPr>
        <w:t>2</w:t>
      </w:r>
      <w:r>
        <w:rPr/>
        <w:t>）安永华明执行年审的会计师遵守职业道德基本原则的情况</w:t>
      </w:r>
    </w:p>
    <w:p>
      <w:pPr>
        <w:spacing w:line="240" w:lineRule="auto" w:before="9"/>
        <w:rPr>
          <w:rFonts w:ascii="宋体" w:hAnsi="宋体" w:cs="宋体" w:eastAsia="宋体" w:hint="default"/>
          <w:sz w:val="16"/>
          <w:szCs w:val="16"/>
        </w:rPr>
      </w:pPr>
    </w:p>
    <w:p>
      <w:pPr>
        <w:pStyle w:val="BodyText"/>
        <w:spacing w:line="477" w:lineRule="auto"/>
        <w:ind w:left="515" w:right="0"/>
        <w:jc w:val="left"/>
      </w:pPr>
      <w:r>
        <w:rPr/>
        <w:t>①独立性评价 </w:t>
      </w:r>
      <w:r>
        <w:rPr>
          <w:spacing w:val="-2"/>
        </w:rPr>
        <w:t>安永华明所有职员未在公司任职，并未获取除法定审计必要费用外的任何现金及其他任何形式经济利益；安永华明和本</w:t>
      </w:r>
    </w:p>
    <w:p>
      <w:pPr>
        <w:pStyle w:val="BodyText"/>
        <w:spacing w:line="477" w:lineRule="auto" w:before="54"/>
        <w:ind w:right="193"/>
        <w:jc w:val="both"/>
      </w:pPr>
      <w:r>
        <w:rPr>
          <w:spacing w:val="-2"/>
        </w:rPr>
        <w:t>公司之间不存在直接或者间接的相互投资情况，也不存在密切的经营关系；审计小组成员和本公司决策层之间不存在关联关</w:t>
      </w:r>
      <w:r>
        <w:rPr>
          <w:spacing w:val="-64"/>
        </w:rPr>
        <w:t> </w:t>
      </w:r>
      <w:r>
        <w:rPr>
          <w:spacing w:val="-64"/>
        </w:rPr>
      </w:r>
      <w:r>
        <w:rPr>
          <w:spacing w:val="-2"/>
        </w:rPr>
        <w:t>系。在本次审计工作中会计师事务所及审计成员始终保持了形式上和实质上的双重独立，遵守了职业道德基本原则中关于保</w:t>
      </w:r>
      <w:r>
        <w:rPr>
          <w:spacing w:val="-64"/>
        </w:rPr>
        <w:t> </w:t>
      </w:r>
      <w:r>
        <w:rPr>
          <w:spacing w:val="-64"/>
        </w:rPr>
      </w:r>
      <w:r>
        <w:rPr/>
        <w:t>持独立性的要求。</w:t>
      </w:r>
    </w:p>
    <w:p>
      <w:pPr>
        <w:pStyle w:val="BodyText"/>
        <w:spacing w:line="477" w:lineRule="auto" w:before="54"/>
        <w:ind w:left="515" w:right="0"/>
        <w:jc w:val="left"/>
      </w:pPr>
      <w:r>
        <w:rPr/>
        <w:t>②专业胜任能力评价 </w:t>
      </w:r>
      <w:r>
        <w:rPr>
          <w:spacing w:val="-2"/>
        </w:rPr>
        <w:t>审计小组具有承办本次审计业务所必需的专业知识和相关的职业证书，能够胜任本次审计工作，同时也能保持应有的关</w:t>
      </w:r>
    </w:p>
    <w:p>
      <w:pPr>
        <w:pStyle w:val="BodyText"/>
        <w:spacing w:line="240" w:lineRule="auto" w:before="54"/>
        <w:ind w:right="0"/>
        <w:jc w:val="both"/>
      </w:pPr>
      <w:r>
        <w:rPr/>
        <w:t>注和职业谨慎性。</w:t>
      </w:r>
    </w:p>
    <w:p>
      <w:pPr>
        <w:pStyle w:val="BodyText"/>
        <w:spacing w:line="240" w:lineRule="auto" w:before="153"/>
        <w:ind w:left="198" w:right="0"/>
        <w:jc w:val="both"/>
      </w:pPr>
      <w:r>
        <w:rPr/>
        <w:t>（</w:t>
      </w:r>
      <w:r>
        <w:rPr>
          <w:rFonts w:ascii="Times New Roman" w:hAnsi="Times New Roman" w:cs="Times New Roman" w:eastAsia="Times New Roman" w:hint="default"/>
        </w:rPr>
        <w:t>3</w:t>
      </w:r>
      <w:r>
        <w:rPr/>
        <w:t>）审计范围及出具的审计报告、意见的评价</w:t>
      </w:r>
    </w:p>
    <w:p>
      <w:pPr>
        <w:pStyle w:val="BodyText"/>
        <w:spacing w:line="477" w:lineRule="auto" w:before="142"/>
        <w:ind w:left="712" w:right="0"/>
        <w:jc w:val="left"/>
      </w:pPr>
      <w:r>
        <w:rPr/>
        <w:t>①审计工作计划评价 在本年度审计过程中，审计小组通过初步业务活动制定了总体审计策略和具体的审计计划，为完成审计任务和减小</w:t>
      </w:r>
    </w:p>
    <w:p>
      <w:pPr>
        <w:pStyle w:val="BodyText"/>
        <w:spacing w:line="240" w:lineRule="auto" w:before="54"/>
        <w:ind w:right="0"/>
        <w:jc w:val="both"/>
      </w:pPr>
      <w:r>
        <w:rPr/>
        <w:t>审计风险做了充分的准备。</w:t>
      </w:r>
    </w:p>
    <w:p>
      <w:pPr>
        <w:spacing w:line="240" w:lineRule="auto" w:before="10"/>
        <w:rPr>
          <w:rFonts w:ascii="宋体" w:hAnsi="宋体" w:cs="宋体" w:eastAsia="宋体" w:hint="default"/>
          <w:sz w:val="17"/>
          <w:szCs w:val="17"/>
        </w:rPr>
      </w:pPr>
    </w:p>
    <w:p>
      <w:pPr>
        <w:pStyle w:val="BodyText"/>
        <w:spacing w:line="477" w:lineRule="auto"/>
        <w:ind w:left="712" w:right="0"/>
        <w:jc w:val="left"/>
      </w:pPr>
      <w:r>
        <w:rPr/>
        <w:t>②具体审计程序执行评价 审计小组在根据公司的内部控制的完整性、设计的合理性和运行的有效性进行评价的基础上确定了实施控制性测试</w:t>
      </w:r>
    </w:p>
    <w:p>
      <w:pPr>
        <w:pStyle w:val="BodyText"/>
        <w:spacing w:line="477" w:lineRule="auto" w:before="54"/>
        <w:ind w:right="192"/>
        <w:jc w:val="both"/>
      </w:pPr>
      <w:r>
        <w:rPr>
          <w:spacing w:val="-2"/>
        </w:rPr>
        <w:t>程序和实质性测试程序。在控制性测试审计程序中为了获得内部控制有效运行的审计证据，审计小组执行了重新执行内部控</w:t>
      </w:r>
      <w:r>
        <w:rPr>
          <w:spacing w:val="-64"/>
        </w:rPr>
        <w:t> </w:t>
      </w:r>
      <w:r>
        <w:rPr>
          <w:spacing w:val="-64"/>
        </w:rPr>
      </w:r>
      <w:r>
        <w:rPr>
          <w:spacing w:val="-2"/>
        </w:rPr>
        <w:t>制和穿行测试程序。在实质性测试审计程序中审计人员执行了细节测试和实质性分析程序，为各类交易、账户余额、列报认</w:t>
      </w:r>
      <w:r>
        <w:rPr>
          <w:spacing w:val="-66"/>
        </w:rPr>
        <w:t> </w:t>
      </w:r>
      <w:r>
        <w:rPr>
          <w:spacing w:val="-66"/>
        </w:rPr>
      </w:r>
      <w:r>
        <w:rPr/>
        <w:t>定获取了必要的审计证据。</w:t>
      </w:r>
    </w:p>
    <w:p>
      <w:pPr>
        <w:pStyle w:val="BodyText"/>
        <w:spacing w:line="477" w:lineRule="auto" w:before="54"/>
        <w:ind w:left="712" w:right="0"/>
        <w:jc w:val="left"/>
      </w:pPr>
      <w:r>
        <w:rPr/>
        <w:t>③对会计师事务所出具的审计报告意见的评价 </w:t>
      </w:r>
      <w:r>
        <w:rPr>
          <w:spacing w:val="-1"/>
        </w:rPr>
        <w:t>审计小组在本年度审计中按照中国注册会计师审计准则的要求执行了恰当的审计程序，为发表审计意见获取了充分、</w:t>
      </w:r>
    </w:p>
    <w:p>
      <w:pPr>
        <w:pStyle w:val="BodyText"/>
        <w:spacing w:line="240" w:lineRule="auto" w:before="54"/>
        <w:ind w:right="0"/>
        <w:jc w:val="both"/>
      </w:pPr>
      <w:r>
        <w:rPr/>
        <w:t>适当的审计证据。事务所对财务报表发表的无保留审计意见是在获取充分、适当的审计证据的基础做出的。</w:t>
      </w:r>
    </w:p>
    <w:p>
      <w:pPr>
        <w:spacing w:after="0" w:line="240" w:lineRule="auto"/>
        <w:jc w:val="both"/>
        <w:sectPr>
          <w:footerReference w:type="default" r:id="rId15"/>
          <w:pgSz w:w="11910" w:h="16840"/>
          <w:pgMar w:footer="1186" w:header="850" w:top="1440" w:bottom="1380" w:left="980" w:right="940"/>
          <w:pgNumType w:start="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76" w:lineRule="auto" w:before="2"/>
        <w:ind w:left="712" w:right="0" w:hanging="515"/>
        <w:jc w:val="left"/>
      </w:pPr>
      <w:r>
        <w:rPr/>
        <w:t>（</w:t>
      </w:r>
      <w:r>
        <w:rPr>
          <w:rFonts w:ascii="Times New Roman" w:hAnsi="Times New Roman" w:cs="Times New Roman" w:eastAsia="Times New Roman" w:hint="default"/>
        </w:rPr>
        <w:t>4</w:t>
      </w:r>
      <w:r>
        <w:rPr/>
        <w:t>）对会计师事务所提出的改进意见的评价 在审计过程中，审计小组对本公司提出的改进意见是从实际出发的，是实事求是的。公司对其提出的改进意见已经</w:t>
      </w:r>
    </w:p>
    <w:p>
      <w:pPr>
        <w:pStyle w:val="BodyText"/>
        <w:spacing w:line="240" w:lineRule="auto" w:before="130"/>
        <w:ind w:right="0"/>
        <w:jc w:val="left"/>
      </w:pPr>
      <w:r>
        <w:rPr/>
        <w:t>采纳，部分已经开始了实施改进。</w:t>
      </w:r>
    </w:p>
    <w:p>
      <w:pPr>
        <w:pStyle w:val="BodyText"/>
        <w:spacing w:line="376" w:lineRule="auto" w:before="153"/>
        <w:ind w:left="712" w:right="0" w:hanging="515"/>
        <w:jc w:val="left"/>
      </w:pPr>
      <w:r>
        <w:rPr/>
        <w:t>（</w:t>
      </w:r>
      <w:r>
        <w:rPr>
          <w:rFonts w:ascii="Times New Roman" w:hAnsi="Times New Roman" w:cs="Times New Roman" w:eastAsia="Times New Roman" w:hint="default"/>
        </w:rPr>
        <w:t>5</w:t>
      </w:r>
      <w:r>
        <w:rPr/>
        <w:t>）关于下年度续聘会计师事务所的建议 从聘任安永华明会计师事务所到本年度执行审计业务完毕，安永华明会计师事务所为公司提供了较好的服务。根据</w:t>
      </w:r>
    </w:p>
    <w:p>
      <w:pPr>
        <w:pStyle w:val="BodyText"/>
        <w:spacing w:line="240" w:lineRule="auto" w:before="130"/>
        <w:ind w:right="0"/>
        <w:jc w:val="left"/>
      </w:pPr>
      <w:r>
        <w:rPr/>
        <w:t>其服务意识、职业操守和履职能力，我们建议继续聘任安永华明会计师事务所作为公司</w:t>
      </w:r>
      <w:r>
        <w:rPr>
          <w:rFonts w:ascii="Times New Roman" w:hAnsi="Times New Roman" w:cs="Times New Roman" w:eastAsia="Times New Roman" w:hint="default"/>
        </w:rPr>
        <w:t>2013</w:t>
      </w:r>
      <w:r>
        <w:rPr/>
        <w:t>年度财务报表审计机构。</w:t>
      </w:r>
    </w:p>
    <w:p>
      <w:pPr>
        <w:spacing w:line="240" w:lineRule="auto" w:before="9"/>
        <w:rPr>
          <w:rFonts w:ascii="宋体" w:hAnsi="宋体" w:cs="宋体" w:eastAsia="宋体" w:hint="default"/>
          <w:sz w:val="16"/>
          <w:szCs w:val="16"/>
        </w:rPr>
      </w:pPr>
    </w:p>
    <w:p>
      <w:pPr>
        <w:pStyle w:val="BodyText"/>
        <w:spacing w:line="240" w:lineRule="auto"/>
        <w:ind w:left="712" w:right="0"/>
        <w:jc w:val="left"/>
      </w:pPr>
      <w:r>
        <w:rPr>
          <w:rFonts w:ascii="Times New Roman" w:hAnsi="Times New Roman" w:cs="Times New Roman" w:eastAsia="Times New Roman" w:hint="default"/>
        </w:rPr>
        <w:t>2</w:t>
      </w:r>
      <w:r>
        <w:rPr/>
        <w:t>、董事会薪酬与考核委员会对公司董事、监事和高级管理人员所披露薪酬发表审核意见如下：</w:t>
      </w:r>
    </w:p>
    <w:p>
      <w:pPr>
        <w:spacing w:line="240" w:lineRule="auto" w:before="9"/>
        <w:rPr>
          <w:rFonts w:ascii="宋体" w:hAnsi="宋体" w:cs="宋体" w:eastAsia="宋体" w:hint="default"/>
          <w:sz w:val="16"/>
          <w:szCs w:val="16"/>
        </w:rPr>
      </w:pPr>
    </w:p>
    <w:p>
      <w:pPr>
        <w:pStyle w:val="BodyText"/>
        <w:spacing w:line="451" w:lineRule="auto"/>
        <w:ind w:right="149" w:firstLine="559"/>
        <w:jc w:val="both"/>
      </w:pPr>
      <w:r>
        <w:rPr>
          <w:rFonts w:ascii="Times New Roman" w:hAnsi="Times New Roman" w:cs="Times New Roman" w:eastAsia="Times New Roman" w:hint="default"/>
        </w:rPr>
        <w:t>2012</w:t>
      </w:r>
      <w:r>
        <w:rPr/>
        <w:t>年公司在董事会的领导下，各位董事、监事、高级管理人员密切配合，带领全体员工共同努力，取得了良好的 </w:t>
      </w:r>
      <w:r>
        <w:rPr>
          <w:spacing w:val="-2"/>
        </w:rPr>
        <w:t>经营业绩，实现了公司的稳步发展。</w:t>
      </w:r>
      <w:r>
        <w:rPr>
          <w:rFonts w:ascii="Times New Roman" w:hAnsi="Times New Roman" w:cs="Times New Roman" w:eastAsia="Times New Roman" w:hint="default"/>
          <w:spacing w:val="-2"/>
        </w:rPr>
        <w:t>2012</w:t>
      </w:r>
      <w:r>
        <w:rPr>
          <w:spacing w:val="-2"/>
        </w:rPr>
        <w:t>年度所披露的董事和高管薪酬是经相关程序严格审议后通过的，决策程序符合法律</w:t>
      </w:r>
      <w:r>
        <w:rPr>
          <w:spacing w:val="-59"/>
        </w:rPr>
        <w:t> </w:t>
      </w:r>
      <w:r>
        <w:rPr>
          <w:spacing w:val="-59"/>
        </w:rPr>
      </w:r>
      <w:r>
        <w:rPr/>
        <w:t>法规的规定，披露的薪酬信息是真实和合理的。</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pStyle w:val="Heading2"/>
        <w:spacing w:line="240" w:lineRule="auto" w:before="0"/>
        <w:ind w:right="0"/>
        <w:jc w:val="left"/>
        <w:rPr>
          <w:b w:val="0"/>
          <w:bCs w:val="0"/>
        </w:rPr>
      </w:pPr>
      <w:r>
        <w:rPr/>
        <w:t>五、监事会工作情况</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left="712" w:right="0"/>
        <w:jc w:val="left"/>
      </w:pPr>
      <w:r>
        <w:rPr/>
        <w:t>监事会对报告期内的监督事项无异议。</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before="0"/>
        <w:ind w:right="0"/>
        <w:jc w:val="left"/>
        <w:rPr>
          <w:b w:val="0"/>
          <w:bCs w:val="0"/>
        </w:rPr>
      </w:pPr>
      <w:r>
        <w:rPr/>
        <w:t>六、高级管理人员的考评及激励情况</w:t>
      </w:r>
      <w:r>
        <w:rPr>
          <w:b w:val="0"/>
          <w:bCs w:val="0"/>
        </w:rPr>
      </w:r>
    </w:p>
    <w:p>
      <w:pPr>
        <w:spacing w:line="240" w:lineRule="auto" w:before="4"/>
        <w:rPr>
          <w:rFonts w:ascii="宋体" w:hAnsi="宋体" w:cs="宋体" w:eastAsia="宋体" w:hint="default"/>
          <w:b/>
          <w:bCs/>
          <w:sz w:val="32"/>
          <w:szCs w:val="32"/>
        </w:rPr>
      </w:pPr>
    </w:p>
    <w:p>
      <w:pPr>
        <w:pStyle w:val="BodyText"/>
        <w:spacing w:line="463" w:lineRule="auto"/>
        <w:ind w:right="150" w:firstLine="559"/>
        <w:jc w:val="both"/>
      </w:pPr>
      <w:r>
        <w:rPr/>
        <w:t>报告期内，公司以量化的考核指标定期对高级管理人员进行业绩考核。经过考评，</w:t>
      </w:r>
      <w:r>
        <w:rPr>
          <w:rFonts w:ascii="Times New Roman" w:hAnsi="Times New Roman" w:cs="Times New Roman" w:eastAsia="Times New Roman" w:hint="default"/>
        </w:rPr>
        <w:t>2012</w:t>
      </w:r>
      <w:r>
        <w:rPr/>
        <w:t>年度公司高管人员认真的履 </w:t>
      </w:r>
      <w:r>
        <w:rPr>
          <w:spacing w:val="-2"/>
        </w:rPr>
        <w:t>行了工作职责，但由于受外部经济环境的影响，本年度公司业绩目标未能达成，全体高级管理人员获授的股票期权将不能行</w:t>
      </w:r>
      <w:r>
        <w:rPr>
          <w:spacing w:val="-63"/>
        </w:rPr>
        <w:t> </w:t>
      </w:r>
      <w:r>
        <w:rPr>
          <w:spacing w:val="-63"/>
        </w:rPr>
      </w:r>
      <w:r>
        <w:rPr/>
        <w:t>权。</w:t>
      </w:r>
    </w:p>
    <w:p>
      <w:pPr>
        <w:spacing w:after="0" w:line="463" w:lineRule="auto"/>
        <w:jc w:val="both"/>
        <w:sectPr>
          <w:pgSz w:w="11910" w:h="16840"/>
          <w:pgMar w:header="850" w:footer="1186" w:top="1440" w:bottom="13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46"/>
        <w:ind w:left="3590" w:right="3626"/>
        <w:jc w:val="center"/>
        <w:rPr>
          <w:b w:val="0"/>
          <w:bCs w:val="0"/>
        </w:rPr>
      </w:pPr>
      <w:bookmarkStart w:name="_bookmark8" w:id="9"/>
      <w:bookmarkEnd w:id="9"/>
      <w:r>
        <w:rPr>
          <w:b w:val="0"/>
          <w:bCs w:val="0"/>
        </w:rPr>
      </w:r>
      <w:r>
        <w:rPr/>
        <w:t>第九节</w:t>
      </w:r>
      <w:r>
        <w:rPr>
          <w:spacing w:val="-2"/>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both"/>
        <w:rPr>
          <w:b w:val="0"/>
          <w:bCs w:val="0"/>
        </w:rPr>
      </w:pPr>
      <w:r>
        <w:rPr/>
        <w:t>一、内部控制建设情况</w:t>
      </w:r>
      <w:r>
        <w:rPr>
          <w:b w:val="0"/>
          <w:bCs w:val="0"/>
        </w:rPr>
      </w:r>
    </w:p>
    <w:p>
      <w:pPr>
        <w:spacing w:line="240" w:lineRule="auto" w:before="4"/>
        <w:rPr>
          <w:rFonts w:ascii="宋体" w:hAnsi="宋体" w:cs="宋体" w:eastAsia="宋体" w:hint="default"/>
          <w:b/>
          <w:bCs/>
          <w:sz w:val="32"/>
          <w:szCs w:val="32"/>
        </w:rPr>
      </w:pPr>
    </w:p>
    <w:p>
      <w:pPr>
        <w:pStyle w:val="BodyText"/>
        <w:spacing w:line="477" w:lineRule="auto"/>
        <w:ind w:right="191" w:firstLine="559"/>
        <w:jc w:val="both"/>
      </w:pPr>
      <w:r>
        <w:rPr>
          <w:spacing w:val="-3"/>
        </w:rPr>
        <w:t>本年度，公司依照《公司法》、《证券法》、《深圳证券交易所股票上市规则》、《企业内部控制基本规范》、《深</w:t>
      </w:r>
      <w:r>
        <w:rPr/>
        <w:t> </w:t>
      </w:r>
      <w:r>
        <w:rPr>
          <w:spacing w:val="-2"/>
        </w:rPr>
        <w:t>圳证券交易所上市公司内部控制指引》等相关法律、法规和规章制度的要求，及公司自身经营特点与所处环境，不断完善公</w:t>
      </w:r>
      <w:r>
        <w:rPr>
          <w:spacing w:val="-64"/>
        </w:rPr>
        <w:t> </w:t>
      </w:r>
      <w:r>
        <w:rPr>
          <w:spacing w:val="-64"/>
        </w:rPr>
      </w:r>
      <w:r>
        <w:rPr/>
        <w:t>司治理，健全内部控制体系，保障了上市公司内部控制管理的有效执行，确保了公司的稳定经营。</w:t>
      </w:r>
    </w:p>
    <w:p>
      <w:pPr>
        <w:pStyle w:val="BodyText"/>
        <w:spacing w:line="477" w:lineRule="auto" w:before="54"/>
        <w:ind w:right="191" w:firstLine="559"/>
        <w:jc w:val="both"/>
      </w:pPr>
      <w:r>
        <w:rPr/>
        <w:t>（一）</w:t>
      </w:r>
      <w:r>
        <w:rPr>
          <w:spacing w:val="-7"/>
        </w:rPr>
        <w:t> </w:t>
      </w:r>
      <w:r>
        <w:rPr/>
        <w:t>内部控制制度的建立和执行情况公司已经建立起的内部控制体系在完整性、合规性、有效性等方面不存在重</w:t>
      </w:r>
      <w:r>
        <w:rPr/>
        <w:t> </w:t>
      </w:r>
      <w:r>
        <w:rPr>
          <w:spacing w:val="-2"/>
        </w:rPr>
        <w:t>大缺陷。但由于内部控制固有的局限性、内部环境以及宏观环境、政策法规持续变化，可能导致原有控制活动不适用或出现</w:t>
      </w:r>
      <w:r>
        <w:rPr>
          <w:spacing w:val="-64"/>
        </w:rPr>
        <w:t> </w:t>
      </w:r>
      <w:r>
        <w:rPr>
          <w:spacing w:val="-64"/>
        </w:rPr>
      </w:r>
      <w:r>
        <w:rPr>
          <w:spacing w:val="-2"/>
        </w:rPr>
        <w:t>偏差，对此公司将及时进行内部控制体系的补充和完善，为财务报告的真实性、完整性，以及公司战略、经营等目标的实现</w:t>
      </w:r>
      <w:r>
        <w:rPr>
          <w:spacing w:val="-67"/>
        </w:rPr>
        <w:t> </w:t>
      </w:r>
      <w:r>
        <w:rPr>
          <w:spacing w:val="-67"/>
        </w:rPr>
      </w:r>
      <w:r>
        <w:rPr/>
        <w:t>提供合保障。</w:t>
      </w:r>
    </w:p>
    <w:p>
      <w:pPr>
        <w:pStyle w:val="BodyText"/>
        <w:spacing w:line="240" w:lineRule="auto" w:before="54"/>
        <w:ind w:left="712" w:right="0"/>
        <w:jc w:val="left"/>
      </w:pPr>
      <w:r>
        <w:rPr/>
        <w:t>（二）对内部控制的评价及审核意见</w:t>
      </w:r>
    </w:p>
    <w:p>
      <w:pPr>
        <w:spacing w:line="240" w:lineRule="auto" w:before="10"/>
        <w:rPr>
          <w:rFonts w:ascii="宋体" w:hAnsi="宋体" w:cs="宋体" w:eastAsia="宋体" w:hint="default"/>
          <w:sz w:val="17"/>
          <w:szCs w:val="17"/>
        </w:rPr>
      </w:pPr>
    </w:p>
    <w:p>
      <w:pPr>
        <w:pStyle w:val="BodyText"/>
        <w:spacing w:line="451" w:lineRule="auto"/>
        <w:ind w:left="712" w:right="0"/>
        <w:jc w:val="left"/>
      </w:pPr>
      <w:r>
        <w:rPr>
          <w:rFonts w:ascii="Times New Roman" w:hAnsi="Times New Roman" w:cs="Times New Roman" w:eastAsia="Times New Roman" w:hint="default"/>
        </w:rPr>
        <w:t>1</w:t>
      </w:r>
      <w:r>
        <w:rPr/>
        <w:t>、董事会对公司内部控制的自我评价 董事会认为：公司已建立了较为健全的内部控制制度体系并得到有效实施，基本能够适应公司发展和管理的需要，</w:t>
      </w:r>
    </w:p>
    <w:p>
      <w:pPr>
        <w:pStyle w:val="BodyText"/>
        <w:spacing w:line="477" w:lineRule="auto" w:before="74"/>
        <w:ind w:right="191"/>
        <w:jc w:val="both"/>
      </w:pPr>
      <w:r>
        <w:rPr>
          <w:spacing w:val="-2"/>
        </w:rPr>
        <w:t>能够对编制真实、公允的财务报表提供合理的保证，能够对公司各项业务活动的健康运行及国家有关法律法规和单位内部规</w:t>
      </w:r>
      <w:r>
        <w:rPr>
          <w:spacing w:val="-63"/>
        </w:rPr>
        <w:t> </w:t>
      </w:r>
      <w:r>
        <w:rPr>
          <w:spacing w:val="-63"/>
        </w:rPr>
      </w:r>
      <w:r>
        <w:rPr>
          <w:spacing w:val="-2"/>
        </w:rPr>
        <w:t>章制度的贯彻执行提供保证。公司将进一步建立、健全内控体系，并及时针对存在的问题进行整改，以适应公司不断发展的</w:t>
      </w:r>
      <w:r>
        <w:rPr>
          <w:spacing w:val="-65"/>
        </w:rPr>
        <w:t> </w:t>
      </w:r>
      <w:r>
        <w:rPr>
          <w:spacing w:val="-65"/>
        </w:rPr>
      </w:r>
      <w:r>
        <w:rPr/>
        <w:t>需要。</w:t>
      </w:r>
    </w:p>
    <w:p>
      <w:pPr>
        <w:pStyle w:val="BodyText"/>
        <w:spacing w:line="451" w:lineRule="auto" w:before="54"/>
        <w:ind w:left="719" w:right="0" w:hanging="5"/>
        <w:jc w:val="left"/>
      </w:pPr>
      <w:r>
        <w:rPr>
          <w:rFonts w:ascii="Times New Roman" w:hAnsi="Times New Roman" w:cs="Times New Roman" w:eastAsia="Times New Roman" w:hint="default"/>
        </w:rPr>
        <w:t>3</w:t>
      </w:r>
      <w:r>
        <w:rPr/>
        <w:t>、公司监事会的审核意见</w:t>
      </w:r>
      <w:r>
        <w:rPr>
          <w:spacing w:val="-82"/>
        </w:rPr>
        <w:t> </w:t>
      </w:r>
      <w:r>
        <w:rPr>
          <w:spacing w:val="-82"/>
        </w:rPr>
      </w:r>
      <w:r>
        <w:rPr/>
        <w:t>监事会认为：公司组织完善、制度健全，内部控制制度具有完整性、合理性和有效性。截至</w:t>
      </w:r>
      <w:r>
        <w:rPr>
          <w:rFonts w:ascii="Times New Roman" w:hAnsi="Times New Roman" w:cs="Times New Roman" w:eastAsia="Times New Roman" w:hint="default"/>
        </w:rPr>
        <w:t>2012</w:t>
      </w:r>
      <w:r>
        <w:rPr/>
        <w:t>年底公司在日常生</w:t>
      </w:r>
    </w:p>
    <w:p>
      <w:pPr>
        <w:pStyle w:val="BodyText"/>
        <w:spacing w:line="477" w:lineRule="auto" w:before="43"/>
        <w:ind w:right="190"/>
        <w:jc w:val="both"/>
      </w:pPr>
      <w:r>
        <w:rPr>
          <w:spacing w:val="-2"/>
        </w:rPr>
        <w:t>产经营和重点控制活动已建立了一系列健全的、合理的内部控制制度，并得到了有效遵循和实施。这些内控制度保证了公司</w:t>
      </w:r>
      <w:r>
        <w:rPr>
          <w:spacing w:val="-63"/>
        </w:rPr>
        <w:t> </w:t>
      </w:r>
      <w:r>
        <w:rPr>
          <w:spacing w:val="-63"/>
        </w:rPr>
      </w:r>
      <w:r>
        <w:rPr>
          <w:spacing w:val="-2"/>
        </w:rPr>
        <w:t>的生产经营管理的正常进行，对经营风险可以起到有效的控制作用，并形成了完整有效的制度体系。公司内部控制自我评价</w:t>
      </w:r>
      <w:r>
        <w:rPr>
          <w:spacing w:val="-63"/>
        </w:rPr>
        <w:t> </w:t>
      </w:r>
      <w:r>
        <w:rPr>
          <w:spacing w:val="-63"/>
        </w:rPr>
      </w:r>
      <w:r>
        <w:rPr/>
        <w:t>报告真实、客观地反映了公司各项内部控制制度建立和实施的实际情况。</w:t>
      </w:r>
    </w:p>
    <w:p>
      <w:pPr>
        <w:pStyle w:val="BodyText"/>
        <w:spacing w:line="451" w:lineRule="auto" w:before="54"/>
        <w:ind w:left="719" w:right="0" w:hanging="5"/>
        <w:jc w:val="left"/>
      </w:pPr>
      <w:r>
        <w:rPr>
          <w:rFonts w:ascii="Times New Roman" w:hAnsi="Times New Roman" w:cs="Times New Roman" w:eastAsia="Times New Roman" w:hint="default"/>
        </w:rPr>
        <w:t>4</w:t>
      </w:r>
      <w:r>
        <w:rPr/>
        <w:t>、独立董事关于公司内部控制自我评价报告的独立意见</w:t>
      </w:r>
      <w:r>
        <w:rPr>
          <w:spacing w:val="-82"/>
        </w:rPr>
        <w:t> </w:t>
      </w:r>
      <w:r>
        <w:rPr>
          <w:spacing w:val="-82"/>
        </w:rPr>
      </w:r>
      <w:r>
        <w:rPr/>
        <w:t>独立董事认为：经核查，公司已建立了规范的公司治理结构和议事规则，明确了决策、执行、监督等方面的职责权</w:t>
      </w:r>
    </w:p>
    <w:p>
      <w:pPr>
        <w:pStyle w:val="BodyText"/>
        <w:spacing w:line="477" w:lineRule="auto" w:before="74"/>
        <w:ind w:right="94"/>
        <w:jc w:val="left"/>
      </w:pPr>
      <w:r>
        <w:rPr/>
        <w:t>限，形成了科学有效的职责分工和制衡机制。公司的内部控制制度比较完善，涵盖了公司的营运环节，重点控制制度健全、 </w:t>
      </w:r>
      <w:r>
        <w:rPr>
          <w:spacing w:val="-2"/>
        </w:rPr>
        <w:t>运作规范、控制有序，并不断根据新的法规、规章要求进行修订。经了解、测试、核查，各项制度建立后，得到了有效贯彻</w:t>
      </w:r>
      <w:r>
        <w:rPr>
          <w:spacing w:val="-65"/>
        </w:rPr>
        <w:t> </w:t>
      </w:r>
      <w:r>
        <w:rPr>
          <w:spacing w:val="-65"/>
        </w:rPr>
      </w:r>
      <w:r>
        <w:rPr/>
        <w:t>执行，对公司的规范运作起到了较好的监督、指导作用，公司内部控制体系不存在明显薄弱环节和重大缺陷。</w:t>
      </w:r>
    </w:p>
    <w:p>
      <w:pPr>
        <w:spacing w:after="0" w:line="477" w:lineRule="auto"/>
        <w:jc w:val="left"/>
        <w:sectPr>
          <w:pgSz w:w="11910" w:h="16840"/>
          <w:pgMar w:header="850" w:footer="1186" w:top="1440" w:bottom="1380" w:left="980" w:right="940"/>
        </w:sectPr>
      </w:pPr>
    </w:p>
    <w:p>
      <w:pPr>
        <w:pStyle w:val="Heading2"/>
        <w:spacing w:line="240" w:lineRule="auto" w:before="13"/>
        <w:ind w:right="0"/>
        <w:jc w:val="left"/>
        <w:rPr>
          <w:b w:val="0"/>
          <w:bCs w:val="0"/>
        </w:rPr>
      </w:pPr>
      <w:r>
        <w:rPr/>
        <w:pict>
          <v:group style="position:absolute;margin-left:55.200001pt;margin-top:2.185603pt;width:484.9pt;height:.1pt;mso-position-horizontal-relative:page;mso-position-vertical-relative:paragraph;z-index:-751912" coordorigin="1104,44" coordsize="9698,2">
            <v:shape style="position:absolute;left:1104;top:44;width:9698;height:2" coordorigin="1104,44" coordsize="9698,0" path="m1104,44l10802,44e" filled="false" stroked="true" strokeweight=".72pt" strokecolor="#000000">
              <v:path arrowok="t"/>
            </v:shape>
            <w10:wrap type="none"/>
          </v:group>
        </w:pict>
      </w:r>
      <w:r>
        <w:rPr/>
        <w:t>二、董事会关于内部控制责任的声明</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93" w:firstLine="559"/>
        <w:jc w:val="both"/>
      </w:pPr>
      <w:r>
        <w:rPr/>
        <w:t>公司已建立了较为健全的内部控制制度体系并得到有效实施，基本能够适应公司发展和管理的需要，能够对编制真 </w:t>
      </w:r>
      <w:r>
        <w:rPr>
          <w:spacing w:val="-2"/>
        </w:rPr>
        <w:t>实、公允的财务报表提供合理的保证，能够对公司各项业务活动的健康运行及国家有关法律法规和单位内部规章制度的贯彻</w:t>
      </w:r>
      <w:r>
        <w:rPr>
          <w:spacing w:val="-64"/>
        </w:rPr>
        <w:t> </w:t>
      </w:r>
      <w:r>
        <w:rPr>
          <w:spacing w:val="-64"/>
        </w:rPr>
      </w:r>
      <w:r>
        <w:rPr/>
        <w:t>执行提供保证。公司将进一步建立、健全内控体系，并及时针对存在的问题进行整改，以适应公司不断发展的需要。</w:t>
      </w:r>
    </w:p>
    <w:p>
      <w:pPr>
        <w:spacing w:line="240" w:lineRule="auto" w:before="7"/>
        <w:rPr>
          <w:rFonts w:ascii="宋体" w:hAnsi="宋体" w:cs="宋体" w:eastAsia="宋体" w:hint="default"/>
          <w:sz w:val="17"/>
          <w:szCs w:val="17"/>
        </w:rPr>
      </w:pPr>
    </w:p>
    <w:p>
      <w:pPr>
        <w:pStyle w:val="Heading2"/>
        <w:spacing w:line="240" w:lineRule="auto" w:before="0"/>
        <w:ind w:right="0"/>
        <w:jc w:val="left"/>
        <w:rPr>
          <w:b w:val="0"/>
          <w:bCs w:val="0"/>
        </w:rPr>
      </w:pPr>
      <w:r>
        <w:rPr/>
        <w:t>三、建立财务报告内部控制的依据</w:t>
      </w:r>
      <w:r>
        <w:rPr>
          <w:b w:val="0"/>
          <w:bCs w:val="0"/>
        </w:rPr>
      </w:r>
    </w:p>
    <w:p>
      <w:pPr>
        <w:spacing w:line="240" w:lineRule="auto" w:before="4"/>
        <w:rPr>
          <w:rFonts w:ascii="宋体" w:hAnsi="宋体" w:cs="宋体" w:eastAsia="宋体" w:hint="default"/>
          <w:b/>
          <w:bCs/>
          <w:sz w:val="32"/>
          <w:szCs w:val="32"/>
        </w:rPr>
      </w:pPr>
    </w:p>
    <w:p>
      <w:pPr>
        <w:pStyle w:val="BodyText"/>
        <w:spacing w:line="477" w:lineRule="auto"/>
        <w:ind w:right="94" w:firstLine="559"/>
        <w:jc w:val="left"/>
      </w:pPr>
      <w:r>
        <w:rPr/>
        <w:t>公司编制财务报告，以真实的交易和事项以及完整、准确的账簿记录等资料为依据，按照有关法律法规、国家统一 </w:t>
      </w:r>
      <w:r>
        <w:rPr>
          <w:spacing w:val="-2"/>
        </w:rPr>
        <w:t>的会计制度规定的编制基础、编制依据、编制原则和方法进行。在编制年度财务报告前，按照《企业财务会计报告条例》的</w:t>
      </w:r>
      <w:r>
        <w:rPr>
          <w:spacing w:val="-69"/>
        </w:rPr>
        <w:t> </w:t>
      </w:r>
      <w:r>
        <w:rPr>
          <w:spacing w:val="-69"/>
        </w:rPr>
      </w:r>
      <w:r>
        <w:rPr/>
        <w:t>有关规定，全面清查资产、核实债务，并将清查、核实结果及其处理方法，以确保财务报告的真实可靠和资产的安全完整。 经过审计的财务报告由公司法定代表人、财务负责人及会计机构负责人签名盖章。</w:t>
      </w:r>
    </w:p>
    <w:p>
      <w:pPr>
        <w:spacing w:line="240" w:lineRule="auto" w:before="7"/>
        <w:rPr>
          <w:rFonts w:ascii="宋体" w:hAnsi="宋体" w:cs="宋体" w:eastAsia="宋体" w:hint="default"/>
          <w:sz w:val="17"/>
          <w:szCs w:val="17"/>
        </w:rPr>
      </w:pPr>
    </w:p>
    <w:p>
      <w:pPr>
        <w:pStyle w:val="Heading2"/>
        <w:spacing w:line="240" w:lineRule="auto" w:before="0"/>
        <w:ind w:right="0"/>
        <w:jc w:val="left"/>
        <w:rPr>
          <w:b w:val="0"/>
          <w:bCs w:val="0"/>
        </w:rPr>
      </w:pPr>
      <w:r>
        <w:rPr/>
        <w:t>四、内部控制自我评价报告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p>
      <w:pPr>
        <w:pStyle w:val="BodyText"/>
        <w:spacing w:line="240" w:lineRule="auto" w:before="44"/>
        <w:ind w:left="0" w:right="199"/>
        <w:jc w:val="right"/>
      </w:pPr>
      <w:r>
        <w:rPr/>
        <w:pict>
          <v:shape style="position:absolute;margin-left:56.400002pt;margin-top:-51.968266pt;width:479.3pt;height:112.1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21"/>
                    <w:gridCol w:w="6450"/>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0"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1027"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0" w:firstLine="360"/>
                          <w:jc w:val="both"/>
                          <w:rPr>
                            <w:rFonts w:ascii="宋体" w:hAnsi="宋体" w:cs="宋体" w:eastAsia="宋体" w:hint="default"/>
                            <w:sz w:val="18"/>
                            <w:szCs w:val="18"/>
                          </w:rPr>
                        </w:pPr>
                        <w:r>
                          <w:rPr>
                            <w:rFonts w:ascii="宋体" w:hAnsi="宋体" w:cs="宋体" w:eastAsia="宋体" w:hint="default"/>
                            <w:sz w:val="18"/>
                            <w:szCs w:val="18"/>
                          </w:rPr>
                          <w:t>本公司及其子公司于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日已按照财政部颁发的《内部会计控制规范－基本规范</w:t>
                        </w:r>
                        <w:r>
                          <w:rPr>
                            <w:rFonts w:ascii="Times New Roman" w:hAnsi="Times New Roman" w:cs="Times New Roman" w:eastAsia="Times New Roman" w:hint="default"/>
                            <w:sz w:val="18"/>
                            <w:szCs w:val="18"/>
                          </w:rPr>
                          <w:t>(</w:t>
                        </w:r>
                        <w:r>
                          <w:rPr>
                            <w:rFonts w:ascii="宋体" w:hAnsi="宋体" w:cs="宋体" w:eastAsia="宋体" w:hint="default"/>
                            <w:sz w:val="18"/>
                            <w:szCs w:val="18"/>
                          </w:rPr>
                          <w:t>试行</w:t>
                        </w:r>
                        <w:r>
                          <w:rPr>
                            <w:rFonts w:ascii="Times New Roman" w:hAnsi="Times New Roman" w:cs="Times New Roman" w:eastAsia="Times New Roman" w:hint="default"/>
                            <w:sz w:val="18"/>
                            <w:szCs w:val="18"/>
                          </w:rPr>
                          <w:t>)</w:t>
                        </w:r>
                        <w:r>
                          <w:rPr>
                            <w:rFonts w:ascii="宋体" w:hAnsi="宋体" w:cs="宋体" w:eastAsia="宋体" w:hint="default"/>
                            <w:sz w:val="18"/>
                            <w:szCs w:val="18"/>
                          </w:rPr>
                          <w:t>》和具体规范标准 </w:t>
                        </w:r>
                        <w:r>
                          <w:rPr>
                            <w:rFonts w:ascii="宋体" w:hAnsi="宋体" w:cs="宋体" w:eastAsia="宋体" w:hint="default"/>
                            <w:spacing w:val="-1"/>
                            <w:sz w:val="18"/>
                            <w:szCs w:val="18"/>
                          </w:rPr>
                          <w:t>建立了合理、有效的内部控制制度，并且经过测试未发现与会计报表相关的内部控制存在重大缺陷，即在所有重大方面保</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持了按照财政部颁发的《内部会计控制规范－基本规范</w:t>
                        </w:r>
                        <w:r>
                          <w:rPr>
                            <w:rFonts w:ascii="Times New Roman" w:hAnsi="Times New Roman" w:cs="Times New Roman" w:eastAsia="Times New Roman" w:hint="default"/>
                            <w:sz w:val="18"/>
                            <w:szCs w:val="18"/>
                          </w:rPr>
                          <w:t>(</w:t>
                        </w:r>
                        <w:r>
                          <w:rPr>
                            <w:rFonts w:ascii="宋体" w:hAnsi="宋体" w:cs="宋体" w:eastAsia="宋体" w:hint="default"/>
                            <w:sz w:val="18"/>
                            <w:szCs w:val="18"/>
                          </w:rPr>
                          <w:t>试行</w:t>
                        </w:r>
                        <w:r>
                          <w:rPr>
                            <w:rFonts w:ascii="Times New Roman" w:hAnsi="Times New Roman" w:cs="Times New Roman" w:eastAsia="Times New Roman" w:hint="default"/>
                            <w:sz w:val="18"/>
                            <w:szCs w:val="18"/>
                          </w:rPr>
                          <w:t>)</w:t>
                        </w:r>
                        <w:r>
                          <w:rPr>
                            <w:rFonts w:ascii="宋体" w:hAnsi="宋体" w:cs="宋体" w:eastAsia="宋体" w:hint="default"/>
                            <w:sz w:val="18"/>
                            <w:szCs w:val="18"/>
                          </w:rPr>
                          <w:t>》及具体规范标准建立的与会计报表相关的有效的内部控制</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内部控制自我评价报告全文披露日期</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内部控制自我评价报告全文披露索引</w:t>
                        </w:r>
                      </w:p>
                    </w:tc>
                    <w:tc>
                      <w:tcPr>
                        <w:tcW w:w="6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上海美特斯邦威服饰股份有限公司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年度内部控制自我评价报告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2"/>
        <w:spacing w:line="240" w:lineRule="auto"/>
        <w:ind w:right="0"/>
        <w:jc w:val="left"/>
        <w:rPr>
          <w:b w:val="0"/>
          <w:bCs w:val="0"/>
        </w:rPr>
      </w:pPr>
      <w:r>
        <w:rPr/>
        <w:t>五、内部控制审计报告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2"/>
          <w:szCs w:val="12"/>
        </w:rPr>
      </w:pPr>
    </w:p>
    <w:tbl>
      <w:tblPr>
        <w:tblW w:w="0" w:type="auto"/>
        <w:jc w:val="left"/>
        <w:tblInd w:w="148" w:type="dxa"/>
        <w:tblLayout w:type="fixed"/>
        <w:tblCellMar>
          <w:top w:w="0" w:type="dxa"/>
          <w:left w:w="0" w:type="dxa"/>
          <w:bottom w:w="0" w:type="dxa"/>
          <w:right w:w="0" w:type="dxa"/>
        </w:tblCellMar>
        <w:tblLook w:val="01E0"/>
      </w:tblPr>
      <w:tblGrid>
        <w:gridCol w:w="2662"/>
        <w:gridCol w:w="6909"/>
      </w:tblGrid>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102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3"/>
              <w:jc w:val="both"/>
              <w:rPr>
                <w:rFonts w:ascii="宋体" w:hAnsi="宋体" w:cs="宋体" w:eastAsia="宋体" w:hint="default"/>
                <w:sz w:val="18"/>
                <w:szCs w:val="18"/>
              </w:rPr>
            </w:pPr>
            <w:r>
              <w:rPr>
                <w:rFonts w:ascii="宋体" w:hAnsi="宋体" w:cs="宋体" w:eastAsia="宋体" w:hint="default"/>
                <w:sz w:val="18"/>
                <w:szCs w:val="18"/>
              </w:rPr>
              <w:t>经安永华明审核认为，于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日我司公司及其子公司在内部控制评估报告中所述与财务报表相关的内部控制 在所有重大方面有效地保持了按照财政部颁发的《内部会计控制规范</w:t>
            </w:r>
            <w:r>
              <w:rPr>
                <w:rFonts w:ascii="Times New Roman" w:hAnsi="Times New Roman" w:cs="Times New Roman" w:eastAsia="Times New Roman" w:hint="default"/>
                <w:sz w:val="18"/>
                <w:szCs w:val="18"/>
              </w:rPr>
              <w:t>—</w:t>
            </w:r>
            <w:r>
              <w:rPr>
                <w:rFonts w:ascii="宋体" w:hAnsi="宋体" w:cs="宋体" w:eastAsia="宋体" w:hint="default"/>
                <w:sz w:val="18"/>
                <w:szCs w:val="18"/>
              </w:rPr>
              <w:t>基本规范</w:t>
            </w:r>
            <w:r>
              <w:rPr>
                <w:rFonts w:ascii="Times New Roman" w:hAnsi="Times New Roman" w:cs="Times New Roman" w:eastAsia="Times New Roman" w:hint="default"/>
                <w:sz w:val="18"/>
                <w:szCs w:val="18"/>
              </w:rPr>
              <w:t>(</w:t>
            </w:r>
            <w:r>
              <w:rPr>
                <w:rFonts w:ascii="宋体" w:hAnsi="宋体" w:cs="宋体" w:eastAsia="宋体" w:hint="default"/>
                <w:sz w:val="18"/>
                <w:szCs w:val="18"/>
              </w:rPr>
              <w:t>试行</w:t>
            </w:r>
            <w:r>
              <w:rPr>
                <w:rFonts w:ascii="Times New Roman" w:hAnsi="Times New Roman" w:cs="Times New Roman" w:eastAsia="Times New Roman" w:hint="default"/>
                <w:sz w:val="18"/>
                <w:szCs w:val="18"/>
              </w:rPr>
              <w:t>)</w:t>
            </w:r>
            <w:r>
              <w:rPr>
                <w:rFonts w:ascii="宋体" w:hAnsi="宋体" w:cs="宋体" w:eastAsia="宋体" w:hint="default"/>
                <w:sz w:val="18"/>
                <w:szCs w:val="18"/>
              </w:rPr>
              <w:t>》的有关规范标准中与财务报表相 关的内部控制。</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上海美特斯邦威服饰股份有限公司内部控制审核报告</w:t>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3"/>
          <w:szCs w:val="23"/>
        </w:rPr>
      </w:pPr>
      <w:r>
        <w:rPr>
          <w:rFonts w:ascii="宋体" w:hAnsi="宋体" w:cs="宋体" w:eastAsia="宋体" w:hint="default"/>
          <w:b/>
          <w:bCs/>
          <w:sz w:val="24"/>
          <w:szCs w:val="24"/>
        </w:rPr>
        <w:t>六、</w:t>
      </w:r>
      <w:r>
        <w:rPr>
          <w:rFonts w:ascii="宋体" w:hAnsi="宋体" w:cs="宋体" w:eastAsia="宋体" w:hint="default"/>
          <w:b/>
          <w:bCs/>
          <w:sz w:val="23"/>
          <w:szCs w:val="23"/>
        </w:rPr>
        <w:t>年度报告重大差错责任追究制度的建立与执行情况</w:t>
      </w:r>
      <w:r>
        <w:rPr>
          <w:rFonts w:ascii="宋体" w:hAnsi="宋体" w:cs="宋体" w:eastAsia="宋体" w:hint="default"/>
          <w:sz w:val="23"/>
          <w:szCs w:val="23"/>
        </w:rPr>
      </w:r>
    </w:p>
    <w:p>
      <w:pPr>
        <w:spacing w:line="240" w:lineRule="auto" w:before="7"/>
        <w:rPr>
          <w:rFonts w:ascii="宋体" w:hAnsi="宋体" w:cs="宋体" w:eastAsia="宋体" w:hint="default"/>
          <w:b/>
          <w:bCs/>
          <w:sz w:val="32"/>
          <w:szCs w:val="32"/>
        </w:rPr>
      </w:pPr>
    </w:p>
    <w:p>
      <w:pPr>
        <w:pStyle w:val="BodyText"/>
        <w:spacing w:line="477" w:lineRule="auto"/>
        <w:ind w:right="0" w:firstLine="360"/>
        <w:jc w:val="left"/>
      </w:pPr>
      <w:r>
        <w:rPr>
          <w:spacing w:val="-2"/>
        </w:rPr>
        <w:t>公司制订了专门的《年报信息披露重大差错责任追究管理办法》，对年报信息披露重大差错的认定和相关人员的责任追</w:t>
      </w:r>
      <w:r>
        <w:rPr/>
        <w:t> 究，进行了详细、严格的规定。报告期内，公司未出现年报信息披露重大差错的情形。</w:t>
      </w:r>
    </w:p>
    <w:p>
      <w:pPr>
        <w:spacing w:after="0" w:line="477" w:lineRule="auto"/>
        <w:jc w:val="left"/>
        <w:sectPr>
          <w:pgSz w:w="11910" w:h="16840"/>
          <w:pgMar w:header="850" w:footer="1186" w:top="1440" w:bottom="1380" w:left="980" w:right="9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46"/>
        <w:ind w:left="3590" w:right="3626"/>
        <w:jc w:val="center"/>
        <w:rPr>
          <w:b w:val="0"/>
          <w:bCs w:val="0"/>
        </w:rPr>
      </w:pPr>
      <w:bookmarkStart w:name="_bookmark9" w:id="10"/>
      <w:bookmarkEnd w:id="10"/>
      <w:r>
        <w:rPr>
          <w:b w:val="0"/>
          <w:bCs w:val="0"/>
        </w:rPr>
      </w:r>
      <w:r>
        <w:rPr/>
        <w:t>第十节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安永华明会计师事务所</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安永华明</w:t>
            </w:r>
            <w:r>
              <w:rPr>
                <w:rFonts w:ascii="Times New Roman" w:hAnsi="Times New Roman" w:cs="Times New Roman" w:eastAsia="Times New Roman" w:hint="default"/>
                <w:sz w:val="18"/>
                <w:szCs w:val="18"/>
              </w:rPr>
              <w:t>(2013)</w:t>
            </w:r>
            <w:r>
              <w:rPr>
                <w:rFonts w:ascii="宋体" w:hAnsi="宋体" w:cs="宋体" w:eastAsia="宋体" w:hint="default"/>
                <w:sz w:val="18"/>
                <w:szCs w:val="18"/>
              </w:rPr>
              <w:t>审字第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60644982_B01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pStyle w:val="BodyText"/>
        <w:spacing w:line="240" w:lineRule="auto" w:before="49"/>
        <w:ind w:left="3590" w:right="3628"/>
        <w:jc w:val="center"/>
      </w:pPr>
      <w:r>
        <w:rPr/>
        <w:t>审计报告正文</w:t>
      </w:r>
    </w:p>
    <w:p>
      <w:pPr>
        <w:pStyle w:val="BodyText"/>
        <w:spacing w:line="240" w:lineRule="auto" w:before="115"/>
        <w:ind w:right="0"/>
        <w:jc w:val="left"/>
      </w:pPr>
      <w:r>
        <w:rPr/>
        <w:t>上海美特斯邦威服饰股份有限公司全体股东：</w:t>
      </w:r>
    </w:p>
    <w:p>
      <w:pPr>
        <w:spacing w:line="240" w:lineRule="auto" w:before="4"/>
        <w:rPr>
          <w:rFonts w:ascii="宋体" w:hAnsi="宋体" w:cs="宋体" w:eastAsia="宋体" w:hint="default"/>
          <w:sz w:val="26"/>
          <w:szCs w:val="26"/>
        </w:rPr>
      </w:pPr>
    </w:p>
    <w:p>
      <w:pPr>
        <w:pStyle w:val="BodyText"/>
        <w:spacing w:line="240" w:lineRule="auto" w:before="44"/>
        <w:ind w:left="633" w:right="0"/>
        <w:jc w:val="left"/>
      </w:pPr>
      <w:r>
        <w:rPr/>
        <w:t>我们审计了后附的上海美特斯邦威服饰股份有限公司的财务报表，包括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日的合并及公司的资产负债表，</w:t>
      </w:r>
    </w:p>
    <w:p>
      <w:pPr>
        <w:pStyle w:val="BodyText"/>
        <w:spacing w:line="240" w:lineRule="auto" w:before="63"/>
        <w:ind w:right="0"/>
        <w:jc w:val="left"/>
      </w:pPr>
      <w:r>
        <w:rPr>
          <w:rFonts w:ascii="Times New Roman" w:hAnsi="Times New Roman" w:cs="Times New Roman" w:eastAsia="Times New Roman" w:hint="default"/>
        </w:rPr>
        <w:t>2012</w:t>
      </w:r>
      <w:r>
        <w:rPr/>
        <w:t>年度合并及公司的利润表、股东权益变动表和现金流量表以及财务报表附注。</w:t>
      </w:r>
    </w:p>
    <w:p>
      <w:pPr>
        <w:spacing w:line="240" w:lineRule="auto" w:before="0"/>
        <w:rPr>
          <w:rFonts w:ascii="宋体" w:hAnsi="宋体" w:cs="宋体" w:eastAsia="宋体" w:hint="default"/>
          <w:sz w:val="18"/>
          <w:szCs w:val="18"/>
        </w:rPr>
      </w:pPr>
    </w:p>
    <w:p>
      <w:pPr>
        <w:pStyle w:val="BodyText"/>
        <w:spacing w:line="316" w:lineRule="auto" w:before="139"/>
        <w:ind w:left="633" w:right="176"/>
        <w:jc w:val="left"/>
      </w:pPr>
      <w:r>
        <w:rPr/>
        <w:t>一、管理层对财务报表的责任 </w:t>
      </w:r>
      <w:r>
        <w:rPr>
          <w:spacing w:val="-1"/>
        </w:rPr>
        <w:t>编制和公允列报财务报表是上海美特斯邦威服饰股份有限公司管理层的责任。这种责任包括：</w:t>
      </w:r>
      <w:r>
        <w:rPr>
          <w:rFonts w:ascii="Times New Roman" w:hAnsi="Times New Roman" w:cs="Times New Roman" w:eastAsia="Times New Roman" w:hint="default"/>
          <w:spacing w:val="-1"/>
        </w:rPr>
        <w:t>(1)</w:t>
      </w:r>
      <w:r>
        <w:rPr>
          <w:spacing w:val="-1"/>
        </w:rPr>
        <w:t>按照企业会计准则的</w:t>
      </w:r>
    </w:p>
    <w:p>
      <w:pPr>
        <w:pStyle w:val="BodyText"/>
        <w:spacing w:line="300" w:lineRule="auto"/>
        <w:ind w:right="0"/>
        <w:jc w:val="left"/>
      </w:pPr>
      <w:r>
        <w:rPr/>
        <w:t>规定编制财务报表，并使其实现公允反映；</w:t>
      </w:r>
      <w:r>
        <w:rPr>
          <w:rFonts w:ascii="Times New Roman" w:hAnsi="Times New Roman" w:cs="Times New Roman" w:eastAsia="Times New Roman" w:hint="default"/>
        </w:rPr>
        <w:t>(2)</w:t>
      </w:r>
      <w:r>
        <w:rPr/>
        <w:t>设计、执行和维护必要的内部控制，以使财务报表不存在由于舞弊或错误导</w:t>
      </w:r>
      <w:r>
        <w:rPr>
          <w:spacing w:val="-32"/>
        </w:rPr>
        <w:t> </w:t>
      </w:r>
      <w:r>
        <w:rPr>
          <w:spacing w:val="-32"/>
        </w:rPr>
      </w:r>
      <w:r>
        <w:rPr/>
        <w:t>致的重大错报。</w:t>
      </w:r>
    </w:p>
    <w:p>
      <w:pPr>
        <w:spacing w:line="240" w:lineRule="auto" w:before="3"/>
        <w:rPr>
          <w:rFonts w:ascii="宋体" w:hAnsi="宋体" w:cs="宋体" w:eastAsia="宋体" w:hint="default"/>
          <w:sz w:val="26"/>
          <w:szCs w:val="26"/>
        </w:rPr>
      </w:pPr>
    </w:p>
    <w:p>
      <w:pPr>
        <w:pStyle w:val="BodyText"/>
        <w:spacing w:line="316" w:lineRule="auto"/>
        <w:ind w:left="633" w:right="0"/>
        <w:jc w:val="left"/>
      </w:pPr>
      <w:r>
        <w:rPr/>
        <w:t>二、注册会计师的责任 </w:t>
      </w:r>
      <w:r>
        <w:rPr>
          <w:spacing w:val="-1"/>
        </w:rPr>
        <w:t>我们的责任是在执行审计工作的基础上对财务报表发表审计意见。我们按照中国注册会计师审计准则的规定执行了审</w:t>
      </w:r>
    </w:p>
    <w:p>
      <w:pPr>
        <w:pStyle w:val="BodyText"/>
        <w:spacing w:line="316" w:lineRule="auto" w:before="19"/>
        <w:ind w:right="0"/>
        <w:jc w:val="left"/>
      </w:pPr>
      <w:r>
        <w:rPr>
          <w:spacing w:val="-2"/>
        </w:rPr>
        <w:t>计工作。中国注册会计师审计准则要求我们遵守中国注册会计师职业道德守则，计划和执行审计工作以对财务报表是否不存</w:t>
      </w:r>
      <w:r>
        <w:rPr>
          <w:spacing w:val="-63"/>
        </w:rPr>
        <w:t> </w:t>
      </w:r>
      <w:r>
        <w:rPr>
          <w:spacing w:val="-63"/>
        </w:rPr>
      </w:r>
      <w:r>
        <w:rPr/>
        <w:t>在重大错报获取合理保证。</w:t>
      </w:r>
    </w:p>
    <w:p>
      <w:pPr>
        <w:pStyle w:val="BodyText"/>
        <w:spacing w:line="316" w:lineRule="auto" w:before="19"/>
        <w:ind w:right="94" w:firstLine="480"/>
        <w:jc w:val="left"/>
      </w:pPr>
      <w:r>
        <w:rPr>
          <w:spacing w:val="-3"/>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pStyle w:val="BodyText"/>
        <w:spacing w:line="240" w:lineRule="auto" w:before="19"/>
        <w:ind w:left="633" w:right="0"/>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316" w:lineRule="auto" w:before="153"/>
        <w:ind w:left="633" w:right="0"/>
        <w:jc w:val="left"/>
      </w:pPr>
      <w:r>
        <w:rPr/>
        <w:t>三、审计意见 </w:t>
      </w:r>
      <w:r>
        <w:rPr>
          <w:spacing w:val="-1"/>
        </w:rPr>
        <w:t>我们认为，上述财务报表在所有重大方面按照企业会计准则的规定编制，公允反映了上海美特斯邦威服饰股份有限公</w:t>
      </w:r>
    </w:p>
    <w:p>
      <w:pPr>
        <w:pStyle w:val="BodyText"/>
        <w:spacing w:line="240" w:lineRule="auto" w:before="19"/>
        <w:ind w:right="0"/>
        <w:jc w:val="left"/>
      </w:pPr>
      <w:r>
        <w:rPr/>
        <w:t>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日的合并及公司的财务状况以及</w:t>
      </w:r>
      <w:r>
        <w:rPr>
          <w:rFonts w:ascii="Times New Roman" w:hAnsi="Times New Roman" w:cs="Times New Roman" w:eastAsia="Times New Roman" w:hint="default"/>
        </w:rPr>
        <w:t>2012</w:t>
      </w:r>
      <w:r>
        <w:rPr/>
        <w:t>年度的合并及公司的经营成果和现金流量。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pStyle w:val="BodyText"/>
        <w:tabs>
          <w:tab w:pos="7812" w:val="left" w:leader="none"/>
        </w:tabs>
        <w:spacing w:line="600" w:lineRule="auto"/>
        <w:ind w:left="2589" w:right="188" w:hanging="660"/>
        <w:jc w:val="right"/>
      </w:pPr>
      <w:r>
        <w:rPr/>
        <w:t>安永华明会计师事务所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tab/>
      </w:r>
      <w:r>
        <w:rPr/>
        <w:t>中国注册会计师：毕舜杰 中国</w:t>
      </w:r>
      <w:r>
        <w:rPr>
          <w:spacing w:val="54"/>
        </w:rPr>
        <w:t> </w:t>
      </w:r>
      <w:r>
        <w:rPr/>
        <w:t>北京</w:t>
        <w:tab/>
        <w:t>中国注册会计师：张</w:t>
      </w:r>
      <w:r>
        <w:rPr>
          <w:spacing w:val="89"/>
        </w:rPr>
        <w:t> </w:t>
      </w:r>
      <w:r>
        <w:rPr/>
        <w:t>炯</w:t>
      </w:r>
    </w:p>
    <w:p>
      <w:pPr>
        <w:pStyle w:val="BodyText"/>
        <w:spacing w:line="240" w:lineRule="auto" w:before="118"/>
        <w:ind w:left="0" w:right="188"/>
        <w:jc w:val="righ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w:t>
      </w:r>
    </w:p>
    <w:p>
      <w:pPr>
        <w:spacing w:after="0" w:line="240" w:lineRule="auto"/>
        <w:jc w:val="right"/>
        <w:sectPr>
          <w:pgSz w:w="11910" w:h="16840"/>
          <w:pgMar w:header="850" w:footer="1186" w:top="1440" w:bottom="1380" w:left="980" w:right="940"/>
        </w:sectPr>
      </w:pPr>
    </w:p>
    <w:p>
      <w:pPr>
        <w:pStyle w:val="Heading2"/>
        <w:spacing w:line="240" w:lineRule="auto" w:before="13"/>
        <w:ind w:right="0"/>
        <w:jc w:val="left"/>
        <w:rPr>
          <w:b w:val="0"/>
          <w:bCs w:val="0"/>
        </w:rPr>
      </w:pPr>
      <w:r>
        <w:rPr/>
        <w:pict>
          <v:group style="position:absolute;margin-left:55.200001pt;margin-top:2.185603pt;width:484.9pt;height:.1pt;mso-position-horizontal-relative:page;mso-position-vertical-relative:paragraph;z-index:-751840" coordorigin="1104,44" coordsize="9698,2">
            <v:shape style="position:absolute;left:1104;top:44;width:9698;height:2" coordorigin="1104,44" coordsize="9698,0" path="m1104,44l10802,44e" filled="false" stroked="true" strokeweight=".72pt" strokecolor="#000000">
              <v:path arrowok="t"/>
            </v:shape>
            <w10:wrap type="none"/>
          </v:group>
        </w:pict>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编制单位：上海美特斯邦威服饰股份有限公司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628,617,892.00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1,087,630,855.00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464,840,757.00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1,161,864,197.00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296,512,881.00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487,699,428.00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310,026,198.00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334,760,460.00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2,005,951,249.00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2,559,836,156.00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3,705,948,977.00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5,631,791,096.00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162,758,919.00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164,480,663.00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46,169,771.00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24,095,002.00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80,583,309.00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68,262,217.00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2,081,082,545.00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1,922,979,093.00</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186" w:top="1440" w:bottom="1380" w:left="980" w:right="980"/>
        </w:sectPr>
      </w:pPr>
    </w:p>
    <w:p>
      <w:pPr>
        <w:spacing w:line="240" w:lineRule="auto" w:before="5"/>
        <w:rPr>
          <w:rFonts w:ascii="Times New Roman" w:hAnsi="Times New Roman" w:cs="Times New Roman" w:eastAsia="Times New Roman" w:hint="default"/>
          <w:sz w:val="17"/>
          <w:szCs w:val="17"/>
        </w:rPr>
      </w:pPr>
      <w:r>
        <w:rPr/>
        <w:pict>
          <v:shape style="position:absolute;margin-left:57pt;margin-top:73.799980pt;width:478.7pt;height:684.95pt;mso-position-horizontal-relative:page;mso-position-vertical-relative:page;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1"/>
                    <w:gridCol w:w="3303"/>
                  </w:tblGrid>
                  <w:tr>
                    <w:trPr>
                      <w:trHeight w:val="416"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10" w:space="0" w:color="000000"/>
                          <w:left w:val="single" w:sz="10"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26,708,388.00</w:t>
                        </w:r>
                      </w:p>
                    </w:tc>
                    <w:tc>
                      <w:tcPr>
                        <w:tcW w:w="33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153,924,940.00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188,923,878.00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188,184,605.00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248,381,502.00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284,047,753.00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457,947,141.00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385,872,238.00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7,835,724.00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58,851,358.00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3,300,391,177.00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3,250,697,869.00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7,006,340,154.00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8,882,488,965.00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794,224,413.00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2,369,314,076.00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43,906,076.00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15,550,199.00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539,264,789.00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606,388,569.00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70,636,427.00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27,197,086.00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108,499,928.00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124,280,136.00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300,606,139.00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230,488,209.00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207,902,776.00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245,170,750.00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0" w:footer="1186" w:top="1500" w:bottom="1380" w:left="102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p>
      <w:pPr>
        <w:pStyle w:val="Heading4"/>
        <w:spacing w:line="240" w:lineRule="auto" w:before="36"/>
        <w:ind w:left="112" w:right="0"/>
        <w:jc w:val="left"/>
        <w:rPr>
          <w:b w:val="0"/>
          <w:bCs w:val="0"/>
        </w:rPr>
      </w:pPr>
      <w:r>
        <w:rPr/>
        <w:pict>
          <v:shape style="position:absolute;margin-left:57pt;margin-top:-532.246338pt;width:478.7pt;height:519.7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1"/>
                    <w:gridCol w:w="3303"/>
                  </w:tblGrid>
                  <w:tr>
                    <w:trPr>
                      <w:trHeight w:val="416"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10" w:space="0" w:color="000000"/>
                          <w:left w:val="single" w:sz="10"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809,418,082.00</w:t>
                        </w:r>
                      </w:p>
                    </w:tc>
                    <w:tc>
                      <w:tcPr>
                        <w:tcW w:w="33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1,038,156,712.00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2,874,458,630.00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4,656,545,737.00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2,874,458,630.00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4,756,545,737.00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1,069,730,154.00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1,069,174,251.00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608,543,364.00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558,716,738.00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1,448,608,006.00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1,493,052,239.00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4,131,881,524.00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4,125,943,228.00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4,131,881,524.00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4,125,943,228.00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7,006,340,154.00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8,882,488,965.00</w:t>
                        </w:r>
                      </w:p>
                    </w:tc>
                  </w:tr>
                </w:tbl>
                <w:p>
                  <w:pPr/>
                </w:p>
              </w:txbxContent>
            </v:textbox>
            <w10:wrap type="none"/>
          </v:shape>
        </w:pict>
      </w: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12" w:right="0"/>
        <w:jc w:val="left"/>
      </w:pPr>
      <w:r>
        <w:rPr/>
        <w:t>编制单位：上海美特斯邦威服饰股份有限公司</w:t>
      </w:r>
    </w:p>
    <w:p>
      <w:pPr>
        <w:pStyle w:val="BodyText"/>
        <w:spacing w:line="240" w:lineRule="auto" w:before="115"/>
        <w:ind w:left="0" w:right="111"/>
        <w:jc w:val="right"/>
      </w:pPr>
      <w:r>
        <w:rPr/>
        <w:t>单位：元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955"/>
        <w:gridCol w:w="3300"/>
        <w:gridCol w:w="3303"/>
      </w:tblGrid>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8"/>
              <w:jc w:val="right"/>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38" w:right="0"/>
              <w:jc w:val="left"/>
              <w:rPr>
                <w:rFonts w:ascii="Times New Roman" w:hAnsi="Times New Roman" w:cs="Times New Roman" w:eastAsia="Times New Roman" w:hint="default"/>
                <w:sz w:val="18"/>
                <w:szCs w:val="18"/>
              </w:rPr>
            </w:pPr>
            <w:r>
              <w:rPr>
                <w:rFonts w:ascii="Times New Roman"/>
                <w:sz w:val="18"/>
              </w:rPr>
              <w:t>217,336,101.00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725,604,842.00</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11"/>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186" w:top="1500" w:bottom="1380" w:left="1020" w:right="1020"/>
        </w:sectPr>
      </w:pPr>
    </w:p>
    <w:p>
      <w:pPr>
        <w:spacing w:line="240" w:lineRule="auto" w:before="5"/>
        <w:rPr>
          <w:rFonts w:ascii="Times New Roman" w:hAnsi="Times New Roman" w:cs="Times New Roman" w:eastAsia="Times New Roman" w:hint="default"/>
          <w:sz w:val="17"/>
          <w:szCs w:val="17"/>
        </w:rPr>
      </w:pPr>
      <w:r>
        <w:rPr/>
        <w:pict>
          <v:shape style="position:absolute;margin-left:57pt;margin-top:73.799980pt;width:478.7pt;height:684.95pt;mso-position-horizontal-relative:page;mso-position-vertical-relative:page;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2"/>
                    <w:gridCol w:w="3314"/>
                    <w:gridCol w:w="3303"/>
                  </w:tblGrid>
                  <w:tr>
                    <w:trPr>
                      <w:trHeight w:val="416" w:hRule="exact"/>
                    </w:trPr>
                    <w:tc>
                      <w:tcPr>
                        <w:tcW w:w="294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10" w:space="0" w:color="000000"/>
                          <w:left w:val="single" w:sz="10" w:space="0" w:color="D2D2D2"/>
                          <w:bottom w:val="single" w:sz="4" w:space="0" w:color="000000"/>
                          <w:right w:val="single" w:sz="4" w:space="0" w:color="000000"/>
                        </w:tcBorders>
                      </w:tcPr>
                      <w:p>
                        <w:pPr/>
                      </w:p>
                    </w:tc>
                    <w:tc>
                      <w:tcPr>
                        <w:tcW w:w="3303" w:type="dxa"/>
                        <w:tcBorders>
                          <w:top w:val="single" w:sz="10"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4,383,003,337.00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5,135,355,370.00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78,865,345.00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236,016,672.00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618,096,913.00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541,333,061.00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918,532,936.00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1,296,196,392.00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6,215,834,632.00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7,934,506,337.00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16,375,577.00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17,007,722.00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439,803,797.00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403,729,028.00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1,213,558,500.00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1,174,343,223.00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459,901,286.00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441,161,578.00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21,353,779.00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57,205,002.00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298,064,089.00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198,040,332.00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77,516,853.00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62,376,179.00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18,227,586.00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15,812,480.00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7,578,045.00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58,851,358.00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2,552,379,512.00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2,428,526,902.00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8,768,214,144.00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10,363,033,239.00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594,224,413.00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2,369,314,076.00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43,906,076.00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15,550,199.00</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0" w:footer="1186" w:top="1500" w:bottom="1380" w:left="1020" w:right="1080"/>
        </w:sectPr>
      </w:pPr>
    </w:p>
    <w:p>
      <w:pPr>
        <w:spacing w:line="240" w:lineRule="auto" w:before="5"/>
        <w:rPr>
          <w:rFonts w:ascii="Times New Roman" w:hAnsi="Times New Roman" w:cs="Times New Roman" w:eastAsia="Times New Roman" w:hint="default"/>
          <w:sz w:val="17"/>
          <w:szCs w:val="17"/>
        </w:rPr>
      </w:pPr>
      <w:r>
        <w:rPr/>
        <w:pict>
          <v:shape style="position:absolute;margin-left:57pt;margin-top:73.799980pt;width:478.7pt;height:640.3pt;mso-position-horizontal-relative:page;mso-position-vertical-relative:page;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2"/>
                    <w:gridCol w:w="3314"/>
                    <w:gridCol w:w="3303"/>
                  </w:tblGrid>
                  <w:tr>
                    <w:trPr>
                      <w:trHeight w:val="416" w:hRule="exact"/>
                    </w:trPr>
                    <w:tc>
                      <w:tcPr>
                        <w:tcW w:w="294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10" w:space="0" w:color="000000"/>
                          <w:left w:val="single" w:sz="10"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1,321,211,353.00</w:t>
                        </w:r>
                      </w:p>
                    </w:tc>
                    <w:tc>
                      <w:tcPr>
                        <w:tcW w:w="33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1,010,137,024.00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87,900,730.00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54,273,262.00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46,990,710.00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50,619,728.00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241,952,112.00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342,727,153.00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582,549,921.00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164,559,615.00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809,418,082.00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1,038,156,712.00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3,728,153,397.00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5,045,337,769.00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3,728,153,397.00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5,145,337,769.00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994,565,428.00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994,009,525.00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502,500,000.00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462,440,991.00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2,537,995,319.00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2,756,244,954.00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5,040,060,747.00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5,217,695,470.00</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8,768,214,144.00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10,363,033,239.00</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0" w:footer="1186" w:top="1500" w:bottom="1380" w:left="1020" w:right="108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编制单位：上海美特斯邦威服饰股份有限公司</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9,509,550,614.00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9,945,057,797.00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9,509,550,614.00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9,945,057,797.00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8,604,376,165.00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8,491,073,291.00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5,272,796,271.00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5,552,258,986.00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62,377,702.00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55,069,792.00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2,772,165,147.00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2,305,129,855.00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265,102,432.00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340,910,993.00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167,934,014.00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206,614,065.00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64,000,599.00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31,089,600.00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-10,925,231.00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-8,387,877.00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-10,925,231.00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-8,904,998.00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894,249,218.00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1,445,596,629.00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227,709,470.00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159,139,489.00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18,486,463.00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28,672,476.00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13,997,835.00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22,010,466.00</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186" w:top="1440" w:bottom="1380" w:left="980" w:right="980"/>
        </w:sectPr>
      </w:pPr>
    </w:p>
    <w:p>
      <w:pPr>
        <w:spacing w:line="240" w:lineRule="auto" w:before="6"/>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945"/>
        <w:gridCol w:w="3311"/>
        <w:gridCol w:w="3303"/>
      </w:tblGrid>
      <w:tr>
        <w:trPr>
          <w:trHeight w:val="374"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10" w:space="0" w:color="000000"/>
              <w:left w:val="single" w:sz="10" w:space="0" w:color="D2D2D2"/>
              <w:bottom w:val="single" w:sz="4" w:space="0" w:color="000000"/>
              <w:right w:val="single" w:sz="4" w:space="0" w:color="000000"/>
            </w:tcBorders>
          </w:tcPr>
          <w:p>
            <w:pPr/>
          </w:p>
        </w:tc>
        <w:tc>
          <w:tcPr>
            <w:tcW w:w="3303" w:type="dxa"/>
            <w:tcBorders>
              <w:top w:val="single" w:sz="10"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1,103,472,225.00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1,576,063,642.00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253,889,832.00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370,056,230.00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849,582,393.00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1,206,007,412.00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849,582,393.00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1,206,007,412.00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849,582,393.00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1,206,007,412.00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849,582,393.00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1,206,007,412.00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112" w:right="0"/>
        <w:jc w:val="left"/>
      </w:pPr>
      <w:r>
        <w:rPr/>
        <w:t>编制单位：上海美特斯邦威服饰股份有限公司</w:t>
      </w:r>
    </w:p>
    <w:p>
      <w:pPr>
        <w:pStyle w:val="BodyText"/>
        <w:spacing w:line="240" w:lineRule="auto" w:before="117"/>
        <w:ind w:left="0" w:right="111"/>
        <w:jc w:val="right"/>
      </w:pPr>
      <w:r>
        <w:rPr/>
        <w:t>单位：元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7,516,468,622.00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9,277,020,073.00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5,310,419,041.00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6,008,050,613.00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24,669,020.00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30,266,008.00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720,475,943.00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647,127,554.00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522,121,734.00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453,451,522.00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181,484,443.00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214,762,240.00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28,214,157.00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23,918,219.00</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-10,925,231.00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-8,404,998.00</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-10,925,231.00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-8,904,998.00</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186" w:top="1440" w:bottom="1380" w:left="1020" w:right="1020"/>
        </w:sectPr>
      </w:pPr>
    </w:p>
    <w:p>
      <w:pPr>
        <w:spacing w:line="240" w:lineRule="auto" w:before="6"/>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942"/>
        <w:gridCol w:w="3314"/>
        <w:gridCol w:w="3303"/>
      </w:tblGrid>
      <w:tr>
        <w:trPr>
          <w:trHeight w:val="416" w:hRule="exact"/>
        </w:trPr>
        <w:tc>
          <w:tcPr>
            <w:tcW w:w="294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10" w:space="0" w:color="000000"/>
              <w:left w:val="single" w:sz="10"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718,159,053.00</w:t>
            </w:r>
          </w:p>
        </w:tc>
        <w:tc>
          <w:tcPr>
            <w:tcW w:w="33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1,891,038,919.00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182,769,908.00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125,466,792.00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7,196,105.00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2,455,971.00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480,431.00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73,300.00</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893,732,856.00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2,014,049,740.00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227,723,482.00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488,423,283.00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666,009,374.00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1,525,626,457.00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666,009,374.00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1,525,626,457.00</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12" w:right="0"/>
        <w:jc w:val="left"/>
      </w:pPr>
      <w:r>
        <w:rPr/>
        <w:t>编制单位：上海美特斯邦威服饰股份有限公司</w:t>
      </w:r>
    </w:p>
    <w:p>
      <w:pPr>
        <w:pStyle w:val="BodyText"/>
        <w:spacing w:line="240" w:lineRule="auto" w:before="117"/>
        <w:ind w:left="0" w:right="111"/>
        <w:jc w:val="right"/>
      </w:pPr>
      <w:r>
        <w:rPr/>
        <w:t>单位：元</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11,858,780,439.00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11,423,237,532.00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27,624,992.00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27,217,068.00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258,577,886.00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175,207,499.00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12,144,983,317.00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11,625,662,099.00</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186" w:top="1440" w:bottom="1380" w:left="1020" w:right="1020"/>
        </w:sectPr>
      </w:pPr>
    </w:p>
    <w:p>
      <w:pPr>
        <w:spacing w:line="240" w:lineRule="auto" w:before="5"/>
        <w:rPr>
          <w:rFonts w:ascii="Times New Roman" w:hAnsi="Times New Roman" w:cs="Times New Roman" w:eastAsia="Times New Roman" w:hint="default"/>
          <w:sz w:val="17"/>
          <w:szCs w:val="17"/>
        </w:rPr>
      </w:pPr>
      <w:r>
        <w:rPr/>
        <w:pict>
          <v:shape style="position:absolute;margin-left:57pt;margin-top:73.799980pt;width:478.7pt;height:693.7pt;mso-position-horizontal-relative:page;mso-position-vertical-relative:page;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1"/>
                    <w:gridCol w:w="3303"/>
                  </w:tblGrid>
                  <w:tr>
                    <w:trPr>
                      <w:trHeight w:val="416"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10" w:space="0" w:color="000000"/>
                          <w:left w:val="single" w:sz="9" w:space="0" w:color="D2D2D2"/>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5,597,584,793.00</w:t>
                        </w:r>
                      </w:p>
                    </w:tc>
                    <w:tc>
                      <w:tcPr>
                        <w:tcW w:w="33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7,152,992,277.00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1,045,769,641.00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829,510,688.00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1,066,190,043.00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1,106,300,275.00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1,578,957,975.00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1,560,201,231.00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9,288,502,452.00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10,649,004,471.00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2,856,480,865.00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976,657,628.00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7,203,139.00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53,339,687.00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4,461,669.00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7,203,139.00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57,801,356.00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360,561,175.00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496,173,960.00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393,561,175.00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496,173,960.00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-386,358,036.00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-438,372,604.00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2,722,595,625.00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3,475,630,211.00</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0" w:footer="1186" w:top="1500" w:bottom="1380" w:left="1020" w:right="1080"/>
        </w:sectPr>
      </w:pPr>
    </w:p>
    <w:p>
      <w:pPr>
        <w:spacing w:line="240" w:lineRule="auto" w:before="9"/>
        <w:rPr>
          <w:rFonts w:ascii="Times New Roman" w:hAnsi="Times New Roman" w:cs="Times New Roman" w:eastAsia="Times New Roman"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16" w:hRule="exact"/>
        </w:trPr>
        <w:tc>
          <w:tcPr>
            <w:tcW w:w="296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800,000,000.00</w:t>
            </w:r>
          </w:p>
        </w:tc>
        <w:tc>
          <w:tcPr>
            <w:tcW w:w="33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1,000,000,000.00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131,875,236.00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212,119,293.00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3,654,470,861.00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4,687,749,504.00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5,397,685,288.00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4,382,697,026.00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1,050,846,129.00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721,591,290.00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65,060,164.00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108,382,309.00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6,513,591,581.00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5,212,670,625.00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-2,859,120,720.00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-524,921,121.00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-388,997,891.00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13,363,903.00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1,004,347,075.00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990,983,172.00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615,349,184.00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1,004,347,075.00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left="112"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12" w:right="0"/>
        <w:jc w:val="left"/>
      </w:pPr>
      <w:r>
        <w:rPr/>
        <w:t>编制单位：上海美特斯邦威服饰股份有限公司</w:t>
      </w:r>
    </w:p>
    <w:p>
      <w:pPr>
        <w:pStyle w:val="BodyText"/>
        <w:spacing w:line="240" w:lineRule="auto" w:before="115"/>
        <w:ind w:left="0" w:right="111"/>
        <w:jc w:val="right"/>
      </w:pPr>
      <w:r>
        <w:rPr/>
        <w:t>单位：元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9,566,539,399.00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9,689,982,230.00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222,320,787.00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142,400,737.00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9,788,860,186.00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9,832,382,967.00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5,339,898,315.00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7,145,508,540.00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357,078,562.00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256,078,495.00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718,296,201.00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869,300,195.00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528,516,081.00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546,005,626.00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6,943,789,159.00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8,816,892,856.00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2,845,071,027.00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2"/>
                <w:sz w:val="18"/>
              </w:rPr>
              <w:t>1,015,490,111.00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186" w:top="1440" w:bottom="1380" w:left="1020" w:right="1020"/>
        </w:sectPr>
      </w:pPr>
    </w:p>
    <w:p>
      <w:pPr>
        <w:spacing w:line="240" w:lineRule="auto" w:before="5"/>
        <w:rPr>
          <w:rFonts w:ascii="Times New Roman" w:hAnsi="Times New Roman" w:cs="Times New Roman" w:eastAsia="Times New Roman" w:hint="default"/>
          <w:sz w:val="17"/>
          <w:szCs w:val="17"/>
        </w:rPr>
      </w:pPr>
      <w:r>
        <w:rPr/>
        <w:pict>
          <v:shape style="position:absolute;margin-left:57pt;margin-top:73.799980pt;width:478.7pt;height:617.75pt;mso-position-horizontal-relative:page;mso-position-vertical-relative:page;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1"/>
                    <w:gridCol w:w="3303"/>
                  </w:tblGrid>
                  <w:tr>
                    <w:trPr>
                      <w:trHeight w:val="416" w:hRule="exact"/>
                    </w:trPr>
                    <w:tc>
                      <w:tcPr>
                        <w:tcW w:w="294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10" w:space="0" w:color="000000"/>
                          <w:left w:val="single" w:sz="9" w:space="0" w:color="D2D2D2"/>
                          <w:bottom w:val="single" w:sz="4" w:space="0" w:color="000000"/>
                          <w:right w:val="single" w:sz="4" w:space="0" w:color="000000"/>
                        </w:tcBorders>
                      </w:tcPr>
                      <w:p>
                        <w:pPr/>
                      </w:p>
                    </w:tc>
                    <w:tc>
                      <w:tcPr>
                        <w:tcW w:w="3303" w:type="dxa"/>
                        <w:tcBorders>
                          <w:top w:val="single" w:sz="10"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265,906.00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50,547,272.00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265,906.00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55,047,272.00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178,463,554.00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371,184,746.00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225,463,554.00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381,184,746.00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-225,197,648.00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-326,137,474.00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2,272,595,625.00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3,475,630,212.00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131,875,236.00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137,119,292.00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3,204,470,861.00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4,612,749,504.00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5,147,685,288.00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4,242,697,026.00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1,049,852,456.00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721,591,290.00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65,060,164.00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108,382,309.00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6,262,597,908.00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5,072,670,625.00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-3,058,127,047.00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-459,921,121.00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-438,253,668.00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229,431,516.00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642,321,062.00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412,889,546.00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204,067,394.00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642,321,062.00</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10" w:h="16840"/>
          <w:pgMar w:header="850" w:footer="1186" w:top="1500" w:bottom="1380" w:left="1020" w:right="10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40"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headerReference w:type="default" r:id="rId16"/>
          <w:footerReference w:type="default" r:id="rId17"/>
          <w:pgSz w:w="16840" w:h="11910" w:orient="landscape"/>
          <w:pgMar w:header="850" w:footer="1186" w:top="1440" w:bottom="1380" w:left="1300" w:right="1260"/>
          <w:pgNumType w:start="56"/>
        </w:sectPr>
      </w:pPr>
    </w:p>
    <w:p>
      <w:pPr>
        <w:pStyle w:val="BodyText"/>
        <w:spacing w:line="360" w:lineRule="auto" w:before="44"/>
        <w:ind w:left="140" w:right="-20"/>
        <w:jc w:val="left"/>
      </w:pPr>
      <w:r>
        <w:rPr/>
        <w:t>编制单位：上海美特斯邦威服饰股份有限公司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40" w:right="0"/>
        <w:jc w:val="left"/>
      </w:pPr>
      <w:r>
        <w:rPr/>
        <w:t>单位：元</w:t>
      </w:r>
    </w:p>
    <w:p>
      <w:pPr>
        <w:spacing w:after="0" w:line="240" w:lineRule="auto"/>
        <w:jc w:val="left"/>
        <w:sectPr>
          <w:type w:val="continuous"/>
          <w:pgSz w:w="16840" w:h="11910" w:orient="landscape"/>
          <w:pgMar w:top="840" w:bottom="280" w:left="1300" w:right="1260"/>
          <w:cols w:num="2" w:equalWidth="0">
            <w:col w:w="3741" w:space="9500"/>
            <w:col w:w="1039"/>
          </w:cols>
        </w:sectPr>
      </w:pPr>
    </w:p>
    <w:p>
      <w:pPr>
        <w:spacing w:line="240" w:lineRule="auto" w:before="4"/>
        <w:rPr>
          <w:rFonts w:ascii="宋体" w:hAnsi="宋体" w:cs="宋体" w:eastAsia="宋体"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410"/>
        <w:gridCol w:w="1923"/>
        <w:gridCol w:w="1538"/>
        <w:gridCol w:w="706"/>
        <w:gridCol w:w="706"/>
        <w:gridCol w:w="1402"/>
        <w:gridCol w:w="706"/>
        <w:gridCol w:w="1538"/>
        <w:gridCol w:w="706"/>
        <w:gridCol w:w="841"/>
        <w:gridCol w:w="1538"/>
      </w:tblGrid>
      <w:tr>
        <w:trPr>
          <w:trHeight w:val="402" w:hRule="exact"/>
        </w:trPr>
        <w:tc>
          <w:tcPr>
            <w:tcW w:w="2410" w:type="dxa"/>
            <w:vMerge w:val="restart"/>
            <w:tcBorders>
              <w:top w:val="single" w:sz="4" w:space="0" w:color="000000"/>
              <w:left w:val="single" w:sz="4" w:space="0" w:color="000000"/>
              <w:right w:val="single" w:sz="4" w:space="0" w:color="000000"/>
            </w:tcBorders>
            <w:shd w:val="clear" w:color="auto" w:fill="D2D2D2"/>
          </w:tcPr>
          <w:p>
            <w:pPr/>
          </w:p>
        </w:tc>
        <w:tc>
          <w:tcPr>
            <w:tcW w:w="1160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84" w:hRule="exact"/>
        </w:trPr>
        <w:tc>
          <w:tcPr>
            <w:tcW w:w="2410" w:type="dxa"/>
            <w:vMerge/>
            <w:tcBorders>
              <w:left w:val="single" w:sz="4" w:space="0" w:color="000000"/>
              <w:bottom w:val="nil" w:sz="6" w:space="0" w:color="auto"/>
              <w:right w:val="single" w:sz="4" w:space="0" w:color="000000"/>
            </w:tcBorders>
            <w:shd w:val="clear" w:color="auto" w:fill="D2D2D2"/>
          </w:tcPr>
          <w:p>
            <w:pPr/>
          </w:p>
        </w:tc>
        <w:tc>
          <w:tcPr>
            <w:tcW w:w="9224"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vMerge w:val="restart"/>
            <w:tcBorders>
              <w:top w:val="single" w:sz="4" w:space="0" w:color="000000"/>
              <w:left w:val="single" w:sz="4" w:space="0" w:color="000000"/>
              <w:right w:val="single" w:sz="4" w:space="0" w:color="000000"/>
            </w:tcBorders>
            <w:shd w:val="clear" w:color="auto" w:fill="D2D2D2"/>
          </w:tcPr>
          <w:p>
            <w:pPr/>
          </w:p>
        </w:tc>
      </w:tr>
      <w:tr>
        <w:trPr>
          <w:trHeight w:val="196" w:hRule="exact"/>
        </w:trPr>
        <w:tc>
          <w:tcPr>
            <w:tcW w:w="24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224" w:type="dxa"/>
            <w:gridSpan w:val="8"/>
            <w:vMerge/>
            <w:tcBorders>
              <w:left w:val="single" w:sz="4" w:space="0" w:color="000000"/>
              <w:bottom w:val="single" w:sz="4" w:space="0" w:color="000000"/>
              <w:right w:val="single" w:sz="4" w:space="0" w:color="000000"/>
            </w:tcBorders>
            <w:shd w:val="clear" w:color="auto" w:fill="D2D2D2"/>
          </w:tcPr>
          <w:p>
            <w:pPr/>
          </w:p>
        </w:tc>
        <w:tc>
          <w:tcPr>
            <w:tcW w:w="84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235" w:right="53" w:hanging="181"/>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538"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2410" w:type="dxa"/>
            <w:vMerge/>
            <w:tcBorders>
              <w:left w:val="single" w:sz="4" w:space="0" w:color="000000"/>
              <w:bottom w:val="single" w:sz="4" w:space="0" w:color="FFFFFF"/>
              <w:right w:val="single" w:sz="4" w:space="0" w:color="000000"/>
            </w:tcBorders>
            <w:shd w:val="clear" w:color="auto" w:fill="D2D2D2"/>
          </w:tcPr>
          <w:p>
            <w:pPr/>
          </w:p>
        </w:tc>
        <w:tc>
          <w:tcPr>
            <w:tcW w:w="192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153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0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259" w:right="19" w:hanging="236"/>
              <w:jc w:val="left"/>
              <w:rPr>
                <w:rFonts w:ascii="宋体" w:hAnsi="宋体" w:cs="宋体" w:eastAsia="宋体" w:hint="default"/>
                <w:sz w:val="18"/>
                <w:szCs w:val="18"/>
              </w:rPr>
            </w:pPr>
            <w:r>
              <w:rPr>
                <w:rFonts w:ascii="宋体" w:hAnsi="宋体" w:cs="宋体" w:eastAsia="宋体" w:hint="default"/>
                <w:spacing w:val="-18"/>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70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259" w:right="7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4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76" w:right="7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6" w:type="dxa"/>
            <w:tcBorders>
              <w:top w:val="single" w:sz="4" w:space="0" w:color="000000"/>
              <w:left w:val="single" w:sz="4" w:space="0" w:color="000000"/>
              <w:bottom w:val="nil" w:sz="6" w:space="0" w:color="auto"/>
              <w:right w:val="single" w:sz="4" w:space="0" w:color="000000"/>
            </w:tcBorders>
            <w:shd w:val="clear" w:color="auto" w:fill="D2D2D2"/>
          </w:tcPr>
          <w:p>
            <w:pPr/>
          </w:p>
        </w:tc>
        <w:tc>
          <w:tcPr>
            <w:tcW w:w="841" w:type="dxa"/>
            <w:vMerge/>
            <w:tcBorders>
              <w:left w:val="single" w:sz="4" w:space="0" w:color="000000"/>
              <w:right w:val="single" w:sz="4" w:space="0" w:color="000000"/>
            </w:tcBorders>
            <w:shd w:val="clear" w:color="auto" w:fill="D2D2D2"/>
          </w:tcPr>
          <w:p>
            <w:pP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3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3" w:hRule="exact"/>
        </w:trPr>
        <w:tc>
          <w:tcPr>
            <w:tcW w:w="2410" w:type="dxa"/>
            <w:vMerge w:val="restart"/>
            <w:tcBorders>
              <w:top w:val="single" w:sz="4" w:space="0" w:color="FFFFFF"/>
              <w:left w:val="single" w:sz="4" w:space="0" w:color="000000"/>
              <w:right w:val="single" w:sz="4" w:space="0" w:color="000000"/>
            </w:tcBorders>
            <w:shd w:val="clear" w:color="auto" w:fill="D2D2D2"/>
          </w:tcPr>
          <w:p>
            <w:pPr/>
          </w:p>
        </w:tc>
        <w:tc>
          <w:tcPr>
            <w:tcW w:w="192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5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53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4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6" w:type="dxa"/>
            <w:vMerge/>
            <w:tcBorders>
              <w:left w:val="single" w:sz="4" w:space="0" w:color="000000"/>
              <w:right w:val="single" w:sz="4" w:space="0" w:color="000000"/>
            </w:tcBorders>
            <w:shd w:val="clear" w:color="auto" w:fill="D2D2D2"/>
          </w:tcPr>
          <w:p>
            <w:pPr/>
          </w:p>
        </w:tc>
        <w:tc>
          <w:tcPr>
            <w:tcW w:w="706" w:type="dxa"/>
            <w:vMerge/>
            <w:tcBorders>
              <w:left w:val="single" w:sz="4" w:space="0" w:color="000000"/>
              <w:right w:val="single" w:sz="4" w:space="0" w:color="000000"/>
            </w:tcBorders>
            <w:shd w:val="clear" w:color="auto" w:fill="D2D2D2"/>
          </w:tcPr>
          <w:p>
            <w:pPr/>
          </w:p>
        </w:tc>
        <w:tc>
          <w:tcPr>
            <w:tcW w:w="14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33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6" w:type="dxa"/>
            <w:vMerge/>
            <w:tcBorders>
              <w:left w:val="single" w:sz="4" w:space="0" w:color="000000"/>
              <w:right w:val="single" w:sz="4" w:space="0" w:color="000000"/>
            </w:tcBorders>
            <w:shd w:val="clear" w:color="auto" w:fill="D2D2D2"/>
          </w:tcPr>
          <w:p>
            <w:pP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31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1" w:type="dxa"/>
            <w:vMerge/>
            <w:tcBorders>
              <w:left w:val="single" w:sz="4" w:space="0" w:color="000000"/>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2410" w:type="dxa"/>
            <w:vMerge/>
            <w:tcBorders>
              <w:left w:val="single" w:sz="4" w:space="0" w:color="000000"/>
              <w:right w:val="single" w:sz="4" w:space="0" w:color="000000"/>
            </w:tcBorders>
            <w:shd w:val="clear" w:color="auto" w:fill="D2D2D2"/>
          </w:tcPr>
          <w:p>
            <w:pPr/>
          </w:p>
        </w:tc>
        <w:tc>
          <w:tcPr>
            <w:tcW w:w="192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706" w:type="dxa"/>
            <w:vMerge/>
            <w:tcBorders>
              <w:left w:val="single" w:sz="4" w:space="0" w:color="000000"/>
              <w:right w:val="single" w:sz="4" w:space="0" w:color="000000"/>
            </w:tcBorders>
            <w:shd w:val="clear" w:color="auto" w:fill="D2D2D2"/>
          </w:tcPr>
          <w:p>
            <w:pPr/>
          </w:p>
        </w:tc>
        <w:tc>
          <w:tcPr>
            <w:tcW w:w="706" w:type="dxa"/>
            <w:vMerge/>
            <w:tcBorders>
              <w:left w:val="single" w:sz="4" w:space="0" w:color="000000"/>
              <w:right w:val="single" w:sz="4" w:space="0" w:color="000000"/>
            </w:tcBorders>
            <w:shd w:val="clear" w:color="auto" w:fill="D2D2D2"/>
          </w:tcPr>
          <w:p>
            <w:pPr/>
          </w:p>
        </w:tc>
        <w:tc>
          <w:tcPr>
            <w:tcW w:w="1402" w:type="dxa"/>
            <w:vMerge/>
            <w:tcBorders>
              <w:left w:val="single" w:sz="4" w:space="0" w:color="000000"/>
              <w:bottom w:val="nil" w:sz="6" w:space="0" w:color="auto"/>
              <w:right w:val="single" w:sz="4" w:space="0" w:color="000000"/>
            </w:tcBorders>
            <w:shd w:val="clear" w:color="auto" w:fill="D2D2D2"/>
          </w:tcPr>
          <w:p>
            <w:pPr/>
          </w:p>
        </w:tc>
        <w:tc>
          <w:tcPr>
            <w:tcW w:w="706" w:type="dxa"/>
            <w:vMerge/>
            <w:tcBorders>
              <w:left w:val="single" w:sz="4" w:space="0" w:color="000000"/>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706" w:type="dxa"/>
            <w:vMerge/>
            <w:tcBorders>
              <w:left w:val="single" w:sz="4" w:space="0" w:color="000000"/>
              <w:bottom w:val="nil" w:sz="6" w:space="0" w:color="auto"/>
              <w:right w:val="single" w:sz="4" w:space="0" w:color="000000"/>
            </w:tcBorders>
            <w:shd w:val="clear" w:color="auto" w:fill="D2D2D2"/>
          </w:tcPr>
          <w:p>
            <w:pPr/>
          </w:p>
        </w:tc>
        <w:tc>
          <w:tcPr>
            <w:tcW w:w="841" w:type="dxa"/>
            <w:vMerge/>
            <w:tcBorders>
              <w:left w:val="single" w:sz="4" w:space="0" w:color="000000"/>
              <w:bottom w:val="nil" w:sz="6" w:space="0" w:color="auto"/>
              <w:right w:val="single" w:sz="4" w:space="0" w:color="000000"/>
            </w:tcBorders>
            <w:shd w:val="clear" w:color="auto" w:fill="D2D2D2"/>
          </w:tcPr>
          <w:p>
            <w:pPr/>
          </w:p>
        </w:tc>
        <w:tc>
          <w:tcPr>
            <w:tcW w:w="153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19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14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6" w:type="dxa"/>
            <w:tcBorders>
              <w:top w:val="nil" w:sz="6" w:space="0" w:color="auto"/>
              <w:left w:val="single" w:sz="4" w:space="0" w:color="000000"/>
              <w:bottom w:val="single" w:sz="4" w:space="0" w:color="000000"/>
              <w:right w:val="single" w:sz="4" w:space="0" w:color="000000"/>
            </w:tcBorders>
            <w:shd w:val="clear" w:color="auto" w:fill="D2D2D2"/>
          </w:tcPr>
          <w:p>
            <w:pPr/>
          </w:p>
        </w:tc>
        <w:tc>
          <w:tcPr>
            <w:tcW w:w="8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9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1,005,000,000.00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1,069,174,251.00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558,716,738.00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1,493,052,239.00</w:t>
            </w: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4,125,943,228.00</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923" w:type="dxa"/>
            <w:tcBorders>
              <w:top w:val="single" w:sz="4" w:space="0" w:color="000000"/>
              <w:left w:val="single" w:sz="13" w:space="0" w:color="D2D2D2"/>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923" w:type="dxa"/>
            <w:tcBorders>
              <w:top w:val="single" w:sz="4" w:space="0" w:color="000000"/>
              <w:left w:val="single" w:sz="13" w:space="0" w:color="D2D2D2"/>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3" w:type="dxa"/>
            <w:tcBorders>
              <w:top w:val="single" w:sz="4" w:space="0" w:color="000000"/>
              <w:left w:val="single" w:sz="13" w:space="0" w:color="D2D2D2"/>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9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1,005,000,000.00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1,069,174,251.00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558,716,738.00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1,493,052,239.00</w:t>
            </w: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4,125,943,228.00</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46"/>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23" w:type="dxa"/>
            <w:tcBorders>
              <w:top w:val="single" w:sz="4" w:space="0" w:color="000000"/>
              <w:left w:val="single" w:sz="13" w:space="0" w:color="D2D2D2"/>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555,903.00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49,826,626.00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-44,444,233.00</w:t>
            </w: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5,938,296.00</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923" w:type="dxa"/>
            <w:tcBorders>
              <w:top w:val="single" w:sz="4" w:space="0" w:color="000000"/>
              <w:left w:val="single" w:sz="13" w:space="0" w:color="D2D2D2"/>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849,582,393.00</w:t>
            </w: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849,582,393.00</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923" w:type="dxa"/>
            <w:tcBorders>
              <w:top w:val="single" w:sz="4" w:space="0" w:color="000000"/>
              <w:left w:val="single" w:sz="13" w:space="0" w:color="D2D2D2"/>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923" w:type="dxa"/>
            <w:tcBorders>
              <w:top w:val="single" w:sz="4" w:space="0" w:color="000000"/>
              <w:left w:val="single" w:sz="13" w:space="0" w:color="D2D2D2"/>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923" w:type="dxa"/>
            <w:tcBorders>
              <w:top w:val="single" w:sz="4" w:space="0" w:color="000000"/>
              <w:left w:val="single" w:sz="13" w:space="0" w:color="D2D2D2"/>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555,903.00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555,903.00</w:t>
            </w:r>
          </w:p>
        </w:tc>
      </w:tr>
      <w:tr>
        <w:trPr>
          <w:trHeight w:val="40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923" w:type="dxa"/>
            <w:tcBorders>
              <w:top w:val="single" w:sz="4" w:space="0" w:color="000000"/>
              <w:left w:val="single" w:sz="13" w:space="0" w:color="D2D2D2"/>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1923" w:type="dxa"/>
            <w:tcBorders>
              <w:top w:val="single" w:sz="4" w:space="0" w:color="000000"/>
              <w:left w:val="single" w:sz="13" w:space="0" w:color="D2D2D2"/>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555,903.00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555,903.00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840" w:bottom="280" w:left="1300" w:right="1260"/>
        </w:sectPr>
      </w:pPr>
    </w:p>
    <w:tbl>
      <w:tblPr>
        <w:tblW w:w="0" w:type="auto"/>
        <w:jc w:val="left"/>
        <w:tblInd w:w="115" w:type="dxa"/>
        <w:tblLayout w:type="fixed"/>
        <w:tblCellMar>
          <w:top w:w="0" w:type="dxa"/>
          <w:left w:w="0" w:type="dxa"/>
          <w:bottom w:w="0" w:type="dxa"/>
          <w:right w:w="0" w:type="dxa"/>
        </w:tblCellMar>
        <w:tblLook w:val="01E0"/>
      </w:tblPr>
      <w:tblGrid>
        <w:gridCol w:w="2434"/>
        <w:gridCol w:w="1911"/>
        <w:gridCol w:w="1538"/>
        <w:gridCol w:w="706"/>
        <w:gridCol w:w="706"/>
        <w:gridCol w:w="1402"/>
        <w:gridCol w:w="706"/>
        <w:gridCol w:w="1538"/>
        <w:gridCol w:w="706"/>
        <w:gridCol w:w="841"/>
        <w:gridCol w:w="1538"/>
      </w:tblGrid>
      <w:tr>
        <w:trPr>
          <w:trHeight w:val="415" w:hRule="exact"/>
        </w:trPr>
        <w:tc>
          <w:tcPr>
            <w:tcW w:w="243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911" w:type="dxa"/>
            <w:tcBorders>
              <w:top w:val="single" w:sz="10" w:space="0" w:color="000000"/>
              <w:left w:val="single" w:sz="4" w:space="0" w:color="000000"/>
              <w:bottom w:val="single" w:sz="4" w:space="0" w:color="000000"/>
              <w:right w:val="single" w:sz="4" w:space="0" w:color="000000"/>
            </w:tcBorders>
          </w:tcPr>
          <w:p>
            <w:pPr/>
          </w:p>
        </w:tc>
        <w:tc>
          <w:tcPr>
            <w:tcW w:w="1538" w:type="dxa"/>
            <w:tcBorders>
              <w:top w:val="single" w:sz="10" w:space="0" w:color="000000"/>
              <w:left w:val="single" w:sz="4" w:space="0" w:color="000000"/>
              <w:bottom w:val="single" w:sz="4" w:space="0" w:color="000000"/>
              <w:right w:val="single" w:sz="4" w:space="0" w:color="000000"/>
            </w:tcBorders>
          </w:tcPr>
          <w:p>
            <w:pPr/>
          </w:p>
        </w:tc>
        <w:tc>
          <w:tcPr>
            <w:tcW w:w="706" w:type="dxa"/>
            <w:tcBorders>
              <w:top w:val="single" w:sz="10" w:space="0" w:color="000000"/>
              <w:left w:val="single" w:sz="4" w:space="0" w:color="000000"/>
              <w:bottom w:val="single" w:sz="4" w:space="0" w:color="000000"/>
              <w:right w:val="single" w:sz="4" w:space="0" w:color="000000"/>
            </w:tcBorders>
          </w:tcPr>
          <w:p>
            <w:pPr/>
          </w:p>
        </w:tc>
        <w:tc>
          <w:tcPr>
            <w:tcW w:w="706" w:type="dxa"/>
            <w:tcBorders>
              <w:top w:val="single" w:sz="10" w:space="0" w:color="000000"/>
              <w:left w:val="single" w:sz="4" w:space="0" w:color="000000"/>
              <w:bottom w:val="single" w:sz="4" w:space="0" w:color="000000"/>
              <w:right w:val="single" w:sz="4" w:space="0" w:color="000000"/>
            </w:tcBorders>
          </w:tcPr>
          <w:p>
            <w:pPr/>
          </w:p>
        </w:tc>
        <w:tc>
          <w:tcPr>
            <w:tcW w:w="1402" w:type="dxa"/>
            <w:tcBorders>
              <w:top w:val="single" w:sz="10" w:space="0" w:color="000000"/>
              <w:left w:val="single" w:sz="4" w:space="0" w:color="000000"/>
              <w:bottom w:val="single" w:sz="4" w:space="0" w:color="000000"/>
              <w:right w:val="single" w:sz="4" w:space="0" w:color="000000"/>
            </w:tcBorders>
          </w:tcPr>
          <w:p>
            <w:pPr/>
          </w:p>
        </w:tc>
        <w:tc>
          <w:tcPr>
            <w:tcW w:w="706" w:type="dxa"/>
            <w:tcBorders>
              <w:top w:val="single" w:sz="10" w:space="0" w:color="000000"/>
              <w:left w:val="single" w:sz="4" w:space="0" w:color="000000"/>
              <w:bottom w:val="single" w:sz="4" w:space="0" w:color="000000"/>
              <w:right w:val="single" w:sz="4" w:space="0" w:color="000000"/>
            </w:tcBorders>
          </w:tcPr>
          <w:p>
            <w:pPr/>
          </w:p>
        </w:tc>
        <w:tc>
          <w:tcPr>
            <w:tcW w:w="1538" w:type="dxa"/>
            <w:tcBorders>
              <w:top w:val="single" w:sz="10" w:space="0" w:color="000000"/>
              <w:left w:val="single" w:sz="4" w:space="0" w:color="000000"/>
              <w:bottom w:val="single" w:sz="4" w:space="0" w:color="000000"/>
              <w:right w:val="single" w:sz="4" w:space="0" w:color="000000"/>
            </w:tcBorders>
          </w:tcPr>
          <w:p>
            <w:pPr/>
          </w:p>
        </w:tc>
        <w:tc>
          <w:tcPr>
            <w:tcW w:w="706" w:type="dxa"/>
            <w:tcBorders>
              <w:top w:val="single" w:sz="10" w:space="0" w:color="000000"/>
              <w:left w:val="single" w:sz="4" w:space="0" w:color="000000"/>
              <w:bottom w:val="single" w:sz="4" w:space="0" w:color="000000"/>
              <w:right w:val="single" w:sz="4" w:space="0" w:color="000000"/>
            </w:tcBorders>
          </w:tcPr>
          <w:p>
            <w:pPr/>
          </w:p>
        </w:tc>
        <w:tc>
          <w:tcPr>
            <w:tcW w:w="841" w:type="dxa"/>
            <w:tcBorders>
              <w:top w:val="single" w:sz="10" w:space="0" w:color="000000"/>
              <w:left w:val="single" w:sz="4" w:space="0" w:color="000000"/>
              <w:bottom w:val="single" w:sz="4" w:space="0" w:color="000000"/>
              <w:right w:val="single" w:sz="4" w:space="0" w:color="000000"/>
            </w:tcBorders>
          </w:tcPr>
          <w:p>
            <w:pPr/>
          </w:p>
        </w:tc>
        <w:tc>
          <w:tcPr>
            <w:tcW w:w="1538" w:type="dxa"/>
            <w:tcBorders>
              <w:top w:val="single" w:sz="10" w:space="0" w:color="000000"/>
              <w:left w:val="single" w:sz="4" w:space="0" w:color="000000"/>
              <w:bottom w:val="single" w:sz="4" w:space="0" w:color="000000"/>
              <w:right w:val="single" w:sz="4" w:space="0" w:color="000000"/>
            </w:tcBorders>
          </w:tcPr>
          <w:p>
            <w:pPr/>
          </w:p>
        </w:tc>
      </w:tr>
      <w:tr>
        <w:trPr>
          <w:trHeight w:val="401" w:hRule="exact"/>
        </w:trPr>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91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49,826,626.00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-894,026,626.00</w:t>
            </w: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-844,200,000.00</w:t>
            </w:r>
          </w:p>
        </w:tc>
      </w:tr>
      <w:tr>
        <w:trPr>
          <w:trHeight w:val="403" w:hRule="exact"/>
        </w:trPr>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91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49,826,626.00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-49,826,626.00</w:t>
            </w: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91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．对所有者（或股东）的分配</w:t>
            </w:r>
          </w:p>
        </w:tc>
        <w:tc>
          <w:tcPr>
            <w:tcW w:w="191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-844,200,000.00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-844,200,000.00</w:t>
            </w:r>
          </w:p>
        </w:tc>
      </w:tr>
      <w:tr>
        <w:trPr>
          <w:trHeight w:val="401" w:hRule="exact"/>
        </w:trPr>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91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91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72"/>
                <w:sz w:val="18"/>
                <w:szCs w:val="18"/>
              </w:rPr>
              <w:t>．</w:t>
            </w:r>
            <w:r>
              <w:rPr>
                <w:rFonts w:ascii="宋体" w:hAnsi="宋体" w:cs="宋体" w:eastAsia="宋体" w:hint="default"/>
                <w:sz w:val="18"/>
                <w:szCs w:val="18"/>
              </w:rPr>
              <w:t>资本公积转增资</w:t>
            </w:r>
            <w:r>
              <w:rPr>
                <w:rFonts w:ascii="宋体" w:hAnsi="宋体" w:cs="宋体" w:eastAsia="宋体" w:hint="default"/>
                <w:spacing w:val="-72"/>
                <w:sz w:val="18"/>
                <w:szCs w:val="18"/>
              </w:rPr>
              <w:t>本</w:t>
            </w:r>
            <w:r>
              <w:rPr>
                <w:rFonts w:ascii="宋体" w:hAnsi="宋体" w:cs="宋体" w:eastAsia="宋体" w:hint="default"/>
                <w:sz w:val="18"/>
                <w:szCs w:val="18"/>
              </w:rPr>
              <w:t>（或股本</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盈余公积转增资</w:t>
            </w:r>
            <w:r>
              <w:rPr>
                <w:rFonts w:ascii="宋体" w:hAnsi="宋体" w:cs="宋体" w:eastAsia="宋体" w:hint="default"/>
                <w:spacing w:val="-72"/>
                <w:sz w:val="18"/>
                <w:szCs w:val="18"/>
              </w:rPr>
              <w:t>本</w:t>
            </w:r>
            <w:r>
              <w:rPr>
                <w:rFonts w:ascii="宋体" w:hAnsi="宋体" w:cs="宋体" w:eastAsia="宋体" w:hint="default"/>
                <w:sz w:val="18"/>
                <w:szCs w:val="18"/>
              </w:rPr>
              <w:t>（或股本</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91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91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91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91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91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91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1,005,000,000.00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4" w:right="0"/>
              <w:jc w:val="left"/>
              <w:rPr>
                <w:rFonts w:ascii="Times New Roman" w:hAnsi="Times New Roman" w:cs="Times New Roman" w:eastAsia="Times New Roman" w:hint="default"/>
                <w:sz w:val="18"/>
                <w:szCs w:val="18"/>
              </w:rPr>
            </w:pPr>
            <w:r>
              <w:rPr>
                <w:rFonts w:ascii="Times New Roman"/>
                <w:sz w:val="18"/>
              </w:rPr>
              <w:t>1,069,730,154.00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608,543,364.00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1,448,608,006.00</w:t>
            </w:r>
          </w:p>
        </w:tc>
        <w:tc>
          <w:tcPr>
            <w:tcW w:w="70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4,131,881,524.00</w:t>
            </w:r>
          </w:p>
        </w:tc>
      </w:tr>
    </w:tbl>
    <w:p>
      <w:pPr>
        <w:pStyle w:val="BodyText"/>
        <w:spacing w:line="240" w:lineRule="auto" w:before="44"/>
        <w:ind w:left="120" w:right="0"/>
        <w:jc w:val="left"/>
      </w:pPr>
      <w:r>
        <w:rPr/>
        <w:pict>
          <v:group style="position:absolute;margin-left:193.940002pt;margin-top:238.610001pt;width:93.9pt;height:20.8pt;mso-position-horizontal-relative:page;mso-position-vertical-relative:page;z-index:-751624" coordorigin="3879,4772" coordsize="1878,416">
            <v:group style="position:absolute;left:3891;top:4784;width:2;height:392" coordorigin="3891,4784" coordsize="2,392">
              <v:shape style="position:absolute;left:3891;top:4784;width:2;height:392" coordorigin="3891,4784" coordsize="0,392" path="m3891,4784l3891,5175e" filled="false" stroked="true" strokeweight="1.2pt" strokecolor="#ffffff">
                <v:path arrowok="t"/>
              </v:shape>
            </v:group>
            <v:group style="position:absolute;left:3903;top:4784;width:1854;height:392" coordorigin="3903,4784" coordsize="1854,392">
              <v:shape style="position:absolute;left:3903;top:4784;width:1854;height:392" coordorigin="3903,4784" coordsize="1854,392" path="m3903,5175l5756,5175,5756,4784,3903,4784,3903,5175xe" filled="true" fillcolor="#ffffff" stroked="false">
                <v:path arrowok="t"/>
                <v:fill type="solid"/>
              </v:shape>
            </v:group>
            <w10:wrap type="none"/>
          </v:group>
        </w:pict>
      </w:r>
      <w:r>
        <w:rPr/>
        <w:pict>
          <v:group style="position:absolute;margin-left:193.940002pt;margin-top:274.130005pt;width:93.9pt;height:20.9pt;mso-position-horizontal-relative:page;mso-position-vertical-relative:page;z-index:-751600" coordorigin="3879,5483" coordsize="1878,418">
            <v:group style="position:absolute;left:3891;top:5495;width:2;height:394" coordorigin="3891,5495" coordsize="2,394">
              <v:shape style="position:absolute;left:3891;top:5495;width:2;height:394" coordorigin="3891,5495" coordsize="0,394" path="m3891,5495l3891,5888e" filled="false" stroked="true" strokeweight="1.2pt" strokecolor="#ffffff">
                <v:path arrowok="t"/>
              </v:shape>
            </v:group>
            <v:group style="position:absolute;left:3903;top:5495;width:1854;height:394" coordorigin="3903,5495" coordsize="1854,394">
              <v:shape style="position:absolute;left:3903;top:5495;width:1854;height:394" coordorigin="3903,5495" coordsize="1854,394" path="m3903,5888l5756,5888,5756,5495,3903,5495,3903,5888xe" filled="true" fillcolor="#ffffff" stroked="false">
                <v:path arrowok="t"/>
                <v:fill type="solid"/>
              </v:shape>
            </v:group>
            <w10:wrap type="none"/>
          </v:group>
        </w:pict>
      </w:r>
      <w:r>
        <w:rPr/>
        <w:t>上年金额</w:t>
      </w:r>
    </w:p>
    <w:p>
      <w:pPr>
        <w:pStyle w:val="BodyText"/>
        <w:spacing w:line="240" w:lineRule="auto" w:before="118"/>
        <w:ind w:left="0" w:right="177"/>
        <w:jc w:val="right"/>
      </w:pPr>
      <w:r>
        <w:rPr/>
        <w:t>单位：元</w:t>
      </w:r>
    </w:p>
    <w:p>
      <w:pPr>
        <w:spacing w:line="240" w:lineRule="auto" w:before="2"/>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2432"/>
        <w:gridCol w:w="9200"/>
        <w:gridCol w:w="841"/>
        <w:gridCol w:w="1541"/>
      </w:tblGrid>
      <w:tr>
        <w:trPr>
          <w:trHeight w:val="403" w:hRule="exact"/>
        </w:trPr>
        <w:tc>
          <w:tcPr>
            <w:tcW w:w="24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1" w:hRule="exact"/>
        </w:trPr>
        <w:tc>
          <w:tcPr>
            <w:tcW w:w="2432" w:type="dxa"/>
            <w:vMerge/>
            <w:tcBorders>
              <w:left w:val="single" w:sz="4" w:space="0" w:color="000000"/>
              <w:bottom w:val="single" w:sz="4" w:space="0" w:color="000000"/>
              <w:right w:val="single" w:sz="4" w:space="0" w:color="000000"/>
            </w:tcBorders>
            <w:shd w:val="clear" w:color="auto" w:fill="D2D2D2"/>
          </w:tcPr>
          <w:p>
            <w:pPr/>
          </w:p>
        </w:tc>
        <w:tc>
          <w:tcPr>
            <w:tcW w:w="9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5" w:right="0"/>
              <w:jc w:val="left"/>
              <w:rPr>
                <w:rFonts w:ascii="宋体" w:hAnsi="宋体" w:cs="宋体" w:eastAsia="宋体" w:hint="default"/>
                <w:sz w:val="18"/>
                <w:szCs w:val="18"/>
              </w:rPr>
            </w:pPr>
            <w:r>
              <w:rPr>
                <w:rFonts w:ascii="宋体" w:hAnsi="宋体" w:cs="宋体" w:eastAsia="宋体" w:hint="default"/>
                <w:sz w:val="18"/>
                <w:szCs w:val="18"/>
              </w:rPr>
              <w:t>少数股东</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bl>
    <w:p>
      <w:pPr>
        <w:spacing w:after="0" w:line="240" w:lineRule="auto"/>
        <w:jc w:val="left"/>
        <w:rPr>
          <w:rFonts w:ascii="宋体" w:hAnsi="宋体" w:cs="宋体" w:eastAsia="宋体" w:hint="default"/>
          <w:sz w:val="18"/>
          <w:szCs w:val="18"/>
        </w:rPr>
        <w:sectPr>
          <w:pgSz w:w="16840" w:h="11910" w:orient="landscape"/>
          <w:pgMar w:header="850" w:footer="1186" w:top="1480" w:bottom="1380" w:left="1320" w:right="1260"/>
        </w:sectPr>
      </w:pPr>
    </w:p>
    <w:p>
      <w:pPr>
        <w:spacing w:line="240" w:lineRule="auto" w:before="5"/>
        <w:rPr>
          <w:rFonts w:ascii="Times New Roman" w:hAnsi="Times New Roman" w:cs="Times New Roman" w:eastAsia="Times New Roman" w:hint="default"/>
          <w:sz w:val="17"/>
          <w:szCs w:val="17"/>
        </w:rPr>
      </w:pPr>
      <w:r>
        <w:rPr/>
        <w:pict>
          <v:shape style="position:absolute;margin-left:72.360001pt;margin-top:73.820007pt;width:700.7pt;height:446.6pt;mso-position-horizontal-relative:page;mso-position-vertical-relative:page;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09"/>
                    <w:gridCol w:w="1919"/>
                    <w:gridCol w:w="1536"/>
                    <w:gridCol w:w="706"/>
                    <w:gridCol w:w="706"/>
                    <w:gridCol w:w="1397"/>
                    <w:gridCol w:w="706"/>
                    <w:gridCol w:w="1538"/>
                    <w:gridCol w:w="703"/>
                    <w:gridCol w:w="841"/>
                    <w:gridCol w:w="1538"/>
                  </w:tblGrid>
                  <w:tr>
                    <w:trPr>
                      <w:trHeight w:val="175" w:hRule="exact"/>
                    </w:trPr>
                    <w:tc>
                      <w:tcPr>
                        <w:tcW w:w="2409" w:type="dxa"/>
                        <w:vMerge w:val="restart"/>
                        <w:tcBorders>
                          <w:top w:val="single" w:sz="10" w:space="0" w:color="000000"/>
                          <w:left w:val="single" w:sz="4" w:space="0" w:color="000000"/>
                          <w:right w:val="single" w:sz="4" w:space="0" w:color="000000"/>
                        </w:tcBorders>
                        <w:shd w:val="clear" w:color="auto" w:fill="D2D2D2"/>
                      </w:tcPr>
                      <w:p>
                        <w:pPr/>
                      </w:p>
                    </w:tc>
                    <w:tc>
                      <w:tcPr>
                        <w:tcW w:w="1919" w:type="dxa"/>
                        <w:tcBorders>
                          <w:top w:val="single" w:sz="10" w:space="0" w:color="000000"/>
                          <w:left w:val="single" w:sz="4" w:space="0" w:color="000000"/>
                          <w:bottom w:val="nil" w:sz="6" w:space="0" w:color="auto"/>
                          <w:right w:val="single" w:sz="4" w:space="0" w:color="000000"/>
                        </w:tcBorders>
                        <w:shd w:val="clear" w:color="auto" w:fill="D2D2D2"/>
                      </w:tcPr>
                      <w:p>
                        <w:pPr/>
                      </w:p>
                    </w:tc>
                    <w:tc>
                      <w:tcPr>
                        <w:tcW w:w="1536" w:type="dxa"/>
                        <w:tcBorders>
                          <w:top w:val="single" w:sz="10" w:space="0" w:color="000000"/>
                          <w:left w:val="single" w:sz="4" w:space="0" w:color="000000"/>
                          <w:bottom w:val="nil" w:sz="6" w:space="0" w:color="auto"/>
                          <w:right w:val="single" w:sz="4" w:space="0" w:color="000000"/>
                        </w:tcBorders>
                        <w:shd w:val="clear" w:color="auto" w:fill="D2D2D2"/>
                      </w:tcPr>
                      <w:p>
                        <w:pPr/>
                      </w:p>
                    </w:tc>
                    <w:tc>
                      <w:tcPr>
                        <w:tcW w:w="706" w:type="dxa"/>
                        <w:vMerge w:val="restart"/>
                        <w:tcBorders>
                          <w:top w:val="single" w:sz="10" w:space="0" w:color="000000"/>
                          <w:left w:val="single" w:sz="4" w:space="0" w:color="000000"/>
                          <w:right w:val="single" w:sz="4" w:space="0" w:color="000000"/>
                        </w:tcBorders>
                        <w:shd w:val="clear" w:color="auto" w:fill="D2D2D2"/>
                      </w:tcPr>
                      <w:p>
                        <w:pPr>
                          <w:pStyle w:val="TableParagraph"/>
                          <w:spacing w:line="314" w:lineRule="auto" w:before="56"/>
                          <w:ind w:left="256" w:right="23" w:hanging="233"/>
                          <w:jc w:val="left"/>
                          <w:rPr>
                            <w:rFonts w:ascii="宋体" w:hAnsi="宋体" w:cs="宋体" w:eastAsia="宋体" w:hint="default"/>
                            <w:sz w:val="18"/>
                            <w:szCs w:val="18"/>
                          </w:rPr>
                        </w:pPr>
                        <w:r>
                          <w:rPr>
                            <w:rFonts w:ascii="宋体" w:hAnsi="宋体" w:cs="宋体" w:eastAsia="宋体" w:hint="default"/>
                            <w:spacing w:val="-18"/>
                            <w:sz w:val="18"/>
                            <w:szCs w:val="18"/>
                          </w:rPr>
                          <w:t>减：库存</w:t>
                        </w:r>
                        <w:r>
                          <w:rPr>
                            <w:rFonts w:ascii="宋体" w:hAnsi="宋体" w:cs="宋体" w:eastAsia="宋体" w:hint="default"/>
                            <w:sz w:val="18"/>
                            <w:szCs w:val="18"/>
                          </w:rPr>
                          <w:t> 股</w:t>
                        </w:r>
                      </w:p>
                    </w:tc>
                    <w:tc>
                      <w:tcPr>
                        <w:tcW w:w="706" w:type="dxa"/>
                        <w:vMerge w:val="restart"/>
                        <w:tcBorders>
                          <w:top w:val="single" w:sz="10" w:space="0" w:color="000000"/>
                          <w:left w:val="single" w:sz="4" w:space="0" w:color="000000"/>
                          <w:right w:val="single" w:sz="4" w:space="0" w:color="000000"/>
                        </w:tcBorders>
                        <w:shd w:val="clear" w:color="auto" w:fill="D2D2D2"/>
                      </w:tcPr>
                      <w:p>
                        <w:pPr>
                          <w:pStyle w:val="TableParagraph"/>
                          <w:spacing w:line="314" w:lineRule="auto" w:before="56"/>
                          <w:ind w:left="256" w:right="7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397" w:type="dxa"/>
                        <w:tcBorders>
                          <w:top w:val="single" w:sz="10" w:space="0" w:color="000000"/>
                          <w:left w:val="single" w:sz="4" w:space="0" w:color="000000"/>
                          <w:bottom w:val="nil" w:sz="6" w:space="0" w:color="auto"/>
                          <w:right w:val="single" w:sz="4" w:space="0" w:color="000000"/>
                        </w:tcBorders>
                        <w:shd w:val="clear" w:color="auto" w:fill="D2D2D2"/>
                      </w:tcPr>
                      <w:p>
                        <w:pPr/>
                      </w:p>
                    </w:tc>
                    <w:tc>
                      <w:tcPr>
                        <w:tcW w:w="706" w:type="dxa"/>
                        <w:vMerge w:val="restart"/>
                        <w:tcBorders>
                          <w:top w:val="single" w:sz="10" w:space="0" w:color="000000"/>
                          <w:left w:val="single" w:sz="4" w:space="0" w:color="000000"/>
                          <w:right w:val="single" w:sz="4" w:space="0" w:color="000000"/>
                        </w:tcBorders>
                        <w:shd w:val="clear" w:color="auto" w:fill="D2D2D2"/>
                      </w:tcPr>
                      <w:p>
                        <w:pPr>
                          <w:pStyle w:val="TableParagraph"/>
                          <w:spacing w:line="314" w:lineRule="auto" w:before="56"/>
                          <w:ind w:left="76" w:right="7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538" w:type="dxa"/>
                        <w:tcBorders>
                          <w:top w:val="single" w:sz="10" w:space="0" w:color="000000"/>
                          <w:left w:val="single" w:sz="4" w:space="0" w:color="000000"/>
                          <w:bottom w:val="nil" w:sz="6" w:space="0" w:color="auto"/>
                          <w:right w:val="single" w:sz="4" w:space="0" w:color="000000"/>
                        </w:tcBorders>
                        <w:shd w:val="clear" w:color="auto" w:fill="D2D2D2"/>
                      </w:tcPr>
                      <w:p>
                        <w:pPr/>
                      </w:p>
                    </w:tc>
                    <w:tc>
                      <w:tcPr>
                        <w:tcW w:w="703" w:type="dxa"/>
                        <w:tcBorders>
                          <w:top w:val="single" w:sz="10" w:space="0" w:color="000000"/>
                          <w:left w:val="single" w:sz="4" w:space="0" w:color="000000"/>
                          <w:bottom w:val="nil" w:sz="6" w:space="0" w:color="auto"/>
                          <w:right w:val="single" w:sz="4" w:space="0" w:color="000000"/>
                        </w:tcBorders>
                        <w:shd w:val="clear" w:color="auto" w:fill="D2D2D2"/>
                      </w:tcPr>
                      <w:p>
                        <w:pPr/>
                      </w:p>
                    </w:tc>
                    <w:tc>
                      <w:tcPr>
                        <w:tcW w:w="841" w:type="dxa"/>
                        <w:vMerge w:val="restart"/>
                        <w:tcBorders>
                          <w:top w:val="single" w:sz="10" w:space="0" w:color="000000"/>
                          <w:left w:val="single" w:sz="9" w:space="0" w:color="D2D2D2"/>
                          <w:right w:val="single" w:sz="4" w:space="0" w:color="000000"/>
                        </w:tcBorders>
                      </w:tcPr>
                      <w:p>
                        <w:pPr>
                          <w:pStyle w:val="TableParagraph"/>
                          <w:spacing w:line="240" w:lineRule="auto" w:before="15"/>
                          <w:ind w:left="229"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1538" w:type="dxa"/>
                        <w:vMerge w:val="restart"/>
                        <w:tcBorders>
                          <w:top w:val="single" w:sz="10" w:space="0" w:color="000000"/>
                          <w:left w:val="single" w:sz="4" w:space="0" w:color="000000"/>
                          <w:right w:val="single" w:sz="4" w:space="0" w:color="000000"/>
                        </w:tcBorders>
                        <w:shd w:val="clear" w:color="auto" w:fill="D2D2D2"/>
                      </w:tcPr>
                      <w:p>
                        <w:pPr/>
                      </w:p>
                    </w:tc>
                  </w:tr>
                  <w:tr>
                    <w:trPr>
                      <w:trHeight w:val="391" w:hRule="exact"/>
                    </w:trPr>
                    <w:tc>
                      <w:tcPr>
                        <w:tcW w:w="2409" w:type="dxa"/>
                        <w:vMerge/>
                        <w:tcBorders>
                          <w:left w:val="single" w:sz="4" w:space="0" w:color="000000"/>
                          <w:right w:val="single" w:sz="4" w:space="0" w:color="000000"/>
                        </w:tcBorders>
                        <w:shd w:val="clear" w:color="auto" w:fill="D2D2D2"/>
                      </w:tcPr>
                      <w:p>
                        <w:pPr/>
                      </w:p>
                    </w:tc>
                    <w:tc>
                      <w:tcPr>
                        <w:tcW w:w="1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5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6" w:type="dxa"/>
                        <w:vMerge/>
                        <w:tcBorders>
                          <w:left w:val="single" w:sz="4" w:space="0" w:color="000000"/>
                          <w:right w:val="single" w:sz="4" w:space="0" w:color="000000"/>
                        </w:tcBorders>
                        <w:shd w:val="clear" w:color="auto" w:fill="D2D2D2"/>
                      </w:tcPr>
                      <w:p>
                        <w:pPr/>
                      </w:p>
                    </w:tc>
                    <w:tc>
                      <w:tcPr>
                        <w:tcW w:w="706" w:type="dxa"/>
                        <w:vMerge/>
                        <w:tcBorders>
                          <w:left w:val="single" w:sz="4" w:space="0" w:color="000000"/>
                          <w:right w:val="single" w:sz="4" w:space="0" w:color="000000"/>
                        </w:tcBorders>
                        <w:shd w:val="clear" w:color="auto" w:fill="D2D2D2"/>
                      </w:tcPr>
                      <w:p>
                        <w:pPr/>
                      </w:p>
                    </w:tc>
                    <w:tc>
                      <w:tcPr>
                        <w:tcW w:w="13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6" w:type="dxa"/>
                        <w:vMerge/>
                        <w:tcBorders>
                          <w:left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1" w:type="dxa"/>
                        <w:vMerge/>
                        <w:tcBorders>
                          <w:left w:val="single" w:sz="9" w:space="0" w:color="D2D2D2"/>
                          <w:right w:val="single" w:sz="4" w:space="0" w:color="000000"/>
                        </w:tcBorders>
                      </w:tcPr>
                      <w:p>
                        <w:pPr/>
                      </w:p>
                    </w:tc>
                    <w:tc>
                      <w:tcPr>
                        <w:tcW w:w="1538" w:type="dxa"/>
                        <w:vMerge/>
                        <w:tcBorders>
                          <w:left w:val="single" w:sz="4" w:space="0" w:color="000000"/>
                          <w:right w:val="single" w:sz="4" w:space="0" w:color="000000"/>
                        </w:tcBorders>
                        <w:shd w:val="clear" w:color="auto" w:fill="D2D2D2"/>
                      </w:tcPr>
                      <w:p>
                        <w:pPr/>
                      </w:p>
                    </w:tc>
                  </w:tr>
                  <w:tr>
                    <w:trPr>
                      <w:trHeight w:val="161" w:hRule="exact"/>
                    </w:trPr>
                    <w:tc>
                      <w:tcPr>
                        <w:tcW w:w="2409" w:type="dxa"/>
                        <w:vMerge/>
                        <w:tcBorders>
                          <w:left w:val="single" w:sz="4" w:space="0" w:color="000000"/>
                          <w:bottom w:val="single" w:sz="4" w:space="0" w:color="000000"/>
                          <w:right w:val="single" w:sz="4" w:space="0" w:color="000000"/>
                        </w:tcBorders>
                        <w:shd w:val="clear" w:color="auto" w:fill="D2D2D2"/>
                      </w:tcPr>
                      <w:p>
                        <w:pPr/>
                      </w:p>
                    </w:tc>
                    <w:tc>
                      <w:tcPr>
                        <w:tcW w:w="19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13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1" w:type="dxa"/>
                        <w:vMerge/>
                        <w:tcBorders>
                          <w:left w:val="single" w:sz="9" w:space="0" w:color="D2D2D2"/>
                          <w:bottom w:val="single" w:sz="4" w:space="0" w:color="000000"/>
                          <w:right w:val="single" w:sz="4" w:space="0" w:color="000000"/>
                        </w:tcBorders>
                      </w:tcPr>
                      <w:p>
                        <w:pPr/>
                      </w:p>
                    </w:tc>
                    <w:tc>
                      <w:tcPr>
                        <w:tcW w:w="153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9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1,005,000,000.00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947,481,046.00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368,735,338.00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1,009,676,227.00</w:t>
                        </w: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3,330,892,611.00</w:t>
                        </w:r>
                      </w:p>
                    </w:tc>
                  </w:tr>
                  <w:tr>
                    <w:trPr>
                      <w:trHeight w:val="715"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45" w:firstLine="360"/>
                          <w:jc w:val="left"/>
                          <w:rPr>
                            <w:rFonts w:ascii="宋体" w:hAnsi="宋体" w:cs="宋体" w:eastAsia="宋体" w:hint="default"/>
                            <w:sz w:val="18"/>
                            <w:szCs w:val="18"/>
                          </w:rPr>
                        </w:pPr>
                        <w:r>
                          <w:rPr>
                            <w:rFonts w:ascii="宋体" w:hAnsi="宋体" w:cs="宋体" w:eastAsia="宋体" w:hint="default"/>
                            <w:sz w:val="18"/>
                            <w:szCs w:val="18"/>
                          </w:rPr>
                          <w:t>加：同一控制下企业合并 产生的追溯调整</w:t>
                        </w:r>
                      </w:p>
                    </w:tc>
                    <w:tc>
                      <w:tcPr>
                        <w:tcW w:w="1919" w:type="dxa"/>
                        <w:tcBorders>
                          <w:top w:val="single" w:sz="4" w:space="0" w:color="000000"/>
                          <w:left w:val="single" w:sz="9" w:space="0" w:color="D2D2D2"/>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919" w:type="dxa"/>
                        <w:tcBorders>
                          <w:top w:val="single" w:sz="4" w:space="0" w:color="000000"/>
                          <w:left w:val="single" w:sz="9" w:space="0" w:color="D2D2D2"/>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919" w:type="dxa"/>
                        <w:tcBorders>
                          <w:top w:val="single" w:sz="4" w:space="0" w:color="000000"/>
                          <w:left w:val="single" w:sz="9" w:space="0" w:color="D2D2D2"/>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9" w:type="dxa"/>
                        <w:tcBorders>
                          <w:top w:val="single" w:sz="4" w:space="0" w:color="000000"/>
                          <w:left w:val="single" w:sz="9" w:space="0" w:color="D2D2D2"/>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9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1,005,000,000.00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947,481,046.00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368,735,338.00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1,009,676,227.00</w:t>
                        </w: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3,330,892,611.00</w:t>
                        </w:r>
                      </w:p>
                    </w:tc>
                  </w:tr>
                  <w:tr>
                    <w:trPr>
                      <w:trHeight w:val="71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45"/>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9" w:type="dxa"/>
                        <w:tcBorders>
                          <w:top w:val="single" w:sz="4" w:space="0" w:color="000000"/>
                          <w:left w:val="single" w:sz="9" w:space="0" w:color="D2D2D2"/>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121,693,205.00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189,981,400.00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483,376,012.00</w:t>
                        </w: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795,050,617.00</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919" w:type="dxa"/>
                        <w:tcBorders>
                          <w:top w:val="single" w:sz="4" w:space="0" w:color="000000"/>
                          <w:left w:val="single" w:sz="9" w:space="0" w:color="D2D2D2"/>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1,206,007,412.00</w:t>
                        </w: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1,206,007,412.00</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919" w:type="dxa"/>
                        <w:tcBorders>
                          <w:top w:val="single" w:sz="4" w:space="0" w:color="000000"/>
                          <w:left w:val="single" w:sz="9" w:space="0" w:color="D2D2D2"/>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919" w:type="dxa"/>
                        <w:tcBorders>
                          <w:top w:val="single" w:sz="4" w:space="0" w:color="000000"/>
                          <w:left w:val="single" w:sz="9" w:space="0" w:color="D2D2D2"/>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919" w:type="dxa"/>
                        <w:tcBorders>
                          <w:top w:val="single" w:sz="4" w:space="0" w:color="000000"/>
                          <w:left w:val="single" w:sz="9" w:space="0" w:color="D2D2D2"/>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121,693,205.00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121,693,205.00</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919" w:type="dxa"/>
                        <w:tcBorders>
                          <w:top w:val="single" w:sz="4" w:space="0" w:color="000000"/>
                          <w:left w:val="single" w:sz="9" w:space="0" w:color="D2D2D2"/>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．股份支付计入所有者权益的</w:t>
                        </w:r>
                        <w:r>
                          <w:rPr>
                            <w:rFonts w:ascii="宋体" w:hAnsi="宋体" w:cs="宋体" w:eastAsia="宋体" w:hint="default"/>
                            <w:sz w:val="18"/>
                            <w:szCs w:val="18"/>
                          </w:rPr>
                          <w:t> 金额</w:t>
                        </w:r>
                      </w:p>
                    </w:tc>
                    <w:tc>
                      <w:tcPr>
                        <w:tcW w:w="1919" w:type="dxa"/>
                        <w:tcBorders>
                          <w:top w:val="single" w:sz="4" w:space="0" w:color="000000"/>
                          <w:left w:val="single" w:sz="9" w:space="0" w:color="D2D2D2"/>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46,693,205.00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46,693,205.00</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919" w:type="dxa"/>
                        <w:tcBorders>
                          <w:top w:val="single" w:sz="4" w:space="0" w:color="000000"/>
                          <w:left w:val="single" w:sz="9" w:space="0" w:color="D2D2D2"/>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919" w:type="dxa"/>
                        <w:tcBorders>
                          <w:top w:val="single" w:sz="4" w:space="0" w:color="000000"/>
                          <w:left w:val="single" w:sz="9" w:space="0" w:color="D2D2D2"/>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189,981,400.00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-722,631,400.00</w:t>
                        </w: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-532,650,000.00</w:t>
                        </w:r>
                      </w:p>
                    </w:tc>
                  </w:tr>
                  <w:tr>
                    <w:trPr>
                      <w:trHeight w:val="404"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919" w:type="dxa"/>
                        <w:tcBorders>
                          <w:top w:val="single" w:sz="4" w:space="0" w:color="000000"/>
                          <w:left w:val="single" w:sz="9" w:space="0" w:color="D2D2D2"/>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189,981,400.00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-189,981,400.00</w:t>
                        </w: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919" w:type="dxa"/>
                        <w:tcBorders>
                          <w:top w:val="single" w:sz="4" w:space="0" w:color="000000"/>
                          <w:left w:val="single" w:sz="9" w:space="0" w:color="D2D2D2"/>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．对所有者（或股东）的分配</w:t>
                        </w:r>
                      </w:p>
                    </w:tc>
                    <w:tc>
                      <w:tcPr>
                        <w:tcW w:w="1919" w:type="dxa"/>
                        <w:tcBorders>
                          <w:top w:val="single" w:sz="4" w:space="0" w:color="000000"/>
                          <w:left w:val="single" w:sz="9" w:space="0" w:color="D2D2D2"/>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-532,650,000.00</w:t>
                        </w: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-532,650,000.00</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6840" w:h="11910" w:orient="landscape"/>
          <w:pgMar w:header="850" w:footer="1186" w:top="1500" w:bottom="1380" w:left="1340" w:right="1260"/>
        </w:sectPr>
      </w:pPr>
    </w:p>
    <w:p>
      <w:pPr>
        <w:spacing w:line="240" w:lineRule="auto" w:before="9"/>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432"/>
        <w:gridCol w:w="1909"/>
        <w:gridCol w:w="1536"/>
        <w:gridCol w:w="706"/>
        <w:gridCol w:w="706"/>
        <w:gridCol w:w="1397"/>
        <w:gridCol w:w="706"/>
        <w:gridCol w:w="1538"/>
        <w:gridCol w:w="703"/>
        <w:gridCol w:w="841"/>
        <w:gridCol w:w="1538"/>
      </w:tblGrid>
      <w:tr>
        <w:trPr>
          <w:trHeight w:val="415" w:hRule="exact"/>
        </w:trPr>
        <w:tc>
          <w:tcPr>
            <w:tcW w:w="243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909" w:type="dxa"/>
            <w:tcBorders>
              <w:top w:val="single" w:sz="10" w:space="0" w:color="000000"/>
              <w:left w:val="single" w:sz="4" w:space="0" w:color="000000"/>
              <w:bottom w:val="single" w:sz="4" w:space="0" w:color="000000"/>
              <w:right w:val="single" w:sz="4" w:space="0" w:color="000000"/>
            </w:tcBorders>
          </w:tcPr>
          <w:p>
            <w:pPr/>
          </w:p>
        </w:tc>
        <w:tc>
          <w:tcPr>
            <w:tcW w:w="1536" w:type="dxa"/>
            <w:tcBorders>
              <w:top w:val="single" w:sz="10" w:space="0" w:color="000000"/>
              <w:left w:val="single" w:sz="4" w:space="0" w:color="000000"/>
              <w:bottom w:val="single" w:sz="4" w:space="0" w:color="000000"/>
              <w:right w:val="single" w:sz="4" w:space="0" w:color="000000"/>
            </w:tcBorders>
          </w:tcPr>
          <w:p>
            <w:pPr/>
          </w:p>
        </w:tc>
        <w:tc>
          <w:tcPr>
            <w:tcW w:w="706" w:type="dxa"/>
            <w:tcBorders>
              <w:top w:val="single" w:sz="10" w:space="0" w:color="000000"/>
              <w:left w:val="single" w:sz="4" w:space="0" w:color="000000"/>
              <w:bottom w:val="single" w:sz="4" w:space="0" w:color="000000"/>
              <w:right w:val="single" w:sz="4" w:space="0" w:color="000000"/>
            </w:tcBorders>
          </w:tcPr>
          <w:p>
            <w:pPr/>
          </w:p>
        </w:tc>
        <w:tc>
          <w:tcPr>
            <w:tcW w:w="706" w:type="dxa"/>
            <w:tcBorders>
              <w:top w:val="single" w:sz="10" w:space="0" w:color="000000"/>
              <w:left w:val="single" w:sz="4" w:space="0" w:color="000000"/>
              <w:bottom w:val="single" w:sz="4" w:space="0" w:color="000000"/>
              <w:right w:val="single" w:sz="4" w:space="0" w:color="000000"/>
            </w:tcBorders>
          </w:tcPr>
          <w:p>
            <w:pPr/>
          </w:p>
        </w:tc>
        <w:tc>
          <w:tcPr>
            <w:tcW w:w="1397" w:type="dxa"/>
            <w:tcBorders>
              <w:top w:val="single" w:sz="10" w:space="0" w:color="000000"/>
              <w:left w:val="single" w:sz="4" w:space="0" w:color="000000"/>
              <w:bottom w:val="single" w:sz="4" w:space="0" w:color="000000"/>
              <w:right w:val="single" w:sz="4" w:space="0" w:color="000000"/>
            </w:tcBorders>
          </w:tcPr>
          <w:p>
            <w:pPr/>
          </w:p>
        </w:tc>
        <w:tc>
          <w:tcPr>
            <w:tcW w:w="706" w:type="dxa"/>
            <w:tcBorders>
              <w:top w:val="single" w:sz="10" w:space="0" w:color="000000"/>
              <w:left w:val="single" w:sz="4" w:space="0" w:color="000000"/>
              <w:bottom w:val="single" w:sz="4" w:space="0" w:color="000000"/>
              <w:right w:val="single" w:sz="4" w:space="0" w:color="000000"/>
            </w:tcBorders>
          </w:tcPr>
          <w:p>
            <w:pPr/>
          </w:p>
        </w:tc>
        <w:tc>
          <w:tcPr>
            <w:tcW w:w="1538" w:type="dxa"/>
            <w:tcBorders>
              <w:top w:val="single" w:sz="10" w:space="0" w:color="000000"/>
              <w:left w:val="single" w:sz="4" w:space="0" w:color="000000"/>
              <w:bottom w:val="single" w:sz="4" w:space="0" w:color="000000"/>
              <w:right w:val="single" w:sz="4" w:space="0" w:color="000000"/>
            </w:tcBorders>
          </w:tcPr>
          <w:p>
            <w:pPr/>
          </w:p>
        </w:tc>
        <w:tc>
          <w:tcPr>
            <w:tcW w:w="703" w:type="dxa"/>
            <w:tcBorders>
              <w:top w:val="single" w:sz="10" w:space="0" w:color="000000"/>
              <w:left w:val="single" w:sz="4" w:space="0" w:color="000000"/>
              <w:bottom w:val="single" w:sz="4" w:space="0" w:color="000000"/>
              <w:right w:val="single" w:sz="4" w:space="0" w:color="000000"/>
            </w:tcBorders>
          </w:tcPr>
          <w:p>
            <w:pPr/>
          </w:p>
        </w:tc>
        <w:tc>
          <w:tcPr>
            <w:tcW w:w="841" w:type="dxa"/>
            <w:tcBorders>
              <w:top w:val="single" w:sz="10" w:space="0" w:color="000000"/>
              <w:left w:val="single" w:sz="4" w:space="0" w:color="000000"/>
              <w:bottom w:val="single" w:sz="4" w:space="0" w:color="000000"/>
              <w:right w:val="single" w:sz="4" w:space="0" w:color="000000"/>
            </w:tcBorders>
          </w:tcPr>
          <w:p>
            <w:pPr/>
          </w:p>
        </w:tc>
        <w:tc>
          <w:tcPr>
            <w:tcW w:w="1538" w:type="dxa"/>
            <w:tcBorders>
              <w:top w:val="single" w:sz="10" w:space="0" w:color="000000"/>
              <w:left w:val="single" w:sz="4" w:space="0" w:color="000000"/>
              <w:bottom w:val="single" w:sz="4" w:space="0" w:color="000000"/>
              <w:right w:val="single" w:sz="4" w:space="0" w:color="000000"/>
            </w:tcBorders>
          </w:tcPr>
          <w:p>
            <w:pPr/>
          </w:p>
        </w:tc>
      </w:tr>
      <w:tr>
        <w:trPr>
          <w:trHeight w:val="401"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90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32"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72"/>
                <w:sz w:val="18"/>
                <w:szCs w:val="18"/>
              </w:rPr>
              <w:t>．</w:t>
            </w:r>
            <w:r>
              <w:rPr>
                <w:rFonts w:ascii="宋体" w:hAnsi="宋体" w:cs="宋体" w:eastAsia="宋体" w:hint="default"/>
                <w:sz w:val="18"/>
                <w:szCs w:val="18"/>
              </w:rPr>
              <w:t>资本公积转增资</w:t>
            </w:r>
            <w:r>
              <w:rPr>
                <w:rFonts w:ascii="宋体" w:hAnsi="宋体" w:cs="宋体" w:eastAsia="宋体" w:hint="default"/>
                <w:spacing w:val="-72"/>
                <w:sz w:val="18"/>
                <w:szCs w:val="18"/>
              </w:rPr>
              <w:t>本</w:t>
            </w:r>
            <w:r>
              <w:rPr>
                <w:rFonts w:ascii="宋体" w:hAnsi="宋体" w:cs="宋体" w:eastAsia="宋体" w:hint="default"/>
                <w:sz w:val="18"/>
                <w:szCs w:val="18"/>
              </w:rPr>
              <w:t>（或股本</w:t>
            </w:r>
          </w:p>
        </w:tc>
        <w:tc>
          <w:tcPr>
            <w:tcW w:w="1909"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15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32"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盈余公积转增资</w:t>
            </w:r>
            <w:r>
              <w:rPr>
                <w:rFonts w:ascii="宋体" w:hAnsi="宋体" w:cs="宋体" w:eastAsia="宋体" w:hint="default"/>
                <w:spacing w:val="-72"/>
                <w:sz w:val="18"/>
                <w:szCs w:val="18"/>
              </w:rPr>
              <w:t>本</w:t>
            </w:r>
            <w:r>
              <w:rPr>
                <w:rFonts w:ascii="宋体" w:hAnsi="宋体" w:cs="宋体" w:eastAsia="宋体" w:hint="default"/>
                <w:sz w:val="18"/>
                <w:szCs w:val="18"/>
              </w:rPr>
              <w:t>（或股本</w:t>
            </w:r>
          </w:p>
        </w:tc>
        <w:tc>
          <w:tcPr>
            <w:tcW w:w="1909"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15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90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90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90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90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90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90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4" w:right="0"/>
              <w:jc w:val="left"/>
              <w:rPr>
                <w:rFonts w:ascii="Times New Roman" w:hAnsi="Times New Roman" w:cs="Times New Roman" w:eastAsia="Times New Roman" w:hint="default"/>
                <w:sz w:val="18"/>
                <w:szCs w:val="18"/>
              </w:rPr>
            </w:pPr>
            <w:r>
              <w:rPr>
                <w:rFonts w:ascii="Times New Roman"/>
                <w:sz w:val="18"/>
              </w:rPr>
              <w:t>1,005,000,000.00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4" w:right="0"/>
              <w:jc w:val="left"/>
              <w:rPr>
                <w:rFonts w:ascii="Times New Roman" w:hAnsi="Times New Roman" w:cs="Times New Roman" w:eastAsia="Times New Roman" w:hint="default"/>
                <w:sz w:val="18"/>
                <w:szCs w:val="18"/>
              </w:rPr>
            </w:pPr>
            <w:r>
              <w:rPr>
                <w:rFonts w:ascii="Times New Roman"/>
                <w:sz w:val="18"/>
              </w:rPr>
              <w:t>1,069,174,251.00</w:t>
            </w:r>
          </w:p>
        </w:tc>
        <w:tc>
          <w:tcPr>
            <w:tcW w:w="706"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7" w:right="0"/>
              <w:jc w:val="left"/>
              <w:rPr>
                <w:rFonts w:ascii="Times New Roman" w:hAnsi="Times New Roman" w:cs="Times New Roman" w:eastAsia="Times New Roman" w:hint="default"/>
                <w:sz w:val="18"/>
                <w:szCs w:val="18"/>
              </w:rPr>
            </w:pPr>
            <w:r>
              <w:rPr>
                <w:rFonts w:ascii="Times New Roman"/>
                <w:sz w:val="18"/>
              </w:rPr>
              <w:t>558,716,738.00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4" w:right="0"/>
              <w:jc w:val="left"/>
              <w:rPr>
                <w:rFonts w:ascii="Times New Roman" w:hAnsi="Times New Roman" w:cs="Times New Roman" w:eastAsia="Times New Roman" w:hint="default"/>
                <w:sz w:val="18"/>
                <w:szCs w:val="18"/>
              </w:rPr>
            </w:pPr>
            <w:r>
              <w:rPr>
                <w:rFonts w:ascii="Times New Roman"/>
                <w:sz w:val="18"/>
              </w:rPr>
              <w:t>1,493,052,239.00</w:t>
            </w:r>
          </w:p>
        </w:tc>
        <w:tc>
          <w:tcPr>
            <w:tcW w:w="703"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4" w:right="0"/>
              <w:jc w:val="left"/>
              <w:rPr>
                <w:rFonts w:ascii="Times New Roman" w:hAnsi="Times New Roman" w:cs="Times New Roman" w:eastAsia="Times New Roman" w:hint="default"/>
                <w:sz w:val="18"/>
                <w:szCs w:val="18"/>
              </w:rPr>
            </w:pPr>
            <w:r>
              <w:rPr>
                <w:rFonts w:ascii="Times New Roman"/>
                <w:sz w:val="18"/>
              </w:rPr>
              <w:t>4,125,943,228.00</w:t>
            </w:r>
          </w:p>
        </w:tc>
      </w:tr>
    </w:tbl>
    <w:p>
      <w:pPr>
        <w:spacing w:line="240" w:lineRule="auto" w:before="11"/>
        <w:rPr>
          <w:rFonts w:ascii="Times New Roman" w:hAnsi="Times New Roman" w:cs="Times New Roman" w:eastAsia="Times New Roman" w:hint="default"/>
          <w:sz w:val="22"/>
          <w:szCs w:val="22"/>
        </w:rPr>
      </w:pPr>
    </w:p>
    <w:p>
      <w:pPr>
        <w:pStyle w:val="BodyText"/>
        <w:tabs>
          <w:tab w:pos="3545" w:val="left" w:leader="none"/>
          <w:tab w:pos="7688" w:val="left" w:leader="none"/>
        </w:tabs>
        <w:spacing w:line="240" w:lineRule="auto" w:before="44"/>
        <w:ind w:left="120" w:right="0"/>
        <w:jc w:val="left"/>
      </w:pPr>
      <w:r>
        <w:rPr/>
        <w:t>法定代表人：周成建</w:t>
        <w:tab/>
      </w:r>
      <w:r>
        <w:rPr>
          <w:spacing w:val="-1"/>
        </w:rPr>
        <w:t>主管会计工作负责人：韩钟伟</w:t>
        <w:tab/>
      </w:r>
      <w:r>
        <w:rPr/>
        <w:t>会计机构负责人：</w:t>
      </w:r>
      <w:r>
        <w:rPr>
          <w:spacing w:val="-1"/>
        </w:rPr>
        <w:t> </w:t>
      </w:r>
      <w:r>
        <w:rPr/>
        <w:t>张利</w:t>
      </w:r>
    </w:p>
    <w:p>
      <w:pPr>
        <w:spacing w:line="240" w:lineRule="auto" w:before="0"/>
        <w:rPr>
          <w:rFonts w:ascii="宋体" w:hAnsi="宋体" w:cs="宋体" w:eastAsia="宋体" w:hint="default"/>
          <w:sz w:val="18"/>
          <w:szCs w:val="18"/>
        </w:rPr>
      </w:pPr>
    </w:p>
    <w:p>
      <w:pPr>
        <w:pStyle w:val="Heading4"/>
        <w:spacing w:line="240" w:lineRule="auto" w:before="120"/>
        <w:ind w:left="12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6840" w:h="11910" w:orient="landscape"/>
          <w:pgMar w:header="850" w:footer="1186" w:top="1440" w:bottom="1380" w:left="1320" w:right="1160"/>
        </w:sectPr>
      </w:pPr>
    </w:p>
    <w:p>
      <w:pPr>
        <w:pStyle w:val="BodyText"/>
        <w:spacing w:line="357" w:lineRule="auto" w:before="44"/>
        <w:ind w:left="120" w:right="-20"/>
        <w:jc w:val="left"/>
      </w:pPr>
      <w:r>
        <w:rPr/>
        <w:t>编制单位：上海美特斯邦威服饰股份有限公司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20" w:right="0"/>
        <w:jc w:val="left"/>
      </w:pPr>
      <w:r>
        <w:rPr/>
        <w:t>单位：元</w:t>
      </w:r>
    </w:p>
    <w:p>
      <w:pPr>
        <w:spacing w:after="0" w:line="240" w:lineRule="auto"/>
        <w:jc w:val="left"/>
        <w:sectPr>
          <w:type w:val="continuous"/>
          <w:pgSz w:w="16840" w:h="11910" w:orient="landscape"/>
          <w:pgMar w:top="840" w:bottom="280" w:left="1320" w:right="1160"/>
          <w:cols w:num="2" w:equalWidth="0">
            <w:col w:w="3721" w:space="9520"/>
            <w:col w:w="1119"/>
          </w:cols>
        </w:sectPr>
      </w:pPr>
    </w:p>
    <w:p>
      <w:pPr>
        <w:spacing w:line="240" w:lineRule="auto" w:before="4"/>
        <w:rPr>
          <w:rFonts w:ascii="宋体" w:hAnsi="宋体" w:cs="宋体" w:eastAsia="宋体" w:hint="default"/>
          <w:sz w:val="8"/>
          <w:szCs w:val="8"/>
        </w:rPr>
      </w:pPr>
      <w:r>
        <w:rPr/>
        <w:pict>
          <v:group style="position:absolute;margin-left:195.020004pt;margin-top:115.580009pt;width:92.55pt;height:39.6pt;mso-position-horizontal-relative:page;mso-position-vertical-relative:page;z-index:-751552" coordorigin="3900,2312" coordsize="1851,792">
            <v:group style="position:absolute;left:3900;top:2312;width:1851;height:392" coordorigin="3900,2312" coordsize="1851,392">
              <v:shape style="position:absolute;left:3900;top:2312;width:1851;height:392" coordorigin="3900,2312" coordsize="1851,392" path="m3900,2703l5751,2703,5751,2312,3900,2312,3900,2703xe" filled="true" fillcolor="#ffffff" stroked="false">
                <v:path arrowok="t"/>
                <v:fill type="solid"/>
              </v:shape>
            </v:group>
            <v:group style="position:absolute;left:3900;top:2712;width:1851;height:392" coordorigin="3900,2712" coordsize="1851,392">
              <v:shape style="position:absolute;left:3900;top:2712;width:1851;height:392" coordorigin="3900,2712" coordsize="1851,392" path="m3900,3104l5751,3104,5751,2712,3900,2712,3900,3104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741"/>
        <w:gridCol w:w="2074"/>
        <w:gridCol w:w="1514"/>
        <w:gridCol w:w="984"/>
        <w:gridCol w:w="984"/>
        <w:gridCol w:w="1514"/>
        <w:gridCol w:w="984"/>
        <w:gridCol w:w="1664"/>
        <w:gridCol w:w="1663"/>
      </w:tblGrid>
      <w:tr>
        <w:trPr>
          <w:trHeight w:val="401" w:hRule="exact"/>
        </w:trPr>
        <w:tc>
          <w:tcPr>
            <w:tcW w:w="27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8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1" w:hRule="exact"/>
        </w:trPr>
        <w:tc>
          <w:tcPr>
            <w:tcW w:w="27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8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96" w:right="36" w:hanging="360"/>
              <w:jc w:val="left"/>
              <w:rPr>
                <w:rFonts w:ascii="宋体" w:hAnsi="宋体" w:cs="宋体" w:eastAsia="宋体" w:hint="default"/>
                <w:sz w:val="18"/>
                <w:szCs w:val="18"/>
              </w:rPr>
            </w:pPr>
            <w:r>
              <w:rPr>
                <w:rFonts w:ascii="宋体" w:hAnsi="宋体" w:cs="宋体" w:eastAsia="宋体" w:hint="default"/>
                <w:sz w:val="18"/>
                <w:szCs w:val="18"/>
              </w:rPr>
              <w:t>一般风险准 备</w:t>
            </w:r>
          </w:p>
        </w:tc>
        <w:tc>
          <w:tcPr>
            <w:tcW w:w="1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741" w:type="dxa"/>
            <w:vMerge/>
            <w:tcBorders>
              <w:left w:val="single" w:sz="4" w:space="0" w:color="000000"/>
              <w:bottom w:val="nil" w:sz="6" w:space="0" w:color="auto"/>
              <w:right w:val="single" w:sz="4" w:space="0" w:color="000000"/>
            </w:tcBorders>
            <w:shd w:val="clear" w:color="auto" w:fill="D2D2D2"/>
          </w:tcPr>
          <w:p>
            <w:pPr/>
          </w:p>
        </w:tc>
        <w:tc>
          <w:tcPr>
            <w:tcW w:w="20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5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84" w:type="dxa"/>
            <w:vMerge/>
            <w:tcBorders>
              <w:left w:val="single" w:sz="4" w:space="0" w:color="000000"/>
              <w:right w:val="single" w:sz="4" w:space="0" w:color="000000"/>
            </w:tcBorders>
            <w:shd w:val="clear" w:color="auto" w:fill="D2D2D2"/>
          </w:tcPr>
          <w:p>
            <w:pPr/>
          </w:p>
        </w:tc>
        <w:tc>
          <w:tcPr>
            <w:tcW w:w="16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2741" w:type="dxa"/>
            <w:vMerge w:val="restart"/>
            <w:tcBorders>
              <w:top w:val="nil" w:sz="6" w:space="0" w:color="auto"/>
              <w:left w:val="single" w:sz="4" w:space="0" w:color="000000"/>
              <w:right w:val="single" w:sz="4" w:space="0" w:color="000000"/>
            </w:tcBorders>
            <w:shd w:val="clear" w:color="auto" w:fill="D2D2D2"/>
          </w:tcPr>
          <w:p>
            <w:pPr/>
          </w:p>
        </w:tc>
        <w:tc>
          <w:tcPr>
            <w:tcW w:w="2074" w:type="dxa"/>
            <w:vMerge/>
            <w:tcBorders>
              <w:left w:val="single" w:sz="4" w:space="0" w:color="000000"/>
              <w:bottom w:val="nil" w:sz="6" w:space="0" w:color="auto"/>
              <w:right w:val="single" w:sz="4" w:space="0" w:color="000000"/>
            </w:tcBorders>
            <w:shd w:val="clear" w:color="auto" w:fill="D2D2D2"/>
          </w:tcPr>
          <w:p>
            <w:pPr/>
          </w:p>
        </w:tc>
        <w:tc>
          <w:tcPr>
            <w:tcW w:w="1514" w:type="dxa"/>
            <w:vMerge/>
            <w:tcBorders>
              <w:left w:val="single" w:sz="4" w:space="0" w:color="000000"/>
              <w:bottom w:val="nil" w:sz="6" w:space="0" w:color="auto"/>
              <w:right w:val="single" w:sz="4" w:space="0" w:color="000000"/>
            </w:tcBorders>
            <w:shd w:val="clear" w:color="auto" w:fill="D2D2D2"/>
          </w:tcPr>
          <w:p>
            <w:pPr/>
          </w:p>
        </w:tc>
        <w:tc>
          <w:tcPr>
            <w:tcW w:w="984" w:type="dxa"/>
            <w:vMerge/>
            <w:tcBorders>
              <w:left w:val="single" w:sz="4" w:space="0" w:color="000000"/>
              <w:bottom w:val="nil" w:sz="6" w:space="0" w:color="auto"/>
              <w:right w:val="single" w:sz="4" w:space="0" w:color="000000"/>
            </w:tcBorders>
            <w:shd w:val="clear" w:color="auto" w:fill="D2D2D2"/>
          </w:tcPr>
          <w:p>
            <w:pPr/>
          </w:p>
        </w:tc>
        <w:tc>
          <w:tcPr>
            <w:tcW w:w="984" w:type="dxa"/>
            <w:vMerge/>
            <w:tcBorders>
              <w:left w:val="single" w:sz="4" w:space="0" w:color="000000"/>
              <w:bottom w:val="nil" w:sz="6" w:space="0" w:color="auto"/>
              <w:right w:val="single" w:sz="4" w:space="0" w:color="000000"/>
            </w:tcBorders>
            <w:shd w:val="clear" w:color="auto" w:fill="D2D2D2"/>
          </w:tcPr>
          <w:p>
            <w:pPr/>
          </w:p>
        </w:tc>
        <w:tc>
          <w:tcPr>
            <w:tcW w:w="1514" w:type="dxa"/>
            <w:vMerge/>
            <w:tcBorders>
              <w:left w:val="single" w:sz="4" w:space="0" w:color="000000"/>
              <w:bottom w:val="nil" w:sz="6" w:space="0" w:color="auto"/>
              <w:right w:val="single" w:sz="4" w:space="0" w:color="000000"/>
            </w:tcBorders>
            <w:shd w:val="clear" w:color="auto" w:fill="D2D2D2"/>
          </w:tcPr>
          <w:p>
            <w:pPr/>
          </w:p>
        </w:tc>
        <w:tc>
          <w:tcPr>
            <w:tcW w:w="984" w:type="dxa"/>
            <w:vMerge/>
            <w:tcBorders>
              <w:left w:val="single" w:sz="4" w:space="0" w:color="000000"/>
              <w:right w:val="single" w:sz="4" w:space="0" w:color="000000"/>
            </w:tcBorders>
            <w:shd w:val="clear" w:color="auto" w:fill="D2D2D2"/>
          </w:tcPr>
          <w:p>
            <w:pPr/>
          </w:p>
        </w:tc>
        <w:tc>
          <w:tcPr>
            <w:tcW w:w="1664" w:type="dxa"/>
            <w:vMerge/>
            <w:tcBorders>
              <w:left w:val="single" w:sz="4" w:space="0" w:color="000000"/>
              <w:bottom w:val="nil" w:sz="6" w:space="0" w:color="auto"/>
              <w:right w:val="single" w:sz="4" w:space="0" w:color="000000"/>
            </w:tcBorders>
            <w:shd w:val="clear" w:color="auto" w:fill="D2D2D2"/>
          </w:tcPr>
          <w:p>
            <w:pPr/>
          </w:p>
        </w:tc>
        <w:tc>
          <w:tcPr>
            <w:tcW w:w="166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741" w:type="dxa"/>
            <w:vMerge/>
            <w:tcBorders>
              <w:left w:val="single" w:sz="4" w:space="0" w:color="000000"/>
              <w:bottom w:val="single" w:sz="4" w:space="0" w:color="000000"/>
              <w:right w:val="single" w:sz="4" w:space="0" w:color="000000"/>
            </w:tcBorders>
            <w:shd w:val="clear" w:color="auto" w:fill="D2D2D2"/>
          </w:tcPr>
          <w:p>
            <w:pPr/>
          </w:p>
        </w:tc>
        <w:tc>
          <w:tcPr>
            <w:tcW w:w="20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84" w:type="dxa"/>
            <w:vMerge/>
            <w:tcBorders>
              <w:left w:val="single" w:sz="4" w:space="0" w:color="000000"/>
              <w:bottom w:val="single" w:sz="4" w:space="0" w:color="000000"/>
              <w:right w:val="single" w:sz="4" w:space="0" w:color="000000"/>
            </w:tcBorders>
            <w:shd w:val="clear" w:color="auto" w:fill="D2D2D2"/>
          </w:tcPr>
          <w:p>
            <w:pPr/>
          </w:p>
        </w:tc>
        <w:tc>
          <w:tcPr>
            <w:tcW w:w="1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20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67" w:right="0"/>
              <w:jc w:val="left"/>
              <w:rPr>
                <w:rFonts w:ascii="Times New Roman" w:hAnsi="Times New Roman" w:cs="Times New Roman" w:eastAsia="Times New Roman" w:hint="default"/>
                <w:sz w:val="18"/>
                <w:szCs w:val="18"/>
              </w:rPr>
            </w:pPr>
            <w:r>
              <w:rPr>
                <w:rFonts w:ascii="Times New Roman"/>
                <w:sz w:val="18"/>
              </w:rPr>
              <w:t>1,005,000,000.00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994,009,525.00</w:t>
            </w: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462,440,991.00</w:t>
            </w: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2,756,244,954.00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5,217,695,470.00</w:t>
            </w:r>
          </w:p>
        </w:tc>
      </w:tr>
      <w:tr>
        <w:trPr>
          <w:trHeight w:val="403" w:hRule="exact"/>
        </w:trPr>
        <w:tc>
          <w:tcPr>
            <w:tcW w:w="2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2074" w:type="dxa"/>
            <w:tcBorders>
              <w:top w:val="single" w:sz="4" w:space="0" w:color="000000"/>
              <w:left w:val="single" w:sz="13" w:space="0" w:color="D2D2D2"/>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840" w:bottom="280" w:left="1320" w:right="1160"/>
        </w:sectPr>
      </w:pPr>
    </w:p>
    <w:tbl>
      <w:tblPr>
        <w:tblW w:w="0" w:type="auto"/>
        <w:jc w:val="left"/>
        <w:tblInd w:w="115" w:type="dxa"/>
        <w:tblLayout w:type="fixed"/>
        <w:tblCellMar>
          <w:top w:w="0" w:type="dxa"/>
          <w:left w:w="0" w:type="dxa"/>
          <w:bottom w:w="0" w:type="dxa"/>
          <w:right w:w="0" w:type="dxa"/>
        </w:tblCellMar>
        <w:tblLook w:val="01E0"/>
      </w:tblPr>
      <w:tblGrid>
        <w:gridCol w:w="2753"/>
        <w:gridCol w:w="2062"/>
        <w:gridCol w:w="1514"/>
        <w:gridCol w:w="984"/>
        <w:gridCol w:w="984"/>
        <w:gridCol w:w="1514"/>
        <w:gridCol w:w="984"/>
        <w:gridCol w:w="1664"/>
        <w:gridCol w:w="1663"/>
      </w:tblGrid>
      <w:tr>
        <w:trPr>
          <w:trHeight w:val="415" w:hRule="exact"/>
        </w:trPr>
        <w:tc>
          <w:tcPr>
            <w:tcW w:w="275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2062" w:type="dxa"/>
            <w:tcBorders>
              <w:top w:val="single" w:sz="10" w:space="0" w:color="000000"/>
              <w:left w:val="single" w:sz="4" w:space="0" w:color="000000"/>
              <w:bottom w:val="single" w:sz="4" w:space="0" w:color="000000"/>
              <w:right w:val="single" w:sz="4" w:space="0" w:color="000000"/>
            </w:tcBorders>
          </w:tcPr>
          <w:p>
            <w:pPr/>
          </w:p>
        </w:tc>
        <w:tc>
          <w:tcPr>
            <w:tcW w:w="1514" w:type="dxa"/>
            <w:tcBorders>
              <w:top w:val="single" w:sz="10" w:space="0" w:color="000000"/>
              <w:left w:val="single" w:sz="4" w:space="0" w:color="000000"/>
              <w:bottom w:val="single" w:sz="4" w:space="0" w:color="000000"/>
              <w:right w:val="single" w:sz="4" w:space="0" w:color="000000"/>
            </w:tcBorders>
          </w:tcPr>
          <w:p>
            <w:pPr/>
          </w:p>
        </w:tc>
        <w:tc>
          <w:tcPr>
            <w:tcW w:w="984" w:type="dxa"/>
            <w:tcBorders>
              <w:top w:val="single" w:sz="10" w:space="0" w:color="000000"/>
              <w:left w:val="single" w:sz="4" w:space="0" w:color="000000"/>
              <w:bottom w:val="single" w:sz="4" w:space="0" w:color="000000"/>
              <w:right w:val="single" w:sz="4" w:space="0" w:color="000000"/>
            </w:tcBorders>
          </w:tcPr>
          <w:p>
            <w:pPr/>
          </w:p>
        </w:tc>
        <w:tc>
          <w:tcPr>
            <w:tcW w:w="984" w:type="dxa"/>
            <w:tcBorders>
              <w:top w:val="single" w:sz="10" w:space="0" w:color="000000"/>
              <w:left w:val="single" w:sz="4" w:space="0" w:color="000000"/>
              <w:bottom w:val="single" w:sz="4" w:space="0" w:color="000000"/>
              <w:right w:val="single" w:sz="4" w:space="0" w:color="000000"/>
            </w:tcBorders>
          </w:tcPr>
          <w:p>
            <w:pPr/>
          </w:p>
        </w:tc>
        <w:tc>
          <w:tcPr>
            <w:tcW w:w="1514" w:type="dxa"/>
            <w:tcBorders>
              <w:top w:val="single" w:sz="10" w:space="0" w:color="000000"/>
              <w:left w:val="single" w:sz="4" w:space="0" w:color="000000"/>
              <w:bottom w:val="single" w:sz="4" w:space="0" w:color="000000"/>
              <w:right w:val="single" w:sz="4" w:space="0" w:color="000000"/>
            </w:tcBorders>
          </w:tcPr>
          <w:p>
            <w:pPr/>
          </w:p>
        </w:tc>
        <w:tc>
          <w:tcPr>
            <w:tcW w:w="984" w:type="dxa"/>
            <w:tcBorders>
              <w:top w:val="single" w:sz="10" w:space="0" w:color="000000"/>
              <w:left w:val="single" w:sz="4" w:space="0" w:color="000000"/>
              <w:bottom w:val="single" w:sz="4" w:space="0" w:color="000000"/>
              <w:right w:val="single" w:sz="4" w:space="0" w:color="000000"/>
            </w:tcBorders>
          </w:tcPr>
          <w:p>
            <w:pPr/>
          </w:p>
        </w:tc>
        <w:tc>
          <w:tcPr>
            <w:tcW w:w="1664" w:type="dxa"/>
            <w:tcBorders>
              <w:top w:val="single" w:sz="10" w:space="0" w:color="000000"/>
              <w:left w:val="single" w:sz="4" w:space="0" w:color="000000"/>
              <w:bottom w:val="single" w:sz="4" w:space="0" w:color="000000"/>
              <w:right w:val="single" w:sz="4" w:space="0" w:color="000000"/>
            </w:tcBorders>
          </w:tcPr>
          <w:p>
            <w:pPr/>
          </w:p>
        </w:tc>
        <w:tc>
          <w:tcPr>
            <w:tcW w:w="1663" w:type="dxa"/>
            <w:tcBorders>
              <w:top w:val="single" w:sz="10" w:space="0" w:color="000000"/>
              <w:left w:val="single" w:sz="4" w:space="0" w:color="000000"/>
              <w:bottom w:val="single" w:sz="4" w:space="0" w:color="000000"/>
              <w:right w:val="single" w:sz="4" w:space="0" w:color="000000"/>
            </w:tcBorders>
          </w:tcPr>
          <w:p>
            <w:pPr/>
          </w:p>
        </w:tc>
      </w:tr>
      <w:tr>
        <w:trPr>
          <w:trHeight w:val="401"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6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67" w:right="0"/>
              <w:jc w:val="left"/>
              <w:rPr>
                <w:rFonts w:ascii="Times New Roman" w:hAnsi="Times New Roman" w:cs="Times New Roman" w:eastAsia="Times New Roman" w:hint="default"/>
                <w:sz w:val="18"/>
                <w:szCs w:val="18"/>
              </w:rPr>
            </w:pPr>
            <w:r>
              <w:rPr>
                <w:rFonts w:ascii="Times New Roman"/>
                <w:sz w:val="18"/>
              </w:rPr>
              <w:t>1,005,000,000.00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994,009,525.00</w:t>
            </w: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462,440,991.00</w:t>
            </w: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2,756,244,954.00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5,217,695,470.00</w:t>
            </w:r>
          </w:p>
        </w:tc>
      </w:tr>
      <w:tr>
        <w:trPr>
          <w:trHeight w:val="71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4"/>
              <w:ind w:left="23" w:right="21"/>
              <w:jc w:val="left"/>
              <w:rPr>
                <w:rFonts w:ascii="宋体" w:hAnsi="宋体" w:cs="宋体" w:eastAsia="宋体" w:hint="default"/>
                <w:sz w:val="18"/>
                <w:szCs w:val="18"/>
              </w:rPr>
            </w:pPr>
            <w:r>
              <w:rPr>
                <w:rFonts w:ascii="宋体" w:hAnsi="宋体" w:cs="宋体" w:eastAsia="宋体" w:hint="default"/>
                <w:spacing w:val="-10"/>
                <w:w w:val="100"/>
                <w:sz w:val="18"/>
                <w:szCs w:val="18"/>
              </w:rPr>
              <w:t>三、本期增减变动金额（减少以</w:t>
            </w:r>
            <w:r>
              <w:rPr>
                <w:rFonts w:ascii="Times New Roman" w:hAnsi="Times New Roman" w:cs="Times New Roman" w:eastAsia="Times New Roman" w:hint="default"/>
                <w:spacing w:val="-10"/>
                <w:w w:val="100"/>
                <w:sz w:val="18"/>
                <w:szCs w:val="18"/>
              </w:rPr>
              <w:t>“</w:t>
            </w:r>
            <w:r>
              <w:rPr>
                <w:rFonts w:ascii="宋体" w:hAnsi="宋体" w:cs="宋体" w:eastAsia="宋体" w:hint="default"/>
                <w:spacing w:val="-10"/>
                <w:w w:val="100"/>
                <w:sz w:val="18"/>
                <w:szCs w:val="18"/>
              </w:rPr>
              <w:t>－</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spacing w:val="-41"/>
                <w:w w:val="100"/>
                <w:sz w:val="18"/>
                <w:szCs w:val="18"/>
              </w:rPr>
              <w:t> </w:t>
            </w:r>
            <w:r>
              <w:rPr>
                <w:rFonts w:ascii="宋体" w:hAnsi="宋体" w:cs="宋体" w:eastAsia="宋体" w:hint="default"/>
                <w:sz w:val="18"/>
                <w:szCs w:val="18"/>
              </w:rPr>
              <w:t>号填列）</w:t>
            </w:r>
          </w:p>
        </w:tc>
        <w:tc>
          <w:tcPr>
            <w:tcW w:w="206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555,903.00</w:t>
            </w: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40,059,009.00</w:t>
            </w: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-218,249,635.00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-177,634,723.00</w:t>
            </w: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206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666,009,374.00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666,009,374.00</w:t>
            </w:r>
          </w:p>
        </w:tc>
      </w:tr>
      <w:tr>
        <w:trPr>
          <w:trHeight w:val="401"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206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206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18"/>
                <w:szCs w:val="18"/>
              </w:rPr>
            </w:pPr>
            <w:r>
              <w:rPr>
                <w:rFonts w:ascii="Times New Roman"/>
                <w:spacing w:val="-1"/>
                <w:sz w:val="18"/>
              </w:rPr>
              <w:t>666,009,374.00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666,009,374.00</w:t>
            </w:r>
          </w:p>
        </w:tc>
      </w:tr>
      <w:tr>
        <w:trPr>
          <w:trHeight w:val="401"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206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555,903.00</w:t>
            </w: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555,903.00</w:t>
            </w: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206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4"/>
              <w:ind w:left="23" w:right="10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 额</w:t>
            </w:r>
          </w:p>
        </w:tc>
        <w:tc>
          <w:tcPr>
            <w:tcW w:w="206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555,903.00</w:t>
            </w: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555,903.00</w:t>
            </w: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206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206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40,059,009.00</w:t>
            </w: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-884,259,009.00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-844,200,000.00</w:t>
            </w: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206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40,059,009.00</w:t>
            </w: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-40,059,009.00</w:t>
            </w: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206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206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-844,200,000.00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-844,200,000.00</w:t>
            </w:r>
          </w:p>
        </w:tc>
      </w:tr>
      <w:tr>
        <w:trPr>
          <w:trHeight w:val="401"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206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206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206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206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206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0" w:footer="1186" w:top="1480" w:bottom="1380" w:left="1320" w:right="1160"/>
        </w:sectPr>
      </w:pPr>
    </w:p>
    <w:p>
      <w:pPr>
        <w:spacing w:line="240" w:lineRule="auto" w:before="6"/>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753"/>
        <w:gridCol w:w="2062"/>
        <w:gridCol w:w="1514"/>
        <w:gridCol w:w="984"/>
        <w:gridCol w:w="984"/>
        <w:gridCol w:w="1514"/>
        <w:gridCol w:w="984"/>
        <w:gridCol w:w="1664"/>
        <w:gridCol w:w="1663"/>
      </w:tblGrid>
      <w:tr>
        <w:trPr>
          <w:trHeight w:val="415" w:hRule="exact"/>
        </w:trPr>
        <w:tc>
          <w:tcPr>
            <w:tcW w:w="275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2062" w:type="dxa"/>
            <w:tcBorders>
              <w:top w:val="single" w:sz="10" w:space="0" w:color="000000"/>
              <w:left w:val="single" w:sz="4" w:space="0" w:color="000000"/>
              <w:bottom w:val="single" w:sz="4" w:space="0" w:color="000000"/>
              <w:right w:val="single" w:sz="4" w:space="0" w:color="000000"/>
            </w:tcBorders>
          </w:tcPr>
          <w:p>
            <w:pPr/>
          </w:p>
        </w:tc>
        <w:tc>
          <w:tcPr>
            <w:tcW w:w="1514" w:type="dxa"/>
            <w:tcBorders>
              <w:top w:val="single" w:sz="10" w:space="0" w:color="000000"/>
              <w:left w:val="single" w:sz="4" w:space="0" w:color="000000"/>
              <w:bottom w:val="single" w:sz="4" w:space="0" w:color="000000"/>
              <w:right w:val="single" w:sz="4" w:space="0" w:color="000000"/>
            </w:tcBorders>
          </w:tcPr>
          <w:p>
            <w:pPr/>
          </w:p>
        </w:tc>
        <w:tc>
          <w:tcPr>
            <w:tcW w:w="984" w:type="dxa"/>
            <w:tcBorders>
              <w:top w:val="single" w:sz="10" w:space="0" w:color="000000"/>
              <w:left w:val="single" w:sz="4" w:space="0" w:color="000000"/>
              <w:bottom w:val="single" w:sz="4" w:space="0" w:color="000000"/>
              <w:right w:val="single" w:sz="4" w:space="0" w:color="000000"/>
            </w:tcBorders>
          </w:tcPr>
          <w:p>
            <w:pPr/>
          </w:p>
        </w:tc>
        <w:tc>
          <w:tcPr>
            <w:tcW w:w="984" w:type="dxa"/>
            <w:tcBorders>
              <w:top w:val="single" w:sz="10" w:space="0" w:color="000000"/>
              <w:left w:val="single" w:sz="4" w:space="0" w:color="000000"/>
              <w:bottom w:val="single" w:sz="4" w:space="0" w:color="000000"/>
              <w:right w:val="single" w:sz="4" w:space="0" w:color="000000"/>
            </w:tcBorders>
          </w:tcPr>
          <w:p>
            <w:pPr/>
          </w:p>
        </w:tc>
        <w:tc>
          <w:tcPr>
            <w:tcW w:w="1514" w:type="dxa"/>
            <w:tcBorders>
              <w:top w:val="single" w:sz="10" w:space="0" w:color="000000"/>
              <w:left w:val="single" w:sz="4" w:space="0" w:color="000000"/>
              <w:bottom w:val="single" w:sz="4" w:space="0" w:color="000000"/>
              <w:right w:val="single" w:sz="4" w:space="0" w:color="000000"/>
            </w:tcBorders>
          </w:tcPr>
          <w:p>
            <w:pPr/>
          </w:p>
        </w:tc>
        <w:tc>
          <w:tcPr>
            <w:tcW w:w="984" w:type="dxa"/>
            <w:tcBorders>
              <w:top w:val="single" w:sz="10" w:space="0" w:color="000000"/>
              <w:left w:val="single" w:sz="4" w:space="0" w:color="000000"/>
              <w:bottom w:val="single" w:sz="4" w:space="0" w:color="000000"/>
              <w:right w:val="single" w:sz="4" w:space="0" w:color="000000"/>
            </w:tcBorders>
          </w:tcPr>
          <w:p>
            <w:pPr/>
          </w:p>
        </w:tc>
        <w:tc>
          <w:tcPr>
            <w:tcW w:w="1664" w:type="dxa"/>
            <w:tcBorders>
              <w:top w:val="single" w:sz="10" w:space="0" w:color="000000"/>
              <w:left w:val="single" w:sz="4" w:space="0" w:color="000000"/>
              <w:bottom w:val="single" w:sz="4" w:space="0" w:color="000000"/>
              <w:right w:val="single" w:sz="4" w:space="0" w:color="000000"/>
            </w:tcBorders>
          </w:tcPr>
          <w:p>
            <w:pPr/>
          </w:p>
        </w:tc>
        <w:tc>
          <w:tcPr>
            <w:tcW w:w="1663" w:type="dxa"/>
            <w:tcBorders>
              <w:top w:val="single" w:sz="10" w:space="0" w:color="000000"/>
              <w:left w:val="single" w:sz="4" w:space="0" w:color="000000"/>
              <w:bottom w:val="single" w:sz="4" w:space="0" w:color="000000"/>
              <w:right w:val="single" w:sz="4" w:space="0" w:color="000000"/>
            </w:tcBorders>
          </w:tcPr>
          <w:p>
            <w:pPr/>
          </w:p>
        </w:tc>
      </w:tr>
      <w:tr>
        <w:trPr>
          <w:trHeight w:val="401"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206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206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206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206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415" w:hRule="exact"/>
        </w:trPr>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767" w:right="0"/>
              <w:jc w:val="left"/>
              <w:rPr>
                <w:rFonts w:ascii="Times New Roman" w:hAnsi="Times New Roman" w:cs="Times New Roman" w:eastAsia="Times New Roman" w:hint="default"/>
                <w:sz w:val="18"/>
                <w:szCs w:val="18"/>
              </w:rPr>
            </w:pPr>
            <w:r>
              <w:rPr>
                <w:rFonts w:ascii="Times New Roman"/>
                <w:sz w:val="18"/>
              </w:rPr>
              <w:t>1,005,000,000.00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55" w:right="0"/>
              <w:jc w:val="left"/>
              <w:rPr>
                <w:rFonts w:ascii="Times New Roman" w:hAnsi="Times New Roman" w:cs="Times New Roman" w:eastAsia="Times New Roman" w:hint="default"/>
                <w:sz w:val="18"/>
                <w:szCs w:val="18"/>
              </w:rPr>
            </w:pPr>
            <w:r>
              <w:rPr>
                <w:rFonts w:ascii="Times New Roman"/>
                <w:sz w:val="18"/>
              </w:rPr>
              <w:t>994,565,428.00</w:t>
            </w:r>
          </w:p>
        </w:tc>
        <w:tc>
          <w:tcPr>
            <w:tcW w:w="98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55" w:right="0"/>
              <w:jc w:val="left"/>
              <w:rPr>
                <w:rFonts w:ascii="Times New Roman" w:hAnsi="Times New Roman" w:cs="Times New Roman" w:eastAsia="Times New Roman" w:hint="default"/>
                <w:sz w:val="18"/>
                <w:szCs w:val="18"/>
              </w:rPr>
            </w:pPr>
            <w:r>
              <w:rPr>
                <w:rFonts w:ascii="Times New Roman"/>
                <w:sz w:val="18"/>
              </w:rPr>
              <w:t>502,500,000.00</w:t>
            </w:r>
          </w:p>
        </w:tc>
        <w:tc>
          <w:tcPr>
            <w:tcW w:w="984"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71" w:right="0"/>
              <w:jc w:val="left"/>
              <w:rPr>
                <w:rFonts w:ascii="Times New Roman" w:hAnsi="Times New Roman" w:cs="Times New Roman" w:eastAsia="Times New Roman" w:hint="default"/>
                <w:sz w:val="18"/>
                <w:szCs w:val="18"/>
              </w:rPr>
            </w:pPr>
            <w:r>
              <w:rPr>
                <w:rFonts w:ascii="Times New Roman"/>
                <w:sz w:val="18"/>
              </w:rPr>
              <w:t>2,537,995,319.00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69" w:right="0"/>
              <w:jc w:val="left"/>
              <w:rPr>
                <w:rFonts w:ascii="Times New Roman" w:hAnsi="Times New Roman" w:cs="Times New Roman" w:eastAsia="Times New Roman" w:hint="default"/>
                <w:sz w:val="18"/>
                <w:szCs w:val="18"/>
              </w:rPr>
            </w:pPr>
            <w:r>
              <w:rPr>
                <w:rFonts w:ascii="Times New Roman"/>
                <w:sz w:val="18"/>
              </w:rPr>
              <w:t>5,040,060,747.00</w:t>
            </w:r>
          </w:p>
        </w:tc>
      </w:tr>
    </w:tbl>
    <w:p>
      <w:pPr>
        <w:pStyle w:val="BodyText"/>
        <w:spacing w:line="240" w:lineRule="auto" w:before="49"/>
        <w:ind w:left="120" w:right="0"/>
        <w:jc w:val="left"/>
      </w:pPr>
      <w:r>
        <w:rPr/>
        <w:t>上年金额</w:t>
      </w:r>
    </w:p>
    <w:p>
      <w:pPr>
        <w:pStyle w:val="BodyText"/>
        <w:spacing w:line="240" w:lineRule="auto" w:before="115"/>
        <w:ind w:left="0" w:right="277"/>
        <w:jc w:val="right"/>
      </w:pPr>
      <w:r>
        <w:rPr/>
        <w:t>单位：元</w:t>
      </w:r>
    </w:p>
    <w:p>
      <w:pPr>
        <w:spacing w:line="240" w:lineRule="auto" w:before="4"/>
        <w:rPr>
          <w:rFonts w:ascii="宋体" w:hAnsi="宋体" w:cs="宋体" w:eastAsia="宋体" w:hint="default"/>
          <w:sz w:val="8"/>
          <w:szCs w:val="8"/>
        </w:rPr>
      </w:pPr>
    </w:p>
    <w:tbl>
      <w:tblPr>
        <w:tblW w:w="0" w:type="auto"/>
        <w:jc w:val="left"/>
        <w:tblInd w:w="127" w:type="dxa"/>
        <w:tblLayout w:type="fixed"/>
        <w:tblCellMar>
          <w:top w:w="0" w:type="dxa"/>
          <w:left w:w="0" w:type="dxa"/>
          <w:bottom w:w="0" w:type="dxa"/>
          <w:right w:w="0" w:type="dxa"/>
        </w:tblCellMar>
        <w:tblLook w:val="01E0"/>
      </w:tblPr>
      <w:tblGrid>
        <w:gridCol w:w="2745"/>
        <w:gridCol w:w="2071"/>
        <w:gridCol w:w="1510"/>
        <w:gridCol w:w="984"/>
        <w:gridCol w:w="980"/>
        <w:gridCol w:w="1512"/>
        <w:gridCol w:w="979"/>
        <w:gridCol w:w="1661"/>
        <w:gridCol w:w="1661"/>
      </w:tblGrid>
      <w:tr>
        <w:trPr>
          <w:trHeight w:val="401" w:hRule="exact"/>
        </w:trPr>
        <w:tc>
          <w:tcPr>
            <w:tcW w:w="27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1" w:hRule="exact"/>
        </w:trPr>
        <w:tc>
          <w:tcPr>
            <w:tcW w:w="27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0" w:type="dxa"/>
            <w:tcBorders>
              <w:top w:val="single" w:sz="4" w:space="0" w:color="000000"/>
              <w:left w:val="single" w:sz="4" w:space="0" w:color="000000"/>
              <w:bottom w:val="nil" w:sz="6" w:space="0" w:color="auto"/>
              <w:right w:val="single" w:sz="4" w:space="0" w:color="000000"/>
            </w:tcBorders>
            <w:shd w:val="clear" w:color="auto" w:fill="D2D2D2"/>
          </w:tcPr>
          <w:p>
            <w:pPr/>
          </w:p>
        </w:tc>
        <w:tc>
          <w:tcPr>
            <w:tcW w:w="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9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97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93" w:right="35" w:hanging="360"/>
              <w:jc w:val="left"/>
              <w:rPr>
                <w:rFonts w:ascii="宋体" w:hAnsi="宋体" w:cs="宋体" w:eastAsia="宋体" w:hint="default"/>
                <w:sz w:val="18"/>
                <w:szCs w:val="18"/>
              </w:rPr>
            </w:pPr>
            <w:r>
              <w:rPr>
                <w:rFonts w:ascii="宋体" w:hAnsi="宋体" w:cs="宋体" w:eastAsia="宋体" w:hint="default"/>
                <w:sz w:val="18"/>
                <w:szCs w:val="18"/>
              </w:rPr>
              <w:t>一般风险准 备</w:t>
            </w:r>
          </w:p>
        </w:tc>
        <w:tc>
          <w:tcPr>
            <w:tcW w:w="16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745" w:type="dxa"/>
            <w:vMerge/>
            <w:tcBorders>
              <w:left w:val="single" w:sz="4" w:space="0" w:color="000000"/>
              <w:bottom w:val="nil" w:sz="6" w:space="0" w:color="auto"/>
              <w:right w:val="single" w:sz="4" w:space="0" w:color="000000"/>
            </w:tcBorders>
            <w:shd w:val="clear" w:color="auto" w:fill="D2D2D2"/>
          </w:tcPr>
          <w:p>
            <w:pPr/>
          </w:p>
        </w:tc>
        <w:tc>
          <w:tcPr>
            <w:tcW w:w="20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5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79" w:type="dxa"/>
            <w:vMerge/>
            <w:tcBorders>
              <w:left w:val="single" w:sz="4" w:space="0" w:color="000000"/>
              <w:right w:val="single" w:sz="4" w:space="0" w:color="000000"/>
            </w:tcBorders>
            <w:shd w:val="clear" w:color="auto" w:fill="D2D2D2"/>
          </w:tcPr>
          <w:p>
            <w:pPr/>
          </w:p>
        </w:tc>
        <w:tc>
          <w:tcPr>
            <w:tcW w:w="16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2745" w:type="dxa"/>
            <w:vMerge w:val="restart"/>
            <w:tcBorders>
              <w:top w:val="nil" w:sz="6" w:space="0" w:color="auto"/>
              <w:left w:val="single" w:sz="4" w:space="0" w:color="000000"/>
              <w:right w:val="single" w:sz="4" w:space="0" w:color="000000"/>
            </w:tcBorders>
            <w:shd w:val="clear" w:color="auto" w:fill="D2D2D2"/>
          </w:tcPr>
          <w:p>
            <w:pPr/>
          </w:p>
        </w:tc>
        <w:tc>
          <w:tcPr>
            <w:tcW w:w="2071" w:type="dxa"/>
            <w:vMerge/>
            <w:tcBorders>
              <w:left w:val="single" w:sz="4" w:space="0" w:color="000000"/>
              <w:bottom w:val="nil" w:sz="6" w:space="0" w:color="auto"/>
              <w:right w:val="single" w:sz="4" w:space="0" w:color="000000"/>
            </w:tcBorders>
            <w:shd w:val="clear" w:color="auto" w:fill="D2D2D2"/>
          </w:tcPr>
          <w:p>
            <w:pPr/>
          </w:p>
        </w:tc>
        <w:tc>
          <w:tcPr>
            <w:tcW w:w="1510" w:type="dxa"/>
            <w:vMerge/>
            <w:tcBorders>
              <w:left w:val="single" w:sz="4" w:space="0" w:color="000000"/>
              <w:bottom w:val="nil" w:sz="6" w:space="0" w:color="auto"/>
              <w:right w:val="single" w:sz="4" w:space="0" w:color="000000"/>
            </w:tcBorders>
            <w:shd w:val="clear" w:color="auto" w:fill="D2D2D2"/>
          </w:tcPr>
          <w:p>
            <w:pPr/>
          </w:p>
        </w:tc>
        <w:tc>
          <w:tcPr>
            <w:tcW w:w="984" w:type="dxa"/>
            <w:vMerge/>
            <w:tcBorders>
              <w:left w:val="single" w:sz="4" w:space="0" w:color="000000"/>
              <w:bottom w:val="nil" w:sz="6" w:space="0" w:color="auto"/>
              <w:right w:val="single" w:sz="4" w:space="0" w:color="000000"/>
            </w:tcBorders>
            <w:shd w:val="clear" w:color="auto" w:fill="D2D2D2"/>
          </w:tcPr>
          <w:p>
            <w:pPr/>
          </w:p>
        </w:tc>
        <w:tc>
          <w:tcPr>
            <w:tcW w:w="980" w:type="dxa"/>
            <w:vMerge/>
            <w:tcBorders>
              <w:left w:val="single" w:sz="4" w:space="0" w:color="000000"/>
              <w:bottom w:val="nil" w:sz="6" w:space="0" w:color="auto"/>
              <w:right w:val="single" w:sz="4" w:space="0" w:color="000000"/>
            </w:tcBorders>
            <w:shd w:val="clear" w:color="auto" w:fill="D2D2D2"/>
          </w:tcPr>
          <w:p>
            <w:pPr/>
          </w:p>
        </w:tc>
        <w:tc>
          <w:tcPr>
            <w:tcW w:w="1512" w:type="dxa"/>
            <w:vMerge/>
            <w:tcBorders>
              <w:left w:val="single" w:sz="4" w:space="0" w:color="000000"/>
              <w:bottom w:val="nil" w:sz="6" w:space="0" w:color="auto"/>
              <w:right w:val="single" w:sz="4" w:space="0" w:color="000000"/>
            </w:tcBorders>
            <w:shd w:val="clear" w:color="auto" w:fill="D2D2D2"/>
          </w:tcPr>
          <w:p>
            <w:pPr/>
          </w:p>
        </w:tc>
        <w:tc>
          <w:tcPr>
            <w:tcW w:w="979" w:type="dxa"/>
            <w:vMerge/>
            <w:tcBorders>
              <w:left w:val="single" w:sz="4" w:space="0" w:color="000000"/>
              <w:right w:val="single" w:sz="4" w:space="0" w:color="000000"/>
            </w:tcBorders>
            <w:shd w:val="clear" w:color="auto" w:fill="D2D2D2"/>
          </w:tcPr>
          <w:p>
            <w:pPr/>
          </w:p>
        </w:tc>
        <w:tc>
          <w:tcPr>
            <w:tcW w:w="1661" w:type="dxa"/>
            <w:vMerge/>
            <w:tcBorders>
              <w:left w:val="single" w:sz="4" w:space="0" w:color="000000"/>
              <w:bottom w:val="nil" w:sz="6" w:space="0" w:color="auto"/>
              <w:right w:val="single" w:sz="4" w:space="0" w:color="000000"/>
            </w:tcBorders>
            <w:shd w:val="clear" w:color="auto" w:fill="D2D2D2"/>
          </w:tcPr>
          <w:p>
            <w:pPr/>
          </w:p>
        </w:tc>
        <w:tc>
          <w:tcPr>
            <w:tcW w:w="166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745" w:type="dxa"/>
            <w:vMerge/>
            <w:tcBorders>
              <w:left w:val="single" w:sz="4" w:space="0" w:color="000000"/>
              <w:bottom w:val="single" w:sz="4" w:space="0" w:color="000000"/>
              <w:right w:val="single" w:sz="4" w:space="0" w:color="000000"/>
            </w:tcBorders>
            <w:shd w:val="clear" w:color="auto" w:fill="D2D2D2"/>
          </w:tcPr>
          <w:p>
            <w:pPr/>
          </w:p>
        </w:tc>
        <w:tc>
          <w:tcPr>
            <w:tcW w:w="20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0" w:type="dxa"/>
            <w:tcBorders>
              <w:top w:val="nil" w:sz="6" w:space="0" w:color="auto"/>
              <w:left w:val="single" w:sz="4" w:space="0" w:color="000000"/>
              <w:bottom w:val="single" w:sz="4" w:space="0" w:color="000000"/>
              <w:right w:val="single" w:sz="4" w:space="0" w:color="000000"/>
            </w:tcBorders>
            <w:shd w:val="clear" w:color="auto" w:fill="D2D2D2"/>
          </w:tcPr>
          <w:p>
            <w:pPr/>
          </w:p>
        </w:tc>
        <w:tc>
          <w:tcPr>
            <w:tcW w:w="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9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979" w:type="dxa"/>
            <w:vMerge/>
            <w:tcBorders>
              <w:left w:val="single" w:sz="4" w:space="0" w:color="000000"/>
              <w:bottom w:val="single" w:sz="4" w:space="0" w:color="000000"/>
              <w:right w:val="single" w:sz="4" w:space="0" w:color="000000"/>
            </w:tcBorders>
            <w:shd w:val="clear" w:color="auto" w:fill="D2D2D2"/>
          </w:tcPr>
          <w:p>
            <w:pPr/>
          </w:p>
        </w:tc>
        <w:tc>
          <w:tcPr>
            <w:tcW w:w="16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2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1,005,000,000.00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947,316,320.00</w:t>
            </w: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309,878,345.00</w:t>
            </w: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1,915,831,143.00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4,178,025,808.00</w:t>
            </w:r>
          </w:p>
        </w:tc>
      </w:tr>
      <w:tr>
        <w:trPr>
          <w:trHeight w:val="401"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2071" w:type="dxa"/>
            <w:tcBorders>
              <w:top w:val="single" w:sz="4" w:space="0" w:color="000000"/>
              <w:left w:val="single" w:sz="9" w:space="0" w:color="D2D2D2"/>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2071" w:type="dxa"/>
            <w:tcBorders>
              <w:top w:val="single" w:sz="4" w:space="0" w:color="000000"/>
              <w:left w:val="single" w:sz="9" w:space="0" w:color="D2D2D2"/>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71" w:type="dxa"/>
            <w:tcBorders>
              <w:top w:val="single" w:sz="4" w:space="0" w:color="000000"/>
              <w:left w:val="single" w:sz="9" w:space="0" w:color="D2D2D2"/>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2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1,005,000,000.00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947,316,320.00</w:t>
            </w: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309,878,345.00</w:t>
            </w: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1,915,831,143.00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4,178,025,808.00</w:t>
            </w:r>
          </w:p>
        </w:tc>
      </w:tr>
      <w:tr>
        <w:trPr>
          <w:trHeight w:val="713"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8"/>
              <w:jc w:val="left"/>
              <w:rPr>
                <w:rFonts w:ascii="宋体" w:hAnsi="宋体" w:cs="宋体" w:eastAsia="宋体" w:hint="default"/>
                <w:sz w:val="18"/>
                <w:szCs w:val="18"/>
              </w:rPr>
            </w:pPr>
            <w:r>
              <w:rPr>
                <w:rFonts w:ascii="宋体" w:hAnsi="宋体" w:cs="宋体" w:eastAsia="宋体" w:hint="default"/>
                <w:spacing w:val="-9"/>
                <w:w w:val="100"/>
                <w:sz w:val="18"/>
                <w:szCs w:val="18"/>
              </w:rPr>
              <w:t>三、本期增减变动金额（减少以</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w:t>
            </w:r>
            <w:r>
              <w:rPr>
                <w:rFonts w:ascii="Times New Roman" w:hAnsi="Times New Roman" w:cs="Times New Roman" w:eastAsia="Times New Roman" w:hint="default"/>
                <w:spacing w:val="-9"/>
                <w:w w:val="100"/>
                <w:sz w:val="18"/>
                <w:szCs w:val="18"/>
              </w:rPr>
              <w:t>”</w:t>
            </w:r>
            <w:r>
              <w:rPr>
                <w:rFonts w:ascii="Times New Roman" w:hAnsi="Times New Roman" w:cs="Times New Roman" w:eastAsia="Times New Roman" w:hint="default"/>
                <w:spacing w:val="-42"/>
                <w:w w:val="100"/>
                <w:sz w:val="18"/>
                <w:szCs w:val="18"/>
              </w:rPr>
              <w:t> </w:t>
            </w:r>
            <w:r>
              <w:rPr>
                <w:rFonts w:ascii="宋体" w:hAnsi="宋体" w:cs="宋体" w:eastAsia="宋体" w:hint="default"/>
                <w:sz w:val="18"/>
                <w:szCs w:val="18"/>
              </w:rPr>
              <w:t>号填列）</w:t>
            </w:r>
          </w:p>
        </w:tc>
        <w:tc>
          <w:tcPr>
            <w:tcW w:w="2071" w:type="dxa"/>
            <w:tcBorders>
              <w:top w:val="single" w:sz="4" w:space="0" w:color="000000"/>
              <w:left w:val="single" w:sz="9" w:space="0" w:color="D2D2D2"/>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46,693,205.00</w:t>
            </w: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152,562,646.00</w:t>
            </w: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840,413,811.00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1,039,669,662.00</w:t>
            </w:r>
          </w:p>
        </w:tc>
      </w:tr>
      <w:tr>
        <w:trPr>
          <w:trHeight w:val="403"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2071" w:type="dxa"/>
            <w:tcBorders>
              <w:top w:val="single" w:sz="4" w:space="0" w:color="000000"/>
              <w:left w:val="single" w:sz="9" w:space="0" w:color="D2D2D2"/>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1,525,626,457.00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1,525,626,457.00</w:t>
            </w:r>
          </w:p>
        </w:tc>
      </w:tr>
      <w:tr>
        <w:trPr>
          <w:trHeight w:val="401"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2071" w:type="dxa"/>
            <w:tcBorders>
              <w:top w:val="single" w:sz="4" w:space="0" w:color="000000"/>
              <w:left w:val="single" w:sz="9" w:space="0" w:color="D2D2D2"/>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2071" w:type="dxa"/>
            <w:tcBorders>
              <w:top w:val="single" w:sz="4" w:space="0" w:color="000000"/>
              <w:left w:val="single" w:sz="9" w:space="0" w:color="D2D2D2"/>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2071" w:type="dxa"/>
            <w:tcBorders>
              <w:top w:val="single" w:sz="4" w:space="0" w:color="000000"/>
              <w:left w:val="single" w:sz="9" w:space="0" w:color="D2D2D2"/>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46,693,205.00</w:t>
            </w: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46,693,205.00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50" w:footer="1186" w:top="1440" w:bottom="1380" w:left="1320" w:right="1160"/>
        </w:sectPr>
      </w:pPr>
    </w:p>
    <w:tbl>
      <w:tblPr>
        <w:tblW w:w="0" w:type="auto"/>
        <w:jc w:val="left"/>
        <w:tblInd w:w="115" w:type="dxa"/>
        <w:tblLayout w:type="fixed"/>
        <w:tblCellMar>
          <w:top w:w="0" w:type="dxa"/>
          <w:left w:w="0" w:type="dxa"/>
          <w:bottom w:w="0" w:type="dxa"/>
          <w:right w:w="0" w:type="dxa"/>
        </w:tblCellMar>
        <w:tblLook w:val="01E0"/>
      </w:tblPr>
      <w:tblGrid>
        <w:gridCol w:w="2768"/>
        <w:gridCol w:w="2060"/>
        <w:gridCol w:w="1510"/>
        <w:gridCol w:w="984"/>
        <w:gridCol w:w="980"/>
        <w:gridCol w:w="1512"/>
        <w:gridCol w:w="979"/>
        <w:gridCol w:w="1661"/>
        <w:gridCol w:w="1661"/>
      </w:tblGrid>
      <w:tr>
        <w:trPr>
          <w:trHeight w:val="415" w:hRule="exact"/>
        </w:trPr>
        <w:tc>
          <w:tcPr>
            <w:tcW w:w="276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2060" w:type="dxa"/>
            <w:tcBorders>
              <w:top w:val="single" w:sz="10" w:space="0" w:color="000000"/>
              <w:left w:val="single" w:sz="4" w:space="0" w:color="000000"/>
              <w:bottom w:val="single" w:sz="4" w:space="0" w:color="000000"/>
              <w:right w:val="single" w:sz="4" w:space="0" w:color="000000"/>
            </w:tcBorders>
          </w:tcPr>
          <w:p>
            <w:pPr/>
          </w:p>
        </w:tc>
        <w:tc>
          <w:tcPr>
            <w:tcW w:w="1510" w:type="dxa"/>
            <w:tcBorders>
              <w:top w:val="single" w:sz="10" w:space="0" w:color="000000"/>
              <w:left w:val="single" w:sz="4" w:space="0" w:color="000000"/>
              <w:bottom w:val="single" w:sz="4" w:space="0" w:color="000000"/>
              <w:right w:val="single" w:sz="4" w:space="0" w:color="000000"/>
            </w:tcBorders>
          </w:tcPr>
          <w:p>
            <w:pPr/>
          </w:p>
        </w:tc>
        <w:tc>
          <w:tcPr>
            <w:tcW w:w="984" w:type="dxa"/>
            <w:tcBorders>
              <w:top w:val="single" w:sz="10" w:space="0" w:color="000000"/>
              <w:left w:val="single" w:sz="4" w:space="0" w:color="000000"/>
              <w:bottom w:val="single" w:sz="4" w:space="0" w:color="000000"/>
              <w:right w:val="single" w:sz="4" w:space="0" w:color="000000"/>
            </w:tcBorders>
          </w:tcPr>
          <w:p>
            <w:pPr/>
          </w:p>
        </w:tc>
        <w:tc>
          <w:tcPr>
            <w:tcW w:w="980" w:type="dxa"/>
            <w:tcBorders>
              <w:top w:val="single" w:sz="10" w:space="0" w:color="000000"/>
              <w:left w:val="single" w:sz="4" w:space="0" w:color="000000"/>
              <w:bottom w:val="single" w:sz="4" w:space="0" w:color="000000"/>
              <w:right w:val="single" w:sz="4" w:space="0" w:color="000000"/>
            </w:tcBorders>
          </w:tcPr>
          <w:p>
            <w:pPr/>
          </w:p>
        </w:tc>
        <w:tc>
          <w:tcPr>
            <w:tcW w:w="1512" w:type="dxa"/>
            <w:tcBorders>
              <w:top w:val="single" w:sz="10" w:space="0" w:color="000000"/>
              <w:left w:val="single" w:sz="4" w:space="0" w:color="000000"/>
              <w:bottom w:val="single" w:sz="4" w:space="0" w:color="000000"/>
              <w:right w:val="single" w:sz="4" w:space="0" w:color="000000"/>
            </w:tcBorders>
          </w:tcPr>
          <w:p>
            <w:pPr/>
          </w:p>
        </w:tc>
        <w:tc>
          <w:tcPr>
            <w:tcW w:w="979" w:type="dxa"/>
            <w:tcBorders>
              <w:top w:val="single" w:sz="10" w:space="0" w:color="000000"/>
              <w:left w:val="single" w:sz="4" w:space="0" w:color="000000"/>
              <w:bottom w:val="single" w:sz="4" w:space="0" w:color="000000"/>
              <w:right w:val="single" w:sz="4" w:space="0" w:color="000000"/>
            </w:tcBorders>
          </w:tcPr>
          <w:p>
            <w:pPr/>
          </w:p>
        </w:tc>
        <w:tc>
          <w:tcPr>
            <w:tcW w:w="1661" w:type="dxa"/>
            <w:tcBorders>
              <w:top w:val="single" w:sz="10" w:space="0" w:color="000000"/>
              <w:left w:val="single" w:sz="4" w:space="0" w:color="000000"/>
              <w:bottom w:val="single" w:sz="4" w:space="0" w:color="000000"/>
              <w:right w:val="single" w:sz="4" w:space="0" w:color="000000"/>
            </w:tcBorders>
          </w:tcPr>
          <w:p>
            <w:pPr/>
          </w:p>
        </w:tc>
        <w:tc>
          <w:tcPr>
            <w:tcW w:w="1661" w:type="dxa"/>
            <w:tcBorders>
              <w:top w:val="single" w:sz="10" w:space="0" w:color="000000"/>
              <w:left w:val="single" w:sz="4" w:space="0" w:color="000000"/>
              <w:bottom w:val="single" w:sz="4" w:space="0" w:color="000000"/>
              <w:right w:val="single" w:sz="4" w:space="0" w:color="000000"/>
            </w:tcBorders>
          </w:tcPr>
          <w:p>
            <w:pPr/>
          </w:p>
        </w:tc>
      </w:tr>
      <w:tr>
        <w:trPr>
          <w:trHeight w:val="401" w:hRule="exact"/>
        </w:trPr>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股份支付计入所有者权益的金额</w:t>
            </w:r>
          </w:p>
        </w:tc>
        <w:tc>
          <w:tcPr>
            <w:tcW w:w="206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3" w:right="0"/>
              <w:jc w:val="left"/>
              <w:rPr>
                <w:rFonts w:ascii="Times New Roman" w:hAnsi="Times New Roman" w:cs="Times New Roman" w:eastAsia="Times New Roman" w:hint="default"/>
                <w:sz w:val="18"/>
                <w:szCs w:val="18"/>
              </w:rPr>
            </w:pPr>
            <w:r>
              <w:rPr>
                <w:rFonts w:ascii="Times New Roman"/>
                <w:sz w:val="18"/>
              </w:rPr>
              <w:t>46,693,205.00</w:t>
            </w: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46,693,205.00</w:t>
            </w:r>
          </w:p>
        </w:tc>
      </w:tr>
      <w:tr>
        <w:trPr>
          <w:trHeight w:val="403" w:hRule="exact"/>
        </w:trPr>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206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206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152,562,646.00</w:t>
            </w: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-685,212,646.00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-532,650,000.00</w:t>
            </w:r>
          </w:p>
        </w:tc>
      </w:tr>
      <w:tr>
        <w:trPr>
          <w:trHeight w:val="403" w:hRule="exact"/>
        </w:trPr>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206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152,562,646.00</w:t>
            </w: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-152,562,646.00</w:t>
            </w: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206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206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spacing w:val="-1"/>
                <w:sz w:val="18"/>
              </w:rPr>
              <w:t>-532,650,000.00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spacing w:val="-1"/>
                <w:sz w:val="18"/>
              </w:rPr>
              <w:t>-532,650,000.00</w:t>
            </w:r>
          </w:p>
        </w:tc>
      </w:tr>
      <w:tr>
        <w:trPr>
          <w:trHeight w:val="401" w:hRule="exact"/>
        </w:trPr>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206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780" w:hRule="exact"/>
        </w:trPr>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206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780" w:hRule="exact"/>
        </w:trPr>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206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780" w:hRule="exact"/>
        </w:trPr>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206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780" w:hRule="exact"/>
        </w:trPr>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206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780" w:hRule="exact"/>
        </w:trPr>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206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781" w:hRule="exact"/>
        </w:trPr>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206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782" w:hRule="exact"/>
        </w:trPr>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206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0" w:footer="1186" w:top="1480" w:bottom="1380" w:left="1320" w:right="1160"/>
        </w:sectPr>
      </w:pPr>
    </w:p>
    <w:p>
      <w:pPr>
        <w:spacing w:line="240" w:lineRule="auto" w:before="9"/>
        <w:rPr>
          <w:rFonts w:ascii="Times New Roman" w:hAnsi="Times New Roman" w:cs="Times New Roman" w:eastAsia="Times New Roman"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768"/>
        <w:gridCol w:w="2060"/>
        <w:gridCol w:w="1510"/>
        <w:gridCol w:w="984"/>
        <w:gridCol w:w="980"/>
        <w:gridCol w:w="1512"/>
        <w:gridCol w:w="979"/>
        <w:gridCol w:w="1661"/>
        <w:gridCol w:w="1661"/>
      </w:tblGrid>
      <w:tr>
        <w:trPr>
          <w:trHeight w:val="792" w:hRule="exact"/>
        </w:trPr>
        <w:tc>
          <w:tcPr>
            <w:tcW w:w="276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2060" w:type="dxa"/>
            <w:tcBorders>
              <w:top w:val="single" w:sz="10" w:space="0" w:color="000000"/>
              <w:left w:val="single" w:sz="4" w:space="0" w:color="000000"/>
              <w:bottom w:val="single" w:sz="4" w:space="0" w:color="000000"/>
              <w:right w:val="single" w:sz="4" w:space="0" w:color="000000"/>
            </w:tcBorders>
          </w:tcPr>
          <w:p>
            <w:pPr/>
          </w:p>
        </w:tc>
        <w:tc>
          <w:tcPr>
            <w:tcW w:w="1510" w:type="dxa"/>
            <w:tcBorders>
              <w:top w:val="single" w:sz="10" w:space="0" w:color="000000"/>
              <w:left w:val="single" w:sz="4" w:space="0" w:color="000000"/>
              <w:bottom w:val="single" w:sz="4" w:space="0" w:color="000000"/>
              <w:right w:val="single" w:sz="4" w:space="0" w:color="000000"/>
            </w:tcBorders>
          </w:tcPr>
          <w:p>
            <w:pPr/>
          </w:p>
        </w:tc>
        <w:tc>
          <w:tcPr>
            <w:tcW w:w="984" w:type="dxa"/>
            <w:tcBorders>
              <w:top w:val="single" w:sz="10" w:space="0" w:color="000000"/>
              <w:left w:val="single" w:sz="4" w:space="0" w:color="000000"/>
              <w:bottom w:val="single" w:sz="4" w:space="0" w:color="000000"/>
              <w:right w:val="single" w:sz="4" w:space="0" w:color="000000"/>
            </w:tcBorders>
          </w:tcPr>
          <w:p>
            <w:pPr/>
          </w:p>
        </w:tc>
        <w:tc>
          <w:tcPr>
            <w:tcW w:w="980" w:type="dxa"/>
            <w:tcBorders>
              <w:top w:val="single" w:sz="10" w:space="0" w:color="000000"/>
              <w:left w:val="single" w:sz="4" w:space="0" w:color="000000"/>
              <w:bottom w:val="single" w:sz="4" w:space="0" w:color="000000"/>
              <w:right w:val="single" w:sz="4" w:space="0" w:color="000000"/>
            </w:tcBorders>
          </w:tcPr>
          <w:p>
            <w:pPr/>
          </w:p>
        </w:tc>
        <w:tc>
          <w:tcPr>
            <w:tcW w:w="1512" w:type="dxa"/>
            <w:tcBorders>
              <w:top w:val="single" w:sz="10" w:space="0" w:color="000000"/>
              <w:left w:val="single" w:sz="4" w:space="0" w:color="000000"/>
              <w:bottom w:val="single" w:sz="4" w:space="0" w:color="000000"/>
              <w:right w:val="single" w:sz="4" w:space="0" w:color="000000"/>
            </w:tcBorders>
          </w:tcPr>
          <w:p>
            <w:pPr/>
          </w:p>
        </w:tc>
        <w:tc>
          <w:tcPr>
            <w:tcW w:w="979" w:type="dxa"/>
            <w:tcBorders>
              <w:top w:val="single" w:sz="10" w:space="0" w:color="000000"/>
              <w:left w:val="single" w:sz="4" w:space="0" w:color="000000"/>
              <w:bottom w:val="single" w:sz="4" w:space="0" w:color="000000"/>
              <w:right w:val="single" w:sz="4" w:space="0" w:color="000000"/>
            </w:tcBorders>
          </w:tcPr>
          <w:p>
            <w:pPr/>
          </w:p>
        </w:tc>
        <w:tc>
          <w:tcPr>
            <w:tcW w:w="1661" w:type="dxa"/>
            <w:tcBorders>
              <w:top w:val="single" w:sz="10" w:space="0" w:color="000000"/>
              <w:left w:val="single" w:sz="4" w:space="0" w:color="000000"/>
              <w:bottom w:val="single" w:sz="4" w:space="0" w:color="000000"/>
              <w:right w:val="single" w:sz="4" w:space="0" w:color="000000"/>
            </w:tcBorders>
          </w:tcPr>
          <w:p>
            <w:pPr/>
          </w:p>
        </w:tc>
        <w:tc>
          <w:tcPr>
            <w:tcW w:w="1661" w:type="dxa"/>
            <w:tcBorders>
              <w:top w:val="single" w:sz="10" w:space="0" w:color="000000"/>
              <w:left w:val="single" w:sz="4" w:space="0" w:color="000000"/>
              <w:bottom w:val="single" w:sz="4" w:space="0" w:color="000000"/>
              <w:right w:val="single" w:sz="4" w:space="0" w:color="000000"/>
            </w:tcBorders>
          </w:tcPr>
          <w:p>
            <w:pPr/>
          </w:p>
        </w:tc>
      </w:tr>
      <w:tr>
        <w:trPr>
          <w:trHeight w:val="780" w:hRule="exact"/>
        </w:trPr>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2060"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806" w:hRule="exact"/>
        </w:trPr>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767" w:right="0"/>
              <w:jc w:val="left"/>
              <w:rPr>
                <w:rFonts w:ascii="Times New Roman" w:hAnsi="Times New Roman" w:cs="Times New Roman" w:eastAsia="Times New Roman" w:hint="default"/>
                <w:sz w:val="18"/>
                <w:szCs w:val="18"/>
              </w:rPr>
            </w:pPr>
            <w:r>
              <w:rPr>
                <w:rFonts w:ascii="Times New Roman"/>
                <w:sz w:val="18"/>
              </w:rPr>
              <w:t>1,005,000,000.00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994,009,525.00</w:t>
            </w:r>
          </w:p>
        </w:tc>
        <w:tc>
          <w:tcPr>
            <w:tcW w:w="984"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462,440,991.00</w:t>
            </w:r>
          </w:p>
        </w:tc>
        <w:tc>
          <w:tcPr>
            <w:tcW w:w="979"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2,756,244,954.00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367" w:right="0"/>
              <w:jc w:val="left"/>
              <w:rPr>
                <w:rFonts w:ascii="Times New Roman" w:hAnsi="Times New Roman" w:cs="Times New Roman" w:eastAsia="Times New Roman" w:hint="default"/>
                <w:sz w:val="18"/>
                <w:szCs w:val="18"/>
              </w:rPr>
            </w:pPr>
            <w:r>
              <w:rPr>
                <w:rFonts w:ascii="Times New Roman"/>
                <w:sz w:val="18"/>
              </w:rPr>
              <w:t>5,217,695,470.00</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50" w:footer="1186" w:top="1440" w:bottom="1380" w:left="1320" w:right="1160"/>
        </w:sectPr>
      </w:pPr>
    </w:p>
    <w:p>
      <w:pPr>
        <w:pStyle w:val="Heading2"/>
        <w:spacing w:line="240" w:lineRule="auto" w:before="13"/>
        <w:ind w:right="0"/>
        <w:jc w:val="left"/>
        <w:rPr>
          <w:b w:val="0"/>
          <w:bCs w:val="0"/>
        </w:rPr>
      </w:pPr>
      <w:r>
        <w:rPr/>
        <w:pict>
          <v:group style="position:absolute;margin-left:55.200001pt;margin-top:2.185603pt;width:484.9pt;height:.1pt;mso-position-horizontal-relative:page;mso-position-vertical-relative:paragraph;z-index:-751528" coordorigin="1104,44" coordsize="9698,2">
            <v:shape style="position:absolute;left:1104;top:44;width:9698;height:2" coordorigin="1104,44" coordsize="9698,0" path="m1104,44l10802,44e" filled="false" stroked="true" strokeweight=".72pt" strokecolor="#000000">
              <v:path arrowok="t"/>
            </v:shape>
            <w10:wrap type="none"/>
          </v:group>
        </w:pict>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jc w:val="left"/>
      </w:pPr>
      <w:r>
        <w:rPr/>
        <w:t>本公司总部及注册地址位于上海市浦东新区康桥镇康桥东路</w:t>
      </w:r>
      <w:r>
        <w:rPr>
          <w:rFonts w:ascii="Times New Roman" w:hAnsi="Times New Roman" w:cs="Times New Roman" w:eastAsia="Times New Roman" w:hint="default"/>
        </w:rPr>
        <w:t>800</w:t>
      </w:r>
      <w:r>
        <w:rPr/>
        <w:t>号。本公司及其子公司</w:t>
      </w: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主要从事服装设计开 </w:t>
      </w:r>
      <w:r>
        <w:rPr>
          <w:spacing w:val="-2"/>
        </w:rPr>
        <w:t>发；服装、鞋、针织品、皮革制品、羽绒制品、箱包、玩具、饰品、工艺品</w:t>
      </w:r>
      <w:r>
        <w:rPr>
          <w:rFonts w:ascii="Times New Roman" w:hAnsi="Times New Roman" w:cs="Times New Roman" w:eastAsia="Times New Roman" w:hint="default"/>
          <w:spacing w:val="-2"/>
        </w:rPr>
        <w:t>(</w:t>
      </w:r>
      <w:r>
        <w:rPr>
          <w:spacing w:val="-2"/>
        </w:rPr>
        <w:t>除金银</w:t>
      </w:r>
      <w:r>
        <w:rPr>
          <w:rFonts w:ascii="Times New Roman" w:hAnsi="Times New Roman" w:cs="Times New Roman" w:eastAsia="Times New Roman" w:hint="default"/>
          <w:spacing w:val="-2"/>
        </w:rPr>
        <w:t>)</w:t>
      </w:r>
      <w:r>
        <w:rPr>
          <w:spacing w:val="-2"/>
        </w:rPr>
        <w:t>、纸制品的销售；附设分支机构</w:t>
      </w:r>
      <w:r>
        <w:rPr>
          <w:rFonts w:ascii="Times New Roman" w:hAnsi="Times New Roman" w:cs="Times New Roman" w:eastAsia="Times New Roman" w:hint="default"/>
          <w:spacing w:val="-2"/>
        </w:rPr>
        <w:t>(</w:t>
      </w:r>
      <w:r>
        <w:rPr>
          <w:spacing w:val="-2"/>
        </w:rPr>
        <w:t>凡涉及</w:t>
      </w:r>
      <w:r>
        <w:rPr>
          <w:spacing w:val="-65"/>
        </w:rPr>
        <w:t> </w:t>
      </w:r>
      <w:r>
        <w:rPr/>
        <w:t>行政许可证凭许可证经营</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2"/>
        <w:spacing w:line="240" w:lineRule="auto" w:before="0"/>
        <w:ind w:right="0"/>
        <w:jc w:val="left"/>
        <w:rPr>
          <w:b w:val="0"/>
          <w:bCs w:val="0"/>
        </w:rPr>
      </w:pPr>
      <w:r>
        <w:rPr/>
        <w:t>四、公司主要会计政策、会计估计和前期差错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44"/>
        <w:jc w:val="left"/>
      </w:pPr>
      <w:r>
        <w:rPr/>
        <w:t>本财务报表按照财政部</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月颁布的《企业会计准则</w:t>
      </w:r>
      <w:r>
        <w:rPr>
          <w:rFonts w:ascii="Times New Roman" w:hAnsi="Times New Roman" w:cs="Times New Roman" w:eastAsia="Times New Roman" w:hint="default"/>
        </w:rPr>
        <w:t>—</w:t>
      </w:r>
      <w:r>
        <w:rPr/>
        <w:t>基本准则》和</w:t>
      </w:r>
      <w:r>
        <w:rPr>
          <w:rFonts w:ascii="Times New Roman" w:hAnsi="Times New Roman" w:cs="Times New Roman" w:eastAsia="Times New Roman" w:hint="default"/>
        </w:rPr>
        <w:t>38</w:t>
      </w:r>
      <w:r>
        <w:rPr/>
        <w:t>项具体会计准则、其后颁布的应用指南、解释以 及其他相关规定</w:t>
      </w: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编制。</w:t>
      </w:r>
    </w:p>
    <w:p>
      <w:pPr>
        <w:spacing w:line="240" w:lineRule="auto" w:before="11"/>
        <w:rPr>
          <w:rFonts w:ascii="宋体" w:hAnsi="宋体" w:cs="宋体" w:eastAsia="宋体" w:hint="default"/>
          <w:sz w:val="24"/>
          <w:szCs w:val="24"/>
        </w:rPr>
      </w:pPr>
    </w:p>
    <w:p>
      <w:pPr>
        <w:pStyle w:val="BodyText"/>
        <w:spacing w:line="636" w:lineRule="auto"/>
        <w:ind w:right="1314"/>
        <w:jc w:val="left"/>
      </w:pPr>
      <w:r>
        <w:rPr/>
        <w:t>本财务报表以持续经营为基础列报。 编制本财务报表时，均以历史成本为计价原则。资产如果发生减值，则按照相关规定计提相应的减值准备。</w:t>
      </w:r>
    </w:p>
    <w:p>
      <w:pPr>
        <w:pStyle w:val="Heading4"/>
        <w:spacing w:line="240" w:lineRule="auto" w:before="59"/>
        <w:ind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0"/>
        <w:jc w:val="left"/>
      </w:pPr>
      <w:r>
        <w:rPr>
          <w:spacing w:val="-2"/>
        </w:rPr>
        <w:t>本财务报表符合企业会计准则的要求，真实、完整地反映了本公司及本集团于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日的财务状况以及</w:t>
      </w:r>
      <w:r>
        <w:rPr>
          <w:rFonts w:ascii="Times New Roman" w:hAnsi="Times New Roman" w:cs="Times New Roman" w:eastAsia="Times New Roman" w:hint="default"/>
          <w:spacing w:val="-2"/>
        </w:rPr>
        <w:t>2012</w:t>
      </w:r>
      <w:r>
        <w:rPr>
          <w:spacing w:val="-2"/>
        </w:rPr>
        <w:t>年度的经</w:t>
      </w:r>
      <w:r>
        <w:rPr>
          <w:spacing w:val="-57"/>
        </w:rPr>
        <w:t> </w:t>
      </w:r>
      <w:r>
        <w:rPr>
          <w:spacing w:val="-57"/>
        </w:rPr>
      </w:r>
      <w:r>
        <w:rPr/>
        <w:t>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547" w:lineRule="auto" w:before="152"/>
        <w:ind w:left="152" w:right="45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18"/>
          <w:szCs w:val="18"/>
        </w:rPr>
        <w:t>本集团会计年度釆用公历年度，即每年自</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46"/>
        <w:ind w:right="0"/>
        <w:jc w:val="left"/>
      </w:pPr>
      <w:r>
        <w:rPr/>
        <w:t>本集团记账本位币和编制本财务报表所采用的货币均为人民币。除有特别说明外，均以人民币元为单位表示。</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jc w:val="left"/>
      </w:pPr>
      <w:r>
        <w:rPr>
          <w:spacing w:val="-2"/>
        </w:rPr>
        <w:t>参与合并的企业在合并前后均受同一方或相同的多方最终控制，且该控制并非暂时性的，为同一控制下的企业合并。同一控</w:t>
      </w:r>
      <w:r>
        <w:rPr>
          <w:spacing w:val="-65"/>
        </w:rPr>
        <w:t> </w:t>
      </w:r>
      <w:r>
        <w:rPr>
          <w:spacing w:val="-65"/>
        </w:rPr>
      </w:r>
      <w:r>
        <w:rPr>
          <w:spacing w:val="-2"/>
        </w:rPr>
        <w:t>制下的企业合并，在合并日取得对其他参与合并企业控制权的一方为合并方，参与合并的其他企业为被合并方。合并日，是</w:t>
      </w:r>
      <w:r>
        <w:rPr>
          <w:spacing w:val="-63"/>
        </w:rPr>
        <w:t> </w:t>
      </w:r>
      <w:r>
        <w:rPr>
          <w:spacing w:val="-63"/>
        </w:rPr>
      </w:r>
      <w:r>
        <w:rPr/>
        <w:t>指合并方实际取得对被合并方控制权的日期。 </w:t>
      </w:r>
      <w:r>
        <w:rPr>
          <w:spacing w:val="-2"/>
        </w:rPr>
        <w:t>合并方在企业合并中取得的资产和负债，按合并日在被合并方的账面价值计量。合并方取得的净资产账面价值与支付的合并</w:t>
      </w:r>
      <w:r>
        <w:rPr>
          <w:spacing w:val="-64"/>
        </w:rPr>
        <w:t> </w:t>
      </w:r>
      <w:r>
        <w:rPr>
          <w:spacing w:val="-64"/>
        </w:rPr>
      </w:r>
      <w:r>
        <w:rPr/>
        <w:t>对价的账面价值</w:t>
      </w:r>
      <w:r>
        <w:rPr>
          <w:rFonts w:ascii="Times New Roman" w:hAnsi="Times New Roman" w:cs="Times New Roman" w:eastAsia="Times New Roman" w:hint="default"/>
        </w:rPr>
        <w:t>(</w:t>
      </w:r>
      <w:r>
        <w:rPr/>
        <w:t>或发行股份面值总额</w:t>
      </w:r>
      <w:r>
        <w:rPr>
          <w:rFonts w:ascii="Times New Roman" w:hAnsi="Times New Roman" w:cs="Times New Roman" w:eastAsia="Times New Roman" w:hint="default"/>
        </w:rPr>
        <w:t>)</w:t>
      </w:r>
      <w:r>
        <w:rPr/>
        <w:t>的差额，调整资本公积中的股本溢价，不足冲减的则调整留存收益。</w:t>
      </w:r>
    </w:p>
    <w:p>
      <w:pPr>
        <w:spacing w:after="0" w:line="319" w:lineRule="auto"/>
        <w:jc w:val="left"/>
        <w:sectPr>
          <w:headerReference w:type="default" r:id="rId18"/>
          <w:footerReference w:type="default" r:id="rId19"/>
          <w:pgSz w:w="11910" w:h="16840"/>
          <w:pgMar w:header="850" w:footer="1186" w:top="1440" w:bottom="1380" w:left="980" w:right="980"/>
          <w:pgNumType w:start="64"/>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5"/>
        <w:rPr>
          <w:rFonts w:ascii="宋体" w:hAnsi="宋体" w:cs="宋体" w:eastAsia="宋体" w:hint="default"/>
          <w:b/>
          <w:bCs/>
          <w:sz w:val="26"/>
          <w:szCs w:val="26"/>
        </w:rPr>
      </w:pPr>
    </w:p>
    <w:p>
      <w:pPr>
        <w:pStyle w:val="BodyText"/>
        <w:spacing w:line="309" w:lineRule="auto"/>
        <w:ind w:right="94"/>
        <w:jc w:val="left"/>
      </w:pPr>
      <w:r>
        <w:rPr/>
        <w:t>参与合并的企业在合并前后不受同一方或相同的多方最终控制的，为非同一控制下的企业合并。非同一控制下的企业合并， </w:t>
      </w:r>
      <w:r>
        <w:rPr>
          <w:spacing w:val="-2"/>
        </w:rPr>
        <w:t>在购买日取得对其他参与合并企业控制权的一方为购买方，参与合并的其他企业为被购买方。购买日，是指为购买方实际取</w:t>
      </w:r>
      <w:r>
        <w:rPr>
          <w:spacing w:val="-64"/>
        </w:rPr>
        <w:t> </w:t>
      </w:r>
      <w:r>
        <w:rPr>
          <w:spacing w:val="-64"/>
        </w:rPr>
      </w:r>
      <w:r>
        <w:rPr/>
        <w:t>得对被购买方控制权的日期。</w:t>
      </w:r>
      <w:r>
        <w:rPr>
          <w:spacing w:val="-18"/>
        </w:rPr>
        <w:t> </w:t>
      </w:r>
      <w:r>
        <w:rPr/>
        <w:t>非同一控制下企业合并中所取得的被购买方可辨认资产、负债及或有负债在收购日以公允价</w:t>
      </w:r>
      <w:r>
        <w:rPr/>
        <w:t> 值计量。</w:t>
      </w:r>
      <w:r>
        <w:rPr>
          <w:spacing w:val="-18"/>
        </w:rPr>
        <w:t> </w:t>
      </w:r>
      <w:r>
        <w:rPr/>
        <w:t>支付的合并对价的公允价值</w:t>
      </w:r>
      <w:r>
        <w:rPr>
          <w:rFonts w:ascii="Times New Roman" w:hAnsi="Times New Roman" w:cs="Times New Roman" w:eastAsia="Times New Roman" w:hint="default"/>
        </w:rPr>
        <w:t>(</w:t>
      </w:r>
      <w:r>
        <w:rPr/>
        <w:t>或发行的权益性证券的公允价值</w:t>
      </w:r>
      <w:r>
        <w:rPr>
          <w:rFonts w:ascii="Times New Roman" w:hAnsi="Times New Roman" w:cs="Times New Roman" w:eastAsia="Times New Roman" w:hint="default"/>
        </w:rPr>
        <w:t>)</w:t>
      </w:r>
      <w:r>
        <w:rPr/>
        <w:t>与购买日之前持有的被购买方的股权的公允价值之 和大于合并中取得的被购买方可辨认净资产公允价值份额的差额，确认为商誉，并以成本减去累计减值损失进行后续计量。 支付的合并对价的公允价值</w:t>
      </w:r>
      <w:r>
        <w:rPr>
          <w:rFonts w:ascii="Times New Roman" w:hAnsi="Times New Roman" w:cs="Times New Roman" w:eastAsia="Times New Roman" w:hint="default"/>
        </w:rPr>
        <w:t>(</w:t>
      </w:r>
      <w:r>
        <w:rPr/>
        <w:t>或发行的权益性证券的公允价值</w:t>
      </w:r>
      <w:r>
        <w:rPr>
          <w:rFonts w:ascii="Times New Roman" w:hAnsi="Times New Roman" w:cs="Times New Roman" w:eastAsia="Times New Roman" w:hint="default"/>
        </w:rPr>
        <w:t>)</w:t>
      </w:r>
      <w:r>
        <w:rPr/>
        <w:t>与购买日之前持有的被购买方的股权的公允价值之和小于合 </w:t>
      </w:r>
      <w:r>
        <w:rPr>
          <w:spacing w:val="-2"/>
        </w:rPr>
        <w:t>并中取得的被购买方可辨认净资产公允价值份额的，首先对取得的被购买方各项可辨认资产、负债及或有负债的公允价值以</w:t>
      </w:r>
      <w:r>
        <w:rPr>
          <w:spacing w:val="-63"/>
        </w:rPr>
        <w:t> </w:t>
      </w:r>
      <w:r>
        <w:rPr>
          <w:spacing w:val="-63"/>
        </w:rPr>
      </w:r>
      <w:r>
        <w:rPr/>
        <w:t>及支付的合并对价的公允价值</w:t>
      </w:r>
      <w:r>
        <w:rPr>
          <w:rFonts w:ascii="Times New Roman" w:hAnsi="Times New Roman" w:cs="Times New Roman" w:eastAsia="Times New Roman" w:hint="default"/>
        </w:rPr>
        <w:t>(</w:t>
      </w:r>
      <w:r>
        <w:rPr/>
        <w:t>或发行的权益性证券的公允价值</w:t>
      </w:r>
      <w:r>
        <w:rPr>
          <w:rFonts w:ascii="Times New Roman" w:hAnsi="Times New Roman" w:cs="Times New Roman" w:eastAsia="Times New Roman" w:hint="default"/>
        </w:rPr>
        <w:t>)</w:t>
      </w:r>
      <w:r>
        <w:rPr/>
        <w:t>及购买日之前持有的被购买方的股权的公允价值的计量进 行复核，复核后支付的合并对价的公允价值</w:t>
      </w:r>
      <w:r>
        <w:rPr>
          <w:rFonts w:ascii="Times New Roman" w:hAnsi="Times New Roman" w:cs="Times New Roman" w:eastAsia="Times New Roman" w:hint="default"/>
        </w:rPr>
        <w:t>(</w:t>
      </w:r>
      <w:r>
        <w:rPr/>
        <w:t>或发行的权益性证券的公允价值</w:t>
      </w:r>
      <w:r>
        <w:rPr>
          <w:rFonts w:ascii="Times New Roman" w:hAnsi="Times New Roman" w:cs="Times New Roman" w:eastAsia="Times New Roman" w:hint="default"/>
        </w:rPr>
        <w:t>)</w:t>
      </w:r>
      <w:r>
        <w:rPr/>
        <w:t>与购买日之前持有的被购买方的股权的公允价 值之和仍小于合并中取得的被购买方可辨认净资产公允价值份额的，其差额计入当期损益。</w:t>
      </w: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8"/>
        <w:jc w:val="both"/>
      </w:pPr>
      <w:r>
        <w:rPr>
          <w:spacing w:val="-2"/>
        </w:rPr>
        <w:t>合并财务报表的合并范围以控制为基础确定，包括本公司及全部子公司截至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日止年度的财务报表。子公司，是</w:t>
      </w:r>
      <w:r>
        <w:rPr>
          <w:spacing w:val="-57"/>
        </w:rPr>
        <w:t> </w:t>
      </w:r>
      <w:r>
        <w:rPr>
          <w:spacing w:val="-57"/>
        </w:rPr>
      </w:r>
      <w:r>
        <w:rPr/>
        <w:t>指被本公司控制的企业或主体。</w:t>
      </w:r>
      <w:r>
        <w:rPr>
          <w:spacing w:val="-18"/>
        </w:rPr>
        <w:t> </w:t>
      </w:r>
      <w:r>
        <w:rPr/>
        <w:t>编制合并财务报表时，子公司采用与本公司一致的会计期间和会计政策。本集团内部各公</w:t>
      </w:r>
      <w:r>
        <w:rPr/>
        <w:t> 司之间的所有交易产生的余额、交易和未实现损益及股利于合并时全额抵销。</w:t>
      </w:r>
      <w:r>
        <w:rPr>
          <w:spacing w:val="-17"/>
        </w:rPr>
        <w:t> </w:t>
      </w:r>
      <w:r>
        <w:rPr/>
        <w:t>子公司少数股东分担的当期亏损超过了少数</w:t>
      </w:r>
      <w:r>
        <w:rPr/>
        <w:t> </w:t>
      </w:r>
      <w:r>
        <w:rPr>
          <w:spacing w:val="-2"/>
        </w:rPr>
        <w:t>股东在该子公司期初股东权益中所享有的份额的，其余额仍冲减少数股东权益。不丧失控制权情况下少数股东权益发生变化</w:t>
      </w:r>
      <w:r>
        <w:rPr>
          <w:spacing w:val="-64"/>
        </w:rPr>
        <w:t> </w:t>
      </w:r>
      <w:r>
        <w:rPr>
          <w:spacing w:val="-64"/>
        </w:rPr>
      </w:r>
      <w:r>
        <w:rPr/>
        <w:t>作为权益性交易。</w:t>
      </w:r>
      <w:r>
        <w:rPr>
          <w:spacing w:val="-18"/>
        </w:rPr>
        <w:t> </w:t>
      </w:r>
      <w:r>
        <w:rPr/>
        <w:t>对于通过非同一控制下的企业合并取得的子公司，被购买方的经营成果和现金流量自本集团取得控制权</w:t>
      </w:r>
      <w:r>
        <w:rPr/>
        <w:t> </w:t>
      </w:r>
      <w:r>
        <w:rPr>
          <w:spacing w:val="-2"/>
        </w:rPr>
        <w:t>之日起纳入合并财务报表，直至本集团对其控制权终止。在编制合并财务报表时，以购买日确定的各项可辨认资产、负债及</w:t>
      </w:r>
      <w:r>
        <w:rPr>
          <w:spacing w:val="-64"/>
        </w:rPr>
        <w:t> </w:t>
      </w:r>
      <w:r>
        <w:rPr>
          <w:spacing w:val="-64"/>
        </w:rPr>
      </w:r>
      <w:r>
        <w:rPr/>
        <w:t>或有负债的公允价值为基础对子公司的财务报表进行调整。</w:t>
      </w:r>
      <w:r>
        <w:rPr>
          <w:spacing w:val="-17"/>
        </w:rPr>
        <w:t> </w:t>
      </w:r>
      <w:r>
        <w:rPr/>
        <w:t>对于通过同一控制下的企业合并取得的子公司，被合并方的经</w:t>
      </w:r>
      <w:r>
        <w:rPr/>
        <w:t> </w:t>
      </w:r>
      <w:r>
        <w:rPr>
          <w:spacing w:val="-2"/>
        </w:rPr>
        <w:t>营成果和现金流量自合并当期期初纳入合并财务报表。编制比较合并财务报表时，对前期财务报表的相关项目进行调整，视</w:t>
      </w:r>
      <w:r>
        <w:rPr>
          <w:spacing w:val="-63"/>
        </w:rPr>
        <w:t> </w:t>
      </w:r>
      <w:r>
        <w:rPr>
          <w:spacing w:val="-63"/>
        </w:rPr>
      </w:r>
      <w:r>
        <w:rPr/>
        <w:t>同合并后形成的报告主体自最终控制方开始实施控制时一直存在。</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现金，是指本集团的库存现金以及可以随时用于支付的存款；现金等价物，是指本集团持有的期限短、流动性强、易于转换</w:t>
      </w:r>
      <w:r>
        <w:rPr>
          <w:spacing w:val="-66"/>
        </w:rPr>
        <w:t> </w:t>
      </w:r>
      <w:r>
        <w:rPr>
          <w:spacing w:val="-66"/>
        </w:rPr>
      </w:r>
      <w:r>
        <w:rPr/>
        <w:t>为已知金额的现金、价值变动风险很小的投资。</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850" w:footer="1186" w:top="1440" w:bottom="1380" w:left="980" w:right="9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both"/>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金融工具，是指形成一个企业的金融资产，并形成其他单位的金融负债或权益工具的合同。</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jc w:val="both"/>
      </w:pPr>
      <w:r>
        <w:rPr>
          <w:spacing w:val="-2"/>
        </w:rPr>
        <w:t>本集团的金融资产于初始确认时分类为：以公允价值计量且其变动计入当期损益的金融资产、持有至到期投资、贷款和应收</w:t>
      </w:r>
      <w:r>
        <w:rPr>
          <w:spacing w:val="-66"/>
        </w:rPr>
        <w:t> </w:t>
      </w:r>
      <w:r>
        <w:rPr>
          <w:spacing w:val="-66"/>
        </w:rPr>
      </w:r>
      <w:r>
        <w:rPr/>
        <w:t>款项、可供出售金融资产、被指定为有效套期工具的衍生工具。本集团在初始确认时确定金融资产的分类。</w:t>
      </w:r>
      <w:r>
        <w:rPr>
          <w:spacing w:val="-16"/>
        </w:rPr>
        <w:t> </w:t>
      </w:r>
      <w:r>
        <w:rPr/>
        <w:t>本集团的金融</w:t>
      </w:r>
      <w:r>
        <w:rPr/>
        <w:t> </w:t>
      </w:r>
      <w:r>
        <w:rPr>
          <w:spacing w:val="-2"/>
        </w:rPr>
        <w:t>负债于初始确认时分类为：以公允价值计量且其变动计入当期损益的金融负债、其他金融负债、被指定为有效套期工具的衍</w:t>
      </w:r>
      <w:r>
        <w:rPr>
          <w:spacing w:val="-63"/>
        </w:rPr>
        <w:t> </w:t>
      </w:r>
      <w:r>
        <w:rPr>
          <w:spacing w:val="-63"/>
        </w:rPr>
      </w:r>
      <w:r>
        <w:rPr/>
        <w:t>生工具。本集团在初始确认时确定金融负债的分类。</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5"/>
        <w:rPr>
          <w:rFonts w:ascii="宋体" w:hAnsi="宋体" w:cs="宋体" w:eastAsia="宋体" w:hint="default"/>
          <w:b/>
          <w:bCs/>
          <w:sz w:val="26"/>
          <w:szCs w:val="26"/>
        </w:rPr>
      </w:pPr>
    </w:p>
    <w:p>
      <w:pPr>
        <w:pStyle w:val="BodyText"/>
        <w:spacing w:line="304" w:lineRule="auto"/>
        <w:ind w:right="89"/>
        <w:jc w:val="left"/>
      </w:pPr>
      <w:r>
        <w:rPr/>
        <w:t>本集团于成为金融工具合同的一方时确认一项金融资产或金融负债。</w:t>
      </w:r>
      <w:r>
        <w:rPr>
          <w:spacing w:val="-41"/>
        </w:rPr>
        <w:t> </w:t>
      </w:r>
      <w:r>
        <w:rPr/>
        <w:t>满足下列条件的，终止确认金融资产</w:t>
      </w:r>
      <w:r>
        <w:rPr>
          <w:rFonts w:ascii="Times New Roman" w:hAnsi="Times New Roman" w:cs="Times New Roman" w:eastAsia="Times New Roman" w:hint="default"/>
        </w:rPr>
        <w:t>(</w:t>
      </w:r>
      <w:r>
        <w:rPr/>
        <w:t>或金融资产的一 部分，或一组类似金融资产的一部分</w:t>
      </w:r>
      <w:r>
        <w:rPr>
          <w:rFonts w:ascii="Times New Roman" w:hAnsi="Times New Roman" w:cs="Times New Roman" w:eastAsia="Times New Roman" w:hint="default"/>
        </w:rPr>
        <w:t>)</w:t>
      </w:r>
      <w:r>
        <w:rPr/>
        <w:t>：</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收取金融资产现金流量的权利届满；</w:t>
      </w:r>
      <w:r>
        <w:rPr>
          <w:spacing w:val="-35"/>
        </w:rPr>
        <w:t> </w:t>
      </w: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转移了收取金融资产现金流量的权利， </w:t>
      </w:r>
      <w:r>
        <w:rPr>
          <w:spacing w:val="-2"/>
          <w:w w:val="100"/>
        </w:rPr>
        <w:t>或在</w:t>
      </w:r>
      <w:r>
        <w:rPr>
          <w:rFonts w:ascii="Times New Roman" w:hAnsi="Times New Roman" w:cs="Times New Roman" w:eastAsia="Times New Roman" w:hint="default"/>
          <w:spacing w:val="-2"/>
          <w:w w:val="100"/>
        </w:rPr>
        <w:t>“</w:t>
      </w:r>
      <w:r>
        <w:rPr>
          <w:spacing w:val="-2"/>
          <w:w w:val="100"/>
        </w:rPr>
        <w:t>过手</w:t>
      </w:r>
      <w:r>
        <w:rPr>
          <w:rFonts w:ascii="Times New Roman" w:hAnsi="Times New Roman" w:cs="Times New Roman" w:eastAsia="Times New Roman" w:hint="default"/>
          <w:spacing w:val="-2"/>
          <w:w w:val="100"/>
        </w:rPr>
        <w:t>”</w:t>
      </w:r>
      <w:r>
        <w:rPr>
          <w:spacing w:val="-2"/>
          <w:w w:val="100"/>
        </w:rPr>
        <w:t>协议下承担了及时将收取的现金流量全额支付给第三方的义务；并且</w:t>
      </w:r>
      <w:r>
        <w:rPr>
          <w:rFonts w:ascii="Times New Roman" w:hAnsi="Times New Roman" w:cs="Times New Roman" w:eastAsia="Times New Roman" w:hint="default"/>
          <w:spacing w:val="-2"/>
          <w:w w:val="100"/>
        </w:rPr>
        <w:t>(a)</w:t>
      </w:r>
      <w:r>
        <w:rPr>
          <w:spacing w:val="-2"/>
          <w:w w:val="100"/>
        </w:rPr>
        <w:t>实质上转让了金融资产所有权上几乎所有</w:t>
      </w:r>
      <w:r>
        <w:rPr>
          <w:spacing w:val="-59"/>
          <w:w w:val="100"/>
        </w:rPr>
        <w:t> </w:t>
      </w:r>
      <w:r>
        <w:rPr/>
        <w:t>的风险和报酬，或</w:t>
      </w:r>
      <w:r>
        <w:rPr>
          <w:rFonts w:ascii="Times New Roman" w:hAnsi="Times New Roman" w:cs="Times New Roman" w:eastAsia="Times New Roman" w:hint="default"/>
        </w:rPr>
        <w:t>(b)</w:t>
      </w:r>
      <w:r>
        <w:rPr/>
        <w:t>虽然实质上既没有转移也没有保留金融资产所有权上几乎所有的风险和报酬，但放弃了对该金融资产 的控制。</w:t>
      </w:r>
      <w:r>
        <w:rPr>
          <w:spacing w:val="-18"/>
        </w:rPr>
        <w:t> </w:t>
      </w:r>
      <w:r>
        <w:rPr/>
        <w:t>以常规方式买卖金融资产，按交易日会计进行确认和终止确认。常规方式买卖金融资产，是指按照合同条款的约</w:t>
      </w:r>
      <w:r>
        <w:rPr/>
        <w:t> 定，在法规或通行惯例规定的期限内收取或交付金融资产。交易日，是指本集团承诺买入或卖出金融资产的日期。</w:t>
      </w:r>
    </w:p>
    <w:p>
      <w:pPr>
        <w:spacing w:line="240" w:lineRule="auto" w:before="6"/>
        <w:rPr>
          <w:rFonts w:ascii="宋体" w:hAnsi="宋体" w:cs="宋体" w:eastAsia="宋体" w:hint="default"/>
          <w:sz w:val="23"/>
          <w:szCs w:val="23"/>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53"/>
        <w:jc w:val="left"/>
      </w:pPr>
      <w:r>
        <w:rPr>
          <w:spacing w:val="-2"/>
        </w:rPr>
        <w:t>本集团已将金融资产所有权上几乎所有的风险和报酬转移给转入方的，终止确认该金融资产；保留了金融资产所有权上几乎</w:t>
      </w:r>
      <w:r>
        <w:rPr>
          <w:spacing w:val="-64"/>
        </w:rPr>
        <w:t> </w:t>
      </w:r>
      <w:r>
        <w:rPr>
          <w:spacing w:val="-64"/>
        </w:rPr>
      </w:r>
      <w:r>
        <w:rPr/>
        <w:t>所有的风险和报酬的，不终止确认该金融资产。</w:t>
      </w:r>
      <w:r>
        <w:rPr>
          <w:spacing w:val="-77"/>
        </w:rPr>
        <w:t> </w:t>
      </w:r>
      <w:r>
        <w:rPr/>
        <w:t>本集团既没有转移也没有保留金融资产所有权上几乎所有的风险和报酬的，</w:t>
      </w:r>
      <w:r>
        <w:rPr/>
        <w:t> </w:t>
      </w:r>
      <w:r>
        <w:rPr>
          <w:spacing w:val="-2"/>
        </w:rPr>
        <w:t>分别下列情况处理：放弃了对该金融资产控制的，终止确认该金融资产并确认产生的资产和负债；未放弃对该金融资产控制</w:t>
      </w:r>
      <w:r>
        <w:rPr>
          <w:spacing w:val="-63"/>
        </w:rPr>
        <w:t> </w:t>
      </w:r>
      <w:r>
        <w:rPr>
          <w:spacing w:val="-63"/>
        </w:rPr>
      </w:r>
      <w:r>
        <w:rPr/>
        <w:t>的，按照其继续涉入所转移金融资产的程度确认有关金融资产，并相应确认有关负债。</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jc w:val="both"/>
      </w:pPr>
      <w:r>
        <w:rPr>
          <w:spacing w:val="-2"/>
        </w:rPr>
        <w:t>如果金融负债的责任已履行、撤销或届满，则对金融负债进行终止确认。如果现有金融负债被同一债权人以实质上几乎完全</w:t>
      </w:r>
      <w:r>
        <w:rPr>
          <w:spacing w:val="-63"/>
        </w:rPr>
        <w:t> </w:t>
      </w:r>
      <w:r>
        <w:rPr>
          <w:spacing w:val="-63"/>
        </w:rPr>
      </w:r>
      <w:r>
        <w:rPr>
          <w:spacing w:val="-2"/>
        </w:rPr>
        <w:t>不同条款的另一金融负债所取代，或现有负债的条款几乎全部被实质性修改，则此类替换或修改作为终止确认原负债和确认</w:t>
      </w:r>
      <w:r>
        <w:rPr>
          <w:spacing w:val="-62"/>
        </w:rPr>
        <w:t> </w:t>
      </w:r>
      <w:r>
        <w:rPr>
          <w:spacing w:val="-62"/>
        </w:rPr>
      </w:r>
      <w:r>
        <w:rPr/>
        <w:t>新负债处理，差额计入当期损益。</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jc w:val="both"/>
      </w:pPr>
      <w:r>
        <w:rPr>
          <w:spacing w:val="-2"/>
        </w:rPr>
        <w:t>存在活跃市场的金融资产或金融负债，采用活跃市场中的报价确定其公允价值。金融工具不存在活跃市场的，本集团采用估</w:t>
      </w:r>
      <w:r>
        <w:rPr>
          <w:spacing w:val="-63"/>
        </w:rPr>
        <w:t> </w:t>
      </w:r>
      <w:r>
        <w:rPr>
          <w:spacing w:val="-63"/>
        </w:rPr>
      </w:r>
      <w:r>
        <w:rPr>
          <w:spacing w:val="-2"/>
        </w:rPr>
        <w:t>值技术确定其公允价值，估值技术包括参考熟悉情况并自愿交易的各方最近进行的市场交易中使用的价格、参照实质上相同</w:t>
      </w:r>
      <w:r>
        <w:rPr>
          <w:spacing w:val="-64"/>
        </w:rPr>
        <w:t> </w:t>
      </w:r>
      <w:r>
        <w:rPr>
          <w:spacing w:val="-64"/>
        </w:rPr>
      </w:r>
      <w:r>
        <w:rPr/>
        <w:t>的其他金融工具的当前公允价值、现金流量折现法和期权定价模型等。</w:t>
      </w:r>
      <w:r>
        <w:rPr>
          <w:spacing w:val="-17"/>
        </w:rPr>
        <w:t> </w:t>
      </w:r>
      <w:r>
        <w:rPr/>
        <w:t>金融资产在初始确认时以公允价值计量。对于以公</w:t>
      </w:r>
      <w:r>
        <w:rPr/>
        <w:t> </w:t>
      </w:r>
      <w:r>
        <w:rPr>
          <w:spacing w:val="-2"/>
        </w:rPr>
        <w:t>允价值计量且其变动计入当期损益的金融资产，相关交易费用直接计入当期损益，其他类别的金融资产相关交易费用计入其</w:t>
      </w:r>
      <w:r>
        <w:rPr>
          <w:spacing w:val="-62"/>
        </w:rPr>
        <w:t> </w:t>
      </w:r>
      <w:r>
        <w:rPr>
          <w:spacing w:val="-62"/>
        </w:rPr>
      </w:r>
      <w:r>
        <w:rPr>
          <w:spacing w:val="-2"/>
        </w:rPr>
        <w:t>初始确认金额。本集团无以公允价值计量且其变动计入当期损益的金融资产、持有至到期投资、可供出售金融资产和被指定</w:t>
      </w:r>
      <w:r>
        <w:rPr>
          <w:spacing w:val="-63"/>
        </w:rPr>
        <w:t> </w:t>
      </w:r>
      <w:r>
        <w:rPr>
          <w:spacing w:val="-63"/>
        </w:rPr>
      </w:r>
      <w:r>
        <w:rPr/>
        <w:t>为有效套期工具的衍生工具。</w:t>
      </w:r>
      <w:r>
        <w:rPr>
          <w:spacing w:val="-18"/>
        </w:rPr>
        <w:t> </w:t>
      </w:r>
      <w:r>
        <w:rPr/>
        <w:t>对于以公允价值计量且其变动计入当期损益的金融负债，相关交易费用直接计入当期损益，</w:t>
      </w:r>
      <w:r>
        <w:rPr/>
        <w:t> </w:t>
      </w:r>
      <w:r>
        <w:rPr>
          <w:spacing w:val="-2"/>
        </w:rPr>
        <w:t>其他金融负债的相关交易费用计入其初始确认金额。本集团无以公允价值计量且其变动计入当期损益的金融负债和被指定为</w:t>
      </w:r>
      <w:r>
        <w:rPr>
          <w:spacing w:val="-64"/>
        </w:rPr>
        <w:t> </w:t>
      </w:r>
      <w:r>
        <w:rPr>
          <w:spacing w:val="-64"/>
        </w:rPr>
      </w:r>
      <w:r>
        <w:rPr/>
        <w:t>有效套期工具的衍生工具。</w:t>
      </w:r>
    </w:p>
    <w:p>
      <w:pPr>
        <w:spacing w:after="0" w:line="316" w:lineRule="auto"/>
        <w:jc w:val="both"/>
        <w:sectPr>
          <w:pgSz w:w="11910" w:h="16840"/>
          <w:pgMar w:header="850" w:footer="1186" w:top="1440" w:bottom="1380" w:left="980" w:right="9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50"/>
        <w:jc w:val="both"/>
      </w:pPr>
      <w:r>
        <w:rPr>
          <w:spacing w:val="-2"/>
        </w:rPr>
        <w:t>本集团于资产负债表日对金融资产的账面价值进行检查，有客观证据表明该金融资产发生减值的，计提减值准备。表明金融</w:t>
      </w:r>
      <w:r>
        <w:rPr>
          <w:spacing w:val="-64"/>
        </w:rPr>
        <w:t> </w:t>
      </w:r>
      <w:r>
        <w:rPr>
          <w:spacing w:val="-64"/>
        </w:rPr>
      </w:r>
      <w:r>
        <w:rPr>
          <w:spacing w:val="-2"/>
        </w:rPr>
        <w:t>资产发生减值的客观证据，是指金融资产初始确认后实际发生的、对该金融资产的预计未来现金流量有影响，且企业能够对</w:t>
      </w:r>
      <w:r>
        <w:rPr>
          <w:spacing w:val="-63"/>
        </w:rPr>
        <w:t> </w:t>
      </w:r>
      <w:r>
        <w:rPr>
          <w:spacing w:val="-63"/>
        </w:rPr>
      </w:r>
      <w:r>
        <w:rPr/>
        <w:t>该影响进行可靠计量的事项。</w:t>
      </w:r>
    </w:p>
    <w:p>
      <w:pPr>
        <w:pStyle w:val="BodyText"/>
        <w:spacing w:line="312" w:lineRule="auto" w:before="19"/>
        <w:ind w:right="0"/>
        <w:jc w:val="left"/>
      </w:pPr>
      <w:r>
        <w:rPr/>
        <w:t>以摊余成本计量的金融资产 如果有客观证据表明该金融资产发生减值，则将该金融资产的账面价值减记至预计未来现金流量</w:t>
      </w:r>
      <w:r>
        <w:rPr>
          <w:rFonts w:ascii="Times New Roman" w:hAnsi="Times New Roman" w:cs="Times New Roman" w:eastAsia="Times New Roman" w:hint="default"/>
        </w:rPr>
        <w:t>(</w:t>
      </w:r>
      <w:r>
        <w:rPr/>
        <w:t>不包括尚未发生的未来信 </w:t>
      </w:r>
      <w:r>
        <w:rPr>
          <w:spacing w:val="-1"/>
        </w:rPr>
        <w:t>用损失</w:t>
      </w:r>
      <w:r>
        <w:rPr>
          <w:rFonts w:ascii="Times New Roman" w:hAnsi="Times New Roman" w:cs="Times New Roman" w:eastAsia="Times New Roman" w:hint="default"/>
          <w:spacing w:val="-1"/>
        </w:rPr>
        <w:t>)</w:t>
      </w:r>
      <w:r>
        <w:rPr>
          <w:spacing w:val="-1"/>
        </w:rPr>
        <w:t>现值，减记金额计入当期损益。预计未来现金流量现值，按照该金融资产原实际利率</w:t>
      </w:r>
      <w:r>
        <w:rPr>
          <w:rFonts w:ascii="Times New Roman" w:hAnsi="Times New Roman" w:cs="Times New Roman" w:eastAsia="Times New Roman" w:hint="default"/>
          <w:spacing w:val="-1"/>
        </w:rPr>
        <w:t>(</w:t>
      </w:r>
      <w:r>
        <w:rPr>
          <w:spacing w:val="-1"/>
        </w:rPr>
        <w:t>即初始确认时计算确定的实际</w:t>
      </w:r>
      <w:r>
        <w:rPr>
          <w:spacing w:val="-59"/>
        </w:rPr>
        <w:t> </w:t>
      </w:r>
      <w:r>
        <w:rPr/>
        <w:t>利率</w:t>
      </w:r>
      <w:r>
        <w:rPr>
          <w:rFonts w:ascii="Times New Roman" w:hAnsi="Times New Roman" w:cs="Times New Roman" w:eastAsia="Times New Roman" w:hint="default"/>
        </w:rPr>
        <w:t>)</w:t>
      </w:r>
      <w:r>
        <w:rPr/>
        <w:t>折现确定，并考虑相关担保物的价值。对于浮动利率，在计算未来现金流量现值时采用合同规定的现行实际利率作为 折现率。 </w:t>
      </w:r>
      <w:r>
        <w:rPr>
          <w:spacing w:val="-2"/>
        </w:rPr>
        <w:t>对单项金额重大的金融资产单独进行减值测试，如有客观证据表明其已发生减值，确认减值损失，计入当期损益。对单项金</w:t>
      </w:r>
      <w:r>
        <w:rPr>
          <w:spacing w:val="-64"/>
        </w:rPr>
        <w:t> </w:t>
      </w:r>
      <w:r>
        <w:rPr>
          <w:spacing w:val="-64"/>
        </w:rPr>
      </w:r>
      <w:r>
        <w:rPr/>
        <w:t>额不重大的金融资产，包括在具有类似信用风险特征的金融资产组合中进行减值测试或单独进行减值测试</w:t>
      </w:r>
      <w:r>
        <w:rPr>
          <w:spacing w:val="-16"/>
        </w:rPr>
        <w:t> </w:t>
      </w:r>
      <w:r>
        <w:rPr/>
        <w:t>。单独测试未发</w:t>
      </w:r>
      <w:r>
        <w:rPr/>
        <w:t> </w:t>
      </w:r>
      <w:r>
        <w:rPr>
          <w:spacing w:val="-1"/>
        </w:rPr>
        <w:t>生减值的金融资产</w:t>
      </w:r>
      <w:r>
        <w:rPr>
          <w:rFonts w:ascii="Times New Roman" w:hAnsi="Times New Roman" w:cs="Times New Roman" w:eastAsia="Times New Roman" w:hint="default"/>
          <w:spacing w:val="-1"/>
        </w:rPr>
        <w:t>(</w:t>
      </w:r>
      <w:r>
        <w:rPr>
          <w:spacing w:val="-1"/>
        </w:rPr>
        <w:t>包括单项金额重大和不重大的金融资产</w:t>
      </w:r>
      <w:r>
        <w:rPr>
          <w:rFonts w:ascii="Times New Roman" w:hAnsi="Times New Roman" w:cs="Times New Roman" w:eastAsia="Times New Roman" w:hint="default"/>
          <w:spacing w:val="-1"/>
        </w:rPr>
        <w:t>)</w:t>
      </w:r>
      <w:r>
        <w:rPr>
          <w:spacing w:val="-1"/>
        </w:rPr>
        <w:t>，包括在具有类似信用风险特征的金融资产组合中再进行减值测</w:t>
      </w:r>
      <w:r>
        <w:rPr>
          <w:spacing w:val="-57"/>
        </w:rPr>
        <w:t> </w:t>
      </w:r>
      <w:r>
        <w:rPr>
          <w:spacing w:val="-57"/>
        </w:rPr>
      </w:r>
      <w:r>
        <w:rPr/>
        <w:t>试。已单项确认减值损失的金融资产，不包括在具有类似信用风险特征的金融资产组合中进行减值测试。 </w:t>
      </w:r>
      <w:r>
        <w:rPr>
          <w:spacing w:val="-2"/>
        </w:rPr>
        <w:t>本集团对以摊余成本计量的金融资产确认减值损失后，如有客观证据表明该金融资产价值已恢复，且客观上与确认该损失后</w:t>
      </w:r>
      <w:r>
        <w:rPr>
          <w:spacing w:val="-62"/>
        </w:rPr>
        <w:t> </w:t>
      </w:r>
      <w:r>
        <w:rPr>
          <w:spacing w:val="-62"/>
        </w:rPr>
      </w:r>
      <w:r>
        <w:rPr>
          <w:spacing w:val="-2"/>
        </w:rPr>
        <w:t>发生的事项有关，原确认的减值损失予以转回，计入当期损益。但是，该转回后的账面价值不超过假定不计提减值准备情况</w:t>
      </w:r>
      <w:r>
        <w:rPr>
          <w:spacing w:val="-64"/>
        </w:rPr>
        <w:t> </w:t>
      </w:r>
      <w:r>
        <w:rPr>
          <w:spacing w:val="-64"/>
        </w:rPr>
      </w:r>
      <w:r>
        <w:rPr/>
        <w:t>下该金融资产在转回日的摊余成本。</w:t>
      </w:r>
    </w:p>
    <w:p>
      <w:pPr>
        <w:pStyle w:val="BodyText"/>
        <w:spacing w:line="314" w:lineRule="auto" w:before="22"/>
        <w:ind w:right="144"/>
        <w:jc w:val="left"/>
      </w:pPr>
      <w:r>
        <w:rPr/>
        <w:t>以成本计量的金融资产 </w:t>
      </w:r>
      <w:r>
        <w:rPr>
          <w:spacing w:val="-2"/>
        </w:rPr>
        <w:t>如果有客观证据表明该金融资产发生减值，将该金融资产的账面价值，与按照类似金融资产当时市场收益率对未来现金流量</w:t>
      </w:r>
      <w:r>
        <w:rPr>
          <w:spacing w:val="-64"/>
        </w:rPr>
        <w:t> </w:t>
      </w:r>
      <w:r>
        <w:rPr>
          <w:spacing w:val="-64"/>
        </w:rPr>
      </w:r>
      <w:r>
        <w:rPr/>
        <w:t>折现确定的现值之间的差额，确认为减值损失，计入当期损益。发生的减值损失一经确认，不再转回。 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长期股权投资》规定的成本法核算的、在活跃市场中没有报价、公允价值不能可靠计量的长 期股权投资，其减值也按照上述原则处理。</w:t>
      </w:r>
    </w:p>
    <w:p>
      <w:pPr>
        <w:spacing w:line="240" w:lineRule="auto" w:before="12"/>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本集团应收款项坏账准备为按照个别认定法根据应收款项可收回性判断计提。</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403"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万且预计不可收回</w:t>
            </w:r>
          </w:p>
        </w:tc>
      </w:tr>
      <w:tr>
        <w:trPr>
          <w:trHeight w:val="403"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8"/>
        <w:gridCol w:w="2187"/>
        <w:gridCol w:w="4784"/>
      </w:tblGrid>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8" w:hanging="721"/>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bl>
    <w:p>
      <w:pPr>
        <w:pStyle w:val="BodyText"/>
        <w:spacing w:line="240" w:lineRule="auto" w:before="49"/>
        <w:ind w:right="0"/>
        <w:jc w:val="left"/>
      </w:pPr>
      <w:r>
        <w:rPr/>
        <w:t>组合中，采用账龄分析法计提坏账准备的</w:t>
      </w:r>
    </w:p>
    <w:p>
      <w:pPr>
        <w:pStyle w:val="BodyText"/>
        <w:spacing w:line="340" w:lineRule="auto" w:before="115"/>
        <w:ind w:right="6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w:t>
      </w:r>
    </w:p>
    <w:p>
      <w:pPr>
        <w:spacing w:after="0" w:line="340" w:lineRule="auto"/>
        <w:jc w:val="left"/>
        <w:sectPr>
          <w:pgSz w:w="11910" w:h="16840"/>
          <w:pgMar w:header="850" w:footer="1186" w:top="1440" w:bottom="13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40" w:lineRule="auto" w:before="2"/>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40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预计是否可收回</w:t>
            </w:r>
          </w:p>
        </w:tc>
      </w:tr>
      <w:tr>
        <w:trPr>
          <w:trHeight w:val="401"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存货包括原材料、产成品及商品、委托加工材料和低值易耗品。</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94"/>
        <w:jc w:val="left"/>
      </w:pPr>
      <w:r>
        <w:rPr/>
        <w:t>计价方法：加权平均法 存货按照成本进行初始计量。存货成本包括采购成本、加工成本和其他成本。发出存货，采用加权平均法确定其实际成本。 周转材料包括低值易耗品和包装物等，低值易耗品和包装物釆用一次转销法进行摊销。</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0"/>
        <w:jc w:val="left"/>
      </w:pPr>
      <w:r>
        <w:rPr>
          <w:spacing w:val="-2"/>
        </w:rPr>
        <w:t>可变现净值，是指在日常活动中，存货的估计售价减去至完工时估计将要发生的成本、估计的销售费用以及相关税费后的金</w:t>
      </w:r>
      <w:r>
        <w:rPr>
          <w:spacing w:val="-63"/>
        </w:rPr>
        <w:t> </w:t>
      </w:r>
      <w:r>
        <w:rPr>
          <w:spacing w:val="-63"/>
        </w:rPr>
      </w:r>
      <w:r>
        <w:rPr/>
        <w:t>额。计提存货跌价准备时，原材料按类别计提，产成品及商品按单个存货项目计提。 </w:t>
      </w:r>
      <w:r>
        <w:rPr>
          <w:spacing w:val="-2"/>
        </w:rPr>
        <w:t>于资产负债表日，存货按照成本与可变现净值孰低计量，对成本高于可变现净值的，计提存货跌价准备，计入当期损益。如</w:t>
      </w:r>
      <w:r>
        <w:rPr>
          <w:spacing w:val="-67"/>
        </w:rPr>
        <w:t> </w:t>
      </w:r>
      <w:r>
        <w:rPr>
          <w:spacing w:val="-67"/>
        </w:rPr>
      </w:r>
      <w:r>
        <w:rPr>
          <w:spacing w:val="-2"/>
        </w:rPr>
        <w:t>果以前计提存货跌价准备的影响因素已经消失，使得存货的可变现净值高于其账面价值，则在原已计提的存货跌价准备金额</w:t>
      </w:r>
      <w:r>
        <w:rPr>
          <w:spacing w:val="-63"/>
        </w:rPr>
        <w:t> </w:t>
      </w:r>
      <w:r>
        <w:rPr>
          <w:spacing w:val="-63"/>
        </w:rPr>
      </w:r>
      <w:r>
        <w:rPr/>
        <w:t>内，将以前减记的金额予以恢复，转回的金额计入当期损益。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114"/>
        <w:jc w:val="left"/>
      </w:pPr>
      <w:r>
        <w:rPr/>
        <w:t>盘存制度：永续盘存制 存货的盘存制度采用永续盘存制。</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8014"/>
        <w:jc w:val="left"/>
      </w:pPr>
      <w:r>
        <w:rPr/>
        <w:t>低值易耗品 摊销方法：一次摊销法 包装物 摊销方法：一次摊销法</w:t>
      </w:r>
    </w:p>
    <w:p>
      <w:pPr>
        <w:spacing w:after="0" w:line="357" w:lineRule="auto"/>
        <w:jc w:val="left"/>
        <w:sectPr>
          <w:pgSz w:w="11910" w:h="16840"/>
          <w:pgMar w:header="850" w:footer="1186" w:top="1440" w:bottom="1380" w:left="980" w:right="9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2"/>
        <w:rPr>
          <w:rFonts w:ascii="宋体" w:hAnsi="宋体" w:cs="宋体" w:eastAsia="宋体" w:hint="default"/>
          <w:b/>
          <w:bCs/>
          <w:sz w:val="26"/>
          <w:szCs w:val="26"/>
        </w:rPr>
      </w:pPr>
    </w:p>
    <w:p>
      <w:pPr>
        <w:pStyle w:val="BodyText"/>
        <w:spacing w:line="314" w:lineRule="auto"/>
        <w:ind w:right="148"/>
        <w:jc w:val="both"/>
      </w:pPr>
      <w:r>
        <w:rPr>
          <w:spacing w:val="-2"/>
        </w:rPr>
        <w:t>长期股权投资包括对子公司、合营企业和联营企业的权益性投资，以及对被投资单位不具有控制、共同控制或重大影响，且</w:t>
      </w:r>
      <w:r>
        <w:rPr>
          <w:spacing w:val="-64"/>
        </w:rPr>
        <w:t> </w:t>
      </w:r>
      <w:r>
        <w:rPr>
          <w:spacing w:val="-64"/>
        </w:rPr>
      </w:r>
      <w:r>
        <w:rPr>
          <w:spacing w:val="-2"/>
        </w:rPr>
        <w:t>在活跃市场中没有报价、公允价值不能可靠计量的权益性投资。长期股权投资在取得时以初始投资成本进行初始计量。对于</w:t>
      </w:r>
      <w:r>
        <w:rPr>
          <w:spacing w:val="-61"/>
        </w:rPr>
        <w:t> </w:t>
      </w:r>
      <w:r>
        <w:rPr>
          <w:spacing w:val="-61"/>
        </w:rPr>
      </w:r>
      <w:r>
        <w:rPr>
          <w:spacing w:val="-2"/>
        </w:rPr>
        <w:t>企业合并形成的长期股权投资，通过同一控制下的企业合并取得的，以取得被合并方所有者权益账面价值的份额作为初始投</w:t>
      </w:r>
      <w:r>
        <w:rPr>
          <w:spacing w:val="-64"/>
        </w:rPr>
        <w:t> </w:t>
      </w:r>
      <w:r>
        <w:rPr>
          <w:spacing w:val="-64"/>
        </w:rPr>
      </w:r>
      <w:r>
        <w:rPr/>
        <w:t>资成本；通过非同一控制下的企业合并取得的，以合并成本作为初始投资成本</w:t>
      </w:r>
      <w:r>
        <w:rPr>
          <w:rFonts w:ascii="Times New Roman" w:hAnsi="Times New Roman" w:cs="Times New Roman" w:eastAsia="Times New Roman" w:hint="default"/>
        </w:rPr>
        <w:t>(</w:t>
      </w:r>
      <w:r>
        <w:rPr/>
        <w:t>通过多次交易分步实现非同一控制下的企业 合并的，以购买日之前所持被购买方的股权投资的账面价值与购买日新增投资成本之和作为初始投资成本</w:t>
      </w:r>
      <w:r>
        <w:rPr>
          <w:rFonts w:ascii="Times New Roman" w:hAnsi="Times New Roman" w:cs="Times New Roman" w:eastAsia="Times New Roman" w:hint="default"/>
        </w:rPr>
        <w:t>)</w:t>
      </w:r>
      <w:r>
        <w:rPr/>
        <w:t>，合并成本包括 </w:t>
      </w:r>
      <w:r>
        <w:rPr>
          <w:spacing w:val="-2"/>
        </w:rPr>
        <w:t>购买方付出的资产、发生或承担的负债、发行的权益性证券的公允价值之和。除企业合并形成的长期股权投资以外方式取得</w:t>
      </w:r>
      <w:r>
        <w:rPr>
          <w:spacing w:val="-63"/>
        </w:rPr>
        <w:t> </w:t>
      </w:r>
      <w:r>
        <w:rPr>
          <w:spacing w:val="-63"/>
        </w:rPr>
      </w:r>
      <w:r>
        <w:rPr>
          <w:spacing w:val="-2"/>
        </w:rPr>
        <w:t>的长期股权投资，按照下列方法确定初始投资成本：支付现金取得的，以实际支付的购买价款及与取得长期股权投资直接相</w:t>
      </w:r>
      <w:r>
        <w:rPr>
          <w:spacing w:val="-62"/>
        </w:rPr>
        <w:t> </w:t>
      </w:r>
      <w:r>
        <w:rPr>
          <w:spacing w:val="-62"/>
        </w:rPr>
      </w:r>
      <w:r>
        <w:rPr>
          <w:spacing w:val="-2"/>
        </w:rPr>
        <w:t>关的费用、税金及其他必要支出作为初始投资成本；发行权益性证券取得的，以发行权益性证券的公允价值作为初始投资成</w:t>
      </w:r>
      <w:r>
        <w:rPr>
          <w:spacing w:val="-63"/>
        </w:rPr>
        <w:t> </w:t>
      </w:r>
      <w:r>
        <w:rPr>
          <w:spacing w:val="-63"/>
        </w:rPr>
      </w:r>
      <w:r>
        <w:rPr/>
        <w:t>本；投资者投入的，以投资合同或协议约定的价值作为初始投资成本，但合同或协议约定价值不公允的除外。</w:t>
      </w:r>
    </w:p>
    <w:p>
      <w:pPr>
        <w:spacing w:line="240" w:lineRule="auto" w:before="13"/>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jc w:val="both"/>
      </w:pPr>
      <w:r>
        <w:rPr>
          <w:spacing w:val="-2"/>
        </w:rPr>
        <w:t>本集团对被投资单位不具有共同控制或重大影响，且在活跃市场中没有报价、公允价值不能可靠计量的长期股权投资，采用</w:t>
      </w:r>
      <w:r>
        <w:rPr>
          <w:spacing w:val="-63"/>
        </w:rPr>
        <w:t> </w:t>
      </w:r>
      <w:r>
        <w:rPr>
          <w:spacing w:val="-63"/>
        </w:rPr>
      </w:r>
      <w:r>
        <w:rPr>
          <w:spacing w:val="-2"/>
        </w:rPr>
        <w:t>成本法核算。本公司能够对被投资单位实施控制的长期股权投资，在本公司个别财务报表中采用成本法核算。控制，是指有</w:t>
      </w:r>
      <w:r>
        <w:rPr>
          <w:spacing w:val="-64"/>
        </w:rPr>
        <w:t> </w:t>
      </w:r>
      <w:r>
        <w:rPr>
          <w:spacing w:val="-64"/>
        </w:rPr>
      </w:r>
      <w:r>
        <w:rPr>
          <w:spacing w:val="-2"/>
        </w:rPr>
        <w:t>权决定一个企业的财务和经营政策，并能据以从该企业的经营活动中获取利益。采用成本法时，长期股权投资按初始投资成</w:t>
      </w:r>
      <w:r>
        <w:rPr>
          <w:spacing w:val="-63"/>
        </w:rPr>
        <w:t> </w:t>
      </w:r>
      <w:r>
        <w:rPr>
          <w:spacing w:val="-63"/>
        </w:rPr>
      </w:r>
      <w:r>
        <w:rPr>
          <w:spacing w:val="-2"/>
        </w:rPr>
        <w:t>本计价，除取得投资时实际支付的价款或对价中包含的已宣告但尚未发放的现金股利或利润外，按享有被投资单位宣告分派</w:t>
      </w:r>
      <w:r>
        <w:rPr>
          <w:spacing w:val="-64"/>
        </w:rPr>
        <w:t> </w:t>
      </w:r>
      <w:r>
        <w:rPr>
          <w:spacing w:val="-64"/>
        </w:rPr>
      </w:r>
      <w:r>
        <w:rPr>
          <w:spacing w:val="-2"/>
        </w:rPr>
        <w:t>的现金股利或利润，确认为当期投资收益，并同时根据有关资产减值政策考虑长期投资是否减值。本集团对被投资单位具有</w:t>
      </w:r>
      <w:r>
        <w:rPr>
          <w:spacing w:val="-63"/>
        </w:rPr>
        <w:t> </w:t>
      </w:r>
      <w:r>
        <w:rPr>
          <w:spacing w:val="-63"/>
        </w:rPr>
      </w:r>
      <w:r>
        <w:rPr>
          <w:spacing w:val="-2"/>
        </w:rPr>
        <w:t>共同控制或重大影响的，长期股权投资采用权益法核算。采用权益法时，长期股权投资的初始投资成本大于投资时应享有被</w:t>
      </w:r>
      <w:r>
        <w:rPr>
          <w:spacing w:val="-63"/>
        </w:rPr>
        <w:t> </w:t>
      </w:r>
      <w:r>
        <w:rPr>
          <w:spacing w:val="-63"/>
        </w:rPr>
      </w:r>
      <w:r>
        <w:rPr>
          <w:spacing w:val="-2"/>
        </w:rPr>
        <w:t>投资单位可辨认净资产公允价值份额的，归入长期股权投资的初始投资成本；长期股权投资的初始投资成本小于投资时应享</w:t>
      </w:r>
      <w:r>
        <w:rPr>
          <w:spacing w:val="-62"/>
        </w:rPr>
        <w:t> </w:t>
      </w:r>
      <w:r>
        <w:rPr>
          <w:spacing w:val="-62"/>
        </w:rPr>
      </w:r>
      <w:r>
        <w:rPr>
          <w:spacing w:val="-2"/>
        </w:rPr>
        <w:t>有被投资单位可辨认净资产公允价值份额的，其差额计入当期损益，同时调整长期股权投资的成本。采用权益法时，取得长</w:t>
      </w:r>
      <w:r>
        <w:rPr>
          <w:spacing w:val="-64"/>
        </w:rPr>
        <w:t> </w:t>
      </w:r>
      <w:r>
        <w:rPr>
          <w:spacing w:val="-64"/>
        </w:rPr>
      </w:r>
      <w:r>
        <w:rPr>
          <w:spacing w:val="-2"/>
        </w:rPr>
        <w:t>期股权投资后，按照应享有或应分担的被投资单位实现的净损益的份额，确认投资损益并调整长期股权投资的账面价值。在</w:t>
      </w:r>
      <w:r>
        <w:rPr>
          <w:spacing w:val="-63"/>
        </w:rPr>
        <w:t> </w:t>
      </w:r>
      <w:r>
        <w:rPr>
          <w:spacing w:val="-63"/>
        </w:rPr>
      </w:r>
      <w:r>
        <w:rPr>
          <w:spacing w:val="-2"/>
        </w:rPr>
        <w:t>确认应享有被投资单位净损益的份额时，以取得投资时被投资单位各项可辨认资产等的公允价值为基础，按照本集团的会计</w:t>
      </w:r>
      <w:r>
        <w:rPr>
          <w:spacing w:val="-64"/>
        </w:rPr>
        <w:t> </w:t>
      </w:r>
      <w:r>
        <w:rPr>
          <w:spacing w:val="-64"/>
        </w:rPr>
      </w:r>
      <w:r>
        <w:rPr/>
        <w:t>政策及会计期间，并抵销与联营企业及合营企业之间发生的内部交易损益按照持股比例计算归属于投资企业的部分</w:t>
      </w:r>
      <w:r>
        <w:rPr>
          <w:rFonts w:ascii="Times New Roman" w:hAnsi="Times New Roman" w:cs="Times New Roman" w:eastAsia="Times New Roman" w:hint="default"/>
        </w:rPr>
        <w:t>(</w:t>
      </w:r>
      <w:r>
        <w:rPr/>
        <w:t>但内部 交易损失属于资产减值损失的，应全额确认</w:t>
      </w:r>
      <w:r>
        <w:rPr>
          <w:rFonts w:ascii="Times New Roman" w:hAnsi="Times New Roman" w:cs="Times New Roman" w:eastAsia="Times New Roman" w:hint="default"/>
        </w:rPr>
        <w:t>)</w:t>
      </w:r>
      <w:r>
        <w:rPr/>
        <w:t>，对被投资单位的净利润进行调整后确认。按照被投资单位宣告分派的利润或 </w:t>
      </w:r>
      <w:r>
        <w:rPr>
          <w:spacing w:val="-2"/>
        </w:rPr>
        <w:t>现金股利计算应分得的部分，相应减少长期股权投资的账面价值。本集团确认被投资单位发生的净亏损，以长期股权投资的</w:t>
      </w:r>
      <w:r>
        <w:rPr>
          <w:spacing w:val="-63"/>
        </w:rPr>
        <w:t> </w:t>
      </w:r>
      <w:r>
        <w:rPr>
          <w:spacing w:val="-63"/>
        </w:rPr>
      </w:r>
      <w:r>
        <w:rPr>
          <w:spacing w:val="-2"/>
        </w:rPr>
        <w:t>账面价值以及其他实质上构成对被投资单位净投资的长期权益减记至零为限，本集团负有承担额外损失义务的除外。对于被</w:t>
      </w:r>
      <w:r>
        <w:rPr>
          <w:spacing w:val="-64"/>
        </w:rPr>
        <w:t> </w:t>
      </w:r>
      <w:r>
        <w:rPr>
          <w:spacing w:val="-64"/>
        </w:rPr>
      </w:r>
      <w:r>
        <w:rPr>
          <w:spacing w:val="-2"/>
        </w:rPr>
        <w:t>投资单位除净损益以外股东权益的其他变动，调整长期股权投资的账面价值并计入股东权益。处置长期股权投资，其账面价</w:t>
      </w:r>
      <w:r>
        <w:rPr>
          <w:spacing w:val="-66"/>
        </w:rPr>
        <w:t> </w:t>
      </w:r>
      <w:r>
        <w:rPr>
          <w:spacing w:val="-66"/>
        </w:rPr>
      </w:r>
      <w:r>
        <w:rPr>
          <w:spacing w:val="-2"/>
        </w:rPr>
        <w:t>值与实际取得价款的差额，计入当期损益。采用权益法核算的长期股权投资，在处置时将原计入股东权益的部分按相应的比</w:t>
      </w:r>
      <w:r>
        <w:rPr>
          <w:spacing w:val="-63"/>
        </w:rPr>
        <w:t> </w:t>
      </w:r>
      <w:r>
        <w:rPr>
          <w:spacing w:val="-63"/>
        </w:rPr>
      </w:r>
      <w:r>
        <w:rPr/>
        <w:t>例转入当期损益。</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有权参与、决定被投资单位的财务和经营政策，并能从该单位的经营活动中获取利益。</w:t>
      </w:r>
    </w:p>
    <w:p>
      <w:pPr>
        <w:spacing w:line="240" w:lineRule="auto" w:before="0"/>
        <w:rPr>
          <w:rFonts w:ascii="宋体" w:hAnsi="宋体" w:cs="宋体" w:eastAsia="宋体" w:hint="default"/>
          <w:sz w:val="18"/>
          <w:szCs w:val="18"/>
        </w:rPr>
      </w:pPr>
    </w:p>
    <w:p>
      <w:pPr>
        <w:pStyle w:val="Heading4"/>
        <w:spacing w:line="240" w:lineRule="auto" w:before="121"/>
        <w:ind w:right="0"/>
        <w:jc w:val="both"/>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44"/>
        <w:jc w:val="left"/>
      </w:pPr>
      <w:r>
        <w:rPr/>
        <w:t>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长期股权投资》规定的成本法核算的、在活跃市场中没有报价、公允价值不能可靠计量的长 期股权投资，其减值按照金融资产减值原则处理。 </w:t>
      </w:r>
      <w:r>
        <w:rPr>
          <w:spacing w:val="-2"/>
        </w:rPr>
        <w:t>本集团对除存货、递延所得税、金融资产、按成本法核算的在活跃市场中没有报价且其公允价值不能可靠计量的长期股权投</w:t>
      </w:r>
      <w:r>
        <w:rPr>
          <w:spacing w:val="-66"/>
        </w:rPr>
        <w:t> </w:t>
      </w:r>
      <w:r>
        <w:rPr>
          <w:spacing w:val="-66"/>
        </w:rPr>
      </w:r>
      <w:r>
        <w:rPr/>
        <w:t>资外的资产减值，按以下方法确定</w:t>
      </w:r>
    </w:p>
    <w:p>
      <w:pPr>
        <w:spacing w:after="0" w:line="312" w:lineRule="auto"/>
        <w:jc w:val="left"/>
        <w:sectPr>
          <w:pgSz w:w="11910" w:h="16840"/>
          <w:pgMar w:header="850" w:footer="1186" w:top="1440" w:bottom="13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16" w:lineRule="auto" w:before="2"/>
        <w:ind w:right="0"/>
        <w:jc w:val="left"/>
      </w:pPr>
      <w:r>
        <w:rPr>
          <w:spacing w:val="-2"/>
        </w:rPr>
        <w:t>本集团于资产负债表日判断资产是否存在可能发生减值的迹象，存在减值迹象的，本集团将估计其可收回金额，进行减值测</w:t>
      </w:r>
      <w:r>
        <w:rPr>
          <w:spacing w:val="-64"/>
        </w:rPr>
        <w:t> </w:t>
      </w:r>
      <w:r>
        <w:rPr>
          <w:spacing w:val="-64"/>
        </w:rPr>
      </w:r>
      <w:r>
        <w:rPr>
          <w:spacing w:val="-2"/>
        </w:rPr>
        <w:t>试。对因企业合并所形成的商誉和使用寿命不确定的无形资产，无论是否存在减值迹象，至少于每年末进行减值测试。对于</w:t>
      </w:r>
      <w:r>
        <w:rPr>
          <w:spacing w:val="-64"/>
        </w:rPr>
        <w:t> </w:t>
      </w:r>
      <w:r>
        <w:rPr>
          <w:spacing w:val="-64"/>
        </w:rPr>
      </w:r>
      <w:r>
        <w:rPr/>
        <w:t>尚未达到可使用状态的无形资产，也每年进行减值测试。 </w:t>
      </w:r>
      <w:r>
        <w:rPr>
          <w:spacing w:val="-2"/>
        </w:rPr>
        <w:t>可收回金额根据资产的公允价值减去处置费用后的净额与资产预计未来现金流量的现值两者之间较高者确定。本集团以单项</w:t>
      </w:r>
      <w:r>
        <w:rPr>
          <w:spacing w:val="-64"/>
        </w:rPr>
        <w:t> </w:t>
      </w:r>
      <w:r>
        <w:rPr>
          <w:spacing w:val="-64"/>
        </w:rPr>
      </w:r>
      <w:r>
        <w:rPr>
          <w:spacing w:val="-2"/>
        </w:rPr>
        <w:t>资产为基础估计其可收回金额；难以对单项资产的可收回金额进行估计的，以该资产所属的资产组为基础确定资产组的可收</w:t>
      </w:r>
      <w:r>
        <w:rPr>
          <w:spacing w:val="-64"/>
        </w:rPr>
        <w:t> </w:t>
      </w:r>
      <w:r>
        <w:rPr>
          <w:spacing w:val="-64"/>
        </w:rPr>
      </w:r>
      <w:r>
        <w:rPr/>
        <w:t>回金额。资产组的认定，以资产组产生的主要现金流入是否独立于其他资产或者资产组的现金流入为依据。 </w:t>
      </w:r>
      <w:r>
        <w:rPr>
          <w:spacing w:val="-2"/>
        </w:rPr>
        <w:t>当资产或者资产组的可收回金额低于其账面价值时，本集团将其账面价值减记至可收回金额，减记的金额计入当期损益，同</w:t>
      </w:r>
      <w:r>
        <w:rPr>
          <w:spacing w:val="-63"/>
        </w:rPr>
        <w:t> </w:t>
      </w:r>
      <w:r>
        <w:rPr>
          <w:spacing w:val="-63"/>
        </w:rPr>
      </w:r>
      <w:r>
        <w:rPr/>
        <w:t>时计提相应的资产减值准备。</w:t>
      </w:r>
    </w:p>
    <w:p>
      <w:pPr>
        <w:pStyle w:val="BodyText"/>
        <w:spacing w:line="240" w:lineRule="auto" w:before="19"/>
        <w:ind w:right="0"/>
        <w:jc w:val="left"/>
      </w:pPr>
      <w:r>
        <w:rPr/>
        <w:t>上述资产减值损失一经确认，在以后会计期间不再转回。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69"/>
        <w:jc w:val="left"/>
      </w:pPr>
      <w:r>
        <w:rPr/>
        <w:t>投资性房地产，是指为赚取租金或资本增值，或两者兼有而持有的房地产，包括已出租的建筑物。 </w:t>
      </w:r>
      <w:r>
        <w:rPr>
          <w:spacing w:val="-2"/>
        </w:rPr>
        <w:t>投资性房地产按照成本进行初始计量。与投资性房地产有关的后续支出，如果与该资产有关的经济利益很可能流入且其成本</w:t>
      </w:r>
      <w:r>
        <w:rPr>
          <w:spacing w:val="-64"/>
        </w:rPr>
        <w:t> </w:t>
      </w:r>
      <w:r>
        <w:rPr>
          <w:spacing w:val="-64"/>
        </w:rPr>
      </w:r>
      <w:r>
        <w:rPr/>
        <w:t>能够可靠地计量，则计入投资性房地产成本。否则，于发生时计入当期损益。 本集团采用成本模式对投资性房地产进行后续计量，折旧采用年限平均法计提，使用寿命为</w:t>
      </w:r>
      <w:r>
        <w:rPr>
          <w:rFonts w:ascii="Times New Roman" w:hAnsi="Times New Roman" w:cs="Times New Roman" w:eastAsia="Times New Roman" w:hint="default"/>
        </w:rPr>
        <w:t>32-40</w:t>
      </w:r>
      <w:r>
        <w:rPr/>
        <w:t>年，预计净残值率为</w:t>
      </w:r>
      <w:r>
        <w:rPr>
          <w:rFonts w:ascii="Times New Roman" w:hAnsi="Times New Roman" w:cs="Times New Roman" w:eastAsia="Times New Roman" w:hint="default"/>
        </w:rPr>
        <w:t>5%</w:t>
      </w:r>
      <w:r>
        <w:rPr/>
        <w:t>。 </w:t>
      </w:r>
      <w:r>
        <w:rPr>
          <w:spacing w:val="-2"/>
        </w:rPr>
        <w:t>本集团对除存货、递延所得税、金融资产、按成本法核算的在活跃市场中没有报价且其公允价值不能可靠计量的长期股权投</w:t>
      </w:r>
      <w:r>
        <w:rPr>
          <w:spacing w:val="-66"/>
        </w:rPr>
        <w:t> </w:t>
      </w:r>
      <w:r>
        <w:rPr>
          <w:spacing w:val="-66"/>
        </w:rPr>
      </w:r>
      <w:r>
        <w:rPr/>
        <w:t>资外的资产减值，按以下方法确定： </w:t>
      </w:r>
      <w:r>
        <w:rPr>
          <w:spacing w:val="-2"/>
        </w:rPr>
        <w:t>本集团于资产负债表日判断资产是否存在可能发生减值的迹象，存在减值迹象的，本集团将估计其可收回金额，进行减值测</w:t>
      </w:r>
      <w:r>
        <w:rPr>
          <w:spacing w:val="-66"/>
        </w:rPr>
        <w:t> </w:t>
      </w:r>
      <w:r>
        <w:rPr>
          <w:spacing w:val="-66"/>
        </w:rPr>
      </w:r>
      <w:r>
        <w:rPr>
          <w:spacing w:val="-2"/>
        </w:rPr>
        <w:t>试。对因企业合并所形成的商誉和使用寿命不确定的无形资产，无论是否存在减值迹象，至少于每年末进行减值测试。对于</w:t>
      </w:r>
      <w:r>
        <w:rPr>
          <w:spacing w:val="-64"/>
        </w:rPr>
        <w:t> </w:t>
      </w:r>
      <w:r>
        <w:rPr>
          <w:spacing w:val="-64"/>
        </w:rPr>
      </w:r>
      <w:r>
        <w:rPr/>
        <w:t>尚未达到可使用状态的无形资产，也每年进行减值测试。 </w:t>
      </w:r>
      <w:r>
        <w:rPr>
          <w:spacing w:val="-2"/>
        </w:rPr>
        <w:t>可收回金额根据资产的公允价值减去处置费用后的净额与资产预计未来现金流量的现值两者之间较高者确定。本集团以单项</w:t>
      </w:r>
      <w:r>
        <w:rPr>
          <w:spacing w:val="-63"/>
        </w:rPr>
        <w:t> </w:t>
      </w:r>
      <w:r>
        <w:rPr>
          <w:spacing w:val="-63"/>
        </w:rPr>
      </w:r>
      <w:r>
        <w:rPr>
          <w:spacing w:val="-2"/>
        </w:rPr>
        <w:t>资产为基础估计其可收回金额；难以对单项资产的可收回金额进行估计的，以该资产所属的资产组为基础确定资产组的可收</w:t>
      </w:r>
      <w:r>
        <w:rPr>
          <w:spacing w:val="-64"/>
        </w:rPr>
        <w:t> </w:t>
      </w:r>
      <w:r>
        <w:rPr>
          <w:spacing w:val="-64"/>
        </w:rPr>
      </w:r>
      <w:r>
        <w:rPr/>
        <w:t>回金额。资产组的认定，以资产组产生的主要现金流入是否独立于其他资产或者资产组的现金流入为依据。 </w:t>
      </w:r>
      <w:r>
        <w:rPr>
          <w:spacing w:val="-2"/>
        </w:rPr>
        <w:t>当资产或者资产组的可收回金额低于其账面价值时，本集团将其账面价值减记至可收回金额，减记的金额计入当期损益，同</w:t>
      </w:r>
      <w:r>
        <w:rPr>
          <w:spacing w:val="-63"/>
        </w:rPr>
        <w:t> </w:t>
      </w:r>
      <w:r>
        <w:rPr>
          <w:spacing w:val="-63"/>
        </w:rPr>
      </w:r>
      <w:r>
        <w:rPr/>
        <w:t>时计提相应的资产减值准备。</w:t>
      </w:r>
    </w:p>
    <w:p>
      <w:pPr>
        <w:pStyle w:val="BodyText"/>
        <w:spacing w:line="240" w:lineRule="auto" w:before="19"/>
        <w:ind w:right="0"/>
        <w:jc w:val="left"/>
      </w:pPr>
      <w:r>
        <w:rPr/>
        <w:t>上述资产减值损失一经确认，在以后会计期间不再转回。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4"/>
        </w:rPr>
        <w:t>固定资产仅在与其有关的经济利益很可能流入本集团，且其成本能够可靠地计量时才予以确认。与固定资产有关的后续支出，</w:t>
      </w:r>
      <w:r>
        <w:rPr>
          <w:spacing w:val="-44"/>
        </w:rPr>
        <w:t> </w:t>
      </w:r>
      <w:r>
        <w:rPr>
          <w:spacing w:val="-44"/>
        </w:rPr>
      </w:r>
      <w:r>
        <w:rPr>
          <w:spacing w:val="-2"/>
        </w:rPr>
        <w:t>符合该确认条件的，计入固定资产成本，并终止确认被替换部分的账面价值；否则，在发生时计入当期损益。固定资产按照</w:t>
      </w:r>
      <w:r>
        <w:rPr>
          <w:spacing w:val="-67"/>
        </w:rPr>
        <w:t> </w:t>
      </w:r>
      <w:r>
        <w:rPr>
          <w:spacing w:val="-67"/>
        </w:rPr>
      </w:r>
      <w:r>
        <w:rPr>
          <w:spacing w:val="-2"/>
        </w:rPr>
        <w:t>成本进行初始计量。购置固定资产的成本包括购买价款、相关税费、使固定资产达到预定可使用状态前所发生的可直接归属</w:t>
      </w:r>
      <w:r>
        <w:rPr>
          <w:spacing w:val="-63"/>
        </w:rPr>
        <w:t> </w:t>
      </w:r>
      <w:r>
        <w:rPr>
          <w:spacing w:val="-63"/>
        </w:rPr>
      </w:r>
      <w:r>
        <w:rPr/>
        <w:t>于该项资产的其他支出。</w:t>
      </w:r>
    </w:p>
    <w:p>
      <w:pPr>
        <w:spacing w:line="240" w:lineRule="auto" w:before="11"/>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850" w:footer="1186" w:top="1440" w:bottom="1380" w:left="980" w:right="9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固定资产的折旧釆用年限平均法计提，各类固定资产半年的使用寿命、预计净残值率及年折旧率如下：</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32-40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2.97%-2.38%</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9.5%</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11.88%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jc w:val="left"/>
      </w:pPr>
      <w:r>
        <w:rPr/>
        <w:t>本集团至少于每年年度终了，对固定资产的使用寿命、预计净残值和折旧方法进行复核，必要时进行调整。 </w:t>
      </w:r>
      <w:r>
        <w:rPr>
          <w:spacing w:val="-2"/>
        </w:rPr>
        <w:t>本集团对除存货、递延所得税、金融资产、按成本法核算的在活跃市场中没有报价且其公允价值不能可靠计量的长期股权投</w:t>
      </w:r>
      <w:r>
        <w:rPr>
          <w:spacing w:val="-66"/>
        </w:rPr>
        <w:t> </w:t>
      </w:r>
      <w:r>
        <w:rPr>
          <w:spacing w:val="-66"/>
        </w:rPr>
      </w:r>
      <w:r>
        <w:rPr/>
        <w:t>资外的资产减值，按以下方法确定： </w:t>
      </w:r>
      <w:r>
        <w:rPr>
          <w:spacing w:val="-2"/>
        </w:rPr>
        <w:t>本集团于资产负债表日判断资产是否存在可能发生减值的迹象，存在减值迹象的，本集团将估计其可收回金额，进行减值测</w:t>
      </w:r>
      <w:r>
        <w:rPr>
          <w:spacing w:val="-66"/>
        </w:rPr>
        <w:t> </w:t>
      </w:r>
      <w:r>
        <w:rPr>
          <w:spacing w:val="-66"/>
        </w:rPr>
      </w:r>
      <w:r>
        <w:rPr>
          <w:spacing w:val="-2"/>
        </w:rPr>
        <w:t>试。对因企业合并所形成的商誉和使用寿命不确定的无形资产，无论是否存在减值迹象，至少于每年末进行减值测试。对于</w:t>
      </w:r>
      <w:r>
        <w:rPr>
          <w:spacing w:val="-64"/>
        </w:rPr>
        <w:t> </w:t>
      </w:r>
      <w:r>
        <w:rPr>
          <w:spacing w:val="-64"/>
        </w:rPr>
      </w:r>
      <w:r>
        <w:rPr/>
        <w:t>尚未达到可使用状态的无形资产，也每年进行减值测试。 </w:t>
      </w:r>
      <w:r>
        <w:rPr>
          <w:spacing w:val="-2"/>
        </w:rPr>
        <w:t>收回金额根据资产的公允价值减去处置费用后的净额与资产预计未来现金流量的现值两者之间较高者确定。本集团以单项资</w:t>
      </w:r>
      <w:r>
        <w:rPr>
          <w:spacing w:val="-64"/>
        </w:rPr>
        <w:t> </w:t>
      </w:r>
      <w:r>
        <w:rPr>
          <w:spacing w:val="-64"/>
        </w:rPr>
      </w:r>
      <w:r>
        <w:rPr>
          <w:spacing w:val="-2"/>
        </w:rPr>
        <w:t>产为基础估计其可收回金额；难以对单项资产的可收回金额进行估计的，以该资产所属的资产组为基础确定资产组的可收回</w:t>
      </w:r>
      <w:r>
        <w:rPr>
          <w:spacing w:val="-64"/>
        </w:rPr>
        <w:t> </w:t>
      </w:r>
      <w:r>
        <w:rPr>
          <w:spacing w:val="-64"/>
        </w:rPr>
      </w:r>
      <w:r>
        <w:rPr/>
        <w:t>金额。资产组的认定，以资产组产生的主要现金流入是否独立于其他资产或者资产组的现金流入为依据。 </w:t>
      </w:r>
      <w:r>
        <w:rPr>
          <w:spacing w:val="-2"/>
        </w:rPr>
        <w:t>当资产或者资产组的可收回金额低于其账面价值时，本集团将其账面价值减记至可收回金额，减记的金额计入当期损益，同</w:t>
      </w:r>
      <w:r>
        <w:rPr>
          <w:spacing w:val="-63"/>
        </w:rPr>
        <w:t> </w:t>
      </w:r>
      <w:r>
        <w:rPr>
          <w:spacing w:val="-63"/>
        </w:rPr>
      </w:r>
      <w:r>
        <w:rPr/>
        <w:t>时计提相应的资产减值准备。</w:t>
      </w:r>
    </w:p>
    <w:p>
      <w:pPr>
        <w:pStyle w:val="BodyText"/>
        <w:spacing w:line="240" w:lineRule="auto" w:before="19"/>
        <w:ind w:right="0"/>
        <w:jc w:val="left"/>
      </w:pPr>
      <w:r>
        <w:rPr/>
        <w:t>上述资产减值损失一经确认，在以后会计期间不再转回。</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在建工程的类别：总部办公楼改良、系统升级项目、六灶工业园区、东莞办公楼改良、门店装修工程和其他。</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在建工程在达到预定可使用状态时转入固定资产。</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本集团对除存货、递延所得税、金融资产、按成本法核算的在活跃市场中没有报价且其公允价值不能可靠计量的长期股权投</w:t>
      </w:r>
      <w:r>
        <w:rPr>
          <w:spacing w:val="-66"/>
        </w:rPr>
        <w:t> </w:t>
      </w:r>
      <w:r>
        <w:rPr>
          <w:spacing w:val="-66"/>
        </w:rPr>
      </w:r>
      <w:r>
        <w:rPr/>
        <w:t>资外的资产减值，按以下方法确定：</w:t>
      </w:r>
    </w:p>
    <w:p>
      <w:pPr>
        <w:spacing w:after="0" w:line="316" w:lineRule="auto"/>
        <w:jc w:val="left"/>
        <w:sectPr>
          <w:pgSz w:w="11910" w:h="16840"/>
          <w:pgMar w:header="850" w:footer="1186" w:top="1440" w:bottom="13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16" w:lineRule="auto" w:before="2"/>
        <w:ind w:right="0"/>
        <w:jc w:val="left"/>
      </w:pPr>
      <w:r>
        <w:rPr>
          <w:spacing w:val="-2"/>
        </w:rPr>
        <w:t>本集团于资产负债表日判断资产是否存在可能发生减值的迹象，存在减值迹象的，本集团将估计其可收回金额，进行减值测</w:t>
      </w:r>
      <w:r>
        <w:rPr>
          <w:spacing w:val="-66"/>
        </w:rPr>
        <w:t> </w:t>
      </w:r>
      <w:r>
        <w:rPr>
          <w:spacing w:val="-66"/>
        </w:rPr>
      </w:r>
      <w:r>
        <w:rPr>
          <w:spacing w:val="-2"/>
        </w:rPr>
        <w:t>试。对因企业合并所形成的商誉和使用寿命不确定的无形资产，无论是否存在减值迹象，至少于每年末进行减值测试。对于</w:t>
      </w:r>
      <w:r>
        <w:rPr>
          <w:spacing w:val="-64"/>
        </w:rPr>
        <w:t> </w:t>
      </w:r>
      <w:r>
        <w:rPr>
          <w:spacing w:val="-64"/>
        </w:rPr>
      </w:r>
      <w:r>
        <w:rPr/>
        <w:t>尚未达到可使用状态的无形资产，也每年进行减值测试。 </w:t>
      </w:r>
      <w:r>
        <w:rPr>
          <w:spacing w:val="-2"/>
        </w:rPr>
        <w:t>可收回金额根据资产的公允价值减去处置费用后的净额与资产预计未来现金流量的现值两者之间较高者确定。本集团以单项</w:t>
      </w:r>
      <w:r>
        <w:rPr>
          <w:spacing w:val="-63"/>
        </w:rPr>
        <w:t> </w:t>
      </w:r>
      <w:r>
        <w:rPr>
          <w:spacing w:val="-63"/>
        </w:rPr>
      </w:r>
      <w:r>
        <w:rPr>
          <w:spacing w:val="-2"/>
        </w:rPr>
        <w:t>资产为基础估计其可收回金额；难以对单项资产的可收回金额进行估计的，以该资产所属的资产组为基础确定资产组的可收</w:t>
      </w:r>
      <w:r>
        <w:rPr>
          <w:spacing w:val="-64"/>
        </w:rPr>
        <w:t> </w:t>
      </w:r>
      <w:r>
        <w:rPr>
          <w:spacing w:val="-64"/>
        </w:rPr>
      </w:r>
      <w:r>
        <w:rPr/>
        <w:t>回金额。资产组的认定，以资产组产生的主要现金流入是否独立于其他资产或者资产组的现金流入为依据。 </w:t>
      </w:r>
      <w:r>
        <w:rPr>
          <w:spacing w:val="-2"/>
        </w:rPr>
        <w:t>当资产或者资产组的可收回金额低于其账面价值时，本集团将其账面价值减记至可收回金额，减记的金额计入当期损益，同</w:t>
      </w:r>
      <w:r>
        <w:rPr>
          <w:spacing w:val="-63"/>
        </w:rPr>
        <w:t> </w:t>
      </w:r>
      <w:r>
        <w:rPr>
          <w:spacing w:val="-63"/>
        </w:rPr>
      </w:r>
      <w:r>
        <w:rPr/>
        <w:t>时计提相应的资产减值准备。</w:t>
      </w:r>
    </w:p>
    <w:p>
      <w:pPr>
        <w:pStyle w:val="BodyText"/>
        <w:spacing w:line="240" w:lineRule="auto" w:before="19"/>
        <w:ind w:right="0"/>
        <w:jc w:val="left"/>
      </w:pPr>
      <w:r>
        <w:rPr/>
        <w:t>上述资产减值损失一经确认，在以后会计期间不再转回。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t>借款费用，是指本集团因借款而发生的利息及其他相关成本，包括借款利息、折价或者溢价的摊销、辅助费用等。 </w:t>
      </w:r>
      <w:r>
        <w:rPr>
          <w:spacing w:val="-2"/>
        </w:rPr>
        <w:t>可直接归属于符合资本化条件的资产的购建或者生产的借款费用，予以资本化，其他借款费用计入当期损益。符合资本化条</w:t>
      </w:r>
      <w:r>
        <w:rPr>
          <w:spacing w:val="-66"/>
        </w:rPr>
        <w:t> </w:t>
      </w:r>
      <w:r>
        <w:rPr>
          <w:spacing w:val="-66"/>
        </w:rPr>
      </w:r>
      <w:r>
        <w:rPr>
          <w:spacing w:val="-2"/>
        </w:rPr>
        <w:t>件的资产，是指需要经过相当长时间的购建或者生产活动才能达到预定可使用或者可销售状态的固定资产、投资性房地产和</w:t>
      </w:r>
      <w:r>
        <w:rPr>
          <w:spacing w:val="-64"/>
        </w:rPr>
        <w:t> </w:t>
      </w:r>
      <w:r>
        <w:rPr>
          <w:spacing w:val="-64"/>
        </w:rPr>
      </w:r>
      <w:r>
        <w:rPr/>
        <w:t>存货等资产。</w:t>
      </w:r>
    </w:p>
    <w:p>
      <w:pPr>
        <w:pStyle w:val="BodyText"/>
        <w:spacing w:line="240" w:lineRule="auto" w:before="19"/>
        <w:ind w:right="0"/>
        <w:jc w:val="left"/>
      </w:pPr>
      <w:r>
        <w:rPr/>
        <w:t>借款费用同时满足下列条件的，才能开始资本化：</w:t>
      </w:r>
    </w:p>
    <w:p>
      <w:pPr>
        <w:pStyle w:val="BodyText"/>
        <w:spacing w:line="300" w:lineRule="auto" w:before="76"/>
        <w:ind w:right="146"/>
        <w:jc w:val="left"/>
      </w:pPr>
      <w:r>
        <w:rPr>
          <w:rFonts w:ascii="Times New Roman" w:hAnsi="Times New Roman" w:cs="Times New Roman" w:eastAsia="Times New Roman" w:hint="default"/>
        </w:rPr>
        <w:t>(1) </w:t>
      </w:r>
      <w:r>
        <w:rPr/>
        <w:t>资产支出已经发生； </w:t>
      </w:r>
      <w:r>
        <w:rPr>
          <w:rFonts w:ascii="Times New Roman" w:hAnsi="Times New Roman" w:cs="Times New Roman" w:eastAsia="Times New Roman" w:hint="default"/>
        </w:rPr>
        <w:t>(2) </w:t>
      </w:r>
      <w:r>
        <w:rPr/>
        <w:t>借款费用已经发生； </w:t>
      </w: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t>为使资产达到预定可使用或者可销售状态所必要的购建或者生产活动</w:t>
      </w:r>
      <w:r>
        <w:rPr>
          <w:w w:val="99"/>
        </w:rPr>
        <w:t> </w:t>
      </w:r>
      <w:r>
        <w:rPr/>
        <w:t>已经开始。</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购建或者生产符合资本化条件的资产达到预定可使用或者可销售状态时，借款费用停止资本化。之后发生的借款费用计入当</w:t>
      </w:r>
      <w:r>
        <w:rPr>
          <w:spacing w:val="-64"/>
        </w:rPr>
        <w:t> </w:t>
      </w:r>
      <w:r>
        <w:rPr>
          <w:spacing w:val="-64"/>
        </w:rPr>
      </w:r>
      <w:r>
        <w:rPr/>
        <w:t>期损益。</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在资本化期间内，每一会计期间的利息资本化金额，按照下列方法确定：</w:t>
      </w:r>
    </w:p>
    <w:p>
      <w:pPr>
        <w:pStyle w:val="BodyText"/>
        <w:spacing w:line="309" w:lineRule="auto" w:before="76"/>
        <w:ind w:right="144"/>
        <w:jc w:val="left"/>
      </w:pPr>
      <w:r>
        <w:rPr>
          <w:rFonts w:ascii="Times New Roman" w:hAnsi="Times New Roman" w:cs="Times New Roman" w:eastAsia="Times New Roman" w:hint="default"/>
        </w:rPr>
        <w:t>(1) </w:t>
      </w:r>
      <w:r>
        <w:rPr/>
        <w:t>专门借款以当期实际发生的利息费用，减去暂时性的存款利息收入或投资收益后的金额确定。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占用的一般借款，根</w:t>
      </w:r>
      <w:r>
        <w:rPr>
          <w:w w:val="99"/>
        </w:rPr>
        <w:t> </w:t>
      </w:r>
      <w:r>
        <w:rPr/>
        <w:t>据累计资产支出超过专门借款部分的资产支出加权平均数乘以所占用一般借款的加权平均利率计算确定。</w:t>
      </w:r>
      <w:r>
        <w:rPr>
          <w:w w:val="99"/>
        </w:rPr>
        <w:t> </w:t>
      </w:r>
      <w:r>
        <w:rPr>
          <w:spacing w:val="-2"/>
        </w:rPr>
        <w:t>符合资本化条件的资产在购建或者生产过程中，发生除达到预定可使用或者可销售状态必要的程序之外的非正常中断、且中</w:t>
      </w:r>
      <w:r>
        <w:rPr>
          <w:spacing w:val="-65"/>
        </w:rPr>
        <w:t> </w:t>
      </w:r>
      <w:r>
        <w:rPr>
          <w:spacing w:val="-65"/>
        </w:rPr>
      </w:r>
      <w:r>
        <w:rPr/>
        <w:t>断时间连续超过</w:t>
      </w:r>
      <w:r>
        <w:rPr>
          <w:rFonts w:ascii="Times New Roman" w:hAnsi="Times New Roman" w:cs="Times New Roman" w:eastAsia="Times New Roman" w:hint="default"/>
        </w:rPr>
        <w:t>3</w:t>
      </w:r>
      <w:r>
        <w:rPr/>
        <w:t>个月的，暂停借款费用的资本化。在中断期间发生的借款费用确认为费用，计入当期损益，直至资产的购</w:t>
      </w:r>
      <w:r>
        <w:rPr>
          <w:w w:val="99"/>
        </w:rPr>
        <w:t> </w:t>
      </w:r>
      <w:r>
        <w:rPr/>
        <w:t>建或者生产活动重新开始。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5"/>
        <w:ind w:right="0"/>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850" w:footer="1186" w:top="1440" w:bottom="13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jc w:val="left"/>
      </w:pPr>
      <w:r>
        <w:rPr>
          <w:spacing w:val="-2"/>
        </w:rPr>
        <w:t>无形资产仅在与其有关的经济利益很可能流入本集团，且其成本能够可靠地计量时才予以确认，并以成本进行初始计量。但</w:t>
      </w:r>
      <w:r>
        <w:rPr>
          <w:spacing w:val="-63"/>
        </w:rPr>
        <w:t> </w:t>
      </w:r>
      <w:r>
        <w:rPr>
          <w:spacing w:val="-63"/>
        </w:rPr>
      </w:r>
      <w:r>
        <w:rPr/>
        <w:t>企业合并中取得的无形资产，其公允价值能够可靠地计量的，即单独确认为无形资产并按照公允价值计量。 </w:t>
      </w:r>
      <w:r>
        <w:rPr>
          <w:spacing w:val="-2"/>
        </w:rPr>
        <w:t>本集团取得的土地使用权，通常作为无形资产核算。自行开发建造厂房等建筑物，相关的土地使用权和建筑物分别作为无形</w:t>
      </w:r>
      <w:r>
        <w:rPr>
          <w:spacing w:val="-63"/>
        </w:rPr>
        <w:t> </w:t>
      </w:r>
      <w:r>
        <w:rPr>
          <w:spacing w:val="-63"/>
        </w:rPr>
      </w:r>
      <w:r>
        <w:rPr>
          <w:spacing w:val="-2"/>
        </w:rPr>
        <w:t>资产和固定资产核算。外购土地及建筑物支付的价款在土地使用权和建筑物之间进行分配，难以合理分配的，全部作为固定</w:t>
      </w:r>
      <w:r>
        <w:rPr>
          <w:spacing w:val="-66"/>
        </w:rPr>
        <w:t> </w:t>
      </w:r>
      <w:r>
        <w:rPr>
          <w:spacing w:val="-66"/>
        </w:rPr>
      </w:r>
      <w:r>
        <w:rPr/>
        <w:t>资产处理。 </w:t>
      </w:r>
      <w:r>
        <w:rPr>
          <w:spacing w:val="-2"/>
        </w:rPr>
        <w:t>使用寿命有限的无形资产，在其使用寿命内采用直线法摊销。本集团至少于每年年度终了，对使用寿命有限的无形资产的使</w:t>
      </w:r>
      <w:r>
        <w:rPr>
          <w:spacing w:val="-63"/>
        </w:rPr>
        <w:t> </w:t>
      </w:r>
      <w:r>
        <w:rPr>
          <w:spacing w:val="-63"/>
        </w:rPr>
      </w:r>
      <w:r>
        <w:rPr/>
        <w:t>用寿命及摊销方法进行复核，必要时进行调整。</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无形资产按照其能为本集团带来经济利益的期限确定使用寿命</w:t>
      </w: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280"/>
        <w:gridCol w:w="2216"/>
        <w:gridCol w:w="5075"/>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无法预见其为本集团带来经济利益期限的作为使用寿命不确定的无形资产。</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本集团对除存货、递延所得税、金融资产、按成本法核算的在活跃市场中没有报价且其公允价值不能可靠计量的长期股权投</w:t>
      </w:r>
      <w:r>
        <w:rPr>
          <w:spacing w:val="-66"/>
        </w:rPr>
        <w:t> </w:t>
      </w:r>
      <w:r>
        <w:rPr>
          <w:spacing w:val="-66"/>
        </w:rPr>
      </w:r>
      <w:r>
        <w:rPr/>
        <w:t>资外的资产减值，按以下方法确定： </w:t>
      </w:r>
      <w:r>
        <w:rPr>
          <w:spacing w:val="-2"/>
        </w:rPr>
        <w:t>本集团于资产负债表日判断资产是否存在可能发生减值的迹象，存在减值迹象的，本集团将估计其可收回金额，进行减值测</w:t>
      </w:r>
      <w:r>
        <w:rPr>
          <w:spacing w:val="-66"/>
        </w:rPr>
        <w:t> </w:t>
      </w:r>
      <w:r>
        <w:rPr>
          <w:spacing w:val="-66"/>
        </w:rPr>
      </w:r>
      <w:r>
        <w:rPr>
          <w:spacing w:val="-2"/>
        </w:rPr>
        <w:t>试。对因企业合并所形成的商誉和使用寿命不确定的无形资产，无论是否存在减值迹象，至少于每年末进行减值测试。对于</w:t>
      </w:r>
      <w:r>
        <w:rPr>
          <w:spacing w:val="-63"/>
        </w:rPr>
        <w:t> </w:t>
      </w:r>
      <w:r>
        <w:rPr>
          <w:spacing w:val="-63"/>
        </w:rPr>
      </w:r>
      <w:r>
        <w:rPr/>
        <w:t>尚未达到可使用状态的无形资产，也每年进行减值测试。 </w:t>
      </w:r>
      <w:r>
        <w:rPr>
          <w:spacing w:val="-2"/>
        </w:rPr>
        <w:t>可收回金额根据资产的公允价值减去处置费用后的净额与资产预计未来现金流量的现值两者之间较高者确定。本集团以单项</w:t>
      </w:r>
      <w:r>
        <w:rPr>
          <w:spacing w:val="-64"/>
        </w:rPr>
        <w:t> </w:t>
      </w:r>
      <w:r>
        <w:rPr>
          <w:spacing w:val="-64"/>
        </w:rPr>
      </w:r>
      <w:r>
        <w:rPr>
          <w:spacing w:val="-2"/>
        </w:rPr>
        <w:t>资产为基础估计其可收回金额；难以对单项资产的可收回金额进行估计的，以该资产所属的资产组为基础确定资产组的可收</w:t>
      </w:r>
      <w:r>
        <w:rPr>
          <w:spacing w:val="-64"/>
        </w:rPr>
        <w:t> </w:t>
      </w:r>
      <w:r>
        <w:rPr>
          <w:spacing w:val="-64"/>
        </w:rPr>
      </w:r>
      <w:r>
        <w:rPr/>
        <w:t>回金额。资产组的认定，以资产组产生的主要现金流入是否独立于其他资产或者资产组的现金流入为依据。 </w:t>
      </w:r>
      <w:r>
        <w:rPr>
          <w:spacing w:val="-2"/>
        </w:rPr>
        <w:t>当资产或者资产组的可收回金额低于其账面价值时，本集团将其账面价值减记至可收回金额，减记的金额计入当期损益，同</w:t>
      </w:r>
      <w:r>
        <w:rPr>
          <w:spacing w:val="-61"/>
        </w:rPr>
        <w:t> </w:t>
      </w:r>
      <w:r>
        <w:rPr>
          <w:spacing w:val="-61"/>
        </w:rPr>
      </w:r>
      <w:r>
        <w:rPr/>
        <w:t>时计提相应的资产减值准备。</w:t>
      </w:r>
    </w:p>
    <w:p>
      <w:pPr>
        <w:pStyle w:val="BodyText"/>
        <w:spacing w:line="240" w:lineRule="auto" w:before="19"/>
        <w:ind w:right="0"/>
        <w:jc w:val="left"/>
      </w:pPr>
      <w:r>
        <w:rPr/>
        <w:t>上述资产减值损失一经确认，在以后会计期间不再转回。</w:t>
      </w:r>
    </w:p>
    <w:p>
      <w:pPr>
        <w:spacing w:after="0" w:line="240" w:lineRule="auto"/>
        <w:jc w:val="left"/>
        <w:sectPr>
          <w:pgSz w:w="11910" w:h="16840"/>
          <w:pgMar w:header="850" w:footer="1186" w:top="1440" w:bottom="13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长期待摊费用包括预付经营租赁费用、经营租入固定资产改良及其他已经发生但应由本期和以后各期负担的分摊期限在一年</w:t>
      </w:r>
      <w:r>
        <w:rPr>
          <w:spacing w:val="-64"/>
        </w:rPr>
        <w:t> </w:t>
      </w:r>
      <w:r>
        <w:rPr>
          <w:spacing w:val="-64"/>
        </w:rPr>
      </w:r>
      <w:r>
        <w:rPr/>
        <w:t>以上的各项费用，按租赁期和预计受益期孰短平均摊销，并以实际支出减去累计摊销后的净额列示。</w:t>
      </w:r>
    </w:p>
    <w:p>
      <w:pPr>
        <w:spacing w:line="240" w:lineRule="auto" w:before="1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预计负债按照履行相关现时义务所需支出的最佳估计数进行初始计量，并综合考虑与或有事项有关的风险、不确定性和货币</w:t>
      </w:r>
      <w:r>
        <w:rPr>
          <w:spacing w:val="-63"/>
        </w:rPr>
        <w:t> </w:t>
      </w:r>
      <w:r>
        <w:rPr>
          <w:spacing w:val="-63"/>
        </w:rPr>
      </w:r>
      <w:r>
        <w:rPr/>
        <w:t>时间价值等因素。</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0"/>
        <w:jc w:val="left"/>
      </w:pPr>
      <w:r>
        <w:rPr>
          <w:spacing w:val="-4"/>
        </w:rPr>
        <w:t>除企业合并中的或有对价及承担的或有负债之外，当与或有事项相关的义务同时符合以下条件，本集团将其确认为预计负债：</w:t>
      </w:r>
      <w:r>
        <w:rPr>
          <w:spacing w:val="-44"/>
        </w:rPr>
        <w:t> </w:t>
      </w:r>
      <w:r>
        <w:rPr>
          <w:spacing w:val="-44"/>
        </w:rPr>
      </w:r>
      <w:r>
        <w:rPr>
          <w:rFonts w:ascii="Times New Roman" w:hAnsi="Times New Roman" w:cs="Times New Roman" w:eastAsia="Times New Roman" w:hint="default"/>
        </w:rPr>
        <w:t>(1) </w:t>
      </w:r>
      <w:r>
        <w:rPr/>
        <w:t>该义务是本集团承担的现时义务； </w:t>
      </w:r>
      <w:r>
        <w:rPr>
          <w:rFonts w:ascii="Times New Roman" w:hAnsi="Times New Roman" w:cs="Times New Roman" w:eastAsia="Times New Roman" w:hint="default"/>
        </w:rPr>
        <w:t>(2) </w:t>
      </w:r>
      <w:r>
        <w:rPr/>
        <w:t>该义务的履行很可能导致经济利益流出本集团；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该义务的金额能够可靠地计 量。</w:t>
      </w: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2"/>
        <w:jc w:val="both"/>
      </w:pPr>
      <w:r>
        <w:rPr>
          <w:spacing w:val="-2"/>
        </w:rPr>
        <w:t>预计负债按照履行相关现时义务所需支出的最佳估计数进行初始计量，并综合考虑与或有事项有关的风险、不确定性和货币</w:t>
      </w:r>
      <w:r>
        <w:rPr>
          <w:spacing w:val="-64"/>
        </w:rPr>
        <w:t> </w:t>
      </w:r>
      <w:r>
        <w:rPr>
          <w:spacing w:val="-64"/>
        </w:rPr>
      </w:r>
      <w:r>
        <w:rPr>
          <w:spacing w:val="-2"/>
        </w:rPr>
        <w:t>时间价值等因素。每个资产负债表日对预计负债的账面价值进行复核。有确凿证据表明该账面价值不能反映当前最佳估计数</w:t>
      </w:r>
      <w:r>
        <w:rPr>
          <w:spacing w:val="-64"/>
        </w:rPr>
        <w:t> </w:t>
      </w:r>
      <w:r>
        <w:rPr>
          <w:spacing w:val="-64"/>
        </w:rPr>
      </w:r>
      <w:r>
        <w:rPr/>
        <w:t>的，按照当前最佳估计数对该账面价值进行调整。</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股份支付，分为以权益结算的股份支付和以现金结算的股份支付。以权益结算的股份支付，是指本集团为获取服务以股份或</w:t>
      </w:r>
      <w:r>
        <w:rPr>
          <w:spacing w:val="-63"/>
        </w:rPr>
        <w:t> </w:t>
      </w:r>
      <w:r>
        <w:rPr>
          <w:spacing w:val="-63"/>
        </w:rPr>
      </w:r>
      <w:r>
        <w:rPr/>
        <w:t>其他权益工具作为对价进行结算的交易。</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以权益结算的股份支付换取职工提供服务的，以授予职工权益工具的公允价值计量。</w:t>
      </w:r>
    </w:p>
    <w:p>
      <w:pPr>
        <w:spacing w:after="0" w:line="240" w:lineRule="auto"/>
        <w:jc w:val="left"/>
        <w:sectPr>
          <w:pgSz w:w="11910" w:h="16840"/>
          <w:pgMar w:header="850" w:footer="1186" w:top="1440" w:bottom="1380" w:left="980" w:right="9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91"/>
        <w:jc w:val="both"/>
      </w:pPr>
      <w:r>
        <w:rPr>
          <w:spacing w:val="-2"/>
        </w:rPr>
        <w:t>完成等待期内的服务或达到规定业绩条件才可行权的，在等待期内每个资产负债表日，本集团根据最新取得的可行权职工人</w:t>
      </w:r>
      <w:r>
        <w:rPr>
          <w:spacing w:val="-63"/>
        </w:rPr>
        <w:t> </w:t>
      </w:r>
      <w:r>
        <w:rPr>
          <w:spacing w:val="-63"/>
        </w:rPr>
      </w:r>
      <w:r>
        <w:rPr>
          <w:spacing w:val="-2"/>
        </w:rPr>
        <w:t>数变动、是否达到规定业绩条件等后续信息对可行权权益工具数量作出最佳估计，以此为基础，按照授予日的公允价值，将</w:t>
      </w:r>
      <w:r>
        <w:rPr>
          <w:spacing w:val="-64"/>
        </w:rPr>
        <w:t> </w:t>
      </w:r>
      <w:r>
        <w:rPr>
          <w:spacing w:val="-64"/>
        </w:rPr>
      </w:r>
      <w:r>
        <w:rPr/>
        <w:t>当期取得的服务计入相关成本或费用，相应增加资本公积。权益工具的公允价值采用布莱克</w:t>
      </w:r>
      <w:r>
        <w:rPr>
          <w:rFonts w:ascii="Times New Roman" w:hAnsi="Times New Roman" w:cs="Times New Roman" w:eastAsia="Times New Roman" w:hint="default"/>
        </w:rPr>
        <w:t>-</w:t>
      </w:r>
      <w:r>
        <w:rPr/>
        <w:t>斯克尔斯权定价模型确定。</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4"/>
        </w:rPr>
        <w:t>在满足业绩条件和服务期限条件的期间，应确认以权益结算的股份支付的成本或费用，并相应增加资本公积。可行权日之前，</w:t>
      </w:r>
      <w:r>
        <w:rPr>
          <w:spacing w:val="-44"/>
        </w:rPr>
        <w:t> </w:t>
      </w:r>
      <w:r>
        <w:rPr>
          <w:spacing w:val="-44"/>
        </w:rPr>
      </w:r>
      <w:r>
        <w:rPr/>
        <w:t>于每个资产负债表日为以权益结算的股份支付确认的累计金额反映了等待期已届满的部分以及本集团对最终可行权的权益</w:t>
      </w:r>
      <w:r>
        <w:rPr/>
        <w:t> 工具数量的最佳估计。 </w:t>
      </w:r>
      <w:r>
        <w:rPr>
          <w:spacing w:val="-2"/>
        </w:rPr>
        <w:t>对于最终未能行权的股份支付，不确认成本或费用，除非行权条件是市场条件或非可行权条件，此时无论是否满足市场条件</w:t>
      </w:r>
      <w:r>
        <w:rPr>
          <w:spacing w:val="-66"/>
        </w:rPr>
        <w:t> </w:t>
      </w:r>
      <w:r>
        <w:rPr>
          <w:spacing w:val="-66"/>
        </w:rPr>
      </w:r>
      <w:r>
        <w:rPr/>
        <w:t>或非可行权条件，只要满足所有可行权条件中的非市场条件，即视为可行权。 </w:t>
      </w:r>
      <w:r>
        <w:rPr>
          <w:spacing w:val="-2"/>
        </w:rPr>
        <w:t>如果修改了以权益结算的股份支付的条款，至少按照未修改条款的情况确认取得的服务。此外，任何增加所授予权益工具公</w:t>
      </w:r>
      <w:r>
        <w:rPr>
          <w:spacing w:val="-63"/>
        </w:rPr>
        <w:t> </w:t>
      </w:r>
      <w:r>
        <w:rPr>
          <w:spacing w:val="-63"/>
        </w:rPr>
      </w:r>
      <w:r>
        <w:rPr>
          <w:spacing w:val="-2"/>
        </w:rPr>
        <w:t>允价值的修改，或在修改日对职工有利的变更，均确认取得服务的增加。如果取消了以权益结算的股份支付，则于取消日作</w:t>
      </w:r>
      <w:r>
        <w:rPr>
          <w:spacing w:val="-65"/>
        </w:rPr>
        <w:t> </w:t>
      </w:r>
      <w:r>
        <w:rPr>
          <w:spacing w:val="-65"/>
        </w:rPr>
      </w:r>
      <w:r>
        <w:rPr>
          <w:spacing w:val="-2"/>
        </w:rPr>
        <w:t>为加速行权处理，立即确认尚未确认的金额。职工或其他方能够选择满足非可行权条件但在等待期内未满足的，作为取消以</w:t>
      </w:r>
      <w:r>
        <w:rPr>
          <w:spacing w:val="-62"/>
        </w:rPr>
        <w:t> </w:t>
      </w:r>
      <w:r>
        <w:rPr>
          <w:spacing w:val="-62"/>
        </w:rPr>
      </w:r>
      <w:r>
        <w:rPr>
          <w:spacing w:val="-2"/>
        </w:rPr>
        <w:t>权益结算的股份支付处理。但是，如果授予新的权益工具，并在新权益工具授予日认定所授予的新权益工具是用于替代被取</w:t>
      </w:r>
      <w:r>
        <w:rPr>
          <w:spacing w:val="-65"/>
        </w:rPr>
        <w:t> </w:t>
      </w:r>
      <w:r>
        <w:rPr>
          <w:spacing w:val="-65"/>
        </w:rPr>
      </w:r>
      <w:r>
        <w:rPr/>
        <w:t>消的权益工具的，则以与处理原权益工具条款和条件修改相同的方式，对所授予的替代权益工具进行处理。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55"/>
        <w:jc w:val="both"/>
      </w:pPr>
      <w:r>
        <w:rPr>
          <w:spacing w:val="-2"/>
        </w:rPr>
        <w:t>本集团已将商品所有权上的主要风险和报酬转移给购货方，并不再对该商品保留通常与所有权相联系的继续管理权和实施有</w:t>
      </w:r>
      <w:r>
        <w:rPr>
          <w:spacing w:val="-64"/>
        </w:rPr>
        <w:t> </w:t>
      </w:r>
      <w:r>
        <w:rPr>
          <w:spacing w:val="-64"/>
        </w:rPr>
      </w:r>
      <w:r>
        <w:rPr>
          <w:spacing w:val="-2"/>
        </w:rPr>
        <w:t>效控制，且相关的已发生或将发生的成本能够可靠地计量，确认为收入的实现。销售商品收入金额，按照从购货方已收或应</w:t>
      </w:r>
      <w:r>
        <w:rPr>
          <w:spacing w:val="-64"/>
        </w:rPr>
        <w:t> </w:t>
      </w:r>
      <w:r>
        <w:rPr>
          <w:spacing w:val="-64"/>
        </w:rPr>
      </w:r>
      <w:r>
        <w:rPr>
          <w:spacing w:val="-2"/>
        </w:rPr>
        <w:t>收的合同或协议价款确定，但已收或应收的合同或协议价款不公允的除外；合同或协议价款的收取采用递延方式，实质上具</w:t>
      </w:r>
      <w:r>
        <w:rPr>
          <w:spacing w:val="-63"/>
        </w:rPr>
        <w:t> </w:t>
      </w:r>
      <w:r>
        <w:rPr>
          <w:spacing w:val="-63"/>
        </w:rPr>
      </w:r>
      <w:r>
        <w:rPr/>
        <w:t>有融资性质的，按照应收的合同或协议价款的公允价值确定。公司具体的销售商品收入确认原则如下：</w:t>
      </w:r>
      <w:r>
        <w:rPr>
          <w:rFonts w:ascii="Times New Roman" w:hAnsi="Times New Roman" w:cs="Times New Roman" w:eastAsia="Times New Roman" w:hint="default"/>
        </w:rPr>
        <w:t>1.</w:t>
      </w:r>
      <w:r>
        <w:rPr/>
        <w:t>对加盟商的销售： 于向加盟商发出货物时，确认销售收入。</w:t>
      </w:r>
      <w:r>
        <w:rPr>
          <w:rFonts w:ascii="Times New Roman" w:hAnsi="Times New Roman" w:cs="Times New Roman" w:eastAsia="Times New Roman" w:hint="default"/>
        </w:rPr>
        <w:t>2.</w:t>
      </w:r>
      <w:r>
        <w:rPr/>
        <w:t>直营店销售：于商品交付给消费者并收取价款时，确认销售收入。</w:t>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5134"/>
        <w:jc w:val="left"/>
      </w:pPr>
      <w:r>
        <w:rPr/>
        <w:t>利息收入 按照他人使用本集团货币资金的时间和实际利率计算确定。 租赁收入</w:t>
      </w:r>
    </w:p>
    <w:p>
      <w:pPr>
        <w:pStyle w:val="BodyText"/>
        <w:spacing w:line="240" w:lineRule="auto" w:before="17"/>
        <w:ind w:right="0"/>
        <w:jc w:val="left"/>
      </w:pPr>
      <w:r>
        <w:rPr/>
        <w:t>经营租赁的租金收入在租赁期内各个期间按照直线法确认，或有租金在实际发生时计入当期损益。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在劳务已经提供，收到价款或取得收取价款的依据时，确认劳务收入的实现。</w:t>
      </w:r>
    </w:p>
    <w:p>
      <w:pPr>
        <w:spacing w:after="0" w:line="240" w:lineRule="auto"/>
        <w:jc w:val="left"/>
        <w:sectPr>
          <w:pgSz w:w="11910" w:h="16840"/>
          <w:pgMar w:header="850" w:footer="1186" w:top="1440" w:bottom="1380" w:left="980" w:right="9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包含：增值税、所得税的税收返还及其他政府扶持资金。</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1"/>
        <w:jc w:val="both"/>
      </w:pPr>
      <w:r>
        <w:rPr>
          <w:spacing w:val="-2"/>
        </w:rPr>
        <w:t>政府补助在能够满足其所附的条件并且能够收到时，予以确认。政府补助为货币性资产的，按照收到或应收的金额计量。政</w:t>
      </w:r>
      <w:r>
        <w:rPr>
          <w:spacing w:val="-64"/>
        </w:rPr>
        <w:t> </w:t>
      </w:r>
      <w:r>
        <w:rPr>
          <w:spacing w:val="-64"/>
        </w:rPr>
      </w:r>
      <w:r>
        <w:rPr>
          <w:spacing w:val="-2"/>
        </w:rPr>
        <w:t>府补助为非货币性资产的，按照公允价值计量；公允价值不能可靠取得的，按照名义金额计量。与收益相关的政府补助，用</w:t>
      </w:r>
      <w:r>
        <w:rPr>
          <w:spacing w:val="-67"/>
        </w:rPr>
        <w:t> </w:t>
      </w:r>
      <w:r>
        <w:rPr>
          <w:spacing w:val="-67"/>
        </w:rPr>
      </w:r>
      <w:r>
        <w:rPr>
          <w:spacing w:val="-2"/>
        </w:rPr>
        <w:t>于补偿以后期间的相关费用或损失的，确认为递延收益，并在确认相关费用的期间计入当期损益；用于补偿已发生的相关费</w:t>
      </w:r>
      <w:r>
        <w:rPr>
          <w:spacing w:val="-66"/>
        </w:rPr>
        <w:t> </w:t>
      </w:r>
      <w:r>
        <w:rPr>
          <w:spacing w:val="-66"/>
        </w:rPr>
      </w:r>
      <w:r>
        <w:rPr>
          <w:spacing w:val="-2"/>
        </w:rPr>
        <w:t>用或损失的，直接计入当期损益。与资产相关的政府补助，确认为递延收益，在相关资产使用寿命内平均分配，计入当期损</w:t>
      </w:r>
      <w:r>
        <w:rPr>
          <w:spacing w:val="-67"/>
        </w:rPr>
        <w:t> </w:t>
      </w:r>
      <w:r>
        <w:rPr>
          <w:spacing w:val="-67"/>
        </w:rPr>
      </w:r>
      <w:r>
        <w:rPr/>
        <w:t>益。但按照名义金额计量的政府补助，直接计入当期损益。</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2" w:firstLine="182"/>
        <w:jc w:val="left"/>
      </w:pPr>
      <w:r>
        <w:rPr/>
        <w:t>对于可抵扣暂时性差异、能够结转以后年度的可抵扣亏损和税款抵减，本集团以很可能取得用来抵扣可抵扣暂时性差异、 可抵扣亏损和税款抵减的未来应纳税所得额为限，确认由此产生的递延所得税资产，除非： </w:t>
      </w: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可抵扣暂时性差异是在以</w:t>
      </w:r>
    </w:p>
    <w:p>
      <w:pPr>
        <w:pStyle w:val="BodyText"/>
        <w:spacing w:line="314" w:lineRule="auto"/>
        <w:ind w:right="182"/>
        <w:jc w:val="left"/>
      </w:pPr>
      <w:r>
        <w:rPr/>
        <w:t>下交易中产生的：该交易不是企业合并，并且交易发生时既不影响会计利润也不影响应纳税所得额或可抵扣亏损。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对 </w:t>
      </w:r>
      <w:r>
        <w:rPr>
          <w:spacing w:val="-2"/>
        </w:rPr>
        <w:t>于与子公司、合营企业及联营企业投资相关的可抵扣暂时性差异，同时满足下列条件的，确认相应的递延所得税资产：暂时</w:t>
      </w:r>
      <w:r>
        <w:rPr>
          <w:spacing w:val="-64"/>
        </w:rPr>
        <w:t> </w:t>
      </w:r>
      <w:r>
        <w:rPr>
          <w:spacing w:val="-64"/>
        </w:rPr>
      </w:r>
      <w:r>
        <w:rPr/>
        <w:t>性差异在可预见的未来很可能转回，且未来很可能获得用来抵扣可抵扣暂时性差异的应纳税所得额。</w:t>
      </w:r>
      <w:r>
        <w:rPr>
          <w:spacing w:val="2"/>
        </w:rPr>
        <w:t> </w:t>
      </w:r>
      <w:r>
        <w:rPr/>
        <w:t>于资产负债表日，本</w:t>
      </w:r>
      <w:r>
        <w:rPr/>
        <w:t> </w:t>
      </w:r>
      <w:r>
        <w:rPr>
          <w:spacing w:val="-2"/>
        </w:rPr>
        <w:t>集团对递延所得税资产的账面价值进行复核，如果未来期间很可能无法获得足够的应纳税所得额用以抵扣递延所得税资产的</w:t>
      </w:r>
      <w:r>
        <w:rPr>
          <w:spacing w:val="-63"/>
        </w:rPr>
        <w:t> </w:t>
      </w:r>
      <w:r>
        <w:rPr>
          <w:spacing w:val="-63"/>
        </w:rPr>
      </w:r>
      <w:r>
        <w:rPr>
          <w:spacing w:val="-2"/>
        </w:rPr>
        <w:t>利益，减记递延所得税资产的账面价值。于资产负债表日，本集团重新评估未确认的递延所得税资产，在很可能获得足够的</w:t>
      </w:r>
      <w:r>
        <w:rPr>
          <w:spacing w:val="-64"/>
        </w:rPr>
        <w:t> </w:t>
      </w:r>
      <w:r>
        <w:rPr>
          <w:spacing w:val="-64"/>
        </w:rPr>
      </w:r>
      <w:r>
        <w:rPr/>
        <w:t>应纳税所得额可供所有或部分递延所得税资产转回的限度内，确认递延所得税资产。</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73"/>
        <w:jc w:val="left"/>
      </w:pPr>
      <w:r>
        <w:rPr>
          <w:spacing w:val="-2"/>
        </w:rPr>
        <w:t>本集团根据资产与负债于资产负债表日的账面价值与计税基础之间的暂时性差异，以及未作为资产和负债确认但按照税法规</w:t>
      </w:r>
      <w:r>
        <w:rPr>
          <w:spacing w:val="-64"/>
        </w:rPr>
        <w:t> </w:t>
      </w:r>
      <w:r>
        <w:rPr>
          <w:spacing w:val="-64"/>
        </w:rPr>
      </w:r>
      <w:r>
        <w:rPr/>
        <w:t>定可以确定其计税基础的项目的账面价值与计税基础之间的差额产生的暂时性差异，采用资产负债表债务法计提递延所得 税。各种应纳税暂时性差异均据以确认递延所得税负债，除非：</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应纳税暂时性差异是在以下交易中产生的：商誉的初始 </w:t>
      </w:r>
      <w:r>
        <w:rPr>
          <w:spacing w:val="-2"/>
        </w:rPr>
        <w:t>确认，或者具有以下特征的交易中产生的资产或负债的初始确认：该交易不是企业合并，并且交易发生时既不影响会计利润</w:t>
      </w:r>
      <w:r>
        <w:rPr>
          <w:spacing w:val="-65"/>
        </w:rPr>
        <w:t> </w:t>
      </w:r>
      <w:r>
        <w:rPr>
          <w:spacing w:val="-65"/>
        </w:rPr>
      </w:r>
      <w:r>
        <w:rPr/>
        <w:t>也不影响应纳税所得额或可抵扣亏损。</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对于与子公司、合营企业及联营企业投资相关的应纳税暂时性差异，该暂时性差 </w:t>
      </w:r>
      <w:r>
        <w:rPr>
          <w:spacing w:val="-2"/>
        </w:rPr>
        <w:t>异转回的时间能够控制并且该暂时性差异在可预见的未来很可能不会转回。本集团于资产负债表日，对于递延所得税资产和</w:t>
      </w:r>
      <w:r>
        <w:rPr>
          <w:spacing w:val="-64"/>
        </w:rPr>
        <w:t> </w:t>
      </w:r>
      <w:r>
        <w:rPr>
          <w:spacing w:val="-64"/>
        </w:rPr>
      </w:r>
      <w:r>
        <w:rPr>
          <w:spacing w:val="-2"/>
        </w:rPr>
        <w:t>递延所得税负债，依据税法规定，按照预期收回该资产或清偿该负债期间的适用税率计量，并反映资产负债表日预期收回资</w:t>
      </w:r>
      <w:r>
        <w:rPr>
          <w:spacing w:val="-63"/>
        </w:rPr>
        <w:t> </w:t>
      </w:r>
      <w:r>
        <w:rPr>
          <w:spacing w:val="-63"/>
        </w:rPr>
      </w:r>
      <w:r>
        <w:rPr/>
        <w:t>产或清偿负债方式的所得税影响。</w:t>
      </w:r>
    </w:p>
    <w:p>
      <w:pPr>
        <w:spacing w:after="0" w:line="312" w:lineRule="auto"/>
        <w:jc w:val="left"/>
        <w:sectPr>
          <w:pgSz w:w="11910" w:h="16840"/>
          <w:pgMar w:header="850" w:footer="1186" w:top="1440" w:bottom="1380" w:left="980" w:right="9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2034"/>
        <w:jc w:val="left"/>
      </w:pPr>
      <w:r>
        <w:rPr/>
        <w:t>实质上转移了与资产所有权有关的全部风险和报酬的租赁为融资租赁，除此之外的均为经营租赁。 作为经营租赁承租人</w:t>
      </w:r>
    </w:p>
    <w:p>
      <w:pPr>
        <w:pStyle w:val="BodyText"/>
        <w:spacing w:line="316" w:lineRule="auto" w:before="19"/>
        <w:ind w:right="0"/>
        <w:jc w:val="left"/>
      </w:pPr>
      <w:r>
        <w:rPr>
          <w:spacing w:val="-2"/>
        </w:rPr>
        <w:t>经营租赁的租金支出，在租赁期内各个期间按照直线法计入相关的资产成本或当期损益，或有租金在实际发生时计入当期损</w:t>
      </w:r>
      <w:r>
        <w:rPr>
          <w:spacing w:val="-64"/>
        </w:rPr>
        <w:t> </w:t>
      </w:r>
      <w:r>
        <w:rPr>
          <w:spacing w:val="-64"/>
        </w:rPr>
      </w:r>
      <w:r>
        <w:rPr/>
        <w:t>益。</w:t>
      </w:r>
    </w:p>
    <w:p>
      <w:pPr>
        <w:pStyle w:val="BodyText"/>
        <w:spacing w:line="316" w:lineRule="auto" w:before="19"/>
        <w:ind w:right="1314"/>
        <w:jc w:val="left"/>
      </w:pPr>
      <w:r>
        <w:rPr/>
        <w:t>作为经营租赁出租人 经营租赁的租金收入在租赁期内各个期间按直线法确认为当期损益，或有租金在实际发生时计入当期损益。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本报告期主要会计政策、会计估计是否变更</w:t>
      </w:r>
    </w:p>
    <w:p>
      <w:pPr>
        <w:pStyle w:val="BodyText"/>
        <w:spacing w:line="340" w:lineRule="auto" w:before="115"/>
        <w:ind w:right="88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无</w:t>
      </w:r>
    </w:p>
    <w:p>
      <w:pPr>
        <w:spacing w:after="0" w:line="340" w:lineRule="auto"/>
        <w:jc w:val="left"/>
        <w:sectPr>
          <w:pgSz w:w="11910" w:h="16840"/>
          <w:pgMar w:header="850" w:footer="1186" w:top="1440" w:bottom="13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本报告期主要会计政策是否变更</w:t>
      </w:r>
    </w:p>
    <w:p>
      <w:pPr>
        <w:pStyle w:val="BodyText"/>
        <w:spacing w:line="338" w:lineRule="auto" w:before="117"/>
        <w:ind w:right="88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无</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本报告期主要会计估计是否变更</w:t>
      </w:r>
    </w:p>
    <w:p>
      <w:pPr>
        <w:pStyle w:val="BodyText"/>
        <w:spacing w:line="340" w:lineRule="auto" w:before="115"/>
        <w:ind w:right="88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无</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本报告期是否发现前期会计差错</w:t>
      </w:r>
    </w:p>
    <w:p>
      <w:pPr>
        <w:pStyle w:val="BodyText"/>
        <w:spacing w:line="340" w:lineRule="auto" w:before="115"/>
        <w:ind w:right="88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无</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本报告期是否发现采用追溯重述法的前期会计差错</w:t>
      </w:r>
    </w:p>
    <w:p>
      <w:pPr>
        <w:pStyle w:val="BodyText"/>
        <w:spacing w:line="340" w:lineRule="auto" w:before="117"/>
        <w:ind w:right="88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无</w:t>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本报告期是否发现采用未来适用法的前期会计差错</w:t>
      </w:r>
    </w:p>
    <w:p>
      <w:pPr>
        <w:pStyle w:val="BodyText"/>
        <w:spacing w:line="340" w:lineRule="auto" w:before="117"/>
        <w:ind w:right="888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无</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0"/>
        <w:jc w:val="left"/>
      </w:pPr>
      <w:r>
        <w:rPr>
          <w:spacing w:val="-2"/>
        </w:rPr>
        <w:t>编制财务报表要求管理层作出判断和估计，这些判断和估计会影响收入、费用、资产和负债的报告金额以及资产负债表日或</w:t>
      </w:r>
      <w:r>
        <w:rPr>
          <w:spacing w:val="-66"/>
        </w:rPr>
        <w:t> </w:t>
      </w:r>
      <w:r>
        <w:rPr>
          <w:spacing w:val="-66"/>
        </w:rPr>
      </w:r>
      <w:r>
        <w:rPr/>
        <w:t>有负债的披露。然而，这些估计的不确定性所导致的结果可能造成对未来受影响的资产或负债的账面金额进行重大调整。 估计的不确定性 </w:t>
      </w:r>
      <w:r>
        <w:rPr>
          <w:spacing w:val="-2"/>
        </w:rPr>
        <w:t>以下为于资产负债表日有关未来的关键假设以及估计不确定性的其他关键来源，可能会导致未来会计期间资产和负债账面金</w:t>
      </w:r>
      <w:r>
        <w:rPr>
          <w:spacing w:val="-64"/>
        </w:rPr>
        <w:t> </w:t>
      </w:r>
      <w:r>
        <w:rPr>
          <w:spacing w:val="-64"/>
        </w:rPr>
      </w:r>
      <w:r>
        <w:rPr/>
        <w:t>额重大调整。</w:t>
      </w:r>
    </w:p>
    <w:p>
      <w:pPr>
        <w:pStyle w:val="BodyText"/>
        <w:spacing w:line="316" w:lineRule="auto" w:before="17"/>
        <w:ind w:right="0"/>
        <w:jc w:val="left"/>
      </w:pPr>
      <w:r>
        <w:rPr/>
        <w:t>递延所得税资产 </w:t>
      </w:r>
      <w:r>
        <w:rPr>
          <w:spacing w:val="-2"/>
        </w:rPr>
        <w:t>在很可能有足够的应纳税所得额用以抵扣预提费用、抵销的内部未实现销售毛利和可抵扣亏损的限度内，确认递延所得税资</w:t>
      </w:r>
      <w:r>
        <w:rPr>
          <w:spacing w:val="-64"/>
        </w:rPr>
        <w:t> </w:t>
      </w:r>
      <w:r>
        <w:rPr>
          <w:spacing w:val="-64"/>
        </w:rPr>
      </w:r>
      <w:r>
        <w:rPr>
          <w:spacing w:val="-2"/>
        </w:rPr>
        <w:t>产。这需要管理层运用大量的判断来估计未来取得应纳税所得额的时间和金额，结合纳税筹划策略，以决定应确认的递延所</w:t>
      </w:r>
      <w:r>
        <w:rPr>
          <w:spacing w:val="-63"/>
        </w:rPr>
        <w:t> </w:t>
      </w:r>
      <w:r>
        <w:rPr>
          <w:spacing w:val="-63"/>
        </w:rPr>
      </w:r>
      <w:r>
        <w:rPr/>
        <w:t>得税资产的金额。</w:t>
      </w:r>
    </w:p>
    <w:p>
      <w:pPr>
        <w:pStyle w:val="BodyText"/>
        <w:spacing w:line="316" w:lineRule="auto" w:before="19"/>
        <w:ind w:right="0"/>
        <w:jc w:val="left"/>
      </w:pPr>
      <w:r>
        <w:rPr/>
        <w:t>应收款项的坏账准备 </w:t>
      </w:r>
      <w:r>
        <w:rPr>
          <w:spacing w:val="-2"/>
        </w:rPr>
        <w:t>在很可能债务人不能及时足额偿还其对本集团的应付款项时，本集团确认相应的坏账准备。这需要管理层运用大量的判断来</w:t>
      </w:r>
    </w:p>
    <w:p>
      <w:pPr>
        <w:spacing w:after="0" w:line="316" w:lineRule="auto"/>
        <w:jc w:val="left"/>
        <w:sectPr>
          <w:pgSz w:w="11910" w:h="16840"/>
          <w:pgMar w:header="850" w:footer="1186" w:top="1440" w:bottom="13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19" w:lineRule="auto" w:before="2"/>
        <w:ind w:right="2094"/>
        <w:jc w:val="left"/>
      </w:pPr>
      <w:r>
        <w:rPr/>
        <w:t>估计未来该债务人营业利润和经营性现金流发生的时间和金额，以决定应确认的坏账准备的金额。 存货跌价准备</w:t>
      </w:r>
    </w:p>
    <w:p>
      <w:pPr>
        <w:pStyle w:val="BodyText"/>
        <w:spacing w:line="316" w:lineRule="auto" w:before="17"/>
        <w:ind w:right="116"/>
        <w:jc w:val="left"/>
      </w:pPr>
      <w:r>
        <w:rPr>
          <w:spacing w:val="-2"/>
        </w:rPr>
        <w:t>本集团基于存货可变现净值与存货账面价值的差异来计提存货跌价准备，这需要管理层运用大量的判断和估计，以决定当期</w:t>
      </w:r>
      <w:r>
        <w:rPr>
          <w:spacing w:val="-63"/>
        </w:rPr>
        <w:t> </w:t>
      </w:r>
      <w:r>
        <w:rPr>
          <w:spacing w:val="-63"/>
        </w:rPr>
      </w:r>
      <w:r>
        <w:rPr/>
        <w:t>应确认的存货跌价准备的金额。</w:t>
      </w:r>
    </w:p>
    <w:p>
      <w:pPr>
        <w:pStyle w:val="BodyText"/>
        <w:spacing w:line="316" w:lineRule="auto" w:before="19"/>
        <w:ind w:right="116"/>
        <w:jc w:val="left"/>
      </w:pPr>
      <w:r>
        <w:rPr/>
        <w:t>对投资性房地产及固定资产使用寿命的评估 </w:t>
      </w:r>
      <w:r>
        <w:rPr>
          <w:spacing w:val="-2"/>
        </w:rPr>
        <w:t>本集团基于对投资性房地产及固定资产预计使用寿命的预测确定投资性房地产及固定资产的折旧年限，这需要管理层运用大</w:t>
      </w:r>
      <w:r>
        <w:rPr>
          <w:spacing w:val="-64"/>
        </w:rPr>
        <w:t> </w:t>
      </w:r>
      <w:r>
        <w:rPr>
          <w:spacing w:val="-64"/>
        </w:rPr>
      </w:r>
      <w:r>
        <w:rPr/>
        <w:t>量的判断和估计，以决定适用的折旧年限。</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2"/>
        <w:spacing w:line="240" w:lineRule="auto" w:before="0"/>
        <w:ind w:right="2094"/>
        <w:jc w:val="left"/>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2094"/>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17"/>
        <w:gridCol w:w="3024"/>
        <w:gridCol w:w="3027"/>
      </w:tblGrid>
      <w:tr>
        <w:trPr>
          <w:trHeight w:val="404"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309" w:lineRule="auto" w:before="49"/>
              <w:ind w:left="16" w:right="19"/>
              <w:jc w:val="lef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6%-17%</w:t>
            </w:r>
            <w:r>
              <w:rPr>
                <w:rFonts w:ascii="宋体" w:hAnsi="宋体" w:cs="宋体" w:eastAsia="宋体" w:hint="default"/>
                <w:spacing w:val="-4"/>
                <w:sz w:val="18"/>
                <w:szCs w:val="18"/>
              </w:rPr>
              <w:t>计算销项税，并</w:t>
            </w:r>
            <w:r>
              <w:rPr>
                <w:rFonts w:ascii="宋体" w:hAnsi="宋体" w:cs="宋体" w:eastAsia="宋体" w:hint="default"/>
                <w:sz w:val="18"/>
                <w:szCs w:val="18"/>
              </w:rPr>
              <w:t> 按扣除当期允许抵扣的进项税额后的 差额计缴增值税。</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6%-17%</w:t>
            </w:r>
          </w:p>
        </w:tc>
      </w:tr>
      <w:tr>
        <w:trPr>
          <w:trHeight w:val="391" w:hRule="exact"/>
        </w:trPr>
        <w:tc>
          <w:tcPr>
            <w:tcW w:w="3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317" w:hRule="exact"/>
        </w:trPr>
        <w:tc>
          <w:tcPr>
            <w:tcW w:w="3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计缴营业税</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161" w:hRule="exact"/>
        </w:trPr>
        <w:tc>
          <w:tcPr>
            <w:tcW w:w="3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300" w:lineRule="auto" w:before="49"/>
              <w:ind w:left="16" w:right="62"/>
              <w:jc w:val="left"/>
              <w:rPr>
                <w:rFonts w:ascii="宋体" w:hAnsi="宋体" w:cs="宋体" w:eastAsia="宋体" w:hint="default"/>
                <w:sz w:val="18"/>
                <w:szCs w:val="18"/>
              </w:rPr>
            </w:pPr>
            <w:r>
              <w:rPr>
                <w:rFonts w:ascii="宋体" w:hAnsi="宋体" w:cs="宋体" w:eastAsia="宋体" w:hint="default"/>
                <w:sz w:val="18"/>
                <w:szCs w:val="18"/>
              </w:rPr>
              <w:t>按实际缴纳流转税的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计缴城市 维护建设税</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计</w:t>
            </w:r>
          </w:p>
        </w:tc>
      </w:tr>
      <w:tr>
        <w:trPr>
          <w:trHeight w:val="391" w:hRule="exact"/>
        </w:trPr>
        <w:tc>
          <w:tcPr>
            <w:tcW w:w="3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161" w:hRule="exact"/>
        </w:trPr>
        <w:tc>
          <w:tcPr>
            <w:tcW w:w="3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163" w:hRule="exact"/>
        </w:trPr>
        <w:tc>
          <w:tcPr>
            <w:tcW w:w="3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297" w:lineRule="auto" w:before="51"/>
              <w:ind w:left="16" w:right="94"/>
              <w:jc w:val="left"/>
              <w:rPr>
                <w:rFonts w:ascii="Times New Roman" w:hAnsi="Times New Roman" w:cs="Times New Roman" w:eastAsia="Times New Roman"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计缴企业所得 税</w:t>
            </w:r>
            <w:r>
              <w:rPr>
                <w:rFonts w:ascii="Times New Roman" w:hAnsi="Times New Roman" w:cs="Times New Roman" w:eastAsia="Times New Roman" w:hint="default"/>
                <w:sz w:val="18"/>
                <w:szCs w:val="18"/>
              </w:rPr>
              <w:t>(</w:t>
            </w:r>
            <w:r>
              <w:rPr>
                <w:rFonts w:ascii="宋体" w:hAnsi="宋体" w:cs="宋体" w:eastAsia="宋体" w:hint="default"/>
                <w:sz w:val="18"/>
                <w:szCs w:val="18"/>
              </w:rPr>
              <w:t>除个别公司享受税收优惠外</w:t>
            </w:r>
            <w:r>
              <w:rPr>
                <w:rFonts w:ascii="Times New Roman" w:hAnsi="Times New Roman" w:cs="Times New Roman" w:eastAsia="Times New Roman" w:hint="default"/>
                <w:sz w:val="18"/>
                <w:szCs w:val="18"/>
              </w:rPr>
              <w:t>)</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除个别公司享受税收优惠外</w:t>
            </w:r>
            <w:r>
              <w:rPr>
                <w:rFonts w:ascii="Times New Roman" w:hAnsi="Times New Roman" w:cs="Times New Roman" w:eastAsia="Times New Roman" w:hint="default"/>
                <w:sz w:val="18"/>
                <w:szCs w:val="18"/>
              </w:rPr>
              <w:t>)</w:t>
            </w:r>
          </w:p>
        </w:tc>
      </w:tr>
      <w:tr>
        <w:trPr>
          <w:trHeight w:val="391" w:hRule="exact"/>
        </w:trPr>
        <w:tc>
          <w:tcPr>
            <w:tcW w:w="3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161" w:hRule="exact"/>
        </w:trPr>
        <w:tc>
          <w:tcPr>
            <w:tcW w:w="3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bl>
    <w:p>
      <w:pPr>
        <w:pStyle w:val="BodyText"/>
        <w:spacing w:line="357" w:lineRule="auto" w:before="49"/>
        <w:ind w:left="513" w:right="293" w:hanging="361"/>
        <w:jc w:val="left"/>
        <w:rPr>
          <w:rFonts w:ascii="Times New Roman" w:hAnsi="Times New Roman" w:cs="Times New Roman" w:eastAsia="Times New Roman" w:hint="default"/>
        </w:rPr>
      </w:pPr>
      <w:r>
        <w:rPr/>
        <w:t>各分公司、分厂执行的所得税税率 除子公司上海邦购信息科技有限公司享受软件生产企业减免税的优惠政策，</w:t>
      </w:r>
      <w:r>
        <w:rPr>
          <w:rFonts w:ascii="Times New Roman" w:hAnsi="Times New Roman" w:cs="Times New Roman" w:eastAsia="Times New Roman" w:hint="default"/>
        </w:rPr>
        <w:t>2010</w:t>
      </w:r>
      <w:r>
        <w:rPr/>
        <w:t>年及</w:t>
      </w:r>
      <w:r>
        <w:rPr>
          <w:rFonts w:ascii="Times New Roman" w:hAnsi="Times New Roman" w:cs="Times New Roman" w:eastAsia="Times New Roman" w:hint="default"/>
        </w:rPr>
        <w:t>2011</w:t>
      </w:r>
      <w:r>
        <w:rPr/>
        <w:t>年度免征企业所得税，</w:t>
      </w:r>
      <w:r>
        <w:rPr>
          <w:rFonts w:ascii="Times New Roman" w:hAnsi="Times New Roman" w:cs="Times New Roman" w:eastAsia="Times New Roman" w:hint="default"/>
        </w:rPr>
        <w:t>2012</w:t>
      </w:r>
    </w:p>
    <w:p>
      <w:pPr>
        <w:pStyle w:val="BodyText"/>
        <w:spacing w:line="215" w:lineRule="exact"/>
        <w:ind w:right="116"/>
        <w:jc w:val="left"/>
      </w:pPr>
      <w:r>
        <w:rPr/>
        <w:t>年至</w:t>
      </w:r>
      <w:r>
        <w:rPr>
          <w:rFonts w:ascii="Times New Roman" w:hAnsi="Times New Roman" w:cs="Times New Roman" w:eastAsia="Times New Roman" w:hint="default"/>
        </w:rPr>
        <w:t>2014</w:t>
      </w:r>
      <w:r>
        <w:rPr/>
        <w:t>年减征</w:t>
      </w:r>
      <w:r>
        <w:rPr>
          <w:rFonts w:ascii="Times New Roman" w:hAnsi="Times New Roman" w:cs="Times New Roman" w:eastAsia="Times New Roman" w:hint="default"/>
        </w:rPr>
        <w:t>50%</w:t>
      </w:r>
      <w:r>
        <w:rPr/>
        <w:t>税额所得税，本期所得税税率为</w:t>
      </w:r>
      <w:r>
        <w:rPr>
          <w:rFonts w:ascii="Times New Roman" w:hAnsi="Times New Roman" w:cs="Times New Roman" w:eastAsia="Times New Roman" w:hint="default"/>
        </w:rPr>
        <w:t>12.5%</w:t>
      </w:r>
      <w:r>
        <w:rPr/>
        <w:t>，其余公司按应纳税所得额的</w:t>
      </w:r>
      <w:r>
        <w:rPr>
          <w:rFonts w:ascii="Times New Roman" w:hAnsi="Times New Roman" w:cs="Times New Roman" w:eastAsia="Times New Roman" w:hint="default"/>
        </w:rPr>
        <w:t>25%</w:t>
      </w:r>
      <w:r>
        <w:rPr/>
        <w:t>计缴企业所得税。</w:t>
      </w:r>
    </w:p>
    <w:p>
      <w:pPr>
        <w:spacing w:line="240" w:lineRule="auto" w:before="2"/>
        <w:rPr>
          <w:rFonts w:ascii="宋体" w:hAnsi="宋体" w:cs="宋体" w:eastAsia="宋体" w:hint="default"/>
          <w:sz w:val="26"/>
          <w:szCs w:val="26"/>
        </w:rPr>
      </w:pPr>
    </w:p>
    <w:p>
      <w:pPr>
        <w:pStyle w:val="Heading4"/>
        <w:spacing w:line="240" w:lineRule="auto"/>
        <w:ind w:right="2094"/>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6" w:firstLine="360"/>
        <w:jc w:val="left"/>
      </w:pPr>
      <w:r>
        <w:rPr/>
        <w:t>根据财税</w:t>
      </w:r>
      <w:r>
        <w:rPr>
          <w:rFonts w:ascii="Times New Roman" w:hAnsi="Times New Roman" w:cs="Times New Roman" w:eastAsia="Times New Roman" w:hint="default"/>
        </w:rPr>
        <w:t>[2008]113</w:t>
      </w:r>
      <w:r>
        <w:rPr/>
        <w:t>号文、财监</w:t>
      </w:r>
      <w:r>
        <w:rPr>
          <w:rFonts w:ascii="Times New Roman" w:hAnsi="Times New Roman" w:cs="Times New Roman" w:eastAsia="Times New Roman" w:hint="default"/>
        </w:rPr>
        <w:t>[2008]62</w:t>
      </w:r>
      <w:r>
        <w:rPr/>
        <w:t>号文及沪国税所</w:t>
      </w:r>
      <w:r>
        <w:rPr>
          <w:rFonts w:ascii="Times New Roman" w:hAnsi="Times New Roman" w:cs="Times New Roman" w:eastAsia="Times New Roman" w:hint="default"/>
        </w:rPr>
        <w:t>[2009]21</w:t>
      </w:r>
      <w:r>
        <w:rPr/>
        <w:t>号文的规定，本公司可享受浦东新区设立的内资企业和 </w:t>
      </w:r>
      <w:r>
        <w:rPr>
          <w:spacing w:val="-2"/>
        </w:rPr>
        <w:t>非生产性外商投资企业企业所得税过渡期即征即退的优惠政策，</w:t>
      </w:r>
      <w:r>
        <w:rPr>
          <w:rFonts w:ascii="Times New Roman" w:hAnsi="Times New Roman" w:cs="Times New Roman" w:eastAsia="Times New Roman" w:hint="default"/>
          <w:spacing w:val="-2"/>
        </w:rPr>
        <w:t>2008</w:t>
      </w:r>
      <w:r>
        <w:rPr>
          <w:spacing w:val="-2"/>
        </w:rPr>
        <w:t>年度企业所得税实际适用税率为</w:t>
      </w:r>
      <w:r>
        <w:rPr>
          <w:rFonts w:ascii="Times New Roman" w:hAnsi="Times New Roman" w:cs="Times New Roman" w:eastAsia="Times New Roman" w:hint="default"/>
          <w:spacing w:val="-2"/>
        </w:rPr>
        <w:t>18%</w:t>
      </w:r>
      <w:r>
        <w:rPr>
          <w:spacing w:val="-2"/>
        </w:rPr>
        <w:t>，</w:t>
      </w:r>
      <w:r>
        <w:rPr>
          <w:rFonts w:ascii="Times New Roman" w:hAnsi="Times New Roman" w:cs="Times New Roman" w:eastAsia="Times New Roman" w:hint="default"/>
          <w:spacing w:val="-2"/>
        </w:rPr>
        <w:t>2009</w:t>
      </w:r>
      <w:r>
        <w:rPr>
          <w:spacing w:val="-2"/>
        </w:rPr>
        <w:t>年度为</w:t>
      </w:r>
      <w:r>
        <w:rPr>
          <w:rFonts w:ascii="Times New Roman" w:hAnsi="Times New Roman" w:cs="Times New Roman" w:eastAsia="Times New Roman" w:hint="default"/>
          <w:spacing w:val="-2"/>
        </w:rPr>
        <w:t>20%</w:t>
      </w:r>
      <w:r>
        <w:rPr>
          <w:spacing w:val="-2"/>
        </w:rPr>
        <w:t>，</w:t>
      </w:r>
      <w:r>
        <w:rPr>
          <w:spacing w:val="-88"/>
        </w:rPr>
        <w:t> </w:t>
      </w:r>
      <w:r>
        <w:rPr>
          <w:rFonts w:ascii="Times New Roman" w:hAnsi="Times New Roman" w:cs="Times New Roman" w:eastAsia="Times New Roman" w:hint="default"/>
        </w:rPr>
        <w:t>2010</w:t>
      </w:r>
      <w:r>
        <w:rPr/>
        <w:t>年度为</w:t>
      </w:r>
      <w:r>
        <w:rPr>
          <w:rFonts w:ascii="Times New Roman" w:hAnsi="Times New Roman" w:cs="Times New Roman" w:eastAsia="Times New Roman" w:hint="default"/>
        </w:rPr>
        <w:t>22%</w:t>
      </w:r>
      <w:r>
        <w:rPr/>
        <w:t>，</w:t>
      </w:r>
      <w:r>
        <w:rPr>
          <w:rFonts w:ascii="Times New Roman" w:hAnsi="Times New Roman" w:cs="Times New Roman" w:eastAsia="Times New Roman" w:hint="default"/>
        </w:rPr>
        <w:t>2011</w:t>
      </w:r>
      <w:r>
        <w:rPr/>
        <w:t>年度为</w:t>
      </w:r>
      <w:r>
        <w:rPr>
          <w:rFonts w:ascii="Times New Roman" w:hAnsi="Times New Roman" w:cs="Times New Roman" w:eastAsia="Times New Roman" w:hint="default"/>
        </w:rPr>
        <w:t>24%</w:t>
      </w:r>
      <w:r>
        <w:rPr/>
        <w:t>，自</w:t>
      </w:r>
      <w:r>
        <w:rPr>
          <w:rFonts w:ascii="Times New Roman" w:hAnsi="Times New Roman" w:cs="Times New Roman" w:eastAsia="Times New Roman" w:hint="default"/>
        </w:rPr>
        <w:t>2012</w:t>
      </w:r>
      <w:r>
        <w:rPr/>
        <w:t>年度开始为</w:t>
      </w:r>
      <w:r>
        <w:rPr>
          <w:rFonts w:ascii="Times New Roman" w:hAnsi="Times New Roman" w:cs="Times New Roman" w:eastAsia="Times New Roman" w:hint="default"/>
        </w:rPr>
        <w:t>25%</w:t>
      </w:r>
      <w:r>
        <w:rPr/>
        <w:t>。</w:t>
      </w:r>
    </w:p>
    <w:p>
      <w:pPr>
        <w:spacing w:line="240" w:lineRule="auto" w:before="11"/>
        <w:rPr>
          <w:rFonts w:ascii="宋体" w:hAnsi="宋体" w:cs="宋体" w:eastAsia="宋体" w:hint="default"/>
          <w:sz w:val="24"/>
          <w:szCs w:val="24"/>
        </w:rPr>
      </w:pPr>
    </w:p>
    <w:p>
      <w:pPr>
        <w:pStyle w:val="BodyText"/>
        <w:spacing w:line="300" w:lineRule="auto"/>
        <w:ind w:right="247" w:firstLine="360"/>
        <w:jc w:val="both"/>
      </w:pPr>
      <w:r>
        <w:rPr/>
        <w:t>根据《国家税务总局关于落实西部大开发有关税收政策具体实施意见的通知》</w:t>
      </w:r>
      <w:r>
        <w:rPr>
          <w:rFonts w:ascii="Times New Roman" w:hAnsi="Times New Roman" w:cs="Times New Roman" w:eastAsia="Times New Roman" w:hint="default"/>
        </w:rPr>
        <w:t>(</w:t>
      </w:r>
      <w:r>
        <w:rPr/>
        <w:t>国税发</w:t>
      </w:r>
      <w:r>
        <w:rPr>
          <w:rFonts w:ascii="Times New Roman" w:hAnsi="Times New Roman" w:cs="Times New Roman" w:eastAsia="Times New Roman" w:hint="default"/>
        </w:rPr>
        <w:t>[2002]47</w:t>
      </w:r>
      <w:r>
        <w:rPr/>
        <w:t>号</w:t>
      </w:r>
      <w:r>
        <w:rPr>
          <w:rFonts w:ascii="Times New Roman" w:hAnsi="Times New Roman" w:cs="Times New Roman" w:eastAsia="Times New Roman" w:hint="default"/>
        </w:rPr>
        <w:t>)</w:t>
      </w:r>
      <w:r>
        <w:rPr/>
        <w:t>和《云南省国家税务 局关于企业所得税审批事项管理有关问题的通知》</w:t>
      </w:r>
      <w:r>
        <w:rPr>
          <w:rFonts w:ascii="Times New Roman" w:hAnsi="Times New Roman" w:cs="Times New Roman" w:eastAsia="Times New Roman" w:hint="default"/>
        </w:rPr>
        <w:t>(</w:t>
      </w:r>
      <w:r>
        <w:rPr/>
        <w:t>云国税发</w:t>
      </w:r>
      <w:r>
        <w:rPr>
          <w:rFonts w:ascii="Times New Roman" w:hAnsi="Times New Roman" w:cs="Times New Roman" w:eastAsia="Times New Roman" w:hint="default"/>
        </w:rPr>
        <w:t>[2008]24</w:t>
      </w:r>
      <w:r>
        <w:rPr/>
        <w:t>号</w:t>
      </w:r>
      <w:r>
        <w:rPr>
          <w:rFonts w:ascii="Times New Roman" w:hAnsi="Times New Roman" w:cs="Times New Roman" w:eastAsia="Times New Roman" w:hint="default"/>
        </w:rPr>
        <w:t>)</w:t>
      </w:r>
      <w:r>
        <w:rPr/>
        <w:t>的有关规定，本公司之子公司昆明美特斯邦威服饰 有限公司享受</w:t>
      </w:r>
      <w:r>
        <w:rPr>
          <w:rFonts w:ascii="Times New Roman" w:hAnsi="Times New Roman" w:cs="Times New Roman" w:eastAsia="Times New Roman" w:hint="default"/>
        </w:rPr>
        <w:t>2012</w:t>
      </w:r>
      <w:r>
        <w:rPr/>
        <w:t>年度减按</w:t>
      </w:r>
      <w:r>
        <w:rPr>
          <w:rFonts w:ascii="Times New Roman" w:hAnsi="Times New Roman" w:cs="Times New Roman" w:eastAsia="Times New Roman" w:hint="default"/>
        </w:rPr>
        <w:t>15%</w:t>
      </w:r>
      <w:r>
        <w:rPr/>
        <w:t>税率征收企业所得税的税收优惠政策。</w:t>
      </w:r>
    </w:p>
    <w:p>
      <w:pPr>
        <w:spacing w:line="240" w:lineRule="auto" w:before="12"/>
        <w:rPr>
          <w:rFonts w:ascii="宋体" w:hAnsi="宋体" w:cs="宋体" w:eastAsia="宋体" w:hint="default"/>
          <w:sz w:val="24"/>
          <w:szCs w:val="24"/>
        </w:rPr>
      </w:pPr>
    </w:p>
    <w:p>
      <w:pPr>
        <w:pStyle w:val="BodyText"/>
        <w:spacing w:line="300" w:lineRule="auto"/>
        <w:ind w:right="116" w:firstLine="360"/>
        <w:jc w:val="left"/>
      </w:pPr>
      <w:r>
        <w:rPr/>
        <w:t>根据《财政部、国家税务总局关于企业所得税若干优惠政策的通知》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[2003]1</w:t>
      </w:r>
      <w:r>
        <w:rPr/>
        <w:t>号</w:t>
      </w:r>
      <w:r>
        <w:rPr>
          <w:rFonts w:ascii="Times New Roman" w:hAnsi="Times New Roman" w:cs="Times New Roman" w:eastAsia="Times New Roman" w:hint="default"/>
        </w:rPr>
        <w:t>)</w:t>
      </w:r>
      <w:r>
        <w:rPr/>
        <w:t>，本公司之子公司上海邦购信息科 </w:t>
      </w:r>
      <w:r>
        <w:rPr>
          <w:spacing w:val="-3"/>
        </w:rPr>
        <w:t>技有限公司享受软件生产企业减免税的优惠政策，</w:t>
      </w:r>
      <w:r>
        <w:rPr>
          <w:rFonts w:ascii="Times New Roman" w:hAnsi="Times New Roman" w:cs="Times New Roman" w:eastAsia="Times New Roman" w:hint="default"/>
          <w:spacing w:val="-3"/>
        </w:rPr>
        <w:t>2010</w:t>
      </w:r>
      <w:r>
        <w:rPr>
          <w:spacing w:val="-3"/>
        </w:rPr>
        <w:t>年及</w:t>
      </w:r>
      <w:r>
        <w:rPr>
          <w:rFonts w:ascii="Times New Roman" w:hAnsi="Times New Roman" w:cs="Times New Roman" w:eastAsia="Times New Roman" w:hint="default"/>
          <w:spacing w:val="-3"/>
        </w:rPr>
        <w:t>2011</w:t>
      </w:r>
      <w:r>
        <w:rPr>
          <w:spacing w:val="-3"/>
        </w:rPr>
        <w:t>年度免征企业所得税，</w:t>
      </w:r>
      <w:r>
        <w:rPr>
          <w:rFonts w:ascii="Times New Roman" w:hAnsi="Times New Roman" w:cs="Times New Roman" w:eastAsia="Times New Roman" w:hint="default"/>
          <w:spacing w:val="-3"/>
        </w:rPr>
        <w:t>2012</w:t>
      </w:r>
      <w:r>
        <w:rPr>
          <w:spacing w:val="-3"/>
        </w:rPr>
        <w:t>年至</w:t>
      </w:r>
      <w:r>
        <w:rPr>
          <w:rFonts w:ascii="Times New Roman" w:hAnsi="Times New Roman" w:cs="Times New Roman" w:eastAsia="Times New Roman" w:hint="default"/>
          <w:spacing w:val="-3"/>
        </w:rPr>
        <w:t>2014</w:t>
      </w:r>
      <w:r>
        <w:rPr>
          <w:spacing w:val="-3"/>
        </w:rPr>
        <w:t>年减征</w:t>
      </w:r>
      <w:r>
        <w:rPr>
          <w:rFonts w:ascii="Times New Roman" w:hAnsi="Times New Roman" w:cs="Times New Roman" w:eastAsia="Times New Roman" w:hint="default"/>
          <w:spacing w:val="-3"/>
        </w:rPr>
        <w:t>50%</w:t>
      </w:r>
      <w:r>
        <w:rPr>
          <w:spacing w:val="-3"/>
        </w:rPr>
        <w:t>税额所得税。</w:t>
      </w:r>
    </w:p>
    <w:p>
      <w:pPr>
        <w:spacing w:line="240" w:lineRule="auto" w:before="11"/>
        <w:rPr>
          <w:rFonts w:ascii="宋体" w:hAnsi="宋体" w:cs="宋体" w:eastAsia="宋体" w:hint="default"/>
          <w:sz w:val="24"/>
          <w:szCs w:val="24"/>
        </w:rPr>
      </w:pPr>
    </w:p>
    <w:p>
      <w:pPr>
        <w:pStyle w:val="BodyText"/>
        <w:spacing w:line="300" w:lineRule="auto"/>
        <w:ind w:right="211" w:firstLine="360"/>
        <w:jc w:val="both"/>
      </w:pPr>
      <w:r>
        <w:rPr>
          <w:spacing w:val="-1"/>
        </w:rPr>
        <w:t>根据《财政部、国家税务总局关于企业所得税若干优惠政策的通知》</w:t>
      </w:r>
      <w:r>
        <w:rPr>
          <w:rFonts w:ascii="Times New Roman" w:hAnsi="Times New Roman" w:cs="Times New Roman" w:eastAsia="Times New Roman" w:hint="default"/>
          <w:spacing w:val="-1"/>
        </w:rPr>
        <w:t>(</w:t>
      </w:r>
      <w:r>
        <w:rPr>
          <w:spacing w:val="-1"/>
        </w:rPr>
        <w:t>财税</w:t>
      </w:r>
      <w:r>
        <w:rPr>
          <w:rFonts w:ascii="Times New Roman" w:hAnsi="Times New Roman" w:cs="Times New Roman" w:eastAsia="Times New Roman" w:hint="default"/>
          <w:spacing w:val="-1"/>
        </w:rPr>
        <w:t>[2003]1</w:t>
      </w:r>
      <w:r>
        <w:rPr>
          <w:spacing w:val="-1"/>
        </w:rPr>
        <w:t>号</w:t>
      </w:r>
      <w:r>
        <w:rPr>
          <w:rFonts w:ascii="Times New Roman" w:hAnsi="Times New Roman" w:cs="Times New Roman" w:eastAsia="Times New Roman" w:hint="default"/>
          <w:spacing w:val="-1"/>
        </w:rPr>
        <w:t>)</w:t>
      </w:r>
      <w:r>
        <w:rPr>
          <w:spacing w:val="-1"/>
        </w:rPr>
        <w:t>，本公司之子公司上海华邦科创信</w:t>
      </w:r>
      <w:r>
        <w:rPr/>
        <w:t> </w:t>
      </w:r>
      <w:r>
        <w:rPr>
          <w:spacing w:val="-1"/>
        </w:rPr>
        <w:t>息科技有限公司享受软件生产企业减免税的优惠政策，</w:t>
      </w:r>
      <w:r>
        <w:rPr>
          <w:rFonts w:ascii="Times New Roman" w:hAnsi="Times New Roman" w:cs="Times New Roman" w:eastAsia="Times New Roman" w:hint="default"/>
          <w:spacing w:val="-1"/>
        </w:rPr>
        <w:t>2012</w:t>
      </w:r>
      <w:r>
        <w:rPr>
          <w:spacing w:val="-1"/>
        </w:rPr>
        <w:t>年及</w:t>
      </w:r>
      <w:r>
        <w:rPr>
          <w:rFonts w:ascii="Times New Roman" w:hAnsi="Times New Roman" w:cs="Times New Roman" w:eastAsia="Times New Roman" w:hint="default"/>
          <w:spacing w:val="-1"/>
        </w:rPr>
        <w:t>2013</w:t>
      </w:r>
      <w:r>
        <w:rPr>
          <w:spacing w:val="-1"/>
        </w:rPr>
        <w:t>年度免征企业所得税，</w:t>
      </w:r>
      <w:r>
        <w:rPr>
          <w:rFonts w:ascii="Times New Roman" w:hAnsi="Times New Roman" w:cs="Times New Roman" w:eastAsia="Times New Roman" w:hint="default"/>
          <w:spacing w:val="-1"/>
        </w:rPr>
        <w:t>2014</w:t>
      </w:r>
      <w:r>
        <w:rPr>
          <w:spacing w:val="-1"/>
        </w:rPr>
        <w:t>年至</w:t>
      </w:r>
      <w:r>
        <w:rPr>
          <w:rFonts w:ascii="Times New Roman" w:hAnsi="Times New Roman" w:cs="Times New Roman" w:eastAsia="Times New Roman" w:hint="default"/>
          <w:spacing w:val="-1"/>
        </w:rPr>
        <w:t>2016</w:t>
      </w:r>
      <w:r>
        <w:rPr>
          <w:spacing w:val="-1"/>
        </w:rPr>
        <w:t>年减征</w:t>
      </w:r>
      <w:r>
        <w:rPr>
          <w:rFonts w:ascii="Times New Roman" w:hAnsi="Times New Roman" w:cs="Times New Roman" w:eastAsia="Times New Roman" w:hint="default"/>
          <w:spacing w:val="-1"/>
        </w:rPr>
        <w:t>50%</w:t>
      </w:r>
      <w:r>
        <w:rPr>
          <w:spacing w:val="-1"/>
        </w:rPr>
        <w:t>税额所</w:t>
      </w:r>
      <w:r>
        <w:rPr>
          <w:spacing w:val="-85"/>
        </w:rPr>
        <w:t> </w:t>
      </w:r>
      <w:r>
        <w:rPr/>
        <w:t>得税。</w:t>
      </w:r>
    </w:p>
    <w:p>
      <w:pPr>
        <w:spacing w:after="0" w:line="300" w:lineRule="auto"/>
        <w:jc w:val="both"/>
        <w:sectPr>
          <w:footerReference w:type="default" r:id="rId20"/>
          <w:pgSz w:w="11910" w:h="16840"/>
          <w:pgMar w:footer="1186" w:header="850" w:top="1440" w:bottom="1380" w:left="980" w:right="920"/>
          <w:pgNumType w:start="79"/>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上海</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日开始实行《营业税改征增值税试点方案》。</w:t>
      </w:r>
    </w:p>
    <w:p>
      <w:pPr>
        <w:spacing w:after="0" w:line="240" w:lineRule="auto"/>
        <w:jc w:val="left"/>
        <w:sectPr>
          <w:pgSz w:w="11910" w:h="16840"/>
          <w:pgMar w:header="850" w:footer="1186" w:top="1440" w:bottom="1380" w:left="980" w:right="980"/>
        </w:sectPr>
      </w:pPr>
    </w:p>
    <w:p>
      <w:pPr>
        <w:pStyle w:val="Heading2"/>
        <w:spacing w:line="240" w:lineRule="auto" w:before="13"/>
        <w:ind w:left="140" w:right="0"/>
        <w:jc w:val="left"/>
        <w:rPr>
          <w:b w:val="0"/>
          <w:bCs w:val="0"/>
        </w:rPr>
      </w:pPr>
      <w:r>
        <w:rPr/>
        <w:pict>
          <v:group style="position:absolute;margin-left:70.559998pt;margin-top:2.185638pt;width:700.9pt;height:.1pt;mso-position-horizontal-relative:page;mso-position-vertical-relative:paragraph;z-index:-751120" coordorigin="1411,44" coordsize="14018,2">
            <v:shape style="position:absolute;left:1411;top:44;width:14018;height:2" coordorigin="1411,44" coordsize="14018,0" path="m1411,44l15429,44e" filled="false" stroked="true" strokeweight=".72pt" strokecolor="#000000">
              <v:path arrowok="t"/>
            </v:shape>
            <w10:wrap type="none"/>
          </v:group>
        </w:pict>
      </w:r>
      <w:r>
        <w:rPr/>
        <w:pict>
          <v:group style="position:absolute;margin-left:488.350006pt;margin-top:462.436005pt;width:46.8pt;height:19.75pt;mso-position-horizontal-relative:page;mso-position-vertical-relative:page;z-index:-751096" coordorigin="9767,9249" coordsize="936,395">
            <v:shape style="position:absolute;left:9767;top:9249;width:936;height:395" coordorigin="9767,9249" coordsize="936,395" path="m9767,9643l10703,9643,10703,9249,9767,9249,9767,9643xe" filled="true" fillcolor="#ffffff" stroked="false">
              <v:path arrowok="t"/>
              <v:fill type="solid"/>
            </v:shape>
            <w10:wrap type="none"/>
          </v:group>
        </w:pict>
      </w:r>
      <w:r>
        <w:rPr/>
        <w:t>六、企业合并及合并财务报表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40"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848" w:right="0"/>
        <w:jc w:val="left"/>
      </w:pPr>
      <w:r>
        <w:rPr/>
        <w:t>本年度，本公司以现金出资成立了子公司岳阳美邦、邦彤实业、及西宁美邦。</w:t>
      </w:r>
    </w:p>
    <w:p>
      <w:pPr>
        <w:spacing w:line="240" w:lineRule="auto" w:before="0"/>
        <w:rPr>
          <w:rFonts w:ascii="宋体" w:hAnsi="宋体" w:cs="宋体" w:eastAsia="宋体" w:hint="default"/>
          <w:sz w:val="18"/>
          <w:szCs w:val="18"/>
        </w:rPr>
      </w:pPr>
    </w:p>
    <w:p>
      <w:pPr>
        <w:pStyle w:val="Heading4"/>
        <w:spacing w:line="240" w:lineRule="auto" w:before="120"/>
        <w:ind w:left="140"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277"/>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006"/>
        <w:gridCol w:w="696"/>
        <w:gridCol w:w="643"/>
        <w:gridCol w:w="917"/>
        <w:gridCol w:w="992"/>
        <w:gridCol w:w="4047"/>
        <w:gridCol w:w="152"/>
        <w:gridCol w:w="839"/>
        <w:gridCol w:w="708"/>
        <w:gridCol w:w="569"/>
        <w:gridCol w:w="566"/>
        <w:gridCol w:w="566"/>
        <w:gridCol w:w="416"/>
        <w:gridCol w:w="1003"/>
        <w:gridCol w:w="1003"/>
      </w:tblGrid>
      <w:tr>
        <w:trPr>
          <w:trHeight w:val="3521" w:hRule="exact"/>
        </w:trPr>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4" w:lineRule="auto"/>
              <w:ind w:left="163" w:right="72"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4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9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4" w:lineRule="auto"/>
              <w:ind w:left="309" w:right="41" w:hanging="272"/>
              <w:jc w:val="left"/>
              <w:rPr>
                <w:rFonts w:ascii="宋体" w:hAnsi="宋体" w:cs="宋体" w:eastAsia="宋体" w:hint="default"/>
                <w:sz w:val="18"/>
                <w:szCs w:val="18"/>
              </w:rPr>
            </w:pPr>
            <w:r>
              <w:rPr>
                <w:rFonts w:ascii="宋体" w:hAnsi="宋体" w:cs="宋体" w:eastAsia="宋体" w:hint="default"/>
                <w:sz w:val="18"/>
                <w:szCs w:val="18"/>
              </w:rPr>
              <w:t>期末实际投 资额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6" w:right="79"/>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19"/>
              <w:ind w:left="98"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52" w:right="53"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表决 权比 例</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96" w:right="98"/>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13" w:right="110"/>
              <w:jc w:val="both"/>
              <w:rPr>
                <w:rFonts w:ascii="宋体" w:hAnsi="宋体" w:cs="宋体" w:eastAsia="宋体" w:hint="default"/>
                <w:sz w:val="18"/>
                <w:szCs w:val="18"/>
              </w:rPr>
            </w:pPr>
            <w:r>
              <w:rPr>
                <w:rFonts w:ascii="宋体" w:hAnsi="宋体" w:cs="宋体" w:eastAsia="宋体" w:hint="default"/>
                <w:sz w:val="18"/>
                <w:szCs w:val="18"/>
              </w:rPr>
              <w:t>少 数 股 东 权 益</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48" w:right="43"/>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7"/>
              <w:jc w:val="center"/>
              <w:rPr>
                <w:rFonts w:ascii="宋体" w:hAnsi="宋体" w:cs="宋体" w:eastAsia="宋体" w:hint="default"/>
                <w:sz w:val="18"/>
                <w:szCs w:val="18"/>
              </w:rPr>
            </w:pPr>
            <w:r>
              <w:rPr>
                <w:rFonts w:ascii="宋体" w:hAnsi="宋体" w:cs="宋体" w:eastAsia="宋体" w:hint="default"/>
                <w:sz w:val="18"/>
                <w:szCs w:val="18"/>
              </w:rPr>
              <w:t>从母公司所 有者权益冲 减子公司少 数股东分担 的本期亏损 超过少数股 东在该子公 司年初所有 者权益中所 享有份额后 的余额</w:t>
            </w:r>
          </w:p>
        </w:tc>
      </w:tr>
      <w:tr>
        <w:trPr>
          <w:trHeight w:val="1027"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上海美特斯 邦威服饰博 物馆</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63"/>
              <w:jc w:val="both"/>
              <w:rPr>
                <w:rFonts w:ascii="宋体" w:hAnsi="宋体" w:cs="宋体" w:eastAsia="宋体" w:hint="default"/>
                <w:sz w:val="18"/>
                <w:szCs w:val="18"/>
              </w:rPr>
            </w:pPr>
            <w:r>
              <w:rPr>
                <w:rFonts w:ascii="宋体" w:hAnsi="宋体" w:cs="宋体" w:eastAsia="宋体" w:hint="default"/>
                <w:sz w:val="18"/>
                <w:szCs w:val="18"/>
              </w:rPr>
              <w:t>批发零售 业非营利 性组织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600,000</w:t>
            </w:r>
          </w:p>
        </w:tc>
        <w:tc>
          <w:tcPr>
            <w:tcW w:w="4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both"/>
              <w:rPr>
                <w:rFonts w:ascii="宋体" w:hAnsi="宋体" w:cs="宋体" w:eastAsia="宋体" w:hint="default"/>
                <w:sz w:val="18"/>
                <w:szCs w:val="18"/>
              </w:rPr>
            </w:pPr>
            <w:r>
              <w:rPr>
                <w:rFonts w:ascii="宋体" w:hAnsi="宋体" w:cs="宋体" w:eastAsia="宋体" w:hint="default"/>
                <w:sz w:val="18"/>
                <w:szCs w:val="18"/>
              </w:rPr>
              <w:t>服饰展览、藏品征集、课题研究、编辑与本机构宗 旨相符合的内部馆刊、通讯以及有关信息资料、书 刊、声像资料。</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600,000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1184"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25"/>
              <w:ind w:left="23" w:right="70"/>
              <w:jc w:val="both"/>
              <w:rPr>
                <w:rFonts w:ascii="宋体" w:hAnsi="宋体" w:cs="宋体" w:eastAsia="宋体" w:hint="default"/>
                <w:sz w:val="18"/>
                <w:szCs w:val="18"/>
              </w:rPr>
            </w:pPr>
            <w:r>
              <w:rPr>
                <w:rFonts w:ascii="宋体" w:hAnsi="宋体" w:cs="宋体" w:eastAsia="宋体" w:hint="default"/>
                <w:sz w:val="18"/>
                <w:szCs w:val="18"/>
              </w:rPr>
              <w:t>哈尔滨美特 斯邦威服饰 有限公司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1" w:right="163"/>
              <w:jc w:val="left"/>
              <w:rPr>
                <w:rFonts w:ascii="宋体" w:hAnsi="宋体" w:cs="宋体" w:eastAsia="宋体" w:hint="default"/>
                <w:sz w:val="18"/>
                <w:szCs w:val="18"/>
              </w:rPr>
            </w:pPr>
            <w:r>
              <w:rPr>
                <w:rFonts w:ascii="宋体" w:hAnsi="宋体" w:cs="宋体" w:eastAsia="宋体" w:hint="default"/>
                <w:sz w:val="18"/>
                <w:szCs w:val="18"/>
              </w:rPr>
              <w:t>批发零售 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w:t>
            </w:r>
          </w:p>
        </w:tc>
        <w:tc>
          <w:tcPr>
            <w:tcW w:w="4047"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125"/>
              <w:ind w:left="23" w:right="45"/>
              <w:jc w:val="left"/>
              <w:rPr>
                <w:rFonts w:ascii="宋体" w:hAnsi="宋体" w:cs="宋体" w:eastAsia="宋体" w:hint="default"/>
                <w:sz w:val="18"/>
                <w:szCs w:val="18"/>
              </w:rPr>
            </w:pPr>
            <w:r>
              <w:rPr>
                <w:rFonts w:ascii="宋体" w:hAnsi="宋体" w:cs="宋体" w:eastAsia="宋体" w:hint="default"/>
                <w:sz w:val="18"/>
                <w:szCs w:val="18"/>
              </w:rPr>
              <w:t>购销：服装鞋帽、针纺织品、皮革、箱包、工艺美 </w:t>
            </w:r>
            <w:r>
              <w:rPr>
                <w:rFonts w:ascii="宋体" w:hAnsi="宋体" w:cs="宋体" w:eastAsia="宋体" w:hint="default"/>
                <w:spacing w:val="-3"/>
                <w:sz w:val="18"/>
                <w:szCs w:val="18"/>
              </w:rPr>
              <w:t>术品，玩具、家具、五金家电、日用百货、纸制品</w:t>
            </w:r>
            <w:r>
              <w:rPr>
                <w:rFonts w:ascii="宋体" w:hAnsi="宋体" w:cs="宋体" w:eastAsia="宋体" w:hint="default"/>
                <w:sz w:val="18"/>
                <w:szCs w:val="18"/>
              </w:rPr>
              <w:t> 电子设备。</w:t>
            </w:r>
          </w:p>
        </w:tc>
        <w:tc>
          <w:tcPr>
            <w:tcW w:w="152" w:type="dxa"/>
            <w:tcBorders>
              <w:top w:val="single" w:sz="4" w:space="0" w:color="000000"/>
              <w:left w:val="single" w:sz="9"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83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9,500,000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温州美特斯</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控股子</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1"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50,000,000</w:t>
            </w:r>
          </w:p>
        </w:tc>
        <w:tc>
          <w:tcPr>
            <w:tcW w:w="4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7"/>
              <w:jc w:val="center"/>
              <w:rPr>
                <w:rFonts w:ascii="宋体" w:hAnsi="宋体" w:cs="宋体" w:eastAsia="宋体" w:hint="default"/>
                <w:sz w:val="18"/>
                <w:szCs w:val="18"/>
              </w:rPr>
            </w:pPr>
            <w:r>
              <w:rPr>
                <w:rFonts w:ascii="宋体" w:hAnsi="宋体" w:cs="宋体" w:eastAsia="宋体" w:hint="default"/>
                <w:sz w:val="18"/>
                <w:szCs w:val="18"/>
              </w:rPr>
              <w:t>服装、鞋、针织品、皮革制品、羽绒制品、箱包、</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45,000,000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1"/>
          <w:footerReference w:type="default" r:id="rId22"/>
          <w:pgSz w:w="16840" w:h="11910" w:orient="landscape"/>
          <w:pgMar w:header="850" w:footer="1186" w:top="1440" w:bottom="1380" w:left="1300" w:right="1160"/>
          <w:pgNumType w:start="81"/>
        </w:sectPr>
      </w:pPr>
    </w:p>
    <w:tbl>
      <w:tblPr>
        <w:tblW w:w="0" w:type="auto"/>
        <w:jc w:val="left"/>
        <w:tblInd w:w="115" w:type="dxa"/>
        <w:tblLayout w:type="fixed"/>
        <w:tblCellMar>
          <w:top w:w="0" w:type="dxa"/>
          <w:left w:w="0" w:type="dxa"/>
          <w:bottom w:w="0" w:type="dxa"/>
          <w:right w:w="0" w:type="dxa"/>
        </w:tblCellMar>
        <w:tblLook w:val="01E0"/>
      </w:tblPr>
      <w:tblGrid>
        <w:gridCol w:w="1006"/>
        <w:gridCol w:w="696"/>
        <w:gridCol w:w="643"/>
        <w:gridCol w:w="917"/>
        <w:gridCol w:w="992"/>
        <w:gridCol w:w="4047"/>
        <w:gridCol w:w="107"/>
        <w:gridCol w:w="885"/>
        <w:gridCol w:w="708"/>
        <w:gridCol w:w="569"/>
        <w:gridCol w:w="566"/>
        <w:gridCol w:w="566"/>
        <w:gridCol w:w="416"/>
        <w:gridCol w:w="1003"/>
        <w:gridCol w:w="1003"/>
      </w:tblGrid>
      <w:tr>
        <w:trPr>
          <w:trHeight w:val="686" w:hRule="exact"/>
        </w:trPr>
        <w:tc>
          <w:tcPr>
            <w:tcW w:w="1006"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10"/>
              <w:ind w:left="23" w:right="70"/>
              <w:jc w:val="left"/>
              <w:rPr>
                <w:rFonts w:ascii="宋体" w:hAnsi="宋体" w:cs="宋体" w:eastAsia="宋体" w:hint="default"/>
                <w:sz w:val="18"/>
                <w:szCs w:val="18"/>
              </w:rPr>
            </w:pPr>
            <w:r>
              <w:rPr>
                <w:rFonts w:ascii="宋体" w:hAnsi="宋体" w:cs="宋体" w:eastAsia="宋体" w:hint="default"/>
                <w:sz w:val="18"/>
                <w:szCs w:val="18"/>
              </w:rPr>
              <w:t>邦威服饰有 限公司</w:t>
            </w:r>
          </w:p>
        </w:tc>
        <w:tc>
          <w:tcPr>
            <w:tcW w:w="6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43" w:type="dxa"/>
            <w:tcBorders>
              <w:top w:val="single" w:sz="10" w:space="0" w:color="000000"/>
              <w:left w:val="single" w:sz="4" w:space="0" w:color="000000"/>
              <w:bottom w:val="single" w:sz="4" w:space="0" w:color="000000"/>
              <w:right w:val="single" w:sz="4" w:space="0" w:color="000000"/>
            </w:tcBorders>
          </w:tcPr>
          <w:p>
            <w:pPr/>
          </w:p>
        </w:tc>
        <w:tc>
          <w:tcPr>
            <w:tcW w:w="91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业</w:t>
            </w:r>
          </w:p>
        </w:tc>
        <w:tc>
          <w:tcPr>
            <w:tcW w:w="992" w:type="dxa"/>
            <w:tcBorders>
              <w:top w:val="single" w:sz="10" w:space="0" w:color="000000"/>
              <w:left w:val="single" w:sz="4" w:space="0" w:color="000000"/>
              <w:bottom w:val="single" w:sz="4" w:space="0" w:color="000000"/>
              <w:right w:val="single" w:sz="4" w:space="0" w:color="000000"/>
            </w:tcBorders>
          </w:tcPr>
          <w:p>
            <w:pPr/>
          </w:p>
        </w:tc>
        <w:tc>
          <w:tcPr>
            <w:tcW w:w="4047"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10"/>
              <w:ind w:left="23" w:right="51"/>
              <w:jc w:val="left"/>
              <w:rPr>
                <w:rFonts w:ascii="宋体" w:hAnsi="宋体" w:cs="宋体" w:eastAsia="宋体" w:hint="default"/>
                <w:sz w:val="18"/>
                <w:szCs w:val="18"/>
              </w:rPr>
            </w:pPr>
            <w:r>
              <w:rPr>
                <w:rFonts w:ascii="宋体" w:hAnsi="宋体" w:cs="宋体" w:eastAsia="宋体" w:hint="default"/>
                <w:sz w:val="18"/>
                <w:szCs w:val="18"/>
              </w:rPr>
              <w:t>玩具、饰品、工艺品、生活日用品、木制品、电子 </w:t>
            </w:r>
            <w:r>
              <w:rPr>
                <w:rFonts w:ascii="宋体" w:hAnsi="宋体" w:cs="宋体" w:eastAsia="宋体" w:hint="default"/>
                <w:spacing w:val="-3"/>
                <w:sz w:val="18"/>
                <w:szCs w:val="18"/>
              </w:rPr>
              <w:t>设备、五金交电、礼品、建筑材料、</w:t>
            </w:r>
          </w:p>
        </w:tc>
        <w:tc>
          <w:tcPr>
            <w:tcW w:w="991" w:type="dxa"/>
            <w:gridSpan w:val="2"/>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569"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416" w:type="dxa"/>
            <w:tcBorders>
              <w:top w:val="single" w:sz="10" w:space="0" w:color="000000"/>
              <w:left w:val="single" w:sz="4" w:space="0" w:color="000000"/>
              <w:bottom w:val="single" w:sz="4" w:space="0" w:color="000000"/>
              <w:right w:val="single" w:sz="4" w:space="0" w:color="000000"/>
            </w:tcBorders>
          </w:tcPr>
          <w:p>
            <w:pPr/>
          </w:p>
        </w:tc>
        <w:tc>
          <w:tcPr>
            <w:tcW w:w="1003" w:type="dxa"/>
            <w:tcBorders>
              <w:top w:val="single" w:sz="10" w:space="0" w:color="000000"/>
              <w:left w:val="single" w:sz="4" w:space="0" w:color="000000"/>
              <w:bottom w:val="single" w:sz="4" w:space="0" w:color="000000"/>
              <w:right w:val="single" w:sz="4" w:space="0" w:color="000000"/>
            </w:tcBorders>
          </w:tcPr>
          <w:p>
            <w:pPr/>
          </w:p>
        </w:tc>
        <w:tc>
          <w:tcPr>
            <w:tcW w:w="1003" w:type="dxa"/>
            <w:tcBorders>
              <w:top w:val="single" w:sz="10" w:space="0" w:color="000000"/>
              <w:left w:val="single" w:sz="4" w:space="0" w:color="000000"/>
              <w:bottom w:val="single" w:sz="4" w:space="0" w:color="000000"/>
              <w:right w:val="single" w:sz="4" w:space="0" w:color="000000"/>
            </w:tcBorders>
          </w:tcPr>
          <w:p>
            <w:pPr/>
          </w:p>
        </w:tc>
      </w:tr>
      <w:tr>
        <w:trPr>
          <w:trHeight w:val="1027"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70"/>
              <w:jc w:val="both"/>
              <w:rPr>
                <w:rFonts w:ascii="宋体" w:hAnsi="宋体" w:cs="宋体" w:eastAsia="宋体" w:hint="default"/>
                <w:sz w:val="18"/>
                <w:szCs w:val="18"/>
              </w:rPr>
            </w:pPr>
            <w:r>
              <w:rPr>
                <w:rFonts w:ascii="宋体" w:hAnsi="宋体" w:cs="宋体" w:eastAsia="宋体" w:hint="default"/>
                <w:sz w:val="18"/>
                <w:szCs w:val="18"/>
              </w:rPr>
              <w:t>武汉美特斯 邦威服饰有 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1"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1" w:right="163"/>
              <w:jc w:val="left"/>
              <w:rPr>
                <w:rFonts w:ascii="宋体" w:hAnsi="宋体" w:cs="宋体" w:eastAsia="宋体" w:hint="default"/>
                <w:sz w:val="18"/>
                <w:szCs w:val="18"/>
              </w:rPr>
            </w:pPr>
            <w:r>
              <w:rPr>
                <w:rFonts w:ascii="宋体" w:hAnsi="宋体" w:cs="宋体" w:eastAsia="宋体" w:hint="default"/>
                <w:sz w:val="18"/>
                <w:szCs w:val="18"/>
              </w:rPr>
              <w:t>批发零售 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w:t>
            </w:r>
          </w:p>
        </w:tc>
        <w:tc>
          <w:tcPr>
            <w:tcW w:w="4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51"/>
              <w:jc w:val="left"/>
              <w:rPr>
                <w:rFonts w:ascii="宋体" w:hAnsi="宋体" w:cs="宋体" w:eastAsia="宋体" w:hint="default"/>
                <w:sz w:val="18"/>
                <w:szCs w:val="18"/>
              </w:rPr>
            </w:pPr>
            <w:r>
              <w:rPr>
                <w:rFonts w:ascii="宋体" w:hAnsi="宋体" w:cs="宋体" w:eastAsia="宋体" w:hint="default"/>
                <w:spacing w:val="-3"/>
                <w:sz w:val="18"/>
                <w:szCs w:val="18"/>
              </w:rPr>
              <w:t>服装、鞋帽、针织品、皮革制品、羽绒制品、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玩具、饰品、工艺品、百货、木制品、电子设备、 五金交电、建筑材料、纸张销售。</w:t>
            </w:r>
          </w:p>
        </w:tc>
        <w:tc>
          <w:tcPr>
            <w:tcW w:w="107" w:type="dxa"/>
            <w:tcBorders>
              <w:top w:val="single" w:sz="4" w:space="0" w:color="000000"/>
              <w:left w:val="single" w:sz="4" w:space="0" w:color="000000"/>
              <w:bottom w:val="single" w:sz="4" w:space="0" w:color="000000"/>
              <w:right w:val="nil" w:sz="6" w:space="0" w:color="auto"/>
            </w:tcBorders>
          </w:tcPr>
          <w:p>
            <w:pPr/>
          </w:p>
        </w:tc>
        <w:tc>
          <w:tcPr>
            <w:tcW w:w="88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4"/>
              <w:ind w:left="23" w:right="70"/>
              <w:jc w:val="both"/>
              <w:rPr>
                <w:rFonts w:ascii="宋体" w:hAnsi="宋体" w:cs="宋体" w:eastAsia="宋体" w:hint="default"/>
                <w:sz w:val="18"/>
                <w:szCs w:val="18"/>
              </w:rPr>
            </w:pPr>
            <w:r>
              <w:rPr>
                <w:rFonts w:ascii="宋体" w:hAnsi="宋体" w:cs="宋体" w:eastAsia="宋体" w:hint="default"/>
                <w:sz w:val="18"/>
                <w:szCs w:val="18"/>
              </w:rPr>
              <w:t>广西美特斯 邦威服饰有 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1"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1" w:right="163"/>
              <w:jc w:val="left"/>
              <w:rPr>
                <w:rFonts w:ascii="宋体" w:hAnsi="宋体" w:cs="宋体" w:eastAsia="宋体" w:hint="default"/>
                <w:sz w:val="18"/>
                <w:szCs w:val="18"/>
              </w:rPr>
            </w:pPr>
            <w:r>
              <w:rPr>
                <w:rFonts w:ascii="宋体" w:hAnsi="宋体" w:cs="宋体" w:eastAsia="宋体" w:hint="default"/>
                <w:sz w:val="18"/>
                <w:szCs w:val="18"/>
              </w:rPr>
              <w:t>批发零售 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w:t>
            </w:r>
          </w:p>
        </w:tc>
        <w:tc>
          <w:tcPr>
            <w:tcW w:w="4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4"/>
              <w:ind w:left="23" w:right="3"/>
              <w:jc w:val="both"/>
              <w:rPr>
                <w:rFonts w:ascii="宋体" w:hAnsi="宋体" w:cs="宋体" w:eastAsia="宋体" w:hint="default"/>
                <w:sz w:val="18"/>
                <w:szCs w:val="18"/>
              </w:rPr>
            </w:pPr>
            <w:r>
              <w:rPr>
                <w:rFonts w:ascii="宋体" w:hAnsi="宋体" w:cs="宋体" w:eastAsia="宋体" w:hint="default"/>
                <w:sz w:val="18"/>
                <w:szCs w:val="18"/>
              </w:rPr>
              <w:t>服装制造；服装、鞋、针织品、皮革制品、羽绒制 品、箱包、玩具、饰品、工艺品、日用百货、电子 设备、五金交电、建筑材料、纸制品</w:t>
            </w:r>
            <w:r>
              <w:rPr>
                <w:rFonts w:ascii="Times New Roman" w:hAnsi="Times New Roman" w:cs="Times New Roman" w:eastAsia="Times New Roman" w:hint="default"/>
                <w:sz w:val="18"/>
                <w:szCs w:val="18"/>
              </w:rPr>
              <w:t>\</w:t>
            </w:r>
            <w:r>
              <w:rPr>
                <w:rFonts w:ascii="宋体" w:hAnsi="宋体" w:cs="宋体" w:eastAsia="宋体" w:hint="default"/>
                <w:sz w:val="18"/>
                <w:szCs w:val="18"/>
              </w:rPr>
              <w:t>的购销代理。</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9,500,000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1006" w:type="dxa"/>
            <w:tcBorders>
              <w:top w:val="single" w:sz="4" w:space="0" w:color="000000"/>
              <w:left w:val="single" w:sz="4" w:space="0" w:color="000000"/>
              <w:bottom w:val="nil" w:sz="6" w:space="0" w:color="auto"/>
              <w:right w:val="single" w:sz="4" w:space="0" w:color="000000"/>
            </w:tcBorders>
          </w:tcPr>
          <w:p>
            <w:pPr/>
          </w:p>
        </w:tc>
        <w:tc>
          <w:tcPr>
            <w:tcW w:w="696" w:type="dxa"/>
            <w:tcBorders>
              <w:top w:val="single" w:sz="4" w:space="0" w:color="000000"/>
              <w:left w:val="single" w:sz="4" w:space="0" w:color="000000"/>
              <w:bottom w:val="nil" w:sz="6" w:space="0" w:color="auto"/>
              <w:right w:val="single" w:sz="4" w:space="0" w:color="000000"/>
            </w:tcBorders>
          </w:tcPr>
          <w:p>
            <w:pPr/>
          </w:p>
        </w:tc>
        <w:tc>
          <w:tcPr>
            <w:tcW w:w="643" w:type="dxa"/>
            <w:tcBorders>
              <w:top w:val="single" w:sz="4" w:space="0" w:color="000000"/>
              <w:left w:val="single" w:sz="4" w:space="0" w:color="000000"/>
              <w:bottom w:val="nil" w:sz="6" w:space="0" w:color="auto"/>
              <w:right w:val="single" w:sz="4" w:space="0" w:color="000000"/>
            </w:tcBorders>
          </w:tcPr>
          <w:p>
            <w:pPr/>
          </w:p>
        </w:tc>
        <w:tc>
          <w:tcPr>
            <w:tcW w:w="917"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0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服装、鞋、针织品、皮革制品、羽绒制品、箱包、</w:t>
            </w:r>
          </w:p>
        </w:tc>
        <w:tc>
          <w:tcPr>
            <w:tcW w:w="107" w:type="dxa"/>
            <w:vMerge w:val="restart"/>
            <w:tcBorders>
              <w:top w:val="single" w:sz="4" w:space="0" w:color="000000"/>
              <w:left w:val="single" w:sz="4" w:space="0" w:color="000000"/>
              <w:right w:val="nil" w:sz="6" w:space="0" w:color="auto"/>
            </w:tcBorders>
          </w:tcPr>
          <w:p>
            <w:pPr/>
          </w:p>
        </w:tc>
        <w:tc>
          <w:tcPr>
            <w:tcW w:w="885" w:type="dxa"/>
            <w:tcBorders>
              <w:top w:val="single" w:sz="4" w:space="0" w:color="000000"/>
              <w:left w:val="nil" w:sz="6" w:space="0" w:color="auto"/>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16" w:type="dxa"/>
            <w:vMerge w:val="restart"/>
            <w:tcBorders>
              <w:top w:val="single" w:sz="4" w:space="0" w:color="000000"/>
              <w:left w:val="single" w:sz="4" w:space="0" w:color="000000"/>
              <w:right w:val="single" w:sz="4" w:space="0" w:color="000000"/>
            </w:tcBorders>
          </w:tcPr>
          <w:p>
            <w:pPr/>
          </w:p>
        </w:tc>
        <w:tc>
          <w:tcPr>
            <w:tcW w:w="1003" w:type="dxa"/>
            <w:vMerge w:val="restart"/>
            <w:tcBorders>
              <w:top w:val="single" w:sz="4" w:space="0" w:color="000000"/>
              <w:left w:val="single" w:sz="4" w:space="0" w:color="000000"/>
              <w:right w:val="single" w:sz="4" w:space="0" w:color="000000"/>
            </w:tcBorders>
          </w:tcPr>
          <w:p>
            <w:pPr/>
          </w:p>
        </w:tc>
        <w:tc>
          <w:tcPr>
            <w:tcW w:w="1003" w:type="dxa"/>
            <w:vMerge w:val="restart"/>
            <w:tcBorders>
              <w:top w:val="single" w:sz="4" w:space="0" w:color="000000"/>
              <w:left w:val="single" w:sz="4" w:space="0" w:color="000000"/>
              <w:right w:val="single" w:sz="4" w:space="0" w:color="000000"/>
            </w:tcBorders>
          </w:tcPr>
          <w:p>
            <w:pPr/>
          </w:p>
        </w:tc>
      </w:tr>
      <w:tr>
        <w:trPr>
          <w:trHeight w:val="941" w:hRule="exact"/>
        </w:trPr>
        <w:tc>
          <w:tcPr>
            <w:tcW w:w="100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70"/>
              <w:jc w:val="both"/>
              <w:rPr>
                <w:rFonts w:ascii="宋体" w:hAnsi="宋体" w:cs="宋体" w:eastAsia="宋体" w:hint="default"/>
                <w:sz w:val="18"/>
                <w:szCs w:val="18"/>
              </w:rPr>
            </w:pPr>
            <w:r>
              <w:rPr>
                <w:rFonts w:ascii="宋体" w:hAnsi="宋体" w:cs="宋体" w:eastAsia="宋体" w:hint="default"/>
                <w:sz w:val="18"/>
                <w:szCs w:val="18"/>
              </w:rPr>
              <w:t>长春美特斯 邦威服饰有 限公司</w:t>
            </w:r>
          </w:p>
        </w:tc>
        <w:tc>
          <w:tcPr>
            <w:tcW w:w="696"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917"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1" w:right="163"/>
              <w:jc w:val="left"/>
              <w:rPr>
                <w:rFonts w:ascii="宋体" w:hAnsi="宋体" w:cs="宋体" w:eastAsia="宋体" w:hint="default"/>
                <w:sz w:val="18"/>
                <w:szCs w:val="18"/>
              </w:rPr>
            </w:pPr>
            <w:r>
              <w:rPr>
                <w:rFonts w:ascii="宋体" w:hAnsi="宋体" w:cs="宋体" w:eastAsia="宋体" w:hint="default"/>
                <w:sz w:val="18"/>
                <w:szCs w:val="18"/>
              </w:rPr>
              <w:t>批发零售 业</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1" w:right="0"/>
              <w:jc w:val="left"/>
              <w:rPr>
                <w:rFonts w:ascii="Times New Roman" w:hAnsi="Times New Roman" w:cs="Times New Roman" w:eastAsia="Times New Roman" w:hint="default"/>
                <w:sz w:val="18"/>
                <w:szCs w:val="18"/>
              </w:rPr>
            </w:pPr>
            <w:r>
              <w:rPr>
                <w:rFonts w:ascii="Times New Roman"/>
                <w:sz w:val="18"/>
              </w:rPr>
              <w:t>10,000,000</w:t>
            </w:r>
          </w:p>
        </w:tc>
        <w:tc>
          <w:tcPr>
            <w:tcW w:w="404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51"/>
              <w:jc w:val="both"/>
              <w:rPr>
                <w:rFonts w:ascii="Times New Roman" w:hAnsi="Times New Roman" w:cs="Times New Roman" w:eastAsia="Times New Roman" w:hint="default"/>
                <w:sz w:val="18"/>
                <w:szCs w:val="18"/>
              </w:rPr>
            </w:pPr>
            <w:r>
              <w:rPr>
                <w:rFonts w:ascii="宋体" w:hAnsi="宋体" w:cs="宋体" w:eastAsia="宋体" w:hint="default"/>
                <w:sz w:val="18"/>
                <w:szCs w:val="18"/>
              </w:rPr>
              <w:t>玩具、饰品、工艺美术品、百货、木制品、电子设 备、五金、交电、建筑材料、纸制品、手表、数码 产品、眼镜、日用品</w:t>
            </w:r>
            <w:r>
              <w:rPr>
                <w:rFonts w:ascii="Times New Roman" w:hAnsi="Times New Roman" w:cs="Times New Roman" w:eastAsia="Times New Roman" w:hint="default"/>
                <w:sz w:val="18"/>
                <w:szCs w:val="18"/>
              </w:rPr>
              <w:t>(</w:t>
            </w:r>
            <w:r>
              <w:rPr>
                <w:rFonts w:ascii="宋体" w:hAnsi="宋体" w:cs="宋体" w:eastAsia="宋体" w:hint="default"/>
                <w:sz w:val="18"/>
                <w:szCs w:val="18"/>
              </w:rPr>
              <w:t>不含超薄塑料袋</w:t>
            </w:r>
            <w:r>
              <w:rPr>
                <w:rFonts w:ascii="Times New Roman" w:hAnsi="Times New Roman" w:cs="Times New Roman" w:eastAsia="Times New Roman" w:hint="default"/>
                <w:sz w:val="18"/>
                <w:szCs w:val="18"/>
              </w:rPr>
              <w:t>)</w:t>
            </w:r>
          </w:p>
        </w:tc>
        <w:tc>
          <w:tcPr>
            <w:tcW w:w="107" w:type="dxa"/>
            <w:vMerge/>
            <w:tcBorders>
              <w:left w:val="single" w:sz="4" w:space="0" w:color="000000"/>
              <w:right w:val="nil" w:sz="6" w:space="0" w:color="auto"/>
            </w:tcBorders>
          </w:tcPr>
          <w:p>
            <w:pPr/>
          </w:p>
        </w:tc>
        <w:tc>
          <w:tcPr>
            <w:tcW w:w="885"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9,500,000</w:t>
            </w:r>
          </w:p>
        </w:tc>
        <w:tc>
          <w:tcPr>
            <w:tcW w:w="708" w:type="dxa"/>
            <w:vMerge/>
            <w:tcBorders>
              <w:left w:val="single" w:sz="4" w:space="0" w:color="000000"/>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6"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355" w:hRule="exact"/>
        </w:trPr>
        <w:tc>
          <w:tcPr>
            <w:tcW w:w="1006" w:type="dxa"/>
            <w:tcBorders>
              <w:top w:val="nil" w:sz="6" w:space="0" w:color="auto"/>
              <w:left w:val="single" w:sz="4" w:space="0" w:color="000000"/>
              <w:bottom w:val="single" w:sz="4" w:space="0" w:color="000000"/>
              <w:right w:val="single" w:sz="4" w:space="0" w:color="000000"/>
            </w:tcBorders>
          </w:tcPr>
          <w:p>
            <w:pPr/>
          </w:p>
        </w:tc>
        <w:tc>
          <w:tcPr>
            <w:tcW w:w="696" w:type="dxa"/>
            <w:tcBorders>
              <w:top w:val="nil" w:sz="6" w:space="0" w:color="auto"/>
              <w:left w:val="single" w:sz="4" w:space="0" w:color="000000"/>
              <w:bottom w:val="single" w:sz="4" w:space="0" w:color="000000"/>
              <w:right w:val="single" w:sz="4" w:space="0" w:color="000000"/>
            </w:tcBorders>
          </w:tcPr>
          <w:p>
            <w:pPr/>
          </w:p>
        </w:tc>
        <w:tc>
          <w:tcPr>
            <w:tcW w:w="643" w:type="dxa"/>
            <w:tcBorders>
              <w:top w:val="nil" w:sz="6" w:space="0" w:color="auto"/>
              <w:left w:val="single" w:sz="4" w:space="0" w:color="000000"/>
              <w:bottom w:val="single" w:sz="4" w:space="0" w:color="000000"/>
              <w:right w:val="single" w:sz="4" w:space="0" w:color="000000"/>
            </w:tcBorders>
          </w:tcPr>
          <w:p>
            <w:pPr/>
          </w:p>
        </w:tc>
        <w:tc>
          <w:tcPr>
            <w:tcW w:w="917"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04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健身器材等</w:t>
            </w:r>
          </w:p>
        </w:tc>
        <w:tc>
          <w:tcPr>
            <w:tcW w:w="107" w:type="dxa"/>
            <w:vMerge/>
            <w:tcBorders>
              <w:left w:val="single" w:sz="4" w:space="0" w:color="000000"/>
              <w:bottom w:val="single" w:sz="4" w:space="0" w:color="000000"/>
              <w:right w:val="nil" w:sz="6" w:space="0" w:color="auto"/>
            </w:tcBorders>
          </w:tcPr>
          <w:p>
            <w:pPr/>
          </w:p>
        </w:tc>
        <w:tc>
          <w:tcPr>
            <w:tcW w:w="885" w:type="dxa"/>
            <w:tcBorders>
              <w:top w:val="nil" w:sz="6" w:space="0" w:color="auto"/>
              <w:left w:val="nil" w:sz="6" w:space="0" w:color="auto"/>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16"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1025"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70"/>
              <w:jc w:val="both"/>
              <w:rPr>
                <w:rFonts w:ascii="宋体" w:hAnsi="宋体" w:cs="宋体" w:eastAsia="宋体" w:hint="default"/>
                <w:sz w:val="18"/>
                <w:szCs w:val="18"/>
              </w:rPr>
            </w:pPr>
            <w:r>
              <w:rPr>
                <w:rFonts w:ascii="宋体" w:hAnsi="宋体" w:cs="宋体" w:eastAsia="宋体" w:hint="default"/>
                <w:sz w:val="18"/>
                <w:szCs w:val="18"/>
              </w:rPr>
              <w:t>兰州美特斯 邦威服饰有 限责任公司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1"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4" w:lineRule="auto"/>
              <w:ind w:left="21" w:right="163"/>
              <w:jc w:val="left"/>
              <w:rPr>
                <w:rFonts w:ascii="宋体" w:hAnsi="宋体" w:cs="宋体" w:eastAsia="宋体" w:hint="default"/>
                <w:sz w:val="18"/>
                <w:szCs w:val="18"/>
              </w:rPr>
            </w:pPr>
            <w:r>
              <w:rPr>
                <w:rFonts w:ascii="宋体" w:hAnsi="宋体" w:cs="宋体" w:eastAsia="宋体" w:hint="default"/>
                <w:sz w:val="18"/>
                <w:szCs w:val="18"/>
              </w:rPr>
              <w:t>批发零售 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5,000,000</w:t>
            </w:r>
          </w:p>
        </w:tc>
        <w:tc>
          <w:tcPr>
            <w:tcW w:w="4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51"/>
              <w:jc w:val="both"/>
              <w:rPr>
                <w:rFonts w:ascii="宋体" w:hAnsi="宋体" w:cs="宋体" w:eastAsia="宋体" w:hint="default"/>
                <w:sz w:val="18"/>
                <w:szCs w:val="18"/>
              </w:rPr>
            </w:pPr>
            <w:r>
              <w:rPr>
                <w:rFonts w:ascii="宋体" w:hAnsi="宋体" w:cs="宋体" w:eastAsia="宋体" w:hint="default"/>
                <w:sz w:val="18"/>
                <w:szCs w:val="18"/>
              </w:rPr>
              <w:t>服装、鞋、针织品、皮革制品、羽绒制品、箱包、 玩具、饰品、工艺美术品、百货、木制品、电子设 备、五金交电、建筑材料、纸制品的批发和零售</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4,750,000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70"/>
              <w:jc w:val="both"/>
              <w:rPr>
                <w:rFonts w:ascii="宋体" w:hAnsi="宋体" w:cs="宋体" w:eastAsia="宋体" w:hint="default"/>
                <w:sz w:val="18"/>
                <w:szCs w:val="18"/>
              </w:rPr>
            </w:pPr>
            <w:r>
              <w:rPr>
                <w:rFonts w:ascii="宋体" w:hAnsi="宋体" w:cs="宋体" w:eastAsia="宋体" w:hint="default"/>
                <w:sz w:val="18"/>
                <w:szCs w:val="18"/>
              </w:rPr>
              <w:t>深圳美特斯 邦威服饰有 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1" w:right="163"/>
              <w:jc w:val="left"/>
              <w:rPr>
                <w:rFonts w:ascii="宋体" w:hAnsi="宋体" w:cs="宋体" w:eastAsia="宋体" w:hint="default"/>
                <w:sz w:val="18"/>
                <w:szCs w:val="18"/>
              </w:rPr>
            </w:pPr>
            <w:r>
              <w:rPr>
                <w:rFonts w:ascii="宋体" w:hAnsi="宋体" w:cs="宋体" w:eastAsia="宋体" w:hint="default"/>
                <w:sz w:val="18"/>
                <w:szCs w:val="18"/>
              </w:rPr>
              <w:t>批发零售 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w:t>
            </w:r>
          </w:p>
        </w:tc>
        <w:tc>
          <w:tcPr>
            <w:tcW w:w="4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51"/>
              <w:jc w:val="left"/>
              <w:rPr>
                <w:rFonts w:ascii="宋体" w:hAnsi="宋体" w:cs="宋体" w:eastAsia="宋体" w:hint="default"/>
                <w:sz w:val="18"/>
                <w:szCs w:val="18"/>
              </w:rPr>
            </w:pPr>
            <w:r>
              <w:rPr>
                <w:rFonts w:ascii="宋体" w:hAnsi="宋体" w:cs="宋体" w:eastAsia="宋体" w:hint="default"/>
                <w:sz w:val="18"/>
                <w:szCs w:val="18"/>
              </w:rPr>
              <w:t>百货、针纺织品、工艺美术品、香水、手表、电子 </w:t>
            </w:r>
            <w:r>
              <w:rPr>
                <w:rFonts w:ascii="宋体" w:hAnsi="宋体" w:cs="宋体" w:eastAsia="宋体" w:hint="default"/>
                <w:spacing w:val="-3"/>
                <w:sz w:val="18"/>
                <w:szCs w:val="18"/>
              </w:rPr>
              <w:t>产品、玩具公仔、内衣、数码产品、眼镜、日用品</w:t>
            </w:r>
            <w:r>
              <w:rPr>
                <w:rFonts w:ascii="宋体" w:hAnsi="宋体" w:cs="宋体" w:eastAsia="宋体" w:hint="default"/>
                <w:sz w:val="18"/>
                <w:szCs w:val="18"/>
              </w:rPr>
              <w:t> </w:t>
            </w:r>
            <w:r>
              <w:rPr>
                <w:rFonts w:ascii="宋体" w:hAnsi="宋体" w:cs="宋体" w:eastAsia="宋体" w:hint="default"/>
                <w:spacing w:val="-4"/>
                <w:sz w:val="18"/>
                <w:szCs w:val="18"/>
              </w:rPr>
              <w:t>床上用品、毛巾、文具、拉杆箱、</w:t>
            </w:r>
          </w:p>
        </w:tc>
        <w:tc>
          <w:tcPr>
            <w:tcW w:w="10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3" w:right="70"/>
              <w:jc w:val="both"/>
              <w:rPr>
                <w:rFonts w:ascii="宋体" w:hAnsi="宋体" w:cs="宋体" w:eastAsia="宋体" w:hint="default"/>
                <w:sz w:val="18"/>
                <w:szCs w:val="18"/>
              </w:rPr>
            </w:pPr>
            <w:r>
              <w:rPr>
                <w:rFonts w:ascii="宋体" w:hAnsi="宋体" w:cs="宋体" w:eastAsia="宋体" w:hint="default"/>
                <w:sz w:val="18"/>
                <w:szCs w:val="18"/>
              </w:rPr>
              <w:t>上海米安斯 迪服饰有限 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0"/>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0"/>
              <w:ind w:left="21" w:right="163"/>
              <w:jc w:val="left"/>
              <w:rPr>
                <w:rFonts w:ascii="宋体" w:hAnsi="宋体" w:cs="宋体" w:eastAsia="宋体" w:hint="default"/>
                <w:sz w:val="18"/>
                <w:szCs w:val="18"/>
              </w:rPr>
            </w:pPr>
            <w:r>
              <w:rPr>
                <w:rFonts w:ascii="宋体" w:hAnsi="宋体" w:cs="宋体" w:eastAsia="宋体" w:hint="default"/>
                <w:sz w:val="18"/>
                <w:szCs w:val="18"/>
              </w:rPr>
              <w:t>批发零售 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50,000,000</w:t>
            </w:r>
          </w:p>
        </w:tc>
        <w:tc>
          <w:tcPr>
            <w:tcW w:w="4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51"/>
              <w:jc w:val="left"/>
              <w:rPr>
                <w:rFonts w:ascii="宋体" w:hAnsi="宋体" w:cs="宋体" w:eastAsia="宋体" w:hint="default"/>
                <w:sz w:val="18"/>
                <w:szCs w:val="18"/>
              </w:rPr>
            </w:pPr>
            <w:r>
              <w:rPr>
                <w:rFonts w:ascii="宋体" w:hAnsi="宋体" w:cs="宋体" w:eastAsia="宋体" w:hint="default"/>
                <w:spacing w:val="-3"/>
                <w:sz w:val="18"/>
                <w:szCs w:val="18"/>
              </w:rPr>
              <w:t>服装的制造加工；服装、鞋、针纺织品、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羽绒制品、箱包、玩具、饰品、工艺品、木制品、 电子设备、五金交电、礼品、建筑材料、纸制品、 日用百货、钟表眼镜等</w:t>
            </w:r>
          </w:p>
        </w:tc>
        <w:tc>
          <w:tcPr>
            <w:tcW w:w="107" w:type="dxa"/>
            <w:tcBorders>
              <w:top w:val="single" w:sz="4" w:space="0" w:color="000000"/>
              <w:left w:val="single" w:sz="4" w:space="0" w:color="000000"/>
              <w:bottom w:val="single" w:sz="4" w:space="0" w:color="000000"/>
              <w:right w:val="nil" w:sz="6" w:space="0" w:color="auto"/>
            </w:tcBorders>
          </w:tcPr>
          <w:p>
            <w:pPr/>
          </w:p>
        </w:tc>
        <w:tc>
          <w:tcPr>
            <w:tcW w:w="88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70"/>
              <w:jc w:val="both"/>
              <w:rPr>
                <w:rFonts w:ascii="宋体" w:hAnsi="宋体" w:cs="宋体" w:eastAsia="宋体" w:hint="default"/>
                <w:sz w:val="18"/>
                <w:szCs w:val="18"/>
              </w:rPr>
            </w:pPr>
            <w:r>
              <w:rPr>
                <w:rFonts w:ascii="宋体" w:hAnsi="宋体" w:cs="宋体" w:eastAsia="宋体" w:hint="default"/>
                <w:sz w:val="18"/>
                <w:szCs w:val="18"/>
              </w:rPr>
              <w:t>苏州美特斯 邦威服饰有 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1"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1" w:right="163"/>
              <w:jc w:val="left"/>
              <w:rPr>
                <w:rFonts w:ascii="宋体" w:hAnsi="宋体" w:cs="宋体" w:eastAsia="宋体" w:hint="default"/>
                <w:sz w:val="18"/>
                <w:szCs w:val="18"/>
              </w:rPr>
            </w:pPr>
            <w:r>
              <w:rPr>
                <w:rFonts w:ascii="宋体" w:hAnsi="宋体" w:cs="宋体" w:eastAsia="宋体" w:hint="default"/>
                <w:sz w:val="18"/>
                <w:szCs w:val="18"/>
              </w:rPr>
              <w:t>批发零售 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w:t>
            </w:r>
          </w:p>
        </w:tc>
        <w:tc>
          <w:tcPr>
            <w:tcW w:w="4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51"/>
              <w:jc w:val="left"/>
              <w:rPr>
                <w:rFonts w:ascii="宋体" w:hAnsi="宋体" w:cs="宋体" w:eastAsia="宋体" w:hint="default"/>
                <w:sz w:val="18"/>
                <w:szCs w:val="18"/>
              </w:rPr>
            </w:pPr>
            <w:r>
              <w:rPr>
                <w:rFonts w:ascii="宋体" w:hAnsi="宋体" w:cs="宋体" w:eastAsia="宋体" w:hint="default"/>
                <w:spacing w:val="-3"/>
                <w:sz w:val="18"/>
                <w:szCs w:val="18"/>
              </w:rPr>
              <w:t>服装、鞋、针纺织品、皮革制品、羽绒制品、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玩具、工艺饰品、木制品、电子设备、五金交电、 建筑材料、纸制品、日用百货、钟表等</w:t>
            </w:r>
          </w:p>
        </w:tc>
        <w:tc>
          <w:tcPr>
            <w:tcW w:w="107" w:type="dxa"/>
            <w:tcBorders>
              <w:top w:val="single" w:sz="4" w:space="0" w:color="000000"/>
              <w:left w:val="single" w:sz="4" w:space="0" w:color="000000"/>
              <w:bottom w:val="single" w:sz="4" w:space="0" w:color="000000"/>
              <w:right w:val="nil" w:sz="6" w:space="0" w:color="auto"/>
            </w:tcBorders>
          </w:tcPr>
          <w:p>
            <w:pPr/>
          </w:p>
        </w:tc>
        <w:tc>
          <w:tcPr>
            <w:tcW w:w="88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bl>
    <w:p>
      <w:pPr>
        <w:rPr>
          <w:sz w:val="2"/>
          <w:szCs w:val="2"/>
        </w:rPr>
      </w:pPr>
      <w:r>
        <w:rPr/>
        <w:pict>
          <v:shape style="position:absolute;margin-left:427.132996pt;margin-top:75.380005pt;width:109.25pt;height:33.15pt;mso-position-horizontal-relative:page;mso-position-vertical-relative:page;z-index:-751072" type="#_x0000_t202" filled="false" stroked="false">
            <v:textbox inset="0,0,0,0">
              <w:txbxContent>
                <w:p>
                  <w:pPr>
                    <w:spacing w:line="240" w:lineRule="auto" w:before="6"/>
                    <w:rPr>
                      <w:rFonts w:ascii="宋体" w:hAnsi="宋体" w:cs="宋体" w:eastAsia="宋体" w:hint="default"/>
                      <w:sz w:val="24"/>
                      <w:szCs w:val="24"/>
                    </w:rPr>
                  </w:pPr>
                </w:p>
                <w:p>
                  <w:pPr>
                    <w:pStyle w:val="BodyText"/>
                    <w:spacing w:line="240" w:lineRule="auto"/>
                    <w:ind w:left="0" w:right="0"/>
                    <w:jc w:val="left"/>
                  </w:pPr>
                  <w:r>
                    <w:rPr/>
                    <w:t>纸制品的销售。</w:t>
                  </w:r>
                </w:p>
              </w:txbxContent>
            </v:textbox>
            <w10:wrap type="none"/>
          </v:shape>
        </w:pict>
      </w:r>
      <w:r>
        <w:rPr/>
        <w:pict>
          <v:shape style="position:absolute;margin-left:463.115021pt;margin-top:108.980011pt;width:73.25pt;height:15.6pt;mso-position-horizontal-relative:page;mso-position-vertical-relative:page;z-index:-751048" type="#_x0000_t202" filled="false" stroked="false">
            <v:textbox inset="0,0,0,0">
              <w:txbxContent>
                <w:p>
                  <w:pPr>
                    <w:pStyle w:val="BodyText"/>
                    <w:spacing w:line="240" w:lineRule="auto" w:before="49"/>
                    <w:ind w:left="0" w:right="0"/>
                    <w:jc w:val="left"/>
                  </w:pPr>
                  <w:r>
                    <w:rPr/>
                    <w:t>箱包、</w:t>
                  </w:r>
                </w:p>
              </w:txbxContent>
            </v:textbox>
            <w10:wrap type="none"/>
          </v:shape>
        </w:pict>
      </w:r>
      <w:r>
        <w:rPr/>
        <w:pict>
          <v:shape style="position:absolute;margin-left:436.130005pt;margin-top:262.490021pt;width:100.25pt;height:31.2pt;mso-position-horizontal-relative:page;mso-position-vertical-relative:page;z-index:-751024" type="#_x0000_t202" filled="false" stroked="false">
            <v:textbox inset="0,0,0,0">
              <w:txbxContent>
                <w:p>
                  <w:pPr>
                    <w:pStyle w:val="BodyText"/>
                    <w:spacing w:line="203" w:lineRule="exact"/>
                    <w:ind w:left="0" w:right="0"/>
                    <w:jc w:val="left"/>
                  </w:pPr>
                  <w:r>
                    <w:rPr/>
                    <w:t>、床上用品、</w:t>
                  </w:r>
                </w:p>
              </w:txbxContent>
            </v:textbox>
            <w10:wrap type="none"/>
          </v:shape>
        </w:pict>
      </w:r>
      <w:r>
        <w:rPr/>
        <w:pict>
          <v:shape style="position:absolute;margin-left:418.132996pt;margin-top:380.710022pt;width:118.25pt;height:15.6pt;mso-position-horizontal-relative:page;mso-position-vertical-relative:page;z-index:-751000" type="#_x0000_t202" filled="false" stroked="false">
            <v:textbox inset="0,0,0,0">
              <w:txbxContent>
                <w:p>
                  <w:pPr>
                    <w:pStyle w:val="BodyText"/>
                    <w:spacing w:line="203" w:lineRule="exact"/>
                    <w:ind w:left="0" w:right="0"/>
                    <w:jc w:val="left"/>
                  </w:pPr>
                  <w:r>
                    <w:rPr/>
                    <w:t>健身器械的销售。</w:t>
                  </w:r>
                </w:p>
              </w:txbxContent>
            </v:textbox>
            <w10:wrap type="none"/>
          </v:shape>
        </w:pict>
      </w:r>
      <w:r>
        <w:rPr/>
        <w:pict>
          <v:shape style="position:absolute;margin-left:445.132996pt;margin-top:396.790009pt;width:91.25pt;height:23.4pt;mso-position-horizontal-relative:page;mso-position-vertical-relative:page;z-index:-750976" type="#_x0000_t202" filled="false" stroked="false">
            <v:textbox inset="0,0,0,0">
              <w:txbxContent>
                <w:p>
                  <w:pPr>
                    <w:pStyle w:val="BodyText"/>
                    <w:spacing w:line="240" w:lineRule="auto" w:before="49"/>
                    <w:ind w:left="0" w:right="0"/>
                    <w:jc w:val="left"/>
                  </w:pPr>
                  <w:r>
                    <w:rPr/>
                    <w:t>皮革制品、</w:t>
                  </w:r>
                </w:p>
              </w:txbxContent>
            </v:textbox>
            <w10:wrap type="none"/>
          </v:shape>
        </w:pict>
      </w:r>
      <w:r>
        <w:rPr/>
        <w:pict>
          <v:shape style="position:absolute;margin-left:463.115021pt;margin-top:463.636017pt;width:73.25pt;height:15.65pt;mso-position-horizontal-relative:page;mso-position-vertical-relative:page;z-index:-750952" type="#_x0000_t202" filled="false" stroked="false">
            <v:textbox inset="0,0,0,0">
              <w:txbxContent>
                <w:p>
                  <w:pPr>
                    <w:pStyle w:val="BodyText"/>
                    <w:spacing w:line="240" w:lineRule="auto" w:before="49"/>
                    <w:ind w:left="0" w:right="0"/>
                    <w:jc w:val="left"/>
                  </w:pPr>
                  <w:r>
                    <w:rPr/>
                    <w:t>箱包、</w:t>
                  </w:r>
                </w:p>
              </w:txbxContent>
            </v:textbox>
            <w10:wrap type="none"/>
          </v:shape>
        </w:pict>
      </w:r>
      <w:r>
        <w:rPr/>
        <w:pict>
          <v:group style="position:absolute;margin-left:487.269989pt;margin-top:75.380005pt;width:49.1pt;height:49.2pt;mso-position-horizontal-relative:page;mso-position-vertical-relative:page;z-index:-750928" coordorigin="9745,1508" coordsize="982,984">
            <v:group style="position:absolute;left:9745;top:1508;width:982;height:663" coordorigin="9745,1508" coordsize="982,663">
              <v:shape style="position:absolute;left:9745;top:1508;width:982;height:663" coordorigin="9745,1508" coordsize="982,663" path="m9745,2170l10727,2170,10727,1508,9745,1508,9745,2170xe" filled="true" fillcolor="#ffffff" stroked="false">
                <v:path arrowok="t"/>
                <v:fill type="solid"/>
              </v:shape>
            </v:group>
            <v:group style="position:absolute;left:9745;top:2180;width:982;height:312" coordorigin="9745,2180" coordsize="982,312">
              <v:shape style="position:absolute;left:9745;top:2180;width:982;height:312" coordorigin="9745,2180" coordsize="982,312" path="m9745,2492l10727,2492,10727,2180,9745,2180,9745,2492xe" filled="true" fillcolor="#ffffff" stroked="false">
                <v:path arrowok="t"/>
                <v:fill type="solid"/>
              </v:shape>
            </v:group>
            <w10:wrap type="none"/>
          </v:group>
        </w:pict>
      </w:r>
      <w:r>
        <w:rPr/>
        <w:pict>
          <v:group style="position:absolute;margin-left:487.269989pt;margin-top:262.490021pt;width:49.1pt;height:31.2pt;mso-position-horizontal-relative:page;mso-position-vertical-relative:page;z-index:-750904" coordorigin="9745,5250" coordsize="982,624">
            <v:shape style="position:absolute;left:9745;top:5250;width:982;height:624" coordorigin="9745,5250" coordsize="982,624" path="m9745,5874l10727,5874,10727,5250,9745,5250,9745,5874xe" filled="true" fillcolor="#ffffff" stroked="false">
              <v:path arrowok="t"/>
              <v:fill type="solid"/>
            </v:shape>
            <w10:wrap type="none"/>
          </v:group>
        </w:pict>
      </w:r>
      <w:r>
        <w:rPr/>
        <w:pict>
          <v:group style="position:absolute;margin-left:487.269989pt;margin-top:360.490021pt;width:49.1pt;height:59.7pt;mso-position-horizontal-relative:page;mso-position-vertical-relative:page;z-index:-750880" coordorigin="9745,7210" coordsize="982,1194">
            <v:group style="position:absolute;left:9756;top:7221;width:2;height:394" coordorigin="9756,7221" coordsize="2,394">
              <v:shape style="position:absolute;left:9756;top:7221;width:2;height:394" coordorigin="9756,7221" coordsize="0,394" path="m9756,7221l9756,7614e" filled="false" stroked="true" strokeweight="1.08pt" strokecolor="#ffffff">
                <v:path arrowok="t"/>
              </v:shape>
            </v:group>
            <v:group style="position:absolute;left:9745;top:7614;width:982;height:312" coordorigin="9745,7614" coordsize="982,312">
              <v:shape style="position:absolute;left:9745;top:7614;width:982;height:312" coordorigin="9745,7614" coordsize="982,312" path="m9745,7926l10727,7926,10727,7614,9745,7614,9745,7926xe" filled="true" fillcolor="#ffffff" stroked="false">
                <v:path arrowok="t"/>
                <v:fill type="solid"/>
              </v:shape>
            </v:group>
            <v:group style="position:absolute;left:9767;top:7221;width:936;height:394" coordorigin="9767,7221" coordsize="936,394">
              <v:shape style="position:absolute;left:9767;top:7221;width:936;height:394" coordorigin="9767,7221" coordsize="936,394" path="m9767,7614l10703,7614,10703,7221,9767,7221,9767,7614xe" filled="true" fillcolor="#ffffff" stroked="false">
                <v:path arrowok="t"/>
                <v:fill type="solid"/>
              </v:shape>
            </v:group>
            <v:group style="position:absolute;left:9745;top:7936;width:982;height:468" coordorigin="9745,7936" coordsize="982,468">
              <v:shape style="position:absolute;left:9745;top:7936;width:982;height:468" coordorigin="9745,7936" coordsize="982,468" path="m9745,8404l10727,8404,10727,7936,9745,7936,9745,8404xe" filled="true" fillcolor="#ffffff" stroked="false">
                <v:path arrowok="t"/>
                <v:fill type="solid"/>
              </v:shape>
            </v:group>
            <w10:wrap type="none"/>
          </v:group>
        </w:pict>
      </w:r>
      <w:r>
        <w:rPr/>
        <w:pict>
          <v:group style="position:absolute;margin-left:487.269989pt;margin-top:463.636017pt;width:49.1pt;height:15.65pt;mso-position-horizontal-relative:page;mso-position-vertical-relative:page;z-index:-750856" coordorigin="9745,9273" coordsize="982,313">
            <v:shape style="position:absolute;left:9745;top:9273;width:982;height:313" coordorigin="9745,9273" coordsize="982,313" path="m9745,9585l10727,9585,10727,9273,9745,9273,9745,9585xe" filled="true" fillcolor="#ffffff" stroked="false">
              <v:path arrowok="t"/>
              <v:fill type="solid"/>
            </v:shape>
            <w10:wrap type="none"/>
          </v:group>
        </w:pict>
      </w:r>
    </w:p>
    <w:p>
      <w:pPr>
        <w:spacing w:after="0"/>
        <w:rPr>
          <w:sz w:val="2"/>
          <w:szCs w:val="2"/>
        </w:rPr>
        <w:sectPr>
          <w:pgSz w:w="16840" w:h="11910" w:orient="landscape"/>
          <w:pgMar w:header="850" w:footer="1186" w:top="1480" w:bottom="1380" w:left="1320" w:right="1160"/>
        </w:sectPr>
      </w:pPr>
    </w:p>
    <w:tbl>
      <w:tblPr>
        <w:tblW w:w="0" w:type="auto"/>
        <w:jc w:val="left"/>
        <w:tblInd w:w="115" w:type="dxa"/>
        <w:tblLayout w:type="fixed"/>
        <w:tblCellMar>
          <w:top w:w="0" w:type="dxa"/>
          <w:left w:w="0" w:type="dxa"/>
          <w:bottom w:w="0" w:type="dxa"/>
          <w:right w:w="0" w:type="dxa"/>
        </w:tblCellMar>
        <w:tblLook w:val="01E0"/>
      </w:tblPr>
      <w:tblGrid>
        <w:gridCol w:w="1006"/>
        <w:gridCol w:w="696"/>
        <w:gridCol w:w="643"/>
        <w:gridCol w:w="917"/>
        <w:gridCol w:w="992"/>
        <w:gridCol w:w="4047"/>
        <w:gridCol w:w="106"/>
        <w:gridCol w:w="885"/>
        <w:gridCol w:w="708"/>
        <w:gridCol w:w="569"/>
        <w:gridCol w:w="566"/>
        <w:gridCol w:w="566"/>
        <w:gridCol w:w="416"/>
        <w:gridCol w:w="1003"/>
        <w:gridCol w:w="1003"/>
      </w:tblGrid>
      <w:tr>
        <w:trPr>
          <w:trHeight w:val="2287" w:hRule="exact"/>
        </w:trPr>
        <w:tc>
          <w:tcPr>
            <w:tcW w:w="100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70"/>
              <w:jc w:val="both"/>
              <w:rPr>
                <w:rFonts w:ascii="宋体" w:hAnsi="宋体" w:cs="宋体" w:eastAsia="宋体" w:hint="default"/>
                <w:sz w:val="18"/>
                <w:szCs w:val="18"/>
              </w:rPr>
            </w:pPr>
            <w:r>
              <w:rPr>
                <w:rFonts w:ascii="宋体" w:hAnsi="宋体" w:cs="宋体" w:eastAsia="宋体" w:hint="default"/>
                <w:sz w:val="18"/>
                <w:szCs w:val="18"/>
              </w:rPr>
              <w:t>上海邦购信 息科技有限 公司</w:t>
            </w:r>
          </w:p>
        </w:tc>
        <w:tc>
          <w:tcPr>
            <w:tcW w:w="6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1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1" w:right="163"/>
              <w:jc w:val="left"/>
              <w:rPr>
                <w:rFonts w:ascii="宋体" w:hAnsi="宋体" w:cs="宋体" w:eastAsia="宋体" w:hint="default"/>
                <w:sz w:val="18"/>
                <w:szCs w:val="18"/>
              </w:rPr>
            </w:pPr>
            <w:r>
              <w:rPr>
                <w:rFonts w:ascii="宋体" w:hAnsi="宋体" w:cs="宋体" w:eastAsia="宋体" w:hint="default"/>
                <w:sz w:val="18"/>
                <w:szCs w:val="18"/>
              </w:rPr>
              <w:t>批发零售 业</w:t>
            </w:r>
          </w:p>
        </w:tc>
        <w:tc>
          <w:tcPr>
            <w:tcW w:w="9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w:t>
            </w:r>
          </w:p>
        </w:tc>
        <w:tc>
          <w:tcPr>
            <w:tcW w:w="4047"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服装制造加工，服装、鞋、针纺织品、皮革制品、 羽绒制品、箱包、玩具、饰品、工艺品、木制品、 电子设备、五金交电、礼品、建筑材料、纸制品、 日用百货、钟表眼镜、化妆品、电子产品、家用电 器、文具体育用品的销售；从事货物及技术的进出 口业务，苗木种植，电子科技领域内的技术咨询， 商务信息咨询</w:t>
            </w:r>
          </w:p>
        </w:tc>
        <w:tc>
          <w:tcPr>
            <w:tcW w:w="991"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10,000,000</w:t>
            </w:r>
          </w:p>
        </w:tc>
        <w:tc>
          <w:tcPr>
            <w:tcW w:w="708" w:type="dxa"/>
            <w:tcBorders>
              <w:top w:val="single" w:sz="10" w:space="0" w:color="000000"/>
              <w:left w:val="single" w:sz="4" w:space="0" w:color="000000"/>
              <w:bottom w:val="single" w:sz="4" w:space="0" w:color="000000"/>
              <w:right w:val="single" w:sz="4" w:space="0" w:color="000000"/>
            </w:tcBorders>
          </w:tcPr>
          <w:p>
            <w:pPr/>
          </w:p>
        </w:tc>
        <w:tc>
          <w:tcPr>
            <w:tcW w:w="56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6" w:type="dxa"/>
            <w:tcBorders>
              <w:top w:val="single" w:sz="10" w:space="0" w:color="000000"/>
              <w:left w:val="single" w:sz="4" w:space="0" w:color="000000"/>
              <w:bottom w:val="single" w:sz="4" w:space="0" w:color="000000"/>
              <w:right w:val="single" w:sz="4" w:space="0" w:color="000000"/>
            </w:tcBorders>
          </w:tcPr>
          <w:p>
            <w:pPr/>
          </w:p>
        </w:tc>
        <w:tc>
          <w:tcPr>
            <w:tcW w:w="1003" w:type="dxa"/>
            <w:tcBorders>
              <w:top w:val="single" w:sz="10" w:space="0" w:color="000000"/>
              <w:left w:val="single" w:sz="4" w:space="0" w:color="000000"/>
              <w:bottom w:val="single" w:sz="4" w:space="0" w:color="000000"/>
              <w:right w:val="single" w:sz="4" w:space="0" w:color="000000"/>
            </w:tcBorders>
          </w:tcPr>
          <w:p>
            <w:pPr/>
          </w:p>
        </w:tc>
        <w:tc>
          <w:tcPr>
            <w:tcW w:w="1003" w:type="dxa"/>
            <w:tcBorders>
              <w:top w:val="single" w:sz="10" w:space="0" w:color="000000"/>
              <w:left w:val="single" w:sz="4" w:space="0" w:color="000000"/>
              <w:bottom w:val="single" w:sz="4" w:space="0" w:color="000000"/>
              <w:right w:val="single" w:sz="4" w:space="0" w:color="000000"/>
            </w:tcBorders>
          </w:tcPr>
          <w:p>
            <w:pPr/>
          </w:p>
        </w:tc>
      </w:tr>
      <w:tr>
        <w:trPr>
          <w:trHeight w:val="1337"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3" w:right="70"/>
              <w:jc w:val="both"/>
              <w:rPr>
                <w:rFonts w:ascii="宋体" w:hAnsi="宋体" w:cs="宋体" w:eastAsia="宋体" w:hint="default"/>
                <w:sz w:val="18"/>
                <w:szCs w:val="18"/>
              </w:rPr>
            </w:pPr>
            <w:r>
              <w:rPr>
                <w:rFonts w:ascii="宋体" w:hAnsi="宋体" w:cs="宋体" w:eastAsia="宋体" w:hint="default"/>
                <w:sz w:val="18"/>
                <w:szCs w:val="18"/>
              </w:rPr>
              <w:t>合肥美特斯 邦威服饰有 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1" w:right="163"/>
              <w:jc w:val="left"/>
              <w:rPr>
                <w:rFonts w:ascii="宋体" w:hAnsi="宋体" w:cs="宋体" w:eastAsia="宋体" w:hint="default"/>
                <w:sz w:val="18"/>
                <w:szCs w:val="18"/>
              </w:rPr>
            </w:pPr>
            <w:r>
              <w:rPr>
                <w:rFonts w:ascii="宋体" w:hAnsi="宋体" w:cs="宋体" w:eastAsia="宋体" w:hint="default"/>
                <w:sz w:val="18"/>
                <w:szCs w:val="18"/>
              </w:rPr>
              <w:t>批发零售 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w:t>
            </w:r>
          </w:p>
        </w:tc>
        <w:tc>
          <w:tcPr>
            <w:tcW w:w="4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51"/>
              <w:jc w:val="both"/>
              <w:rPr>
                <w:rFonts w:ascii="宋体" w:hAnsi="宋体" w:cs="宋体" w:eastAsia="宋体" w:hint="default"/>
                <w:sz w:val="18"/>
                <w:szCs w:val="18"/>
              </w:rPr>
            </w:pPr>
            <w:r>
              <w:rPr>
                <w:rFonts w:ascii="宋体" w:hAnsi="宋体" w:cs="宋体" w:eastAsia="宋体" w:hint="default"/>
                <w:sz w:val="18"/>
                <w:szCs w:val="18"/>
              </w:rPr>
              <w:t>服装制造加工销售，鞋、针纺织品、皮革制品、羽 绒制品、箱包、玩具、饰品、工艺品、木制品、电 子设备、五金交电、礼品、建筑材料、纸制品、日 用百货、钟表眼镜、化妆品等</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9,500,000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70"/>
              <w:jc w:val="both"/>
              <w:rPr>
                <w:rFonts w:ascii="宋体" w:hAnsi="宋体" w:cs="宋体" w:eastAsia="宋体" w:hint="default"/>
                <w:sz w:val="18"/>
                <w:szCs w:val="18"/>
              </w:rPr>
            </w:pPr>
            <w:r>
              <w:rPr>
                <w:rFonts w:ascii="宋体" w:hAnsi="宋体" w:cs="宋体" w:eastAsia="宋体" w:hint="default"/>
                <w:sz w:val="18"/>
                <w:szCs w:val="18"/>
              </w:rPr>
              <w:t>杭州美特斯 邦威服饰有 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1" w:right="163"/>
              <w:jc w:val="left"/>
              <w:rPr>
                <w:rFonts w:ascii="宋体" w:hAnsi="宋体" w:cs="宋体" w:eastAsia="宋体" w:hint="default"/>
                <w:sz w:val="18"/>
                <w:szCs w:val="18"/>
              </w:rPr>
            </w:pPr>
            <w:r>
              <w:rPr>
                <w:rFonts w:ascii="宋体" w:hAnsi="宋体" w:cs="宋体" w:eastAsia="宋体" w:hint="default"/>
                <w:sz w:val="18"/>
                <w:szCs w:val="18"/>
              </w:rPr>
              <w:t>批发零售 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w:t>
            </w:r>
          </w:p>
        </w:tc>
        <w:tc>
          <w:tcPr>
            <w:tcW w:w="4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51"/>
              <w:jc w:val="both"/>
              <w:rPr>
                <w:rFonts w:ascii="宋体" w:hAnsi="宋体" w:cs="宋体" w:eastAsia="宋体" w:hint="default"/>
                <w:sz w:val="18"/>
                <w:szCs w:val="18"/>
              </w:rPr>
            </w:pPr>
            <w:r>
              <w:rPr>
                <w:rFonts w:ascii="宋体" w:hAnsi="宋体" w:cs="宋体" w:eastAsia="宋体" w:hint="default"/>
                <w:sz w:val="18"/>
                <w:szCs w:val="18"/>
              </w:rPr>
              <w:t>批发、零售服、服饰、百货、工艺品、电子产品、 五金交电、建筑材料；家具、货物及技术的进出口 业务。</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上海霓尚服 饰有限公司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21" w:right="163"/>
              <w:jc w:val="left"/>
              <w:rPr>
                <w:rFonts w:ascii="宋体" w:hAnsi="宋体" w:cs="宋体" w:eastAsia="宋体" w:hint="default"/>
                <w:sz w:val="18"/>
                <w:szCs w:val="18"/>
              </w:rPr>
            </w:pPr>
            <w:r>
              <w:rPr>
                <w:rFonts w:ascii="宋体" w:hAnsi="宋体" w:cs="宋体" w:eastAsia="宋体" w:hint="default"/>
                <w:sz w:val="18"/>
                <w:szCs w:val="18"/>
              </w:rPr>
              <w:t>批发零售 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1" w:right="0"/>
              <w:jc w:val="left"/>
              <w:rPr>
                <w:rFonts w:ascii="Times New Roman" w:hAnsi="Times New Roman" w:cs="Times New Roman" w:eastAsia="Times New Roman" w:hint="default"/>
                <w:sz w:val="18"/>
                <w:szCs w:val="18"/>
              </w:rPr>
            </w:pPr>
            <w:r>
              <w:rPr>
                <w:rFonts w:ascii="Times New Roman"/>
                <w:sz w:val="18"/>
              </w:rPr>
              <w:t>5,000,000</w:t>
            </w:r>
          </w:p>
        </w:tc>
        <w:tc>
          <w:tcPr>
            <w:tcW w:w="4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51"/>
              <w:jc w:val="left"/>
              <w:rPr>
                <w:rFonts w:ascii="宋体" w:hAnsi="宋体" w:cs="宋体" w:eastAsia="宋体" w:hint="default"/>
                <w:sz w:val="18"/>
                <w:szCs w:val="18"/>
              </w:rPr>
            </w:pPr>
            <w:r>
              <w:rPr>
                <w:rFonts w:ascii="宋体" w:hAnsi="宋体" w:cs="宋体" w:eastAsia="宋体" w:hint="default"/>
                <w:spacing w:val="-3"/>
                <w:sz w:val="18"/>
                <w:szCs w:val="18"/>
              </w:rPr>
              <w:t>服装、鞋、针纺织品、皮革制品、羽绒制品、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玩具、饰品、工艺品、木制品、电子设备、五金交 电、礼品、建筑材料、纸制品、日用百货、钟表眼 镜、化妆品、电子产品、家用电器、文具体育用品 的销售。从事货物及技术的进出口业务，附设分支 机构。</w:t>
            </w:r>
          </w:p>
        </w:tc>
        <w:tc>
          <w:tcPr>
            <w:tcW w:w="106" w:type="dxa"/>
            <w:tcBorders>
              <w:top w:val="single" w:sz="4" w:space="0" w:color="000000"/>
              <w:left w:val="single" w:sz="4" w:space="0" w:color="000000"/>
              <w:bottom w:val="single" w:sz="4" w:space="0" w:color="000000"/>
              <w:right w:val="nil" w:sz="6" w:space="0" w:color="auto"/>
            </w:tcBorders>
          </w:tcPr>
          <w:p>
            <w:pPr/>
          </w:p>
        </w:tc>
        <w:tc>
          <w:tcPr>
            <w:tcW w:w="88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70"/>
              <w:jc w:val="both"/>
              <w:rPr>
                <w:rFonts w:ascii="宋体" w:hAnsi="宋体" w:cs="宋体" w:eastAsia="宋体" w:hint="default"/>
                <w:sz w:val="18"/>
                <w:szCs w:val="18"/>
              </w:rPr>
            </w:pPr>
            <w:r>
              <w:rPr>
                <w:rFonts w:ascii="宋体" w:hAnsi="宋体" w:cs="宋体" w:eastAsia="宋体" w:hint="default"/>
                <w:sz w:val="18"/>
                <w:szCs w:val="18"/>
              </w:rPr>
              <w:t>郑州米安斯 迪服饰有限 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6" w:lineRule="auto"/>
              <w:ind w:left="21" w:right="163"/>
              <w:jc w:val="left"/>
              <w:rPr>
                <w:rFonts w:ascii="宋体" w:hAnsi="宋体" w:cs="宋体" w:eastAsia="宋体" w:hint="default"/>
                <w:sz w:val="18"/>
                <w:szCs w:val="18"/>
              </w:rPr>
            </w:pPr>
            <w:r>
              <w:rPr>
                <w:rFonts w:ascii="宋体" w:hAnsi="宋体" w:cs="宋体" w:eastAsia="宋体" w:hint="default"/>
                <w:sz w:val="18"/>
                <w:szCs w:val="18"/>
              </w:rPr>
              <w:t>批发零售 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w:t>
            </w:r>
          </w:p>
        </w:tc>
        <w:tc>
          <w:tcPr>
            <w:tcW w:w="4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4"/>
              <w:ind w:left="23" w:right="51"/>
              <w:jc w:val="left"/>
              <w:rPr>
                <w:rFonts w:ascii="宋体" w:hAnsi="宋体" w:cs="宋体" w:eastAsia="宋体" w:hint="default"/>
                <w:sz w:val="18"/>
                <w:szCs w:val="18"/>
              </w:rPr>
            </w:pPr>
            <w:r>
              <w:rPr>
                <w:rFonts w:ascii="宋体" w:hAnsi="宋体" w:cs="宋体" w:eastAsia="宋体" w:hint="default"/>
                <w:spacing w:val="-3"/>
                <w:sz w:val="18"/>
                <w:szCs w:val="18"/>
              </w:rPr>
              <w:t>服装、鞋、针纺织品、皮革制品、羽绒制品、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玩具、饰品、工艺品、木制品、电子设备、五金交 电、礼品、建筑材料、纸制品、日用百货、钟表眼 镜、化妆品、电子产品、家用电器、文具体育用品 的销售。</w:t>
            </w:r>
          </w:p>
        </w:tc>
        <w:tc>
          <w:tcPr>
            <w:tcW w:w="106" w:type="dxa"/>
            <w:tcBorders>
              <w:top w:val="single" w:sz="4" w:space="0" w:color="000000"/>
              <w:left w:val="single" w:sz="4" w:space="0" w:color="000000"/>
              <w:bottom w:val="single" w:sz="4" w:space="0" w:color="000000"/>
              <w:right w:val="nil" w:sz="6" w:space="0" w:color="auto"/>
            </w:tcBorders>
          </w:tcPr>
          <w:p>
            <w:pPr/>
          </w:p>
        </w:tc>
        <w:tc>
          <w:tcPr>
            <w:tcW w:w="88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3"/>
              <w:ind w:left="23" w:right="70"/>
              <w:jc w:val="left"/>
              <w:rPr>
                <w:rFonts w:ascii="宋体" w:hAnsi="宋体" w:cs="宋体" w:eastAsia="宋体" w:hint="default"/>
                <w:sz w:val="18"/>
                <w:szCs w:val="18"/>
              </w:rPr>
            </w:pPr>
            <w:r>
              <w:rPr>
                <w:rFonts w:ascii="宋体" w:hAnsi="宋体" w:cs="宋体" w:eastAsia="宋体" w:hint="default"/>
                <w:sz w:val="18"/>
                <w:szCs w:val="18"/>
              </w:rPr>
              <w:t>石家庄米安 斯迪服饰有</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1" w:right="163"/>
              <w:jc w:val="left"/>
              <w:rPr>
                <w:rFonts w:ascii="宋体" w:hAnsi="宋体" w:cs="宋体" w:eastAsia="宋体" w:hint="default"/>
                <w:sz w:val="18"/>
                <w:szCs w:val="18"/>
              </w:rPr>
            </w:pPr>
            <w:r>
              <w:rPr>
                <w:rFonts w:ascii="宋体" w:hAnsi="宋体" w:cs="宋体" w:eastAsia="宋体" w:hint="default"/>
                <w:sz w:val="18"/>
                <w:szCs w:val="18"/>
              </w:rPr>
              <w:t>批发零售 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w:t>
            </w:r>
          </w:p>
        </w:tc>
        <w:tc>
          <w:tcPr>
            <w:tcW w:w="4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3"/>
              <w:ind w:left="23" w:right="51"/>
              <w:jc w:val="left"/>
              <w:rPr>
                <w:rFonts w:ascii="宋体" w:hAnsi="宋体" w:cs="宋体" w:eastAsia="宋体" w:hint="default"/>
                <w:sz w:val="18"/>
                <w:szCs w:val="18"/>
              </w:rPr>
            </w:pPr>
            <w:r>
              <w:rPr>
                <w:rFonts w:ascii="宋体" w:hAnsi="宋体" w:cs="宋体" w:eastAsia="宋体" w:hint="default"/>
                <w:sz w:val="18"/>
                <w:szCs w:val="18"/>
              </w:rPr>
              <w:t>服装、鞋、针纺织品、皮革制品羽绒制品、箱包、 玩具、饰品、工艺品、木制品、电子设备、建筑材</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bl>
    <w:p>
      <w:pPr>
        <w:rPr>
          <w:sz w:val="2"/>
          <w:szCs w:val="2"/>
        </w:rPr>
      </w:pPr>
      <w:r>
        <w:rPr/>
        <w:pict>
          <v:shape style="position:absolute;margin-left:463.115021pt;margin-top:307.246002pt;width:73.25pt;height:39.050pt;mso-position-horizontal-relative:page;mso-position-vertical-relative:page;z-index:-750832" type="#_x0000_t202" filled="false" stroked="false">
            <v:textbox inset="0,0,0,0">
              <w:txbxContent>
                <w:p>
                  <w:pPr>
                    <w:pStyle w:val="BodyText"/>
                    <w:spacing w:line="240" w:lineRule="auto" w:before="49"/>
                    <w:ind w:left="0" w:right="0"/>
                    <w:jc w:val="left"/>
                  </w:pPr>
                  <w:r>
                    <w:rPr/>
                    <w:t>箱包、</w:t>
                  </w:r>
                </w:p>
              </w:txbxContent>
            </v:textbox>
            <w10:wrap type="none"/>
          </v:shape>
        </w:pict>
      </w:r>
      <w:r>
        <w:rPr/>
        <w:pict>
          <v:shape style="position:absolute;margin-left:463.115021pt;margin-top:405.309998pt;width:73.25pt;height:31.2pt;mso-position-horizontal-relative:page;mso-position-vertical-relative:page;z-index:-750808" type="#_x0000_t202" filled="false" stroked="false">
            <v:textbox inset="0,0,0,0">
              <w:txbxContent>
                <w:p>
                  <w:pPr>
                    <w:pStyle w:val="BodyText"/>
                    <w:spacing w:line="240" w:lineRule="auto" w:before="49"/>
                    <w:ind w:left="0" w:right="0"/>
                    <w:jc w:val="left"/>
                  </w:pPr>
                  <w:r>
                    <w:rPr/>
                    <w:t>箱包、</w:t>
                  </w:r>
                </w:p>
              </w:txbxContent>
            </v:textbox>
            <w10:wrap type="none"/>
          </v:shape>
        </w:pict>
      </w:r>
      <w:r>
        <w:rPr/>
        <w:pict>
          <v:group style="position:absolute;margin-left:487.269989pt;margin-top:307.246002pt;width:49.1pt;height:39.050pt;mso-position-horizontal-relative:page;mso-position-vertical-relative:page;z-index:-750784" coordorigin="9745,6145" coordsize="982,781">
            <v:shape style="position:absolute;left:9745;top:6145;width:982;height:781" coordorigin="9745,6145" coordsize="982,781" path="m9745,6925l10727,6925,10727,6145,9745,6145,9745,6925xe" filled="true" fillcolor="#ffffff" stroked="false">
              <v:path arrowok="t"/>
              <v:fill type="solid"/>
            </v:shape>
            <w10:wrap type="none"/>
          </v:group>
        </w:pict>
      </w:r>
      <w:r>
        <w:rPr/>
        <w:pict>
          <v:group style="position:absolute;margin-left:487.269989pt;margin-top:405.309998pt;width:49.1pt;height:31.2pt;mso-position-horizontal-relative:page;mso-position-vertical-relative:page;z-index:-750760" coordorigin="9745,8106" coordsize="982,624">
            <v:shape style="position:absolute;left:9745;top:8106;width:982;height:624" coordorigin="9745,8106" coordsize="982,624" path="m9745,8730l10727,8730,10727,8106,9745,8106,9745,8730xe" filled="true" fillcolor="#ffffff" stroked="false">
              <v:path arrowok="t"/>
              <v:fill type="solid"/>
            </v:shape>
            <w10:wrap type="none"/>
          </v:group>
        </w:pict>
      </w:r>
    </w:p>
    <w:p>
      <w:pPr>
        <w:spacing w:after="0"/>
        <w:rPr>
          <w:sz w:val="2"/>
          <w:szCs w:val="2"/>
        </w:rPr>
        <w:sectPr>
          <w:pgSz w:w="16840" w:h="11910" w:orient="landscape"/>
          <w:pgMar w:header="850" w:footer="1186" w:top="1480" w:bottom="1380" w:left="1320" w:right="1160"/>
        </w:sectPr>
      </w:pPr>
    </w:p>
    <w:tbl>
      <w:tblPr>
        <w:tblW w:w="0" w:type="auto"/>
        <w:jc w:val="left"/>
        <w:tblInd w:w="115" w:type="dxa"/>
        <w:tblLayout w:type="fixed"/>
        <w:tblCellMar>
          <w:top w:w="0" w:type="dxa"/>
          <w:left w:w="0" w:type="dxa"/>
          <w:bottom w:w="0" w:type="dxa"/>
          <w:right w:w="0" w:type="dxa"/>
        </w:tblCellMar>
        <w:tblLook w:val="01E0"/>
      </w:tblPr>
      <w:tblGrid>
        <w:gridCol w:w="1006"/>
        <w:gridCol w:w="696"/>
        <w:gridCol w:w="643"/>
        <w:gridCol w:w="917"/>
        <w:gridCol w:w="992"/>
        <w:gridCol w:w="4047"/>
        <w:gridCol w:w="107"/>
        <w:gridCol w:w="885"/>
        <w:gridCol w:w="708"/>
        <w:gridCol w:w="569"/>
        <w:gridCol w:w="566"/>
        <w:gridCol w:w="566"/>
        <w:gridCol w:w="416"/>
        <w:gridCol w:w="1003"/>
        <w:gridCol w:w="1003"/>
      </w:tblGrid>
      <w:tr>
        <w:trPr>
          <w:trHeight w:val="998" w:hRule="exact"/>
        </w:trPr>
        <w:tc>
          <w:tcPr>
            <w:tcW w:w="100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96" w:type="dxa"/>
            <w:tcBorders>
              <w:top w:val="single" w:sz="10" w:space="0" w:color="000000"/>
              <w:left w:val="single" w:sz="4" w:space="0" w:color="000000"/>
              <w:bottom w:val="single" w:sz="4" w:space="0" w:color="000000"/>
              <w:right w:val="single" w:sz="4" w:space="0" w:color="000000"/>
            </w:tcBorders>
          </w:tcPr>
          <w:p>
            <w:pPr/>
          </w:p>
        </w:tc>
        <w:tc>
          <w:tcPr>
            <w:tcW w:w="643" w:type="dxa"/>
            <w:tcBorders>
              <w:top w:val="single" w:sz="10" w:space="0" w:color="000000"/>
              <w:left w:val="single" w:sz="4" w:space="0" w:color="000000"/>
              <w:bottom w:val="single" w:sz="4" w:space="0" w:color="000000"/>
              <w:right w:val="single" w:sz="4" w:space="0" w:color="000000"/>
            </w:tcBorders>
          </w:tcPr>
          <w:p>
            <w:pPr/>
          </w:p>
        </w:tc>
        <w:tc>
          <w:tcPr>
            <w:tcW w:w="917" w:type="dxa"/>
            <w:tcBorders>
              <w:top w:val="single" w:sz="10" w:space="0" w:color="000000"/>
              <w:left w:val="single" w:sz="4" w:space="0" w:color="000000"/>
              <w:bottom w:val="single" w:sz="4" w:space="0" w:color="000000"/>
              <w:right w:val="single" w:sz="4" w:space="0" w:color="000000"/>
            </w:tcBorders>
          </w:tcPr>
          <w:p>
            <w:pPr/>
          </w:p>
        </w:tc>
        <w:tc>
          <w:tcPr>
            <w:tcW w:w="992" w:type="dxa"/>
            <w:tcBorders>
              <w:top w:val="single" w:sz="10" w:space="0" w:color="000000"/>
              <w:left w:val="single" w:sz="4" w:space="0" w:color="000000"/>
              <w:bottom w:val="single" w:sz="4" w:space="0" w:color="000000"/>
              <w:right w:val="single" w:sz="4" w:space="0" w:color="000000"/>
            </w:tcBorders>
          </w:tcPr>
          <w:p>
            <w:pPr/>
          </w:p>
        </w:tc>
        <w:tc>
          <w:tcPr>
            <w:tcW w:w="4047"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10"/>
              <w:ind w:left="23" w:right="51"/>
              <w:jc w:val="both"/>
              <w:rPr>
                <w:rFonts w:ascii="宋体" w:hAnsi="宋体" w:cs="宋体" w:eastAsia="宋体" w:hint="default"/>
                <w:sz w:val="18"/>
                <w:szCs w:val="18"/>
              </w:rPr>
            </w:pPr>
            <w:r>
              <w:rPr>
                <w:rFonts w:ascii="宋体" w:hAnsi="宋体" w:cs="宋体" w:eastAsia="宋体" w:hint="default"/>
                <w:sz w:val="18"/>
                <w:szCs w:val="18"/>
              </w:rPr>
              <w:t>料、纸制品、日用百货、钟表眼镜、化妆品、电子 产品、家用电器、文具、体育用品的销售、五金交 电、房屋租赁</w:t>
            </w:r>
          </w:p>
        </w:tc>
        <w:tc>
          <w:tcPr>
            <w:tcW w:w="991" w:type="dxa"/>
            <w:gridSpan w:val="2"/>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569"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416" w:type="dxa"/>
            <w:tcBorders>
              <w:top w:val="single" w:sz="10" w:space="0" w:color="000000"/>
              <w:left w:val="single" w:sz="4" w:space="0" w:color="000000"/>
              <w:bottom w:val="single" w:sz="4" w:space="0" w:color="000000"/>
              <w:right w:val="single" w:sz="4" w:space="0" w:color="000000"/>
            </w:tcBorders>
          </w:tcPr>
          <w:p>
            <w:pPr/>
          </w:p>
        </w:tc>
        <w:tc>
          <w:tcPr>
            <w:tcW w:w="1003" w:type="dxa"/>
            <w:tcBorders>
              <w:top w:val="single" w:sz="10" w:space="0" w:color="000000"/>
              <w:left w:val="single" w:sz="4" w:space="0" w:color="000000"/>
              <w:bottom w:val="single" w:sz="4" w:space="0" w:color="000000"/>
              <w:right w:val="single" w:sz="4" w:space="0" w:color="000000"/>
            </w:tcBorders>
          </w:tcPr>
          <w:p>
            <w:pPr/>
          </w:p>
        </w:tc>
        <w:tc>
          <w:tcPr>
            <w:tcW w:w="1003" w:type="dxa"/>
            <w:tcBorders>
              <w:top w:val="single" w:sz="10" w:space="0" w:color="000000"/>
              <w:left w:val="single" w:sz="4" w:space="0" w:color="000000"/>
              <w:bottom w:val="single" w:sz="4" w:space="0" w:color="000000"/>
              <w:right w:val="single" w:sz="4" w:space="0" w:color="000000"/>
            </w:tcBorders>
          </w:tcPr>
          <w:p>
            <w:pPr/>
          </w:p>
        </w:tc>
      </w:tr>
      <w:tr>
        <w:trPr>
          <w:trHeight w:val="1652"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70"/>
              <w:jc w:val="both"/>
              <w:rPr>
                <w:rFonts w:ascii="宋体" w:hAnsi="宋体" w:cs="宋体" w:eastAsia="宋体" w:hint="default"/>
                <w:sz w:val="18"/>
                <w:szCs w:val="18"/>
              </w:rPr>
            </w:pPr>
            <w:r>
              <w:rPr>
                <w:rFonts w:ascii="宋体" w:hAnsi="宋体" w:cs="宋体" w:eastAsia="宋体" w:hint="default"/>
                <w:sz w:val="18"/>
                <w:szCs w:val="18"/>
              </w:rPr>
              <w:t>乌鲁木齐美 特斯邦威服 饰有限公司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6" w:lineRule="auto"/>
              <w:ind w:left="21" w:right="71"/>
              <w:jc w:val="left"/>
              <w:rPr>
                <w:rFonts w:ascii="宋体" w:hAnsi="宋体" w:cs="宋体" w:eastAsia="宋体" w:hint="default"/>
                <w:sz w:val="18"/>
                <w:szCs w:val="18"/>
              </w:rPr>
            </w:pPr>
            <w:r>
              <w:rPr>
                <w:rFonts w:ascii="宋体" w:hAnsi="宋体" w:cs="宋体" w:eastAsia="宋体" w:hint="default"/>
                <w:sz w:val="18"/>
                <w:szCs w:val="18"/>
              </w:rPr>
              <w:t>乌鲁木 齐</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6" w:lineRule="auto"/>
              <w:ind w:left="21" w:right="163"/>
              <w:jc w:val="left"/>
              <w:rPr>
                <w:rFonts w:ascii="宋体" w:hAnsi="宋体" w:cs="宋体" w:eastAsia="宋体" w:hint="default"/>
                <w:sz w:val="18"/>
                <w:szCs w:val="18"/>
              </w:rPr>
            </w:pPr>
            <w:r>
              <w:rPr>
                <w:rFonts w:ascii="宋体" w:hAnsi="宋体" w:cs="宋体" w:eastAsia="宋体" w:hint="default"/>
                <w:sz w:val="18"/>
                <w:szCs w:val="18"/>
              </w:rPr>
              <w:t>批发零售 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w:t>
            </w:r>
          </w:p>
        </w:tc>
        <w:tc>
          <w:tcPr>
            <w:tcW w:w="4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51"/>
              <w:jc w:val="both"/>
              <w:rPr>
                <w:rFonts w:ascii="宋体" w:hAnsi="宋体" w:cs="宋体" w:eastAsia="宋体" w:hint="default"/>
                <w:sz w:val="18"/>
                <w:szCs w:val="18"/>
              </w:rPr>
            </w:pPr>
            <w:r>
              <w:rPr>
                <w:rFonts w:ascii="宋体" w:hAnsi="宋体" w:cs="宋体" w:eastAsia="宋体" w:hint="default"/>
                <w:sz w:val="18"/>
                <w:szCs w:val="18"/>
              </w:rPr>
              <w:t>服装制造加工，销售；服装鞋帽针纺织品、皮革制 品、羽绒制品、销售、玩具、饰品、工艺品、木制 品、电子设备、五金交电、礼品、建筑材料、纸制 品、日用百货、钟表眼镜、化妆品、电子产品、家 用电器，</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3" w:right="70"/>
              <w:jc w:val="both"/>
              <w:rPr>
                <w:rFonts w:ascii="宋体" w:hAnsi="宋体" w:cs="宋体" w:eastAsia="宋体" w:hint="default"/>
                <w:sz w:val="18"/>
                <w:szCs w:val="18"/>
              </w:rPr>
            </w:pPr>
            <w:r>
              <w:rPr>
                <w:rFonts w:ascii="宋体" w:hAnsi="宋体" w:cs="宋体" w:eastAsia="宋体" w:hint="default"/>
                <w:sz w:val="18"/>
                <w:szCs w:val="18"/>
              </w:rPr>
              <w:t>太原米安斯 迪服饰有限 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1" w:right="163"/>
              <w:jc w:val="left"/>
              <w:rPr>
                <w:rFonts w:ascii="宋体" w:hAnsi="宋体" w:cs="宋体" w:eastAsia="宋体" w:hint="default"/>
                <w:sz w:val="18"/>
                <w:szCs w:val="18"/>
              </w:rPr>
            </w:pPr>
            <w:r>
              <w:rPr>
                <w:rFonts w:ascii="宋体" w:hAnsi="宋体" w:cs="宋体" w:eastAsia="宋体" w:hint="default"/>
                <w:sz w:val="18"/>
                <w:szCs w:val="18"/>
              </w:rPr>
              <w:t>批发零售 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w:t>
            </w:r>
          </w:p>
        </w:tc>
        <w:tc>
          <w:tcPr>
            <w:tcW w:w="4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51"/>
              <w:jc w:val="both"/>
              <w:rPr>
                <w:rFonts w:ascii="宋体" w:hAnsi="宋体" w:cs="宋体" w:eastAsia="宋体" w:hint="default"/>
                <w:sz w:val="18"/>
                <w:szCs w:val="18"/>
              </w:rPr>
            </w:pPr>
            <w:r>
              <w:rPr>
                <w:rFonts w:ascii="宋体" w:hAnsi="宋体" w:cs="宋体" w:eastAsia="宋体" w:hint="default"/>
                <w:sz w:val="18"/>
                <w:szCs w:val="18"/>
              </w:rPr>
              <w:t>服装的裁剪、加工及销售；服装鞋帽、针纺织品、 皮革制品、羽绒制品、箱包、玩具、工艺美术品、 电子产品、品、纸制品、日五金交电、化妆品、文 体用品的销售；房屋租赁</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3212"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23" w:right="70"/>
              <w:jc w:val="both"/>
              <w:rPr>
                <w:rFonts w:ascii="宋体" w:hAnsi="宋体" w:cs="宋体" w:eastAsia="宋体" w:hint="default"/>
                <w:sz w:val="18"/>
                <w:szCs w:val="18"/>
              </w:rPr>
            </w:pPr>
            <w:r>
              <w:rPr>
                <w:rFonts w:ascii="宋体" w:hAnsi="宋体" w:cs="宋体" w:eastAsia="宋体" w:hint="default"/>
                <w:sz w:val="18"/>
                <w:szCs w:val="18"/>
              </w:rPr>
              <w:t>上海华邦科 创信息科技 有限公司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316" w:lineRule="auto"/>
              <w:ind w:left="21" w:right="163"/>
              <w:jc w:val="left"/>
              <w:rPr>
                <w:rFonts w:ascii="宋体" w:hAnsi="宋体" w:cs="宋体" w:eastAsia="宋体" w:hint="default"/>
                <w:sz w:val="18"/>
                <w:szCs w:val="18"/>
              </w:rPr>
            </w:pPr>
            <w:r>
              <w:rPr>
                <w:rFonts w:ascii="宋体" w:hAnsi="宋体" w:cs="宋体" w:eastAsia="宋体" w:hint="default"/>
                <w:sz w:val="18"/>
                <w:szCs w:val="18"/>
              </w:rPr>
              <w:t>批发零售 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w:t>
            </w:r>
          </w:p>
        </w:tc>
        <w:tc>
          <w:tcPr>
            <w:tcW w:w="40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4"/>
              <w:ind w:left="23" w:right="19"/>
              <w:jc w:val="left"/>
              <w:rPr>
                <w:rFonts w:ascii="宋体" w:hAnsi="宋体" w:cs="宋体" w:eastAsia="宋体" w:hint="default"/>
                <w:sz w:val="18"/>
                <w:szCs w:val="18"/>
              </w:rPr>
            </w:pPr>
            <w:r>
              <w:rPr>
                <w:rFonts w:ascii="宋体" w:hAnsi="宋体" w:cs="宋体" w:eastAsia="宋体" w:hint="default"/>
                <w:spacing w:val="-5"/>
                <w:sz w:val="18"/>
                <w:szCs w:val="18"/>
              </w:rPr>
              <w:t>计算机、纺织、服装、电子科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技术转让、技术咨询、技术服务、计算机软硬件的 开发设计、制作各类广告、商务咨询、企业管理咨 </w:t>
            </w:r>
            <w:r>
              <w:rPr>
                <w:rFonts w:ascii="宋体" w:hAnsi="宋体" w:cs="宋体" w:eastAsia="宋体" w:hint="default"/>
                <w:spacing w:val="-6"/>
                <w:sz w:val="18"/>
                <w:szCs w:val="18"/>
              </w:rPr>
              <w:t>询</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以上咨询均除经纪</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、市场营销策划、电子商务</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不</w:t>
            </w:r>
            <w:r>
              <w:rPr>
                <w:rFonts w:ascii="宋体" w:hAnsi="宋体" w:cs="宋体" w:eastAsia="宋体" w:hint="default"/>
                <w:sz w:val="18"/>
                <w:szCs w:val="18"/>
              </w:rPr>
              <w:t> </w:t>
            </w:r>
            <w:r>
              <w:rPr>
                <w:rFonts w:ascii="宋体" w:hAnsi="宋体" w:cs="宋体" w:eastAsia="宋体" w:hint="default"/>
                <w:spacing w:val="-2"/>
                <w:sz w:val="18"/>
                <w:szCs w:val="18"/>
              </w:rPr>
              <w:t>得从事增值电信、金融业务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、室内装潢及设计、货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运代理、服装制造加工、服装、鞋、针纺织品、皮 革制品羽绒制品、箱包、玩具、饰品、工艺品、木 制品、交电、建筑装潢材料、纸制品、日用百货、 钟表眼镜化妆品、电子产品、家用电器、办公用品 文化体育用品的销售等</w:t>
            </w:r>
          </w:p>
        </w:tc>
        <w:tc>
          <w:tcPr>
            <w:tcW w:w="107" w:type="dxa"/>
            <w:tcBorders>
              <w:top w:val="single" w:sz="4" w:space="0" w:color="000000"/>
              <w:left w:val="single" w:sz="4" w:space="0" w:color="000000"/>
              <w:bottom w:val="single" w:sz="4" w:space="0" w:color="000000"/>
              <w:right w:val="nil" w:sz="6" w:space="0" w:color="auto"/>
            </w:tcBorders>
          </w:tcPr>
          <w:p>
            <w:pPr/>
          </w:p>
        </w:tc>
        <w:tc>
          <w:tcPr>
            <w:tcW w:w="88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上海祺格服 饰有限公司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1" w:right="163"/>
              <w:jc w:val="left"/>
              <w:rPr>
                <w:rFonts w:ascii="宋体" w:hAnsi="宋体" w:cs="宋体" w:eastAsia="宋体" w:hint="default"/>
                <w:sz w:val="18"/>
                <w:szCs w:val="18"/>
              </w:rPr>
            </w:pPr>
            <w:r>
              <w:rPr>
                <w:rFonts w:ascii="宋体" w:hAnsi="宋体" w:cs="宋体" w:eastAsia="宋体" w:hint="default"/>
                <w:sz w:val="18"/>
                <w:szCs w:val="18"/>
              </w:rPr>
              <w:t>批发零售 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2,000,000</w:t>
            </w:r>
          </w:p>
        </w:tc>
        <w:tc>
          <w:tcPr>
            <w:tcW w:w="4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51"/>
              <w:jc w:val="left"/>
              <w:rPr>
                <w:rFonts w:ascii="宋体" w:hAnsi="宋体" w:cs="宋体" w:eastAsia="宋体" w:hint="default"/>
                <w:sz w:val="18"/>
                <w:szCs w:val="18"/>
              </w:rPr>
            </w:pPr>
            <w:r>
              <w:rPr>
                <w:rFonts w:ascii="宋体" w:hAnsi="宋体" w:cs="宋体" w:eastAsia="宋体" w:hint="default"/>
                <w:spacing w:val="-3"/>
                <w:sz w:val="18"/>
                <w:szCs w:val="18"/>
              </w:rPr>
              <w:t>服装制造、加工，服装鞋帽、针织织品、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羽绒制品、箱包、玩具、饰品、工艺品、木制品、 电子产品、五金交电、建筑材料、纸制品、日用百 货、钟表眼镜、化妆品、家用电器、文化体育用品 的销售，从事纺织科技、服装科技领域内的技术开</w:t>
            </w:r>
          </w:p>
        </w:tc>
        <w:tc>
          <w:tcPr>
            <w:tcW w:w="107" w:type="dxa"/>
            <w:tcBorders>
              <w:top w:val="single" w:sz="4" w:space="0" w:color="000000"/>
              <w:left w:val="single" w:sz="4" w:space="0" w:color="000000"/>
              <w:bottom w:val="single" w:sz="4" w:space="0" w:color="000000"/>
              <w:right w:val="nil" w:sz="6" w:space="0" w:color="auto"/>
            </w:tcBorders>
          </w:tcPr>
          <w:p>
            <w:pPr/>
          </w:p>
        </w:tc>
        <w:tc>
          <w:tcPr>
            <w:tcW w:w="88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bl>
    <w:p>
      <w:pPr>
        <w:rPr>
          <w:sz w:val="2"/>
          <w:szCs w:val="2"/>
        </w:rPr>
      </w:pPr>
      <w:r>
        <w:rPr/>
        <w:pict>
          <v:shape style="position:absolute;margin-left:400.123993pt;margin-top:274.006012pt;width:136.25pt;height:70.25pt;mso-position-horizontal-relative:page;mso-position-vertical-relative:page;z-index:-750736" type="#_x0000_t202" filled="false" stroked="false">
            <v:textbox inset="0,0,0,0">
              <w:txbxContent>
                <w:p>
                  <w:pPr>
                    <w:pStyle w:val="BodyText"/>
                    <w:spacing w:line="240" w:lineRule="auto" w:before="49"/>
                    <w:ind w:left="0" w:right="0"/>
                    <w:jc w:val="left"/>
                  </w:pPr>
                  <w:r>
                    <w:rPr/>
                    <w:t>技领域内的技术开发、</w:t>
                  </w:r>
                </w:p>
              </w:txbxContent>
            </v:textbox>
            <w10:wrap type="none"/>
          </v:shape>
        </w:pict>
      </w:r>
      <w:r>
        <w:rPr/>
        <w:pict>
          <v:shape style="position:absolute;margin-left:445.132996pt;margin-top:434.589996pt;width:91.25pt;height:30.15pt;mso-position-horizontal-relative:page;mso-position-vertical-relative:page;z-index:-750712" type="#_x0000_t202" filled="false" stroked="false">
            <v:textbox inset="0,0,0,0">
              <w:txbxContent>
                <w:p>
                  <w:pPr>
                    <w:pStyle w:val="BodyText"/>
                    <w:spacing w:line="240" w:lineRule="auto" w:before="49"/>
                    <w:ind w:left="0" w:right="0"/>
                    <w:jc w:val="left"/>
                  </w:pPr>
                  <w:r>
                    <w:rPr/>
                    <w:t>皮革制品、</w:t>
                  </w:r>
                </w:p>
              </w:txbxContent>
            </v:textbox>
            <w10:wrap type="none"/>
          </v:shape>
        </w:pict>
      </w:r>
      <w:r>
        <w:rPr/>
        <w:pict>
          <v:group style="position:absolute;margin-left:487.269989pt;margin-top:274.006012pt;width:49.1pt;height:70.25pt;mso-position-horizontal-relative:page;mso-position-vertical-relative:page;z-index:-750688" coordorigin="9745,5480" coordsize="982,1405">
            <v:shape style="position:absolute;left:9745;top:5480;width:982;height:1405" coordorigin="9745,5480" coordsize="982,1405" path="m9745,6885l10727,6885,10727,5480,9745,5480,9745,6885xe" filled="true" fillcolor="#ffffff" stroked="false">
              <v:path arrowok="t"/>
              <v:fill type="solid"/>
            </v:shape>
            <w10:wrap type="none"/>
          </v:group>
        </w:pict>
      </w:r>
      <w:r>
        <w:rPr/>
        <w:pict>
          <v:group style="position:absolute;margin-left:487.269989pt;margin-top:434.589996pt;width:49.1pt;height:30.15pt;mso-position-horizontal-relative:page;mso-position-vertical-relative:page;z-index:-750664" coordorigin="9745,8692" coordsize="982,603">
            <v:shape style="position:absolute;left:9745;top:8692;width:982;height:603" coordorigin="9745,8692" coordsize="982,603" path="m9745,9294l10727,9294,10727,8692,9745,8692,9745,9294xe" filled="true" fillcolor="#ffffff" stroked="false">
              <v:path arrowok="t"/>
              <v:fill type="solid"/>
            </v:shape>
            <w10:wrap type="none"/>
          </v:group>
        </w:pict>
      </w:r>
    </w:p>
    <w:p>
      <w:pPr>
        <w:spacing w:after="0"/>
        <w:rPr>
          <w:sz w:val="2"/>
          <w:szCs w:val="2"/>
        </w:rPr>
        <w:sectPr>
          <w:pgSz w:w="16840" w:h="11910" w:orient="landscape"/>
          <w:pgMar w:header="850" w:footer="1186" w:top="1480" w:bottom="1380" w:left="1320" w:right="1160"/>
        </w:sectPr>
      </w:pPr>
    </w:p>
    <w:p>
      <w:pPr>
        <w:spacing w:line="240" w:lineRule="auto" w:before="6"/>
        <w:rPr>
          <w:rFonts w:ascii="宋体" w:hAnsi="宋体" w:cs="宋体" w:eastAsia="宋体" w:hint="default"/>
          <w:sz w:val="2"/>
          <w:szCs w:val="2"/>
        </w:rPr>
      </w:pPr>
      <w:r>
        <w:rPr/>
        <w:pict>
          <v:group style="position:absolute;margin-left:487.269989pt;margin-top:175.946014pt;width:49.1pt;height:59.15pt;mso-position-horizontal-relative:page;mso-position-vertical-relative:page;z-index:-750640" coordorigin="9745,3519" coordsize="982,1183">
            <v:group style="position:absolute;left:9745;top:3519;width:982;height:781" coordorigin="9745,3519" coordsize="982,781">
              <v:shape style="position:absolute;left:9745;top:3519;width:982;height:781" coordorigin="9745,3519" coordsize="982,781" path="m9745,4299l10727,4299,10727,3519,9745,3519,9745,4299xe" filled="true" fillcolor="#ffffff" stroked="false">
                <v:path arrowok="t"/>
                <v:fill type="solid"/>
              </v:shape>
            </v:group>
            <v:group style="position:absolute;left:9756;top:4299;width:2;height:392" coordorigin="9756,4299" coordsize="2,392">
              <v:shape style="position:absolute;left:9756;top:4299;width:2;height:392" coordorigin="9756,4299" coordsize="0,392" path="m9756,4299l9756,4691e" filled="false" stroked="true" strokeweight="1.08pt" strokecolor="#ffffff">
                <v:path arrowok="t"/>
              </v:shape>
            </v:group>
            <v:group style="position:absolute;left:9767;top:4299;width:936;height:392" coordorigin="9767,4299" coordsize="936,392">
              <v:shape style="position:absolute;left:9767;top:4299;width:936;height:392" coordorigin="9767,4299" coordsize="936,392" path="m9767,4691l10703,4691,10703,4299,9767,4299,9767,4691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006"/>
        <w:gridCol w:w="696"/>
        <w:gridCol w:w="643"/>
        <w:gridCol w:w="917"/>
        <w:gridCol w:w="992"/>
        <w:gridCol w:w="4047"/>
        <w:gridCol w:w="107"/>
        <w:gridCol w:w="885"/>
        <w:gridCol w:w="708"/>
        <w:gridCol w:w="569"/>
        <w:gridCol w:w="566"/>
        <w:gridCol w:w="566"/>
        <w:gridCol w:w="416"/>
        <w:gridCol w:w="1003"/>
        <w:gridCol w:w="1003"/>
      </w:tblGrid>
      <w:tr>
        <w:trPr>
          <w:trHeight w:val="998" w:hRule="exact"/>
        </w:trPr>
        <w:tc>
          <w:tcPr>
            <w:tcW w:w="1006" w:type="dxa"/>
            <w:tcBorders>
              <w:top w:val="single" w:sz="10" w:space="0" w:color="000000"/>
              <w:left w:val="single" w:sz="4" w:space="0" w:color="000000"/>
              <w:bottom w:val="single" w:sz="4" w:space="0" w:color="000000"/>
              <w:right w:val="single" w:sz="4" w:space="0" w:color="000000"/>
            </w:tcBorders>
          </w:tcPr>
          <w:p>
            <w:pPr/>
          </w:p>
        </w:tc>
        <w:tc>
          <w:tcPr>
            <w:tcW w:w="696" w:type="dxa"/>
            <w:tcBorders>
              <w:top w:val="single" w:sz="10" w:space="0" w:color="000000"/>
              <w:left w:val="single" w:sz="4" w:space="0" w:color="000000"/>
              <w:bottom w:val="single" w:sz="4" w:space="0" w:color="000000"/>
              <w:right w:val="single" w:sz="4" w:space="0" w:color="000000"/>
            </w:tcBorders>
          </w:tcPr>
          <w:p>
            <w:pPr/>
          </w:p>
        </w:tc>
        <w:tc>
          <w:tcPr>
            <w:tcW w:w="643" w:type="dxa"/>
            <w:tcBorders>
              <w:top w:val="single" w:sz="10" w:space="0" w:color="000000"/>
              <w:left w:val="single" w:sz="4" w:space="0" w:color="000000"/>
              <w:bottom w:val="single" w:sz="4" w:space="0" w:color="000000"/>
              <w:right w:val="single" w:sz="4" w:space="0" w:color="000000"/>
            </w:tcBorders>
          </w:tcPr>
          <w:p>
            <w:pPr/>
          </w:p>
        </w:tc>
        <w:tc>
          <w:tcPr>
            <w:tcW w:w="917" w:type="dxa"/>
            <w:tcBorders>
              <w:top w:val="single" w:sz="10" w:space="0" w:color="000000"/>
              <w:left w:val="single" w:sz="4" w:space="0" w:color="000000"/>
              <w:bottom w:val="single" w:sz="4" w:space="0" w:color="000000"/>
              <w:right w:val="single" w:sz="4" w:space="0" w:color="000000"/>
            </w:tcBorders>
          </w:tcPr>
          <w:p>
            <w:pPr/>
          </w:p>
        </w:tc>
        <w:tc>
          <w:tcPr>
            <w:tcW w:w="992" w:type="dxa"/>
            <w:tcBorders>
              <w:top w:val="single" w:sz="10" w:space="0" w:color="000000"/>
              <w:left w:val="single" w:sz="4" w:space="0" w:color="000000"/>
              <w:bottom w:val="single" w:sz="4" w:space="0" w:color="000000"/>
              <w:right w:val="single" w:sz="4" w:space="0" w:color="000000"/>
            </w:tcBorders>
          </w:tcPr>
          <w:p>
            <w:pPr/>
          </w:p>
        </w:tc>
        <w:tc>
          <w:tcPr>
            <w:tcW w:w="4047" w:type="dxa"/>
            <w:tcBorders>
              <w:top w:val="single" w:sz="10" w:space="0" w:color="000000"/>
              <w:left w:val="single" w:sz="4" w:space="0" w:color="000000"/>
              <w:bottom w:val="single" w:sz="4" w:space="0" w:color="000000"/>
              <w:right w:val="single" w:sz="4" w:space="0" w:color="000000"/>
            </w:tcBorders>
          </w:tcPr>
          <w:p>
            <w:pPr>
              <w:pStyle w:val="TableParagraph"/>
              <w:spacing w:line="300" w:lineRule="auto" w:before="15"/>
              <w:ind w:left="23" w:right="23"/>
              <w:jc w:val="both"/>
              <w:rPr>
                <w:rFonts w:ascii="宋体" w:hAnsi="宋体" w:cs="宋体" w:eastAsia="宋体" w:hint="default"/>
                <w:sz w:val="18"/>
                <w:szCs w:val="18"/>
              </w:rPr>
            </w:pPr>
            <w:r>
              <w:rPr>
                <w:rFonts w:ascii="宋体" w:hAnsi="宋体" w:cs="宋体" w:eastAsia="宋体" w:hint="default"/>
                <w:spacing w:val="-2"/>
                <w:sz w:val="18"/>
                <w:szCs w:val="18"/>
              </w:rPr>
              <w:t>发、技术转让、技术咨询、技术服务，商务咨询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除</w:t>
            </w:r>
            <w:r>
              <w:rPr>
                <w:rFonts w:ascii="宋体" w:hAnsi="宋体" w:cs="宋体" w:eastAsia="宋体" w:hint="default"/>
                <w:spacing w:val="-79"/>
                <w:sz w:val="18"/>
                <w:szCs w:val="18"/>
              </w:rPr>
              <w:t> </w:t>
            </w:r>
            <w:r>
              <w:rPr>
                <w:rFonts w:ascii="宋体" w:hAnsi="宋体" w:cs="宋体" w:eastAsia="宋体" w:hint="default"/>
                <w:spacing w:val="-2"/>
                <w:sz w:val="18"/>
                <w:szCs w:val="18"/>
              </w:rPr>
              <w:t>经纪</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，市场营销策划，从事货物及技术的进出口业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务。</w:t>
            </w:r>
          </w:p>
        </w:tc>
        <w:tc>
          <w:tcPr>
            <w:tcW w:w="991" w:type="dxa"/>
            <w:gridSpan w:val="2"/>
            <w:tcBorders>
              <w:top w:val="single" w:sz="10" w:space="0" w:color="000000"/>
              <w:left w:val="single" w:sz="4" w:space="0" w:color="000000"/>
              <w:bottom w:val="single" w:sz="4" w:space="0" w:color="000000"/>
              <w:right w:val="single" w:sz="4" w:space="0" w:color="000000"/>
            </w:tcBorders>
          </w:tcPr>
          <w:p>
            <w:pPr/>
          </w:p>
        </w:tc>
        <w:tc>
          <w:tcPr>
            <w:tcW w:w="708" w:type="dxa"/>
            <w:tcBorders>
              <w:top w:val="single" w:sz="10" w:space="0" w:color="000000"/>
              <w:left w:val="single" w:sz="4" w:space="0" w:color="000000"/>
              <w:bottom w:val="single" w:sz="4" w:space="0" w:color="000000"/>
              <w:right w:val="single" w:sz="4" w:space="0" w:color="000000"/>
            </w:tcBorders>
          </w:tcPr>
          <w:p>
            <w:pPr/>
          </w:p>
        </w:tc>
        <w:tc>
          <w:tcPr>
            <w:tcW w:w="569"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416" w:type="dxa"/>
            <w:tcBorders>
              <w:top w:val="single" w:sz="10" w:space="0" w:color="000000"/>
              <w:left w:val="single" w:sz="4" w:space="0" w:color="000000"/>
              <w:bottom w:val="single" w:sz="4" w:space="0" w:color="000000"/>
              <w:right w:val="single" w:sz="4" w:space="0" w:color="000000"/>
            </w:tcBorders>
          </w:tcPr>
          <w:p>
            <w:pPr/>
          </w:p>
        </w:tc>
        <w:tc>
          <w:tcPr>
            <w:tcW w:w="1003" w:type="dxa"/>
            <w:tcBorders>
              <w:top w:val="single" w:sz="10" w:space="0" w:color="000000"/>
              <w:left w:val="single" w:sz="4" w:space="0" w:color="000000"/>
              <w:bottom w:val="single" w:sz="4" w:space="0" w:color="000000"/>
              <w:right w:val="single" w:sz="4" w:space="0" w:color="000000"/>
            </w:tcBorders>
          </w:tcPr>
          <w:p>
            <w:pPr/>
          </w:p>
        </w:tc>
        <w:tc>
          <w:tcPr>
            <w:tcW w:w="1003" w:type="dxa"/>
            <w:tcBorders>
              <w:top w:val="single" w:sz="10" w:space="0" w:color="000000"/>
              <w:left w:val="single" w:sz="4" w:space="0" w:color="000000"/>
              <w:bottom w:val="single" w:sz="4" w:space="0" w:color="000000"/>
              <w:right w:val="single" w:sz="4" w:space="0" w:color="000000"/>
            </w:tcBorders>
          </w:tcPr>
          <w:p>
            <w:pPr/>
          </w:p>
        </w:tc>
      </w:tr>
      <w:tr>
        <w:trPr>
          <w:trHeight w:val="1027"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岳阳美特斯 邦威服饰有 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岳阳</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 w:right="163"/>
              <w:jc w:val="left"/>
              <w:rPr>
                <w:rFonts w:ascii="宋体" w:hAnsi="宋体" w:cs="宋体" w:eastAsia="宋体" w:hint="default"/>
                <w:sz w:val="18"/>
                <w:szCs w:val="18"/>
              </w:rPr>
            </w:pPr>
            <w:r>
              <w:rPr>
                <w:rFonts w:ascii="宋体" w:hAnsi="宋体" w:cs="宋体" w:eastAsia="宋体" w:hint="default"/>
                <w:sz w:val="18"/>
                <w:szCs w:val="18"/>
              </w:rPr>
              <w:t>批发零售 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2,000,000</w:t>
            </w:r>
          </w:p>
        </w:tc>
        <w:tc>
          <w:tcPr>
            <w:tcW w:w="4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51"/>
              <w:jc w:val="left"/>
              <w:rPr>
                <w:rFonts w:ascii="宋体" w:hAnsi="宋体" w:cs="宋体" w:eastAsia="宋体" w:hint="default"/>
                <w:sz w:val="18"/>
                <w:szCs w:val="18"/>
              </w:rPr>
            </w:pPr>
            <w:r>
              <w:rPr>
                <w:rFonts w:ascii="宋体" w:hAnsi="宋体" w:cs="宋体" w:eastAsia="宋体" w:hint="default"/>
                <w:sz w:val="18"/>
                <w:szCs w:val="18"/>
              </w:rPr>
              <w:t>服装、鞋帽、针织品、箱包、玩具、工业美术品、 百货、眼镜、办公用品、室内家居用品的销售。</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上海邦彤实 业有限公司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 w:right="163"/>
              <w:jc w:val="left"/>
              <w:rPr>
                <w:rFonts w:ascii="宋体" w:hAnsi="宋体" w:cs="宋体" w:eastAsia="宋体" w:hint="default"/>
                <w:sz w:val="18"/>
                <w:szCs w:val="18"/>
              </w:rPr>
            </w:pPr>
            <w:r>
              <w:rPr>
                <w:rFonts w:ascii="宋体" w:hAnsi="宋体" w:cs="宋体" w:eastAsia="宋体" w:hint="default"/>
                <w:sz w:val="18"/>
                <w:szCs w:val="18"/>
              </w:rPr>
              <w:t>批发零售 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w:t>
            </w:r>
          </w:p>
        </w:tc>
        <w:tc>
          <w:tcPr>
            <w:tcW w:w="4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销售工艺礼品，日用百货，文化用品，机械设备， 木制品、五金交电，电子产品，通信设备、及相关 </w:t>
            </w:r>
            <w:r>
              <w:rPr>
                <w:rFonts w:ascii="宋体" w:hAnsi="宋体" w:cs="宋体" w:eastAsia="宋体" w:hint="default"/>
                <w:spacing w:val="-11"/>
                <w:sz w:val="18"/>
                <w:szCs w:val="18"/>
              </w:rPr>
              <w:t>产品（除卫星地面接收装置）、实业投资，物业管理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会务服务、计算机技术领域内的技术开发、技术转 让、技术咨询、技术服务，从事货物进出口及技术 进出口业务。</w:t>
            </w:r>
          </w:p>
        </w:tc>
        <w:tc>
          <w:tcPr>
            <w:tcW w:w="10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8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0"/>
              <w:jc w:val="both"/>
              <w:rPr>
                <w:rFonts w:ascii="宋体" w:hAnsi="宋体" w:cs="宋体" w:eastAsia="宋体" w:hint="default"/>
                <w:sz w:val="18"/>
                <w:szCs w:val="18"/>
              </w:rPr>
            </w:pPr>
            <w:r>
              <w:rPr>
                <w:rFonts w:ascii="宋体" w:hAnsi="宋体" w:cs="宋体" w:eastAsia="宋体" w:hint="default"/>
                <w:sz w:val="18"/>
                <w:szCs w:val="18"/>
              </w:rPr>
              <w:t>西宁美特斯 邦威服饰有 限责任公司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西宁</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163"/>
              <w:jc w:val="left"/>
              <w:rPr>
                <w:rFonts w:ascii="宋体" w:hAnsi="宋体" w:cs="宋体" w:eastAsia="宋体" w:hint="default"/>
                <w:sz w:val="18"/>
                <w:szCs w:val="18"/>
              </w:rPr>
            </w:pPr>
            <w:r>
              <w:rPr>
                <w:rFonts w:ascii="宋体" w:hAnsi="宋体" w:cs="宋体" w:eastAsia="宋体" w:hint="default"/>
                <w:sz w:val="18"/>
                <w:szCs w:val="18"/>
              </w:rPr>
              <w:t>批发零售 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2,000,000</w:t>
            </w:r>
          </w:p>
        </w:tc>
        <w:tc>
          <w:tcPr>
            <w:tcW w:w="4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both"/>
              <w:rPr>
                <w:rFonts w:ascii="宋体" w:hAnsi="宋体" w:cs="宋体" w:eastAsia="宋体" w:hint="default"/>
                <w:sz w:val="18"/>
                <w:szCs w:val="18"/>
              </w:rPr>
            </w:pPr>
            <w:r>
              <w:rPr>
                <w:rFonts w:ascii="宋体" w:hAnsi="宋体" w:cs="宋体" w:eastAsia="宋体" w:hint="default"/>
                <w:sz w:val="18"/>
                <w:szCs w:val="18"/>
              </w:rPr>
              <w:t>服装、鞋、针织品、皮革制品、羽绒制品、箱包、 玩具、饰品、工艺品、日用百货、电子产品、室内 家居用品、体育用品器材、五金交电、礼品、建筑 材料、纸制品销售</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16"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120" w:right="10438"/>
        <w:jc w:val="left"/>
      </w:pPr>
      <w:r>
        <w:rPr/>
        <w:t>通过设立或投资等方式取得的子公司的其他说明 无</w:t>
      </w:r>
    </w:p>
    <w:p>
      <w:pPr>
        <w:spacing w:line="240" w:lineRule="auto" w:before="6"/>
        <w:rPr>
          <w:rFonts w:ascii="宋体" w:hAnsi="宋体" w:cs="宋体" w:eastAsia="宋体" w:hint="default"/>
          <w:sz w:val="20"/>
          <w:szCs w:val="20"/>
        </w:rPr>
      </w:pPr>
    </w:p>
    <w:p>
      <w:pPr>
        <w:pStyle w:val="Heading4"/>
        <w:spacing w:line="240" w:lineRule="auto"/>
        <w:ind w:left="120"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77"/>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006"/>
        <w:gridCol w:w="696"/>
        <w:gridCol w:w="850"/>
        <w:gridCol w:w="710"/>
        <w:gridCol w:w="992"/>
        <w:gridCol w:w="3403"/>
        <w:gridCol w:w="992"/>
        <w:gridCol w:w="566"/>
        <w:gridCol w:w="566"/>
        <w:gridCol w:w="710"/>
        <w:gridCol w:w="850"/>
        <w:gridCol w:w="699"/>
        <w:gridCol w:w="1003"/>
        <w:gridCol w:w="1003"/>
      </w:tblGrid>
      <w:tr>
        <w:trPr>
          <w:trHeight w:val="1610" w:hRule="exact"/>
        </w:trPr>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163" w:right="72" w:hanging="92"/>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259" w:right="79"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309" w:right="41" w:hanging="272"/>
              <w:jc w:val="left"/>
              <w:rPr>
                <w:rFonts w:ascii="宋体" w:hAnsi="宋体" w:cs="宋体" w:eastAsia="宋体" w:hint="default"/>
                <w:sz w:val="18"/>
                <w:szCs w:val="18"/>
              </w:rPr>
            </w:pPr>
            <w:r>
              <w:rPr>
                <w:rFonts w:ascii="宋体" w:hAnsi="宋体" w:cs="宋体" w:eastAsia="宋体" w:hint="default"/>
                <w:sz w:val="18"/>
                <w:szCs w:val="18"/>
              </w:rPr>
              <w:t>期末实际投 资额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8" w:right="96"/>
              <w:jc w:val="both"/>
              <w:rPr>
                <w:rFonts w:ascii="宋体" w:hAnsi="宋体" w:cs="宋体" w:eastAsia="宋体" w:hint="default"/>
                <w:sz w:val="18"/>
                <w:szCs w:val="18"/>
              </w:rPr>
            </w:pPr>
            <w:r>
              <w:rPr>
                <w:rFonts w:ascii="宋体" w:hAnsi="宋体" w:cs="宋体" w:eastAsia="宋体" w:hint="default"/>
                <w:sz w:val="18"/>
                <w:szCs w:val="18"/>
              </w:rPr>
              <w:t>实质 上构 成对 子公 司净</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6"/>
                <w:szCs w:val="26"/>
              </w:rPr>
            </w:pPr>
          </w:p>
          <w:p>
            <w:pPr>
              <w:pStyle w:val="TableParagraph"/>
              <w:spacing w:line="340" w:lineRule="auto"/>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36" w:right="34"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237" w:right="60" w:hanging="180"/>
              <w:jc w:val="left"/>
              <w:rPr>
                <w:rFonts w:ascii="宋体" w:hAnsi="宋体" w:cs="宋体" w:eastAsia="宋体" w:hint="default"/>
                <w:sz w:val="18"/>
                <w:szCs w:val="18"/>
              </w:rPr>
            </w:pPr>
            <w:r>
              <w:rPr>
                <w:rFonts w:ascii="宋体" w:hAnsi="宋体" w:cs="宋体" w:eastAsia="宋体" w:hint="default"/>
                <w:sz w:val="18"/>
                <w:szCs w:val="18"/>
              </w:rPr>
              <w:t>是否合并 报表</w:t>
            </w:r>
          </w:p>
        </w:tc>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74" w:right="74"/>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48" w:right="43"/>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8" w:right="43"/>
              <w:jc w:val="both"/>
              <w:rPr>
                <w:rFonts w:ascii="宋体" w:hAnsi="宋体" w:cs="宋体" w:eastAsia="宋体" w:hint="default"/>
                <w:sz w:val="18"/>
                <w:szCs w:val="18"/>
              </w:rPr>
            </w:pPr>
            <w:r>
              <w:rPr>
                <w:rFonts w:ascii="宋体" w:hAnsi="宋体" w:cs="宋体" w:eastAsia="宋体" w:hint="default"/>
                <w:sz w:val="18"/>
                <w:szCs w:val="18"/>
              </w:rPr>
              <w:t>从母公司所 有者权益冲 减子公司少 数股东分担 的本期亏损</w:t>
            </w:r>
          </w:p>
        </w:tc>
      </w:tr>
    </w:tbl>
    <w:p>
      <w:pPr>
        <w:spacing w:after="0" w:line="316" w:lineRule="auto"/>
        <w:jc w:val="both"/>
        <w:rPr>
          <w:rFonts w:ascii="宋体" w:hAnsi="宋体" w:cs="宋体" w:eastAsia="宋体" w:hint="default"/>
          <w:sz w:val="18"/>
          <w:szCs w:val="18"/>
        </w:rPr>
        <w:sectPr>
          <w:pgSz w:w="16840" w:h="11910" w:orient="landscape"/>
          <w:pgMar w:header="850" w:footer="1186" w:top="1440" w:bottom="1380" w:left="1320" w:right="1160"/>
        </w:sectPr>
      </w:pPr>
    </w:p>
    <w:p>
      <w:pPr>
        <w:spacing w:line="240" w:lineRule="auto" w:before="0"/>
        <w:rPr>
          <w:rFonts w:ascii="Times New Roman" w:hAnsi="Times New Roman" w:cs="Times New Roman" w:eastAsia="Times New Roman" w:hint="default"/>
          <w:sz w:val="20"/>
          <w:szCs w:val="20"/>
        </w:rPr>
      </w:pPr>
      <w:r>
        <w:rPr/>
        <w:pict>
          <v:shape style="position:absolute;margin-left:421.958008pt;margin-top:289.610016pt;width:82.25pt;height:23.4pt;mso-position-horizontal-relative:page;mso-position-vertical-relative:page;z-index:-750544" type="#_x0000_t202" filled="false" stroked="false">
            <v:textbox inset="0,0,0,0">
              <w:txbxContent>
                <w:p>
                  <w:pPr>
                    <w:pStyle w:val="BodyText"/>
                    <w:spacing w:line="240" w:lineRule="auto" w:before="49"/>
                    <w:ind w:left="0" w:right="0"/>
                    <w:jc w:val="left"/>
                  </w:pPr>
                  <w:r>
                    <w:rPr/>
                    <w:t>工艺品、</w:t>
                  </w:r>
                </w:p>
              </w:txbxContent>
            </v:textbox>
            <w10:wrap type="none"/>
          </v:shape>
        </w:pict>
      </w:r>
      <w:r>
        <w:rPr/>
        <w:pict>
          <v:shape style="position:absolute;margin-left:71.760002pt;margin-top:74.120010pt;width:703.1pt;height:439.25pt;mso-position-horizontal-relative:page;mso-position-vertical-relative:page;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06"/>
                    <w:gridCol w:w="696"/>
                    <w:gridCol w:w="850"/>
                    <w:gridCol w:w="710"/>
                    <w:gridCol w:w="992"/>
                    <w:gridCol w:w="3403"/>
                    <w:gridCol w:w="467"/>
                    <w:gridCol w:w="525"/>
                    <w:gridCol w:w="566"/>
                    <w:gridCol w:w="566"/>
                    <w:gridCol w:w="710"/>
                    <w:gridCol w:w="850"/>
                    <w:gridCol w:w="699"/>
                    <w:gridCol w:w="1003"/>
                    <w:gridCol w:w="1003"/>
                  </w:tblGrid>
                  <w:tr>
                    <w:trPr>
                      <w:trHeight w:val="1928" w:hRule="exact"/>
                    </w:trPr>
                    <w:tc>
                      <w:tcPr>
                        <w:tcW w:w="1006"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696"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3403"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992" w:type="dxa"/>
                        <w:gridSpan w:val="2"/>
                        <w:tcBorders>
                          <w:top w:val="single" w:sz="10"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98" w:right="96"/>
                          <w:jc w:val="both"/>
                          <w:rPr>
                            <w:rFonts w:ascii="宋体" w:hAnsi="宋体" w:cs="宋体" w:eastAsia="宋体" w:hint="default"/>
                            <w:sz w:val="18"/>
                            <w:szCs w:val="18"/>
                          </w:rPr>
                        </w:pPr>
                        <w:r>
                          <w:rPr>
                            <w:rFonts w:ascii="宋体" w:hAnsi="宋体" w:cs="宋体" w:eastAsia="宋体" w:hint="default"/>
                            <w:sz w:val="18"/>
                            <w:szCs w:val="18"/>
                          </w:rPr>
                          <w:t>投资 的其 他项 目余 额</w:t>
                        </w:r>
                      </w:p>
                    </w:tc>
                    <w:tc>
                      <w:tcPr>
                        <w:tcW w:w="566"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699"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003"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00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48" w:right="43"/>
                          <w:jc w:val="center"/>
                          <w:rPr>
                            <w:rFonts w:ascii="宋体" w:hAnsi="宋体" w:cs="宋体" w:eastAsia="宋体" w:hint="default"/>
                            <w:sz w:val="18"/>
                            <w:szCs w:val="18"/>
                          </w:rPr>
                        </w:pPr>
                        <w:r>
                          <w:rPr>
                            <w:rFonts w:ascii="宋体" w:hAnsi="宋体" w:cs="宋体" w:eastAsia="宋体" w:hint="default"/>
                            <w:sz w:val="18"/>
                            <w:szCs w:val="18"/>
                          </w:rPr>
                          <w:t>超过少数股 东在该子公 司年初所有 者权益中所 享有份额后 的余额</w:t>
                        </w:r>
                      </w:p>
                    </w:tc>
                  </w:tr>
                  <w:tr>
                    <w:trPr>
                      <w:trHeight w:val="1340"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70"/>
                          <w:jc w:val="both"/>
                          <w:rPr>
                            <w:rFonts w:ascii="宋体" w:hAnsi="宋体" w:cs="宋体" w:eastAsia="宋体" w:hint="default"/>
                            <w:sz w:val="18"/>
                            <w:szCs w:val="18"/>
                          </w:rPr>
                        </w:pPr>
                        <w:r>
                          <w:rPr>
                            <w:rFonts w:ascii="宋体" w:hAnsi="宋体" w:cs="宋体" w:eastAsia="宋体" w:hint="default"/>
                            <w:sz w:val="18"/>
                            <w:szCs w:val="18"/>
                          </w:rPr>
                          <w:t>上海美特斯 邦威企业发 展有限公司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34"/>
                          <w:jc w:val="left"/>
                          <w:rPr>
                            <w:rFonts w:ascii="宋体" w:hAnsi="宋体" w:cs="宋体" w:eastAsia="宋体" w:hint="default"/>
                            <w:sz w:val="18"/>
                            <w:szCs w:val="18"/>
                          </w:rPr>
                        </w:pPr>
                        <w:r>
                          <w:rPr>
                            <w:rFonts w:ascii="宋体" w:hAnsi="宋体" w:cs="宋体" w:eastAsia="宋体" w:hint="default"/>
                            <w:sz w:val="18"/>
                            <w:szCs w:val="18"/>
                          </w:rPr>
                          <w:t>批发零 售业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1" w:right="0"/>
                          <w:jc w:val="left"/>
                          <w:rPr>
                            <w:rFonts w:ascii="Times New Roman" w:hAnsi="Times New Roman" w:cs="Times New Roman" w:eastAsia="Times New Roman" w:hint="default"/>
                            <w:sz w:val="18"/>
                            <w:szCs w:val="18"/>
                          </w:rPr>
                        </w:pPr>
                        <w:r>
                          <w:rPr>
                            <w:rFonts w:ascii="Times New Roman"/>
                            <w:sz w:val="18"/>
                          </w:rPr>
                          <w:t>50,000,000</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服装，鞋，针织品，皮革制品箱包，玩具 </w:t>
                        </w:r>
                        <w:r>
                          <w:rPr>
                            <w:rFonts w:ascii="宋体" w:hAnsi="宋体" w:cs="宋体" w:eastAsia="宋体" w:hint="default"/>
                            <w:spacing w:val="-5"/>
                            <w:sz w:val="18"/>
                            <w:szCs w:val="18"/>
                          </w:rPr>
                          <w:t>工艺饰品，百货，木制品，电子设备，五金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交电，建筑材料，纸制品，批发，零售；附</w:t>
                        </w:r>
                        <w:r>
                          <w:rPr>
                            <w:rFonts w:ascii="宋体" w:hAnsi="宋体" w:cs="宋体" w:eastAsia="宋体" w:hint="default"/>
                            <w:sz w:val="18"/>
                            <w:szCs w:val="18"/>
                          </w:rPr>
                          <w:t> 设分支机构。</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63,513,308</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上海美特斯 邦威服饰销 售有限公司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3" w:right="134"/>
                          <w:jc w:val="left"/>
                          <w:rPr>
                            <w:rFonts w:ascii="宋体" w:hAnsi="宋体" w:cs="宋体" w:eastAsia="宋体" w:hint="default"/>
                            <w:sz w:val="18"/>
                            <w:szCs w:val="18"/>
                          </w:rPr>
                        </w:pPr>
                        <w:r>
                          <w:rPr>
                            <w:rFonts w:ascii="宋体" w:hAnsi="宋体" w:cs="宋体" w:eastAsia="宋体" w:hint="default"/>
                            <w:sz w:val="18"/>
                            <w:szCs w:val="18"/>
                          </w:rPr>
                          <w:t>批发零 售业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20,000,000</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服装，皮革制品，羽绒制品、饰品。</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11,874,493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70"/>
                          <w:jc w:val="both"/>
                          <w:rPr>
                            <w:rFonts w:ascii="宋体" w:hAnsi="宋体" w:cs="宋体" w:eastAsia="宋体" w:hint="default"/>
                            <w:sz w:val="18"/>
                            <w:szCs w:val="18"/>
                          </w:rPr>
                        </w:pPr>
                        <w:r>
                          <w:rPr>
                            <w:rFonts w:ascii="宋体" w:hAnsi="宋体" w:cs="宋体" w:eastAsia="宋体" w:hint="default"/>
                            <w:sz w:val="18"/>
                            <w:szCs w:val="18"/>
                          </w:rPr>
                          <w:t>成都美特斯 邦威服饰有 限责任公司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34"/>
                          <w:jc w:val="left"/>
                          <w:rPr>
                            <w:rFonts w:ascii="宋体" w:hAnsi="宋体" w:cs="宋体" w:eastAsia="宋体" w:hint="default"/>
                            <w:sz w:val="18"/>
                            <w:szCs w:val="18"/>
                          </w:rPr>
                        </w:pPr>
                        <w:r>
                          <w:rPr>
                            <w:rFonts w:ascii="宋体" w:hAnsi="宋体" w:cs="宋体" w:eastAsia="宋体" w:hint="default"/>
                            <w:sz w:val="18"/>
                            <w:szCs w:val="18"/>
                          </w:rPr>
                          <w:t>批发零 售业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1" w:right="0"/>
                          <w:jc w:val="left"/>
                          <w:rPr>
                            <w:rFonts w:ascii="Times New Roman" w:hAnsi="Times New Roman" w:cs="Times New Roman" w:eastAsia="Times New Roman" w:hint="default"/>
                            <w:sz w:val="18"/>
                            <w:szCs w:val="18"/>
                          </w:rPr>
                        </w:pPr>
                        <w:r>
                          <w:rPr>
                            <w:rFonts w:ascii="Times New Roman"/>
                            <w:sz w:val="18"/>
                          </w:rPr>
                          <w:t>10,000,000</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pacing w:val="-8"/>
                            <w:sz w:val="18"/>
                            <w:szCs w:val="18"/>
                          </w:rPr>
                          <w:t>服装鞋帽、针纺织品、皮革、箱包、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玩具、家具制品、销售：五金交电、日用百</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5"/>
                            <w:sz w:val="18"/>
                            <w:szCs w:val="18"/>
                          </w:rPr>
                          <w:t>货、电子设备、建筑材料、普通机械、纸制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品。</w:t>
                        </w:r>
                      </w:p>
                    </w:tc>
                    <w:tc>
                      <w:tcPr>
                        <w:tcW w:w="467" w:type="dxa"/>
                        <w:tcBorders>
                          <w:top w:val="single" w:sz="4" w:space="0" w:color="000000"/>
                          <w:left w:val="single" w:sz="4" w:space="0" w:color="000000"/>
                          <w:bottom w:val="single" w:sz="4" w:space="0" w:color="000000"/>
                          <w:right w:val="nil" w:sz="6" w:space="0" w:color="auto"/>
                        </w:tcBorders>
                      </w:tcPr>
                      <w:p>
                        <w:pPr/>
                      </w:p>
                    </w:tc>
                    <w:tc>
                      <w:tcPr>
                        <w:tcW w:w="52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1706"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16" w:lineRule="auto"/>
                          <w:ind w:left="23" w:right="70"/>
                          <w:jc w:val="both"/>
                          <w:rPr>
                            <w:rFonts w:ascii="宋体" w:hAnsi="宋体" w:cs="宋体" w:eastAsia="宋体" w:hint="default"/>
                            <w:sz w:val="18"/>
                            <w:szCs w:val="18"/>
                          </w:rPr>
                        </w:pPr>
                        <w:r>
                          <w:rPr>
                            <w:rFonts w:ascii="宋体" w:hAnsi="宋体" w:cs="宋体" w:eastAsia="宋体" w:hint="default"/>
                            <w:sz w:val="18"/>
                            <w:szCs w:val="18"/>
                          </w:rPr>
                          <w:t>沈阳美特斯 邦威服饰有 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2"/>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2"/>
                          <w:ind w:left="23" w:right="134"/>
                          <w:jc w:val="left"/>
                          <w:rPr>
                            <w:rFonts w:ascii="宋体" w:hAnsi="宋体" w:cs="宋体" w:eastAsia="宋体" w:hint="default"/>
                            <w:sz w:val="18"/>
                            <w:szCs w:val="18"/>
                          </w:rPr>
                        </w:pPr>
                        <w:r>
                          <w:rPr>
                            <w:rFonts w:ascii="宋体" w:hAnsi="宋体" w:cs="宋体" w:eastAsia="宋体" w:hint="default"/>
                            <w:sz w:val="18"/>
                            <w:szCs w:val="18"/>
                          </w:rPr>
                          <w:t>批发零 售业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21" w:right="0"/>
                          <w:jc w:val="left"/>
                          <w:rPr>
                            <w:rFonts w:ascii="Times New Roman" w:hAnsi="Times New Roman" w:cs="Times New Roman" w:eastAsia="Times New Roman" w:hint="default"/>
                            <w:sz w:val="18"/>
                            <w:szCs w:val="18"/>
                          </w:rPr>
                        </w:pPr>
                        <w:r>
                          <w:rPr>
                            <w:rFonts w:ascii="Times New Roman"/>
                            <w:sz w:val="18"/>
                          </w:rPr>
                          <w:t>10,000,000</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pacing w:val="-4"/>
                            <w:sz w:val="18"/>
                            <w:szCs w:val="18"/>
                          </w:rPr>
                          <w:t>服装、鞋帽、百货、针纺织品、箱包、羽绒</w:t>
                        </w:r>
                        <w:r>
                          <w:rPr>
                            <w:rFonts w:ascii="宋体" w:hAnsi="宋体" w:cs="宋体" w:eastAsia="宋体" w:hint="default"/>
                            <w:sz w:val="18"/>
                            <w:szCs w:val="18"/>
                          </w:rPr>
                          <w:t> </w:t>
                        </w:r>
                        <w:r>
                          <w:rPr>
                            <w:rFonts w:ascii="宋体" w:hAnsi="宋体" w:cs="宋体" w:eastAsia="宋体" w:hint="default"/>
                            <w:spacing w:val="-5"/>
                            <w:sz w:val="18"/>
                            <w:szCs w:val="18"/>
                          </w:rPr>
                          <w:t>服、工艺品、纸制品、玩具、机电设备、电</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子产品、五金交电、建筑材料销售。</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237" w:right="0"/>
                          <w:jc w:val="left"/>
                          <w:rPr>
                            <w:rFonts w:ascii="Times New Roman" w:hAnsi="Times New Roman" w:cs="Times New Roman" w:eastAsia="Times New Roman" w:hint="default"/>
                            <w:sz w:val="18"/>
                            <w:szCs w:val="18"/>
                          </w:rPr>
                        </w:pPr>
                        <w:r>
                          <w:rPr>
                            <w:rFonts w:ascii="Times New Roman"/>
                            <w:sz w:val="18"/>
                          </w:rPr>
                          <w:t>6,124,104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4"/>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7"/>
                          <w:jc w:val="righ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天津美特斯 邦威服饰有 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34"/>
                          <w:jc w:val="left"/>
                          <w:rPr>
                            <w:rFonts w:ascii="宋体" w:hAnsi="宋体" w:cs="宋体" w:eastAsia="宋体" w:hint="default"/>
                            <w:sz w:val="18"/>
                            <w:szCs w:val="18"/>
                          </w:rPr>
                        </w:pPr>
                        <w:r>
                          <w:rPr>
                            <w:rFonts w:ascii="宋体" w:hAnsi="宋体" w:cs="宋体" w:eastAsia="宋体" w:hint="default"/>
                            <w:sz w:val="18"/>
                            <w:szCs w:val="18"/>
                          </w:rPr>
                          <w:t>批发零 售业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both"/>
                          <w:rPr>
                            <w:rFonts w:ascii="宋体" w:hAnsi="宋体" w:cs="宋体" w:eastAsia="宋体" w:hint="default"/>
                            <w:sz w:val="18"/>
                            <w:szCs w:val="18"/>
                          </w:rPr>
                        </w:pPr>
                        <w:r>
                          <w:rPr>
                            <w:rFonts w:ascii="宋体" w:hAnsi="宋体" w:cs="宋体" w:eastAsia="宋体" w:hint="default"/>
                            <w:spacing w:val="-5"/>
                            <w:sz w:val="18"/>
                            <w:szCs w:val="18"/>
                          </w:rPr>
                          <w:t>服装，服饰、纺织品、工艺品、鞋帽批发兼</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零售；以下限分支机构经营：服饰加工、制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作。</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6,788,749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济南美特斯</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控股子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批发零</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10,000,000</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pacing w:val="-9"/>
                            <w:sz w:val="18"/>
                            <w:szCs w:val="18"/>
                          </w:rPr>
                          <w:t>批发、零售：服装，鞋，针织品、皮革制品</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position w:val="2"/>
                            <w:sz w:val="18"/>
                            <w:szCs w:val="18"/>
                          </w:rPr>
                          <w:t>6,095,832</w:t>
                        </w:r>
                        <w:r>
                          <w:rPr>
                            <w:rFonts w:ascii="Times New Roman" w:hAnsi="Times New Roman" w:cs="Times New Roman" w:eastAsia="Times New Roman"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spacing w:line="468" w:lineRule="exact"/>
        <w:ind w:left="778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9.15pt;height:23.4pt;mso-position-horizontal-relative:char;mso-position-vertical-relative:line" coordorigin="0,0" coordsize="983,468">
            <v:group style="position:absolute;left:0;top:0;width:983;height:468" coordorigin="0,0" coordsize="983,468">
              <v:shape style="position:absolute;left:0;top:0;width:983;height:468" coordorigin="0,0" coordsize="983,468" path="m0,468l982,468,982,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spacing w:line="468" w:lineRule="exact"/>
        <w:ind w:left="778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9.15pt;height:23.4pt;mso-position-horizontal-relative:char;mso-position-vertical-relative:line" coordorigin="0,0" coordsize="983,468">
            <v:group style="position:absolute;left:0;top:0;width:983;height:468" coordorigin="0,0" coordsize="983,468">
              <v:shape style="position:absolute;left:0;top:0;width:983;height:468" coordorigin="0,0" coordsize="983,468" path="m0,468l982,468,982,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p>
      <w:pPr>
        <w:spacing w:line="412" w:lineRule="exact"/>
        <w:ind w:left="778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95pt;height:20.65pt;mso-position-horizontal-relative:char;mso-position-vertical-relative:line" coordorigin="0,0" coordsize="959,413">
            <v:group style="position:absolute;left:11;top:11;width:2;height:392" coordorigin="11,11" coordsize="2,392">
              <v:shape style="position:absolute;left:11;top:11;width:2;height:392" coordorigin="11,11" coordsize="0,392" path="m11,11l11,402e" filled="false" stroked="true" strokeweight="1.08pt" strokecolor="#ffffff">
                <v:path arrowok="t"/>
              </v:shape>
            </v:group>
            <v:group style="position:absolute;left:22;top:11;width:937;height:392" coordorigin="22,11" coordsize="937,392">
              <v:shape style="position:absolute;left:22;top:11;width:937;height:392" coordorigin="22,11" coordsize="937,392" path="m22,402l958,402,958,11,22,11,22,402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spacing w:after="0" w:line="412" w:lineRule="exact"/>
        <w:rPr>
          <w:rFonts w:ascii="Times New Roman" w:hAnsi="Times New Roman" w:cs="Times New Roman" w:eastAsia="Times New Roman" w:hint="default"/>
          <w:sz w:val="20"/>
          <w:szCs w:val="20"/>
        </w:rPr>
        <w:sectPr>
          <w:pgSz w:w="16840" w:h="11910" w:orient="landscape"/>
          <w:pgMar w:header="850" w:footer="1186" w:top="1500" w:bottom="1380" w:left="1320" w:right="12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5"/>
          <w:szCs w:val="25"/>
        </w:rPr>
      </w:pPr>
    </w:p>
    <w:p>
      <w:pPr>
        <w:pStyle w:val="BodyText"/>
        <w:spacing w:line="240" w:lineRule="auto" w:before="44"/>
        <w:ind w:left="4402" w:right="0"/>
        <w:jc w:val="left"/>
      </w:pPr>
      <w:r>
        <w:rPr/>
        <w:pict>
          <v:shape style="position:absolute;margin-left:430.958008pt;margin-top:-80.648293pt;width:73.25pt;height:48.75pt;mso-position-horizontal-relative:page;mso-position-vertical-relative:paragraph;z-index:-750496" type="#_x0000_t202" filled="false" stroked="false">
            <v:textbox inset="0,0,0,0">
              <w:txbxContent>
                <w:p>
                  <w:pPr>
                    <w:pStyle w:val="BodyText"/>
                    <w:spacing w:line="240" w:lineRule="auto" w:before="8"/>
                    <w:ind w:left="0" w:right="0"/>
                    <w:jc w:val="left"/>
                  </w:pPr>
                  <w:r>
                    <w:rPr/>
                    <w:t>百货，</w:t>
                  </w:r>
                </w:p>
              </w:txbxContent>
            </v:textbox>
            <w10:wrap type="none"/>
          </v:shape>
        </w:pict>
      </w:r>
      <w:r>
        <w:rPr/>
        <w:t>品、电子产品、五金、交电</w:t>
      </w:r>
      <w:r>
        <w:rPr>
          <w:rFonts w:ascii="Times New Roman" w:hAnsi="Times New Roman" w:cs="Times New Roman" w:eastAsia="Times New Roman" w:hint="default"/>
        </w:rPr>
        <w:t>(</w:t>
      </w:r>
      <w:r>
        <w:rPr/>
        <w:t>不含电动自行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44"/>
        <w:ind w:left="4402" w:right="0"/>
        <w:jc w:val="left"/>
      </w:pPr>
      <w:r>
        <w:rPr/>
        <w:t>品、电子设备、五金交电、建筑材料批发、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BodyText"/>
        <w:tabs>
          <w:tab w:pos="2700" w:val="left" w:leader="none"/>
          <w:tab w:pos="4402" w:val="left" w:leader="none"/>
        </w:tabs>
        <w:spacing w:line="240" w:lineRule="auto" w:before="44"/>
        <w:ind w:left="148" w:right="0"/>
        <w:jc w:val="left"/>
      </w:pPr>
      <w:r>
        <w:rPr/>
        <w:t>饰有限公司</w:t>
      </w:r>
      <w:r>
        <w:rPr>
          <w:spacing w:val="16"/>
        </w:rPr>
        <w:t> </w:t>
      </w:r>
      <w:r>
        <w:rPr/>
        <w:t>公司</w:t>
        <w:tab/>
        <w:t>售业</w:t>
        <w:tab/>
        <w:t>纺织品，文化用品，健身器材。</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6840" w:h="11910" w:orient="landscape"/>
          <w:pgMar w:header="850" w:footer="1186" w:top="1440" w:bottom="1380" w:left="1320" w:right="1240"/>
        </w:sectPr>
      </w:pPr>
    </w:p>
    <w:p>
      <w:pPr>
        <w:pStyle w:val="BodyText"/>
        <w:spacing w:line="316" w:lineRule="auto" w:before="44"/>
        <w:ind w:left="1154" w:right="-20"/>
        <w:jc w:val="left"/>
      </w:pPr>
      <w:r>
        <w:rPr/>
        <w:pict>
          <v:group style="position:absolute;margin-left:454.609985pt;margin-top:74.540001pt;width:50.1pt;height:449.85pt;mso-position-horizontal-relative:page;mso-position-vertical-relative:page;z-index:-750472" coordorigin="9092,1491" coordsize="1002,8997">
            <v:group style="position:absolute;left:9102;top:1508;width:983;height:975" coordorigin="9102,1508" coordsize="983,975">
              <v:shape style="position:absolute;left:9102;top:1508;width:983;height:975" coordorigin="9102,1508" coordsize="983,975" path="m9102,2482l10084,2482,10084,1508,9102,1508,9102,2482xe" filled="true" fillcolor="#ffffff" stroked="false">
                <v:path arrowok="t"/>
                <v:fill type="solid"/>
              </v:shape>
            </v:group>
            <v:group style="position:absolute;left:9102;top:2492;width:983;height:468" coordorigin="9102,2492" coordsize="983,468">
              <v:shape style="position:absolute;left:9102;top:2492;width:983;height:468" coordorigin="9102,2492" coordsize="983,468" path="m9102,2960l10084,2960,10084,2492,9102,2492,9102,2960xe" filled="true" fillcolor="#ffffff" stroked="false">
                <v:path arrowok="t"/>
                <v:fill type="solid"/>
              </v:shape>
            </v:group>
            <v:group style="position:absolute;left:9113;top:4143;width:2;height:392" coordorigin="9113,4143" coordsize="2,392">
              <v:shape style="position:absolute;left:9113;top:4143;width:2;height:392" coordorigin="9113,4143" coordsize="0,392" path="m9113,4143l9113,4535e" filled="false" stroked="true" strokeweight="1.08pt" strokecolor="#ffffff">
                <v:path arrowok="t"/>
              </v:shape>
            </v:group>
            <v:group style="position:absolute;left:9123;top:4143;width:937;height:392" coordorigin="9123,4143" coordsize="937,392">
              <v:shape style="position:absolute;left:9123;top:4143;width:937;height:392" coordorigin="9123,4143" coordsize="937,392" path="m9123,4535l10060,4535,10060,4143,9123,4143,9123,4535xe" filled="true" fillcolor="#ffffff" stroked="false">
                <v:path arrowok="t"/>
                <v:fill type="solid"/>
              </v:shape>
            </v:group>
            <v:group style="position:absolute;left:9102;top:4856;width:983;height:468" coordorigin="9102,4856" coordsize="983,468">
              <v:shape style="position:absolute;left:9102;top:4856;width:983;height:468" coordorigin="9102,4856" coordsize="983,468" path="m9102,5324l10084,5324,10084,4856,9102,4856,9102,5324xe" filled="true" fillcolor="#ffffff" stroked="false">
                <v:path arrowok="t"/>
                <v:fill type="solid"/>
              </v:shape>
            </v:group>
            <v:group style="position:absolute;left:9113;top:5324;width:2;height:394" coordorigin="9113,5324" coordsize="2,394">
              <v:shape style="position:absolute;left:9113;top:5324;width:2;height:394" coordorigin="9113,5324" coordsize="0,394" path="m9113,5324l9113,5718e" filled="false" stroked="true" strokeweight="1.08pt" strokecolor="#ffffff">
                <v:path arrowok="t"/>
              </v:shape>
            </v:group>
            <v:group style="position:absolute;left:9102;top:5718;width:983;height:468" coordorigin="9102,5718" coordsize="983,468">
              <v:shape style="position:absolute;left:9102;top:5718;width:983;height:468" coordorigin="9102,5718" coordsize="983,468" path="m9102,6186l10084,6186,10084,5718,9102,5718,9102,6186xe" filled="true" fillcolor="#ffffff" stroked="false">
                <v:path arrowok="t"/>
                <v:fill type="solid"/>
              </v:shape>
            </v:group>
            <v:group style="position:absolute;left:9123;top:5324;width:937;height:394" coordorigin="9123,5324" coordsize="937,394">
              <v:shape style="position:absolute;left:9123;top:5324;width:937;height:394" coordorigin="9123,5324" coordsize="937,394" path="m9123,5718l10060,5718,10060,5324,9123,5324,9123,5718xe" filled="true" fillcolor="#ffffff" stroked="false">
                <v:path arrowok="t"/>
                <v:fill type="solid"/>
              </v:shape>
            </v:group>
            <v:group style="position:absolute;left:9102;top:8157;width:983;height:156" coordorigin="9102,8157" coordsize="983,156">
              <v:shape style="position:absolute;left:9102;top:8157;width:983;height:156" coordorigin="9102,8157" coordsize="983,156" path="m9102,8313l10084,8313,10084,8157,9102,8157,9102,8313xe" filled="true" fillcolor="#ffffff" stroked="false">
                <v:path arrowok="t"/>
                <v:fill type="solid"/>
              </v:shape>
            </v:group>
            <v:group style="position:absolute;left:9113;top:8313;width:2;height:394" coordorigin="9113,8313" coordsize="2,394">
              <v:shape style="position:absolute;left:9113;top:8313;width:2;height:394" coordorigin="9113,8313" coordsize="0,394" path="m9113,8313l9113,8706e" filled="false" stroked="true" strokeweight="1.08pt" strokecolor="#ffffff">
                <v:path arrowok="t"/>
              </v:shape>
            </v:group>
            <v:group style="position:absolute;left:9123;top:8313;width:937;height:394" coordorigin="9123,8313" coordsize="937,394">
              <v:shape style="position:absolute;left:9123;top:8313;width:937;height:394" coordorigin="9123,8313" coordsize="937,394" path="m9123,8706l10060,8706,10060,8313,9123,8313,9123,8706xe" filled="true" fillcolor="#ffffff" stroked="false">
                <v:path arrowok="t"/>
                <v:fill type="solid"/>
              </v:shape>
            </v:group>
            <v:group style="position:absolute;left:9097;top:1496;width:2;height:8988" coordorigin="9097,1496" coordsize="2,8988">
              <v:shape style="position:absolute;left:9097;top:1496;width:2;height:8988" coordorigin="9097,1496" coordsize="0,8988" path="m9097,1496l9097,10483e" filled="false" stroked="true" strokeweight=".48001pt" strokecolor="#000000">
                <v:path arrowok="t"/>
              </v:shape>
            </v:group>
            <v:group style="position:absolute;left:10089;top:1496;width:2;height:8988" coordorigin="10089,1496" coordsize="2,8988">
              <v:shape style="position:absolute;left:10089;top:1496;width:2;height:8988" coordorigin="10089,1496" coordsize="0,8988" path="m10089,1496l10089,10483e" filled="false" stroked="true" strokeweight=".47998pt" strokecolor="#000000">
                <v:path arrowok="t"/>
              </v:shape>
            </v:group>
            <w10:wrap type="none"/>
          </v:group>
        </w:pict>
      </w:r>
      <w:r>
        <w:rPr/>
        <w:pict>
          <v:group style="position:absolute;margin-left:72pt;margin-top:74.780006pt;width:.1pt;height:449.4pt;mso-position-horizontal-relative:page;mso-position-vertical-relative:page;z-index:3064" coordorigin="1440,1496" coordsize="2,8988">
            <v:shape style="position:absolute;left:1440;top:1496;width:2;height:8988" coordorigin="1440,1496" coordsize="0,8988" path="m1440,1496l1440,10483e" filled="false" stroked="true" strokeweight=".48pt" strokecolor="#000000">
              <v:path arrowok="t"/>
            </v:shape>
            <w10:wrap type="none"/>
          </v:group>
        </w:pict>
      </w:r>
      <w:r>
        <w:rPr/>
        <w:pict>
          <v:group style="position:absolute;margin-left:122.300003pt;margin-top:74.780006pt;width:.1pt;height:449.4pt;mso-position-horizontal-relative:page;mso-position-vertical-relative:page;z-index:-750424" coordorigin="2446,1496" coordsize="2,8988">
            <v:shape style="position:absolute;left:2446;top:1496;width:2;height:8988" coordorigin="2446,1496" coordsize="0,8988" path="m2446,1496l2446,10483e" filled="false" stroked="true" strokeweight=".48pt" strokecolor="#000000">
              <v:path arrowok="t"/>
            </v:shape>
            <w10:wrap type="none"/>
          </v:group>
        </w:pict>
      </w:r>
      <w:r>
        <w:rPr/>
        <w:pict>
          <v:group style="position:absolute;margin-left:157.100006pt;margin-top:74.780006pt;width:.1pt;height:449.4pt;mso-position-horizontal-relative:page;mso-position-vertical-relative:page;z-index:-750400" coordorigin="3142,1496" coordsize="2,8988">
            <v:shape style="position:absolute;left:3142;top:1496;width:2;height:8988" coordorigin="3142,1496" coordsize="0,8988" path="m3142,1496l3142,10483e" filled="false" stroked="true" strokeweight=".48pt" strokecolor="#000000">
              <v:path arrowok="t"/>
            </v:shape>
            <w10:wrap type="none"/>
          </v:group>
        </w:pict>
      </w:r>
      <w:r>
        <w:rPr/>
        <w:pict>
          <v:group style="position:absolute;margin-left:199.580002pt;margin-top:74.780006pt;width:.1pt;height:449.4pt;mso-position-horizontal-relative:page;mso-position-vertical-relative:page;z-index:-750376" coordorigin="3992,1496" coordsize="2,8988">
            <v:shape style="position:absolute;left:3992;top:1496;width:2;height:8988" coordorigin="3992,1496" coordsize="0,8988" path="m3992,1496l3992,10483e" filled="false" stroked="true" strokeweight=".48001pt" strokecolor="#000000">
              <v:path arrowok="t"/>
            </v:shape>
            <w10:wrap type="none"/>
          </v:group>
        </w:pict>
      </w:r>
      <w:r>
        <w:rPr/>
        <w:pict>
          <v:group style="position:absolute;margin-left:235.100006pt;margin-top:74.780006pt;width:.1pt;height:449.4pt;mso-position-horizontal-relative:page;mso-position-vertical-relative:page;z-index:-750352" coordorigin="4702,1496" coordsize="2,8988">
            <v:shape style="position:absolute;left:4702;top:1496;width:2;height:8988" coordorigin="4702,1496" coordsize="0,8988" path="m4702,1496l4702,10483e" filled="false" stroked="true" strokeweight=".48001pt" strokecolor="#000000">
              <v:path arrowok="t"/>
            </v:shape>
            <w10:wrap type="none"/>
          </v:group>
        </w:pict>
      </w:r>
      <w:r>
        <w:rPr/>
        <w:pict>
          <v:group style="position:absolute;margin-left:284.690002pt;margin-top:74.780006pt;width:.1pt;height:449.4pt;mso-position-horizontal-relative:page;mso-position-vertical-relative:page;z-index:-750328" coordorigin="5694,1496" coordsize="2,8988">
            <v:shape style="position:absolute;left:5694;top:1496;width:2;height:8988" coordorigin="5694,1496" coordsize="0,8988" path="m5694,1496l5694,10483e" filled="false" stroked="true" strokeweight=".48001pt" strokecolor="#000000">
              <v:path arrowok="t"/>
            </v:shape>
            <w10:wrap type="none"/>
          </v:group>
        </w:pict>
      </w:r>
      <w:r>
        <w:rPr/>
        <w:pict>
          <v:group style="position:absolute;margin-left:532.75pt;margin-top:74.780006pt;width:.1pt;height:449.4pt;mso-position-horizontal-relative:page;mso-position-vertical-relative:page;z-index:3208" coordorigin="10655,1496" coordsize="2,8988">
            <v:shape style="position:absolute;left:10655;top:1496;width:2;height:8988" coordorigin="10655,1496" coordsize="0,8988" path="m10655,1496l10655,10483e" filled="false" stroked="true" strokeweight=".47998pt" strokecolor="#000000">
              <v:path arrowok="t"/>
            </v:shape>
            <w10:wrap type="none"/>
          </v:group>
        </w:pict>
      </w:r>
      <w:r>
        <w:rPr/>
        <w:pict>
          <v:group style="position:absolute;margin-left:561.070007pt;margin-top:74.780006pt;width:.1pt;height:449.4pt;mso-position-horizontal-relative:page;mso-position-vertical-relative:page;z-index:3232" coordorigin="11221,1496" coordsize="2,8988">
            <v:shape style="position:absolute;left:11221;top:1496;width:2;height:8988" coordorigin="11221,1496" coordsize="0,8988" path="m11221,1496l11221,10483e" filled="false" stroked="true" strokeweight=".47998pt" strokecolor="#000000">
              <v:path arrowok="t"/>
            </v:shape>
            <w10:wrap type="none"/>
          </v:group>
        </w:pict>
      </w:r>
      <w:r>
        <w:rPr/>
        <w:pict>
          <v:group style="position:absolute;margin-left:596.590027pt;margin-top:74.780006pt;width:.1pt;height:449.4pt;mso-position-horizontal-relative:page;mso-position-vertical-relative:page;z-index:3256" coordorigin="11932,1496" coordsize="2,8988">
            <v:shape style="position:absolute;left:11932;top:1496;width:2;height:8988" coordorigin="11932,1496" coordsize="0,8988" path="m11932,1496l11932,10483e" filled="false" stroked="true" strokeweight=".48004pt" strokecolor="#000000">
              <v:path arrowok="t"/>
            </v:shape>
            <w10:wrap type="none"/>
          </v:group>
        </w:pict>
      </w:r>
      <w:r>
        <w:rPr/>
        <w:pict>
          <v:group style="position:absolute;margin-left:639.070007pt;margin-top:74.780006pt;width:.1pt;height:449.4pt;mso-position-horizontal-relative:page;mso-position-vertical-relative:page;z-index:3280" coordorigin="12781,1496" coordsize="2,8988">
            <v:shape style="position:absolute;left:12781;top:1496;width:2;height:8988" coordorigin="12781,1496" coordsize="0,8988" path="m12781,1496l12781,10483e" filled="false" stroked="true" strokeweight=".47998pt" strokecolor="#000000">
              <v:path arrowok="t"/>
            </v:shape>
            <w10:wrap type="none"/>
          </v:group>
        </w:pict>
      </w:r>
      <w:r>
        <w:rPr/>
        <w:pict>
          <v:group style="position:absolute;margin-left:674.02002pt;margin-top:74.780006pt;width:.1pt;height:449.4pt;mso-position-horizontal-relative:page;mso-position-vertical-relative:page;z-index:3304" coordorigin="13480,1496" coordsize="2,8988">
            <v:shape style="position:absolute;left:13480;top:1496;width:2;height:8988" coordorigin="13480,1496" coordsize="0,8988" path="m13480,1496l13480,10483e" filled="false" stroked="true" strokeweight=".47998pt" strokecolor="#000000">
              <v:path arrowok="t"/>
            </v:shape>
            <w10:wrap type="none"/>
          </v:group>
        </w:pict>
      </w:r>
      <w:r>
        <w:rPr/>
        <w:pict>
          <v:group style="position:absolute;margin-left:724.179993pt;margin-top:74.780006pt;width:.1pt;height:449.4pt;mso-position-horizontal-relative:page;mso-position-vertical-relative:page;z-index:3328" coordorigin="14484,1496" coordsize="2,8988">
            <v:shape style="position:absolute;left:14484;top:1496;width:2;height:8988" coordorigin="14484,1496" coordsize="0,8988" path="m14484,1496l14484,10483e" filled="false" stroked="true" strokeweight=".47998pt" strokecolor="#000000">
              <v:path arrowok="t"/>
            </v:shape>
            <w10:wrap type="none"/>
          </v:group>
        </w:pict>
      </w:r>
      <w:r>
        <w:rPr/>
        <w:pict>
          <v:group style="position:absolute;margin-left:774.339966pt;margin-top:74.780006pt;width:.1pt;height:449.4pt;mso-position-horizontal-relative:page;mso-position-vertical-relative:page;z-index:3352" coordorigin="15487,1496" coordsize="2,8988">
            <v:shape style="position:absolute;left:15487;top:1496;width:2;height:8988" coordorigin="15487,1496" coordsize="0,8988" path="m15487,1496l15487,10483e" filled="false" stroked="true" strokeweight=".47998pt" strokecolor="#000000">
              <v:path arrowok="t"/>
            </v:shape>
            <w10:wrap type="none"/>
          </v:group>
        </w:pict>
      </w:r>
      <w:r>
        <w:rPr/>
        <w:pict>
          <v:shape style="position:absolute;margin-left:72pt;margin-top:74.420006pt;width:702.35pt;height:450pt;mso-position-horizontal-relative:page;mso-position-vertical-relative:page;z-index:33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06"/>
                    <w:gridCol w:w="696"/>
                    <w:gridCol w:w="850"/>
                    <w:gridCol w:w="710"/>
                    <w:gridCol w:w="992"/>
                    <w:gridCol w:w="3403"/>
                    <w:gridCol w:w="992"/>
                    <w:gridCol w:w="566"/>
                    <w:gridCol w:w="566"/>
                    <w:gridCol w:w="1560"/>
                    <w:gridCol w:w="2705"/>
                  </w:tblGrid>
                  <w:tr>
                    <w:trPr>
                      <w:trHeight w:val="998" w:hRule="exact"/>
                    </w:trPr>
                    <w:tc>
                      <w:tcPr>
                        <w:tcW w:w="1006" w:type="dxa"/>
                        <w:tcBorders>
                          <w:top w:val="single" w:sz="10" w:space="0" w:color="000000"/>
                          <w:left w:val="nil" w:sz="6" w:space="0" w:color="auto"/>
                          <w:bottom w:val="single" w:sz="4" w:space="0" w:color="000000"/>
                          <w:right w:val="nil" w:sz="6" w:space="0" w:color="auto"/>
                        </w:tcBorders>
                      </w:tcPr>
                      <w:p>
                        <w:pPr>
                          <w:pStyle w:val="TableParagraph"/>
                          <w:spacing w:line="316" w:lineRule="auto" w:before="15"/>
                          <w:ind w:left="28" w:right="75"/>
                          <w:jc w:val="left"/>
                          <w:rPr>
                            <w:rFonts w:ascii="宋体" w:hAnsi="宋体" w:cs="宋体" w:eastAsia="宋体" w:hint="default"/>
                            <w:sz w:val="18"/>
                            <w:szCs w:val="18"/>
                          </w:rPr>
                        </w:pPr>
                        <w:r>
                          <w:rPr>
                            <w:rFonts w:ascii="宋体" w:hAnsi="宋体" w:cs="宋体" w:eastAsia="宋体" w:hint="default"/>
                            <w:sz w:val="18"/>
                            <w:szCs w:val="18"/>
                          </w:rPr>
                          <w:t>邦威服饰有 限公司</w:t>
                        </w:r>
                      </w:p>
                    </w:tc>
                    <w:tc>
                      <w:tcPr>
                        <w:tcW w:w="696" w:type="dxa"/>
                        <w:tcBorders>
                          <w:top w:val="single" w:sz="10" w:space="0" w:color="000000"/>
                          <w:left w:val="nil" w:sz="6" w:space="0" w:color="auto"/>
                          <w:bottom w:val="single" w:sz="4" w:space="0" w:color="000000"/>
                          <w:right w:val="nil" w:sz="6" w:space="0" w:color="auto"/>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10" w:space="0" w:color="000000"/>
                          <w:left w:val="nil" w:sz="6" w:space="0" w:color="auto"/>
                          <w:bottom w:val="single" w:sz="4" w:space="0" w:color="000000"/>
                          <w:right w:val="nil" w:sz="6" w:space="0" w:color="auto"/>
                        </w:tcBorders>
                      </w:tcPr>
                      <w:p>
                        <w:pPr/>
                      </w:p>
                    </w:tc>
                    <w:tc>
                      <w:tcPr>
                        <w:tcW w:w="710" w:type="dxa"/>
                        <w:tcBorders>
                          <w:top w:val="single" w:sz="10" w:space="0" w:color="000000"/>
                          <w:left w:val="nil" w:sz="6" w:space="0" w:color="auto"/>
                          <w:bottom w:val="single" w:sz="4" w:space="0" w:color="000000"/>
                          <w:right w:val="nil" w:sz="6" w:space="0" w:color="auto"/>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售业</w:t>
                        </w:r>
                      </w:p>
                    </w:tc>
                    <w:tc>
                      <w:tcPr>
                        <w:tcW w:w="992" w:type="dxa"/>
                        <w:tcBorders>
                          <w:top w:val="single" w:sz="10" w:space="0" w:color="000000"/>
                          <w:left w:val="nil" w:sz="6" w:space="0" w:color="auto"/>
                          <w:bottom w:val="single" w:sz="4" w:space="0" w:color="000000"/>
                          <w:right w:val="nil" w:sz="6" w:space="0" w:color="auto"/>
                        </w:tcBorders>
                      </w:tcPr>
                      <w:p>
                        <w:pPr/>
                      </w:p>
                    </w:tc>
                    <w:tc>
                      <w:tcPr>
                        <w:tcW w:w="4395" w:type="dxa"/>
                        <w:gridSpan w:val="2"/>
                        <w:tcBorders>
                          <w:top w:val="single" w:sz="10" w:space="0" w:color="000000"/>
                          <w:left w:val="nil" w:sz="6" w:space="0" w:color="auto"/>
                          <w:bottom w:val="single" w:sz="4" w:space="0" w:color="000000"/>
                          <w:right w:val="nil" w:sz="6" w:space="0" w:color="auto"/>
                        </w:tcBorders>
                      </w:tcPr>
                      <w:p>
                        <w:pPr>
                          <w:pStyle w:val="TableParagraph"/>
                          <w:spacing w:line="316" w:lineRule="auto" w:before="15"/>
                          <w:ind w:left="28" w:right="945"/>
                          <w:jc w:val="left"/>
                          <w:rPr>
                            <w:rFonts w:ascii="宋体" w:hAnsi="宋体" w:cs="宋体" w:eastAsia="宋体" w:hint="default"/>
                            <w:sz w:val="18"/>
                            <w:szCs w:val="18"/>
                          </w:rPr>
                        </w:pPr>
                        <w:r>
                          <w:rPr>
                            <w:rFonts w:ascii="宋体" w:hAnsi="宋体" w:cs="宋体" w:eastAsia="宋体" w:hint="default"/>
                            <w:spacing w:val="-8"/>
                            <w:sz w:val="18"/>
                            <w:szCs w:val="18"/>
                          </w:rPr>
                          <w:t>羽绒制品，箱包，玩具，工艺美术品，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木制品，电子设备，五金交电，建筑材料， 纸制品。</w:t>
                        </w:r>
                      </w:p>
                    </w:tc>
                    <w:tc>
                      <w:tcPr>
                        <w:tcW w:w="566" w:type="dxa"/>
                        <w:tcBorders>
                          <w:top w:val="single" w:sz="10" w:space="0" w:color="000000"/>
                          <w:left w:val="nil" w:sz="6" w:space="0" w:color="auto"/>
                          <w:bottom w:val="single" w:sz="4" w:space="0" w:color="000000"/>
                          <w:right w:val="nil" w:sz="6" w:space="0" w:color="auto"/>
                        </w:tcBorders>
                      </w:tcPr>
                      <w:p>
                        <w:pPr/>
                      </w:p>
                    </w:tc>
                    <w:tc>
                      <w:tcPr>
                        <w:tcW w:w="566" w:type="dxa"/>
                        <w:tcBorders>
                          <w:top w:val="single" w:sz="10" w:space="0" w:color="000000"/>
                          <w:left w:val="nil" w:sz="6" w:space="0" w:color="auto"/>
                          <w:bottom w:val="single" w:sz="4" w:space="0" w:color="000000"/>
                          <w:right w:val="nil" w:sz="6" w:space="0" w:color="auto"/>
                        </w:tcBorders>
                      </w:tcPr>
                      <w:p>
                        <w:pPr/>
                      </w:p>
                    </w:tc>
                    <w:tc>
                      <w:tcPr>
                        <w:tcW w:w="1560" w:type="dxa"/>
                        <w:tcBorders>
                          <w:top w:val="single" w:sz="10" w:space="0" w:color="000000"/>
                          <w:left w:val="nil" w:sz="6" w:space="0" w:color="auto"/>
                          <w:bottom w:val="single" w:sz="4" w:space="0" w:color="000000"/>
                          <w:right w:val="nil" w:sz="6" w:space="0" w:color="auto"/>
                        </w:tcBorders>
                      </w:tcPr>
                      <w:p>
                        <w:pPr/>
                      </w:p>
                    </w:tc>
                    <w:tc>
                      <w:tcPr>
                        <w:tcW w:w="2705" w:type="dxa"/>
                        <w:vMerge w:val="restart"/>
                        <w:tcBorders>
                          <w:top w:val="single" w:sz="10" w:space="0" w:color="000000"/>
                          <w:left w:val="nil" w:sz="6" w:space="0" w:color="auto"/>
                          <w:right w:val="nil" w:sz="6" w:space="0" w:color="auto"/>
                        </w:tcBorders>
                      </w:tcPr>
                      <w:p>
                        <w:pPr/>
                      </w:p>
                    </w:tc>
                  </w:tr>
                  <w:tr>
                    <w:trPr>
                      <w:trHeight w:val="1339" w:hRule="exact"/>
                    </w:trPr>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75"/>
                          <w:jc w:val="both"/>
                          <w:rPr>
                            <w:rFonts w:ascii="宋体" w:hAnsi="宋体" w:cs="宋体" w:eastAsia="宋体" w:hint="default"/>
                            <w:sz w:val="18"/>
                            <w:szCs w:val="18"/>
                          </w:rPr>
                        </w:pPr>
                        <w:r>
                          <w:rPr>
                            <w:rFonts w:ascii="宋体" w:hAnsi="宋体" w:cs="宋体" w:eastAsia="宋体" w:hint="default"/>
                            <w:sz w:val="18"/>
                            <w:szCs w:val="18"/>
                          </w:rPr>
                          <w:t>福州美特斯 邦威服饰有 限公司</w:t>
                        </w:r>
                      </w:p>
                    </w:tc>
                    <w:tc>
                      <w:tcPr>
                        <w:tcW w:w="69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 w:right="12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71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 w:right="139"/>
                          <w:jc w:val="left"/>
                          <w:rPr>
                            <w:rFonts w:ascii="宋体" w:hAnsi="宋体" w:cs="宋体" w:eastAsia="宋体" w:hint="default"/>
                            <w:sz w:val="18"/>
                            <w:szCs w:val="18"/>
                          </w:rPr>
                        </w:pPr>
                        <w:r>
                          <w:rPr>
                            <w:rFonts w:ascii="宋体" w:hAnsi="宋体" w:cs="宋体" w:eastAsia="宋体" w:hint="default"/>
                            <w:sz w:val="18"/>
                            <w:szCs w:val="18"/>
                          </w:rPr>
                          <w:t>批发零 售业</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10,000,000</w:t>
                        </w:r>
                      </w:p>
                    </w:tc>
                    <w:tc>
                      <w:tcPr>
                        <w:tcW w:w="4395" w:type="dxa"/>
                        <w:gridSpan w:val="2"/>
                        <w:tcBorders>
                          <w:top w:val="single" w:sz="4" w:space="0" w:color="000000"/>
                          <w:left w:val="nil" w:sz="6" w:space="0" w:color="auto"/>
                          <w:bottom w:val="single" w:sz="4" w:space="0" w:color="000000"/>
                          <w:right w:val="nil" w:sz="6" w:space="0" w:color="auto"/>
                        </w:tcBorders>
                      </w:tcPr>
                      <w:p>
                        <w:pPr>
                          <w:pStyle w:val="TableParagraph"/>
                          <w:spacing w:line="312" w:lineRule="exact" w:before="9"/>
                          <w:ind w:left="28" w:right="945"/>
                          <w:jc w:val="left"/>
                          <w:rPr>
                            <w:rFonts w:ascii="宋体" w:hAnsi="宋体" w:cs="宋体" w:eastAsia="宋体" w:hint="default"/>
                            <w:sz w:val="18"/>
                            <w:szCs w:val="18"/>
                          </w:rPr>
                        </w:pPr>
                        <w:r>
                          <w:rPr>
                            <w:rFonts w:ascii="宋体" w:hAnsi="宋体" w:cs="宋体" w:eastAsia="宋体" w:hint="default"/>
                            <w:sz w:val="18"/>
                            <w:szCs w:val="18"/>
                          </w:rPr>
                          <w:t>服装、鞋、针织品、皮革制品、羽绒制品、 </w:t>
                        </w:r>
                        <w:r>
                          <w:rPr>
                            <w:rFonts w:ascii="宋体" w:hAnsi="宋体" w:cs="宋体" w:eastAsia="宋体" w:hint="default"/>
                            <w:spacing w:val="-5"/>
                            <w:sz w:val="18"/>
                            <w:szCs w:val="18"/>
                          </w:rPr>
                          <w:t>箱包、玩具、工艺品饰品、日用百货、木制</w:t>
                        </w:r>
                      </w:p>
                      <w:p>
                        <w:pPr>
                          <w:pStyle w:val="TableParagraph"/>
                          <w:spacing w:line="133" w:lineRule="exact"/>
                          <w:ind w:right="26"/>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车</w:t>
                        </w:r>
                        <w:r>
                          <w:rPr>
                            <w:rFonts w:ascii="Times New Roman" w:hAnsi="Times New Roman" w:cs="Times New Roman" w:eastAsia="Times New Roman" w:hint="default"/>
                            <w:sz w:val="18"/>
                            <w:szCs w:val="18"/>
                          </w:rPr>
                          <w:t>)</w:t>
                        </w:r>
                        <w:r>
                          <w:rPr>
                            <w:rFonts w:ascii="宋体" w:hAnsi="宋体" w:cs="宋体" w:eastAsia="宋体" w:hint="default"/>
                            <w:sz w:val="18"/>
                            <w:szCs w:val="18"/>
                          </w:rPr>
                          <w:t>、文化用品、建筑材料批发、零售。</w:t>
                        </w:r>
                      </w:p>
                    </w:tc>
                    <w:tc>
                      <w:tcPr>
                        <w:tcW w:w="566" w:type="dxa"/>
                        <w:tcBorders>
                          <w:top w:val="single" w:sz="4" w:space="0" w:color="000000"/>
                          <w:left w:val="nil" w:sz="6" w:space="0" w:color="auto"/>
                          <w:bottom w:val="single" w:sz="4" w:space="0" w:color="000000"/>
                          <w:right w:val="nil" w:sz="6" w:space="0" w:color="auto"/>
                        </w:tcBorders>
                      </w:tcPr>
                      <w:p>
                        <w:pPr/>
                      </w:p>
                    </w:tc>
                    <w:tc>
                      <w:tcPr>
                        <w:tcW w:w="56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是</w:t>
                        </w:r>
                      </w:p>
                    </w:tc>
                    <w:tc>
                      <w:tcPr>
                        <w:tcW w:w="2705" w:type="dxa"/>
                        <w:vMerge/>
                        <w:tcBorders>
                          <w:left w:val="nil" w:sz="6" w:space="0" w:color="auto"/>
                          <w:right w:val="nil" w:sz="6" w:space="0" w:color="auto"/>
                        </w:tcBorders>
                      </w:tcPr>
                      <w:p>
                        <w:pPr/>
                      </w:p>
                    </w:tc>
                  </w:tr>
                  <w:tr>
                    <w:trPr>
                      <w:trHeight w:val="1025" w:hRule="exact"/>
                    </w:trPr>
                    <w:tc>
                      <w:tcPr>
                        <w:tcW w:w="1006" w:type="dxa"/>
                        <w:tcBorders>
                          <w:top w:val="single" w:sz="4" w:space="0" w:color="000000"/>
                          <w:left w:val="nil" w:sz="6" w:space="0" w:color="auto"/>
                          <w:bottom w:val="single" w:sz="4" w:space="0" w:color="000000"/>
                          <w:right w:val="nil" w:sz="6" w:space="0" w:color="auto"/>
                        </w:tcBorders>
                      </w:tcPr>
                      <w:p>
                        <w:pPr>
                          <w:pStyle w:val="TableParagraph"/>
                          <w:spacing w:line="316" w:lineRule="auto" w:before="49"/>
                          <w:ind w:left="28" w:right="75"/>
                          <w:jc w:val="both"/>
                          <w:rPr>
                            <w:rFonts w:ascii="宋体" w:hAnsi="宋体" w:cs="宋体" w:eastAsia="宋体" w:hint="default"/>
                            <w:sz w:val="18"/>
                            <w:szCs w:val="18"/>
                          </w:rPr>
                        </w:pPr>
                        <w:r>
                          <w:rPr>
                            <w:rFonts w:ascii="宋体" w:hAnsi="宋体" w:cs="宋体" w:eastAsia="宋体" w:hint="default"/>
                            <w:sz w:val="18"/>
                            <w:szCs w:val="18"/>
                          </w:rPr>
                          <w:t>昆明美特斯 邦威服饰有 限公司</w:t>
                        </w:r>
                      </w:p>
                    </w:tc>
                    <w:tc>
                      <w:tcPr>
                        <w:tcW w:w="69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12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71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139"/>
                          <w:jc w:val="left"/>
                          <w:rPr>
                            <w:rFonts w:ascii="宋体" w:hAnsi="宋体" w:cs="宋体" w:eastAsia="宋体" w:hint="default"/>
                            <w:sz w:val="18"/>
                            <w:szCs w:val="18"/>
                          </w:rPr>
                        </w:pPr>
                        <w:r>
                          <w:rPr>
                            <w:rFonts w:ascii="宋体" w:hAnsi="宋体" w:cs="宋体" w:eastAsia="宋体" w:hint="default"/>
                            <w:sz w:val="18"/>
                            <w:szCs w:val="18"/>
                          </w:rPr>
                          <w:t>批发零 售业</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10,000,000</w:t>
                        </w:r>
                      </w:p>
                    </w:tc>
                    <w:tc>
                      <w:tcPr>
                        <w:tcW w:w="4395" w:type="dxa"/>
                        <w:gridSpan w:val="2"/>
                        <w:tcBorders>
                          <w:top w:val="single" w:sz="4" w:space="0" w:color="000000"/>
                          <w:left w:val="nil" w:sz="6" w:space="0" w:color="auto"/>
                          <w:bottom w:val="single" w:sz="4" w:space="0" w:color="000000"/>
                          <w:right w:val="nil" w:sz="6" w:space="0" w:color="auto"/>
                        </w:tcBorders>
                      </w:tcPr>
                      <w:p>
                        <w:pPr>
                          <w:pStyle w:val="TableParagraph"/>
                          <w:spacing w:line="309" w:lineRule="auto" w:before="49"/>
                          <w:ind w:left="28" w:right="26"/>
                          <w:jc w:val="left"/>
                          <w:rPr>
                            <w:rFonts w:ascii="宋体" w:hAnsi="宋体" w:cs="宋体" w:eastAsia="宋体" w:hint="default"/>
                            <w:sz w:val="18"/>
                            <w:szCs w:val="18"/>
                          </w:rPr>
                        </w:pPr>
                        <w:r>
                          <w:rPr>
                            <w:rFonts w:ascii="宋体" w:hAnsi="宋体" w:cs="宋体" w:eastAsia="宋体" w:hint="default"/>
                            <w:spacing w:val="-5"/>
                            <w:sz w:val="18"/>
                            <w:szCs w:val="18"/>
                          </w:rPr>
                          <w:t>服装、鞋帽、箱包、玩具、皮革制品、羽绒</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制品、工艺美术品、日用百货、电子产品、</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8,018,137 </w:t>
                        </w:r>
                        <w:r>
                          <w:rPr>
                            <w:rFonts w:ascii="宋体" w:hAnsi="宋体" w:cs="宋体" w:eastAsia="宋体" w:hint="default"/>
                            <w:sz w:val="18"/>
                            <w:szCs w:val="18"/>
                          </w:rPr>
                          <w:t>五金交电、建筑材料、纸制品的销售。</w:t>
                        </w:r>
                      </w:p>
                    </w:tc>
                    <w:tc>
                      <w:tcPr>
                        <w:tcW w:w="566" w:type="dxa"/>
                        <w:tcBorders>
                          <w:top w:val="single" w:sz="4" w:space="0" w:color="000000"/>
                          <w:left w:val="nil" w:sz="6" w:space="0" w:color="auto"/>
                          <w:bottom w:val="single" w:sz="4" w:space="0" w:color="000000"/>
                          <w:right w:val="nil" w:sz="6" w:space="0" w:color="auto"/>
                        </w:tcBorders>
                      </w:tcPr>
                      <w:p>
                        <w:pPr/>
                      </w:p>
                    </w:tc>
                    <w:tc>
                      <w:tcPr>
                        <w:tcW w:w="56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是</w:t>
                        </w:r>
                      </w:p>
                    </w:tc>
                    <w:tc>
                      <w:tcPr>
                        <w:tcW w:w="2705" w:type="dxa"/>
                        <w:vMerge/>
                        <w:tcBorders>
                          <w:left w:val="nil" w:sz="6" w:space="0" w:color="auto"/>
                          <w:right w:val="nil" w:sz="6" w:space="0" w:color="auto"/>
                        </w:tcBorders>
                      </w:tcPr>
                      <w:p>
                        <w:pPr/>
                      </w:p>
                    </w:tc>
                  </w:tr>
                  <w:tr>
                    <w:trPr>
                      <w:trHeight w:val="1339" w:hRule="exact"/>
                    </w:trPr>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75"/>
                          <w:jc w:val="both"/>
                          <w:rPr>
                            <w:rFonts w:ascii="宋体" w:hAnsi="宋体" w:cs="宋体" w:eastAsia="宋体" w:hint="default"/>
                            <w:sz w:val="18"/>
                            <w:szCs w:val="18"/>
                          </w:rPr>
                        </w:pPr>
                        <w:r>
                          <w:rPr>
                            <w:rFonts w:ascii="宋体" w:hAnsi="宋体" w:cs="宋体" w:eastAsia="宋体" w:hint="default"/>
                            <w:sz w:val="18"/>
                            <w:szCs w:val="18"/>
                          </w:rPr>
                          <w:t>南昌美特斯 邦威服饰有 限公司</w:t>
                        </w:r>
                      </w:p>
                    </w:tc>
                    <w:tc>
                      <w:tcPr>
                        <w:tcW w:w="69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 w:right="12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71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 w:right="139"/>
                          <w:jc w:val="left"/>
                          <w:rPr>
                            <w:rFonts w:ascii="宋体" w:hAnsi="宋体" w:cs="宋体" w:eastAsia="宋体" w:hint="default"/>
                            <w:sz w:val="18"/>
                            <w:szCs w:val="18"/>
                          </w:rPr>
                        </w:pPr>
                        <w:r>
                          <w:rPr>
                            <w:rFonts w:ascii="宋体" w:hAnsi="宋体" w:cs="宋体" w:eastAsia="宋体" w:hint="default"/>
                            <w:sz w:val="18"/>
                            <w:szCs w:val="18"/>
                          </w:rPr>
                          <w:t>批发零 售业</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10,000,000</w:t>
                        </w:r>
                      </w:p>
                    </w:tc>
                    <w:tc>
                      <w:tcPr>
                        <w:tcW w:w="4395" w:type="dxa"/>
                        <w:gridSpan w:val="2"/>
                        <w:tcBorders>
                          <w:top w:val="single" w:sz="4" w:space="0" w:color="000000"/>
                          <w:left w:val="nil" w:sz="6" w:space="0" w:color="auto"/>
                          <w:bottom w:val="single" w:sz="4" w:space="0" w:color="000000"/>
                          <w:right w:val="nil" w:sz="6" w:space="0" w:color="auto"/>
                        </w:tcBorders>
                      </w:tcPr>
                      <w:p>
                        <w:pPr>
                          <w:pStyle w:val="TableParagraph"/>
                          <w:spacing w:line="312" w:lineRule="exact" w:before="9"/>
                          <w:ind w:left="28" w:right="945"/>
                          <w:jc w:val="left"/>
                          <w:rPr>
                            <w:rFonts w:ascii="宋体" w:hAnsi="宋体" w:cs="宋体" w:eastAsia="宋体" w:hint="default"/>
                            <w:sz w:val="18"/>
                            <w:szCs w:val="18"/>
                          </w:rPr>
                        </w:pPr>
                        <w:r>
                          <w:rPr>
                            <w:rFonts w:ascii="宋体" w:hAnsi="宋体" w:cs="宋体" w:eastAsia="宋体" w:hint="default"/>
                            <w:sz w:val="18"/>
                            <w:szCs w:val="18"/>
                          </w:rPr>
                          <w:t>服装、鞋、针织品、皮革制品、羽绒制品、 </w:t>
                        </w:r>
                        <w:r>
                          <w:rPr>
                            <w:rFonts w:ascii="宋体" w:hAnsi="宋体" w:cs="宋体" w:eastAsia="宋体" w:hint="default"/>
                            <w:spacing w:val="-5"/>
                            <w:sz w:val="18"/>
                            <w:szCs w:val="18"/>
                          </w:rPr>
                          <w:t>箱包、玩具、工艺美术品、日用百货、木制</w:t>
                        </w:r>
                      </w:p>
                      <w:p>
                        <w:pPr>
                          <w:pStyle w:val="TableParagraph"/>
                          <w:spacing w:line="133" w:lineRule="exact"/>
                          <w:ind w:right="26"/>
                          <w:jc w:val="right"/>
                          <w:rPr>
                            <w:rFonts w:ascii="Times New Roman" w:hAnsi="Times New Roman" w:cs="Times New Roman" w:eastAsia="Times New Roman" w:hint="default"/>
                            <w:sz w:val="18"/>
                            <w:szCs w:val="18"/>
                          </w:rPr>
                        </w:pPr>
                        <w:r>
                          <w:rPr>
                            <w:rFonts w:ascii="Times New Roman"/>
                            <w:spacing w:val="-1"/>
                            <w:sz w:val="18"/>
                          </w:rPr>
                          <w:t>8,992,077</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零售。</w:t>
                        </w:r>
                      </w:p>
                    </w:tc>
                    <w:tc>
                      <w:tcPr>
                        <w:tcW w:w="566" w:type="dxa"/>
                        <w:tcBorders>
                          <w:top w:val="single" w:sz="4" w:space="0" w:color="000000"/>
                          <w:left w:val="nil" w:sz="6" w:space="0" w:color="auto"/>
                          <w:bottom w:val="single" w:sz="4" w:space="0" w:color="000000"/>
                          <w:right w:val="nil" w:sz="6" w:space="0" w:color="auto"/>
                        </w:tcBorders>
                      </w:tcPr>
                      <w:p>
                        <w:pPr/>
                      </w:p>
                    </w:tc>
                    <w:tc>
                      <w:tcPr>
                        <w:tcW w:w="56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是</w:t>
                        </w:r>
                      </w:p>
                    </w:tc>
                    <w:tc>
                      <w:tcPr>
                        <w:tcW w:w="2705" w:type="dxa"/>
                        <w:vMerge/>
                        <w:tcBorders>
                          <w:left w:val="nil" w:sz="6" w:space="0" w:color="auto"/>
                          <w:right w:val="nil" w:sz="6" w:space="0" w:color="auto"/>
                        </w:tcBorders>
                      </w:tcPr>
                      <w:p>
                        <w:pPr/>
                      </w:p>
                    </w:tc>
                  </w:tr>
                  <w:tr>
                    <w:trPr>
                      <w:trHeight w:val="1961" w:hRule="exact"/>
                    </w:trPr>
                    <w:tc>
                      <w:tcPr>
                        <w:tcW w:w="100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8" w:right="75"/>
                          <w:jc w:val="both"/>
                          <w:rPr>
                            <w:rFonts w:ascii="宋体" w:hAnsi="宋体" w:cs="宋体" w:eastAsia="宋体" w:hint="default"/>
                            <w:sz w:val="18"/>
                            <w:szCs w:val="18"/>
                          </w:rPr>
                        </w:pPr>
                        <w:r>
                          <w:rPr>
                            <w:rFonts w:ascii="宋体" w:hAnsi="宋体" w:cs="宋体" w:eastAsia="宋体" w:hint="default"/>
                            <w:sz w:val="18"/>
                            <w:szCs w:val="18"/>
                          </w:rPr>
                          <w:t>西安美特斯 邦威服饰有 限责任公司</w:t>
                        </w:r>
                      </w:p>
                    </w:tc>
                    <w:tc>
                      <w:tcPr>
                        <w:tcW w:w="69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8" w:right="12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85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71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8" w:right="139"/>
                          <w:jc w:val="left"/>
                          <w:rPr>
                            <w:rFonts w:ascii="宋体" w:hAnsi="宋体" w:cs="宋体" w:eastAsia="宋体" w:hint="default"/>
                            <w:sz w:val="18"/>
                            <w:szCs w:val="18"/>
                          </w:rPr>
                        </w:pPr>
                        <w:r>
                          <w:rPr>
                            <w:rFonts w:ascii="宋体" w:hAnsi="宋体" w:cs="宋体" w:eastAsia="宋体" w:hint="default"/>
                            <w:sz w:val="18"/>
                            <w:szCs w:val="18"/>
                          </w:rPr>
                          <w:t>批发零 售业</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10,000,000</w:t>
                        </w:r>
                      </w:p>
                    </w:tc>
                    <w:tc>
                      <w:tcPr>
                        <w:tcW w:w="3403" w:type="dxa"/>
                        <w:tcBorders>
                          <w:top w:val="single" w:sz="4" w:space="0" w:color="000000"/>
                          <w:left w:val="nil" w:sz="6" w:space="0" w:color="auto"/>
                          <w:bottom w:val="single" w:sz="4" w:space="0" w:color="000000"/>
                          <w:right w:val="nil" w:sz="6" w:space="0" w:color="auto"/>
                        </w:tcBorders>
                      </w:tcPr>
                      <w:p>
                        <w:pPr>
                          <w:pStyle w:val="TableParagraph"/>
                          <w:spacing w:line="314" w:lineRule="auto" w:before="49"/>
                          <w:ind w:left="28" w:right="24"/>
                          <w:jc w:val="both"/>
                          <w:rPr>
                            <w:rFonts w:ascii="宋体" w:hAnsi="宋体" w:cs="宋体" w:eastAsia="宋体" w:hint="default"/>
                            <w:sz w:val="18"/>
                            <w:szCs w:val="18"/>
                          </w:rPr>
                        </w:pPr>
                        <w:r>
                          <w:rPr>
                            <w:rFonts w:ascii="宋体" w:hAnsi="宋体" w:cs="宋体" w:eastAsia="宋体" w:hint="default"/>
                            <w:spacing w:val="-4"/>
                            <w:sz w:val="18"/>
                            <w:szCs w:val="18"/>
                          </w:rPr>
                          <w:t>服装、鞋帽、针织围巾、袜子、手套、皮革</w:t>
                        </w:r>
                        <w:r>
                          <w:rPr>
                            <w:rFonts w:ascii="宋体" w:hAnsi="宋体" w:cs="宋体" w:eastAsia="宋体" w:hint="default"/>
                            <w:sz w:val="18"/>
                            <w:szCs w:val="18"/>
                          </w:rPr>
                          <w:t> </w:t>
                        </w:r>
                        <w:r>
                          <w:rPr>
                            <w:rFonts w:ascii="宋体" w:hAnsi="宋体" w:cs="宋体" w:eastAsia="宋体" w:hint="default"/>
                            <w:spacing w:val="-4"/>
                            <w:sz w:val="18"/>
                            <w:szCs w:val="18"/>
                          </w:rPr>
                          <w:t>制品、羽绒制品、箱包、工艺品、玩具、家</w:t>
                        </w:r>
                        <w:r>
                          <w:rPr>
                            <w:rFonts w:ascii="宋体" w:hAnsi="宋体" w:cs="宋体" w:eastAsia="宋体" w:hint="default"/>
                            <w:sz w:val="18"/>
                            <w:szCs w:val="18"/>
                          </w:rPr>
                          <w:t> </w:t>
                        </w:r>
                        <w:r>
                          <w:rPr>
                            <w:rFonts w:ascii="宋体" w:hAnsi="宋体" w:cs="宋体" w:eastAsia="宋体" w:hint="default"/>
                            <w:spacing w:val="-5"/>
                            <w:sz w:val="18"/>
                            <w:szCs w:val="18"/>
                          </w:rPr>
                          <w:t>具的制造、销售；普通机械、电子设备、五</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金交电、日用百货、建筑材料</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除木材</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、纸</w:t>
                        </w:r>
                        <w:r>
                          <w:rPr>
                            <w:rFonts w:ascii="宋体" w:hAnsi="宋体" w:cs="宋体" w:eastAsia="宋体" w:hint="default"/>
                            <w:spacing w:val="-5"/>
                            <w:sz w:val="18"/>
                            <w:szCs w:val="18"/>
                          </w:rPr>
                          <w:t> </w:t>
                        </w:r>
                        <w:r>
                          <w:rPr>
                            <w:rFonts w:ascii="宋体" w:hAnsi="宋体" w:cs="宋体" w:eastAsia="宋体" w:hint="default"/>
                            <w:spacing w:val="-4"/>
                            <w:sz w:val="18"/>
                            <w:szCs w:val="18"/>
                          </w:rPr>
                          <w:t>制品的销售。普通机械、电子设备、五金交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电、日用百货、建筑材料。</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2,070,026</w:t>
                        </w:r>
                      </w:p>
                    </w:tc>
                    <w:tc>
                      <w:tcPr>
                        <w:tcW w:w="566" w:type="dxa"/>
                        <w:tcBorders>
                          <w:top w:val="single" w:sz="4" w:space="0" w:color="000000"/>
                          <w:left w:val="nil" w:sz="6" w:space="0" w:color="auto"/>
                          <w:bottom w:val="single" w:sz="4" w:space="0" w:color="000000"/>
                          <w:right w:val="nil" w:sz="6" w:space="0" w:color="auto"/>
                        </w:tcBorders>
                      </w:tcPr>
                      <w:p>
                        <w:pPr/>
                      </w:p>
                    </w:tc>
                    <w:tc>
                      <w:tcPr>
                        <w:tcW w:w="56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是</w:t>
                        </w:r>
                      </w:p>
                    </w:tc>
                    <w:tc>
                      <w:tcPr>
                        <w:tcW w:w="2705" w:type="dxa"/>
                        <w:vMerge/>
                        <w:tcBorders>
                          <w:left w:val="nil" w:sz="6" w:space="0" w:color="auto"/>
                          <w:bottom w:val="single" w:sz="4" w:space="0" w:color="000000"/>
                          <w:right w:val="nil" w:sz="6" w:space="0" w:color="auto"/>
                        </w:tcBorders>
                      </w:tcPr>
                      <w:p>
                        <w:pPr/>
                      </w:p>
                    </w:tc>
                  </w:tr>
                  <w:tr>
                    <w:trPr>
                      <w:trHeight w:val="715" w:hRule="exact"/>
                    </w:trPr>
                    <w:tc>
                      <w:tcPr>
                        <w:tcW w:w="8649" w:type="dxa"/>
                        <w:gridSpan w:val="7"/>
                        <w:tcBorders>
                          <w:top w:val="nil" w:sz="6" w:space="0" w:color="auto"/>
                          <w:left w:val="nil" w:sz="6" w:space="0" w:color="auto"/>
                          <w:bottom w:val="single" w:sz="4" w:space="0" w:color="000000"/>
                          <w:right w:val="nil" w:sz="6" w:space="0" w:color="auto"/>
                        </w:tcBorders>
                      </w:tcPr>
                      <w:p>
                        <w:pPr>
                          <w:pStyle w:val="TableParagraph"/>
                          <w:tabs>
                            <w:tab w:pos="2580" w:val="left" w:leader="none"/>
                            <w:tab w:pos="4282" w:val="left" w:leader="none"/>
                          </w:tabs>
                          <w:spacing w:line="196" w:lineRule="exact" w:before="53"/>
                          <w:ind w:left="28" w:right="0"/>
                          <w:jc w:val="left"/>
                          <w:rPr>
                            <w:rFonts w:ascii="宋体" w:hAnsi="宋体" w:cs="宋体" w:eastAsia="宋体" w:hint="default"/>
                            <w:sz w:val="18"/>
                            <w:szCs w:val="18"/>
                          </w:rPr>
                        </w:pPr>
                        <w:r>
                          <w:rPr>
                            <w:rFonts w:ascii="宋体" w:hAnsi="宋体" w:cs="宋体" w:eastAsia="宋体" w:hint="default"/>
                            <w:sz w:val="18"/>
                            <w:szCs w:val="18"/>
                          </w:rPr>
                          <w:t>杭州邦威服</w:t>
                        </w:r>
                        <w:r>
                          <w:rPr>
                            <w:rFonts w:ascii="宋体" w:hAnsi="宋体" w:cs="宋体" w:eastAsia="宋体" w:hint="default"/>
                            <w:spacing w:val="16"/>
                            <w:sz w:val="18"/>
                            <w:szCs w:val="18"/>
                          </w:rPr>
                          <w:t> </w:t>
                        </w:r>
                        <w:r>
                          <w:rPr>
                            <w:rFonts w:ascii="宋体" w:hAnsi="宋体" w:cs="宋体" w:eastAsia="宋体" w:hint="default"/>
                            <w:sz w:val="18"/>
                            <w:szCs w:val="18"/>
                          </w:rPr>
                          <w:t>控股子</w:t>
                          <w:tab/>
                          <w:t>批发零</w:t>
                          <w:tab/>
                          <w:t>批发、零售：服装、皮革制品、羽绒制品，</w:t>
                        </w:r>
                      </w:p>
                      <w:p>
                        <w:pPr>
                          <w:pStyle w:val="TableParagraph"/>
                          <w:tabs>
                            <w:tab w:pos="3288" w:val="left" w:leader="none"/>
                            <w:tab w:pos="7899" w:val="left" w:leader="none"/>
                          </w:tabs>
                          <w:spacing w:line="209" w:lineRule="exact"/>
                          <w:ind w:left="1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w:t>
                          <w:tab/>
                        </w:r>
                        <w:r>
                          <w:rPr>
                            <w:rFonts w:ascii="Times New Roman" w:hAnsi="Times New Roman" w:cs="Times New Roman" w:eastAsia="Times New Roman" w:hint="default"/>
                            <w:spacing w:val="-1"/>
                            <w:sz w:val="18"/>
                            <w:szCs w:val="18"/>
                          </w:rPr>
                          <w:t>10,000,000</w:t>
                          <w:tab/>
                          <w:t>3,207,383</w:t>
                        </w:r>
                      </w:p>
                    </w:tc>
                    <w:tc>
                      <w:tcPr>
                        <w:tcW w:w="113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86" w:right="0"/>
                          <w:jc w:val="left"/>
                          <w:rPr>
                            <w:rFonts w:ascii="Times New Roman" w:hAnsi="Times New Roman" w:cs="Times New Roman" w:eastAsia="Times New Roman" w:hint="default"/>
                            <w:sz w:val="18"/>
                            <w:szCs w:val="18"/>
                          </w:rPr>
                        </w:pPr>
                        <w:r>
                          <w:rPr>
                            <w:rFonts w:ascii="Times New Roman"/>
                            <w:sz w:val="18"/>
                          </w:rPr>
                          <w:t>100%</w:t>
                        </w:r>
                      </w:p>
                    </w:tc>
                    <w:tc>
                      <w:tcPr>
                        <w:tcW w:w="426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是</w:t>
                        </w:r>
                      </w:p>
                    </w:tc>
                  </w:tr>
                  <w:tr>
                    <w:trPr>
                      <w:trHeight w:val="354" w:hRule="exact"/>
                    </w:trPr>
                    <w:tc>
                      <w:tcPr>
                        <w:tcW w:w="7657" w:type="dxa"/>
                        <w:gridSpan w:val="6"/>
                        <w:tcBorders>
                          <w:top w:val="single" w:sz="4" w:space="0" w:color="000000"/>
                          <w:left w:val="nil" w:sz="6" w:space="0" w:color="auto"/>
                          <w:bottom w:val="nil" w:sz="6" w:space="0" w:color="auto"/>
                          <w:right w:val="nil" w:sz="6" w:space="0" w:color="auto"/>
                        </w:tcBorders>
                      </w:tcPr>
                      <w:p>
                        <w:pPr>
                          <w:pStyle w:val="TableParagraph"/>
                          <w:spacing w:line="240" w:lineRule="auto" w:before="49"/>
                          <w:ind w:left="4282" w:right="0"/>
                          <w:jc w:val="left"/>
                          <w:rPr>
                            <w:rFonts w:ascii="宋体" w:hAnsi="宋体" w:cs="宋体" w:eastAsia="宋体" w:hint="default"/>
                            <w:sz w:val="18"/>
                            <w:szCs w:val="18"/>
                          </w:rPr>
                        </w:pPr>
                        <w:r>
                          <w:rPr>
                            <w:rFonts w:ascii="宋体" w:hAnsi="宋体" w:cs="宋体" w:eastAsia="宋体" w:hint="default"/>
                            <w:spacing w:val="-4"/>
                            <w:sz w:val="18"/>
                            <w:szCs w:val="18"/>
                          </w:rPr>
                          <w:t>法律、行政法规、国务院决定禁止的，不得</w:t>
                        </w:r>
                      </w:p>
                    </w:tc>
                    <w:tc>
                      <w:tcPr>
                        <w:tcW w:w="992" w:type="dxa"/>
                        <w:tcBorders>
                          <w:top w:val="single" w:sz="4" w:space="0" w:color="000000"/>
                          <w:left w:val="nil" w:sz="6" w:space="0" w:color="auto"/>
                          <w:bottom w:val="nil" w:sz="6" w:space="0" w:color="auto"/>
                          <w:right w:val="nil" w:sz="6" w:space="0" w:color="auto"/>
                        </w:tcBorders>
                      </w:tcPr>
                      <w:p>
                        <w:pPr/>
                      </w:p>
                    </w:tc>
                    <w:tc>
                      <w:tcPr>
                        <w:tcW w:w="1133" w:type="dxa"/>
                        <w:gridSpan w:val="2"/>
                        <w:tcBorders>
                          <w:top w:val="single" w:sz="4" w:space="0" w:color="000000"/>
                          <w:left w:val="nil" w:sz="6" w:space="0" w:color="auto"/>
                          <w:bottom w:val="nil" w:sz="6" w:space="0" w:color="auto"/>
                          <w:right w:val="nil" w:sz="6" w:space="0" w:color="auto"/>
                        </w:tcBorders>
                      </w:tcPr>
                      <w:p>
                        <w:pPr/>
                      </w:p>
                    </w:tc>
                    <w:tc>
                      <w:tcPr>
                        <w:tcW w:w="4265" w:type="dxa"/>
                        <w:gridSpan w:val="2"/>
                        <w:tcBorders>
                          <w:top w:val="single" w:sz="4" w:space="0" w:color="000000"/>
                          <w:left w:val="nil" w:sz="6" w:space="0" w:color="auto"/>
                          <w:bottom w:val="nil" w:sz="6" w:space="0" w:color="auto"/>
                          <w:right w:val="nil" w:sz="6" w:space="0" w:color="auto"/>
                        </w:tcBorders>
                      </w:tcPr>
                      <w:p>
                        <w:pPr/>
                      </w:p>
                    </w:tc>
                  </w:tr>
                  <w:tr>
                    <w:trPr>
                      <w:trHeight w:val="623" w:hRule="exact"/>
                    </w:trPr>
                    <w:tc>
                      <w:tcPr>
                        <w:tcW w:w="7657" w:type="dxa"/>
                        <w:gridSpan w:val="6"/>
                        <w:tcBorders>
                          <w:top w:val="nil" w:sz="6" w:space="0" w:color="auto"/>
                          <w:left w:val="nil" w:sz="6" w:space="0" w:color="auto"/>
                          <w:bottom w:val="nil" w:sz="6" w:space="0" w:color="auto"/>
                          <w:right w:val="nil" w:sz="6" w:space="0" w:color="auto"/>
                        </w:tcBorders>
                      </w:tcPr>
                      <w:p>
                        <w:pPr>
                          <w:pStyle w:val="TableParagraph"/>
                          <w:tabs>
                            <w:tab w:pos="1728" w:val="left" w:leader="none"/>
                            <w:tab w:pos="3288" w:val="left" w:leader="none"/>
                            <w:tab w:pos="4282" w:val="left" w:leader="none"/>
                          </w:tabs>
                          <w:spacing w:line="292" w:lineRule="auto"/>
                          <w:ind w:left="28" w:right="26"/>
                          <w:jc w:val="left"/>
                          <w:rPr>
                            <w:rFonts w:ascii="宋体" w:hAnsi="宋体" w:cs="宋体" w:eastAsia="宋体" w:hint="default"/>
                            <w:sz w:val="18"/>
                            <w:szCs w:val="18"/>
                          </w:rPr>
                        </w:pPr>
                        <w:r>
                          <w:rPr>
                            <w:rFonts w:ascii="宋体" w:hAnsi="宋体" w:cs="宋体" w:eastAsia="宋体" w:hint="default"/>
                            <w:position w:val="2"/>
                            <w:sz w:val="18"/>
                            <w:szCs w:val="18"/>
                          </w:rPr>
                          <w:t>北京美特斯</w:t>
                          <w:tab/>
                          <w:tab/>
                          <w:tab/>
                        </w:r>
                        <w:r>
                          <w:rPr>
                            <w:rFonts w:ascii="宋体" w:hAnsi="宋体" w:cs="宋体" w:eastAsia="宋体" w:hint="default"/>
                            <w:spacing w:val="-4"/>
                            <w:sz w:val="18"/>
                            <w:szCs w:val="18"/>
                          </w:rPr>
                          <w:t>经营；法律、行政法规、国务院决定规定应</w:t>
                        </w:r>
                        <w:r>
                          <w:rPr>
                            <w:rFonts w:ascii="宋体" w:hAnsi="宋体" w:cs="宋体" w:eastAsia="宋体" w:hint="default"/>
                            <w:sz w:val="18"/>
                            <w:szCs w:val="18"/>
                          </w:rPr>
                          <w:t> </w:t>
                        </w:r>
                        <w:r>
                          <w:rPr>
                            <w:rFonts w:ascii="宋体" w:hAnsi="宋体" w:cs="宋体" w:eastAsia="宋体" w:hint="default"/>
                            <w:position w:val="2"/>
                            <w:sz w:val="18"/>
                            <w:szCs w:val="18"/>
                          </w:rPr>
                          <w:t>邦威服饰有</w:t>
                          <w:tab/>
                          <w:t>北京</w:t>
                          <w:tab/>
                        </w:r>
                        <w:r>
                          <w:rPr>
                            <w:rFonts w:ascii="Times New Roman" w:hAnsi="Times New Roman" w:cs="Times New Roman" w:eastAsia="Times New Roman" w:hint="default"/>
                            <w:spacing w:val="-1"/>
                            <w:position w:val="2"/>
                            <w:sz w:val="18"/>
                            <w:szCs w:val="18"/>
                          </w:rPr>
                          <w:t>10,000,000</w:t>
                        </w:r>
                        <w:r>
                          <w:rPr>
                            <w:rFonts w:ascii="Times New Roman" w:hAnsi="Times New Roman" w:cs="Times New Roman" w:eastAsia="Times New Roman" w:hint="default"/>
                            <w:position w:val="2"/>
                            <w:sz w:val="18"/>
                            <w:szCs w:val="18"/>
                          </w:rPr>
                          <w:t>   </w:t>
                        </w:r>
                        <w:r>
                          <w:rPr>
                            <w:rFonts w:ascii="Times New Roman" w:hAnsi="Times New Roman" w:cs="Times New Roman" w:eastAsia="Times New Roman" w:hint="default"/>
                            <w:spacing w:val="11"/>
                            <w:position w:val="2"/>
                            <w:sz w:val="18"/>
                            <w:szCs w:val="18"/>
                          </w:rPr>
                          <w:t> </w:t>
                        </w:r>
                        <w:r>
                          <w:rPr>
                            <w:rFonts w:ascii="宋体" w:hAnsi="宋体" w:cs="宋体" w:eastAsia="宋体" w:hint="default"/>
                            <w:spacing w:val="-4"/>
                            <w:sz w:val="18"/>
                            <w:szCs w:val="18"/>
                          </w:rPr>
                          <w:t>经许可的，经审批机关批准并经工商行政管</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686" w:right="0"/>
                          <w:jc w:val="left"/>
                          <w:rPr>
                            <w:rFonts w:ascii="Times New Roman" w:hAnsi="Times New Roman" w:cs="Times New Roman" w:eastAsia="Times New Roman" w:hint="default"/>
                            <w:sz w:val="18"/>
                            <w:szCs w:val="18"/>
                          </w:rPr>
                        </w:pPr>
                        <w:r>
                          <w:rPr>
                            <w:rFonts w:ascii="Times New Roman"/>
                            <w:sz w:val="18"/>
                          </w:rPr>
                          <w:t>100%</w:t>
                        </w:r>
                      </w:p>
                    </w:tc>
                    <w:tc>
                      <w:tcPr>
                        <w:tcW w:w="42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是</w:t>
                        </w:r>
                      </w:p>
                    </w:tc>
                  </w:tr>
                  <w:tr>
                    <w:trPr>
                      <w:trHeight w:val="312" w:hRule="exact"/>
                    </w:trPr>
                    <w:tc>
                      <w:tcPr>
                        <w:tcW w:w="7657" w:type="dxa"/>
                        <w:gridSpan w:val="6"/>
                        <w:tcBorders>
                          <w:top w:val="nil" w:sz="6" w:space="0" w:color="auto"/>
                          <w:left w:val="nil" w:sz="6" w:space="0" w:color="auto"/>
                          <w:bottom w:val="nil" w:sz="6" w:space="0" w:color="auto"/>
                          <w:right w:val="nil" w:sz="6" w:space="0" w:color="auto"/>
                        </w:tcBorders>
                      </w:tcPr>
                      <w:p>
                        <w:pPr>
                          <w:pStyle w:val="TableParagraph"/>
                          <w:tabs>
                            <w:tab w:pos="4282" w:val="left" w:leader="none"/>
                          </w:tabs>
                          <w:spacing w:line="246" w:lineRule="exact"/>
                          <w:ind w:left="28" w:right="0"/>
                          <w:jc w:val="left"/>
                          <w:rPr>
                            <w:rFonts w:ascii="宋体" w:hAnsi="宋体" w:cs="宋体" w:eastAsia="宋体" w:hint="default"/>
                            <w:sz w:val="18"/>
                            <w:szCs w:val="18"/>
                          </w:rPr>
                        </w:pPr>
                        <w:r>
                          <w:rPr>
                            <w:rFonts w:ascii="宋体" w:hAnsi="宋体" w:cs="宋体" w:eastAsia="宋体" w:hint="default"/>
                            <w:position w:val="2"/>
                            <w:sz w:val="18"/>
                            <w:szCs w:val="18"/>
                          </w:rPr>
                          <w:t>限公司</w:t>
                          <w:tab/>
                        </w:r>
                        <w:r>
                          <w:rPr>
                            <w:rFonts w:ascii="宋体" w:hAnsi="宋体" w:cs="宋体" w:eastAsia="宋体" w:hint="default"/>
                            <w:spacing w:val="-4"/>
                            <w:sz w:val="18"/>
                            <w:szCs w:val="18"/>
                          </w:rPr>
                          <w:t>理机关登记注册后方可经营；法律、行政法</w:t>
                        </w:r>
                      </w:p>
                    </w:tc>
                    <w:tc>
                      <w:tcPr>
                        <w:tcW w:w="992" w:type="dxa"/>
                        <w:tcBorders>
                          <w:top w:val="nil" w:sz="6" w:space="0" w:color="auto"/>
                          <w:left w:val="nil" w:sz="6" w:space="0" w:color="auto"/>
                          <w:bottom w:val="nil" w:sz="6" w:space="0" w:color="auto"/>
                          <w:right w:val="nil" w:sz="6" w:space="0" w:color="auto"/>
                        </w:tcBorders>
                      </w:tcPr>
                      <w:p>
                        <w:pPr/>
                      </w:p>
                    </w:tc>
                    <w:tc>
                      <w:tcPr>
                        <w:tcW w:w="1133" w:type="dxa"/>
                        <w:gridSpan w:val="2"/>
                        <w:tcBorders>
                          <w:top w:val="nil" w:sz="6" w:space="0" w:color="auto"/>
                          <w:left w:val="nil" w:sz="6" w:space="0" w:color="auto"/>
                          <w:bottom w:val="nil" w:sz="6" w:space="0" w:color="auto"/>
                          <w:right w:val="nil" w:sz="6" w:space="0" w:color="auto"/>
                        </w:tcBorders>
                      </w:tcPr>
                      <w:p>
                        <w:pPr/>
                      </w:p>
                    </w:tc>
                    <w:tc>
                      <w:tcPr>
                        <w:tcW w:w="4265" w:type="dxa"/>
                        <w:gridSpan w:val="2"/>
                        <w:tcBorders>
                          <w:top w:val="nil" w:sz="6" w:space="0" w:color="auto"/>
                          <w:left w:val="nil" w:sz="6" w:space="0" w:color="auto"/>
                          <w:bottom w:val="nil" w:sz="6" w:space="0" w:color="auto"/>
                          <w:right w:val="nil" w:sz="6" w:space="0" w:color="auto"/>
                        </w:tcBorders>
                      </w:tcPr>
                      <w:p>
                        <w:pPr/>
                      </w:p>
                    </w:tc>
                  </w:tr>
                  <w:tr>
                    <w:trPr>
                      <w:trHeight w:val="321" w:hRule="exact"/>
                    </w:trPr>
                    <w:tc>
                      <w:tcPr>
                        <w:tcW w:w="7657" w:type="dxa"/>
                        <w:gridSpan w:val="6"/>
                        <w:tcBorders>
                          <w:top w:val="nil" w:sz="6" w:space="0" w:color="auto"/>
                          <w:left w:val="nil" w:sz="6" w:space="0" w:color="auto"/>
                          <w:bottom w:val="single" w:sz="4" w:space="0" w:color="000000"/>
                          <w:right w:val="nil" w:sz="6" w:space="0" w:color="auto"/>
                        </w:tcBorders>
                      </w:tcPr>
                      <w:p>
                        <w:pPr>
                          <w:pStyle w:val="TableParagraph"/>
                          <w:spacing w:line="240" w:lineRule="auto" w:before="10"/>
                          <w:ind w:left="4282" w:right="0"/>
                          <w:jc w:val="left"/>
                          <w:rPr>
                            <w:rFonts w:ascii="宋体" w:hAnsi="宋体" w:cs="宋体" w:eastAsia="宋体" w:hint="default"/>
                            <w:sz w:val="18"/>
                            <w:szCs w:val="18"/>
                          </w:rPr>
                        </w:pPr>
                        <w:r>
                          <w:rPr>
                            <w:rFonts w:ascii="宋体" w:hAnsi="宋体" w:cs="宋体" w:eastAsia="宋体" w:hint="default"/>
                            <w:spacing w:val="-4"/>
                            <w:sz w:val="18"/>
                            <w:szCs w:val="18"/>
                          </w:rPr>
                          <w:t>规、国务院决定未规定许可的，自主选择经</w:t>
                        </w:r>
                      </w:p>
                    </w:tc>
                    <w:tc>
                      <w:tcPr>
                        <w:tcW w:w="992" w:type="dxa"/>
                        <w:tcBorders>
                          <w:top w:val="nil" w:sz="6" w:space="0" w:color="auto"/>
                          <w:left w:val="nil" w:sz="6" w:space="0" w:color="auto"/>
                          <w:bottom w:val="single" w:sz="4" w:space="0" w:color="000000"/>
                          <w:right w:val="nil" w:sz="6" w:space="0" w:color="auto"/>
                        </w:tcBorders>
                      </w:tcPr>
                      <w:p>
                        <w:pPr/>
                      </w:p>
                    </w:tc>
                    <w:tc>
                      <w:tcPr>
                        <w:tcW w:w="1133" w:type="dxa"/>
                        <w:gridSpan w:val="2"/>
                        <w:tcBorders>
                          <w:top w:val="nil" w:sz="6" w:space="0" w:color="auto"/>
                          <w:left w:val="nil" w:sz="6" w:space="0" w:color="auto"/>
                          <w:bottom w:val="single" w:sz="4" w:space="0" w:color="000000"/>
                          <w:right w:val="nil" w:sz="6" w:space="0" w:color="auto"/>
                        </w:tcBorders>
                      </w:tcPr>
                      <w:p>
                        <w:pPr/>
                      </w:p>
                    </w:tc>
                    <w:tc>
                      <w:tcPr>
                        <w:tcW w:w="4265" w:type="dxa"/>
                        <w:gridSpan w:val="2"/>
                        <w:tcBorders>
                          <w:top w:val="nil" w:sz="6" w:space="0" w:color="auto"/>
                          <w:left w:val="nil" w:sz="6" w:space="0" w:color="auto"/>
                          <w:bottom w:val="single" w:sz="4" w:space="0" w:color="000000"/>
                          <w:right w:val="nil" w:sz="6" w:space="0" w:color="auto"/>
                        </w:tcBorders>
                      </w:tcPr>
                      <w:p>
                        <w:pPr/>
                      </w:p>
                    </w:tc>
                  </w:tr>
                </w:tbl>
                <w:p>
                  <w:pPr/>
                </w:p>
              </w:txbxContent>
            </v:textbox>
            <w10:wrap type="none"/>
          </v:shape>
        </w:pict>
      </w:r>
      <w:r>
        <w:rPr/>
        <w:t>控股子 公司</w:t>
      </w:r>
    </w:p>
    <w:p>
      <w:pPr>
        <w:pStyle w:val="BodyText"/>
        <w:spacing w:line="316" w:lineRule="auto" w:before="44"/>
        <w:ind w:left="965" w:right="11018"/>
        <w:jc w:val="left"/>
      </w:pPr>
      <w:r>
        <w:rPr/>
        <w:br w:type="column"/>
      </w:r>
      <w:r>
        <w:rPr/>
        <w:t>批发零 售业</w:t>
      </w:r>
    </w:p>
    <w:p>
      <w:pPr>
        <w:spacing w:after="0" w:line="316" w:lineRule="auto"/>
        <w:jc w:val="left"/>
        <w:sectPr>
          <w:type w:val="continuous"/>
          <w:pgSz w:w="16840" w:h="11910" w:orient="landscape"/>
          <w:pgMar w:top="840" w:bottom="280" w:left="1320" w:right="1240"/>
          <w:cols w:num="2" w:equalWidth="0">
            <w:col w:w="1695" w:space="40"/>
            <w:col w:w="12545"/>
          </w:cols>
        </w:sectPr>
      </w:pPr>
    </w:p>
    <w:p>
      <w:pPr>
        <w:spacing w:line="240" w:lineRule="auto" w:before="6"/>
        <w:rPr>
          <w:rFonts w:ascii="宋体" w:hAnsi="宋体" w:cs="宋体" w:eastAsia="宋体" w:hint="default"/>
          <w:sz w:val="2"/>
          <w:szCs w:val="2"/>
        </w:rPr>
      </w:pPr>
      <w:r>
        <w:rPr/>
        <w:pict>
          <v:group style="position:absolute;margin-left:455.089996pt;margin-top:93.380005pt;width:49.15pt;height:43.65pt;mso-position-horizontal-relative:page;mso-position-vertical-relative:page;z-index:-750112" coordorigin="9102,1868" coordsize="983,873">
            <v:group style="position:absolute;left:9102;top:1868;width:983;height:468" coordorigin="9102,1868" coordsize="983,468">
              <v:shape style="position:absolute;left:9102;top:1868;width:983;height:468" coordorigin="9102,1868" coordsize="983,468" path="m9102,2336l10084,2336,10084,1868,9102,1868,9102,2336xe" filled="true" fillcolor="#ffffff" stroked="false">
                <v:path arrowok="t"/>
                <v:fill type="solid"/>
              </v:shape>
            </v:group>
            <v:group style="position:absolute;left:9113;top:2336;width:2;height:394" coordorigin="9113,2336" coordsize="2,394">
              <v:shape style="position:absolute;left:9113;top:2336;width:2;height:394" coordorigin="9113,2336" coordsize="0,394" path="m9113,2336l9113,2729e" filled="false" stroked="true" strokeweight="1.08pt" strokecolor="#ffffff">
                <v:path arrowok="t"/>
              </v:shape>
            </v:group>
            <v:group style="position:absolute;left:9123;top:2336;width:937;height:394" coordorigin="9123,2336" coordsize="937,394">
              <v:shape style="position:absolute;left:9123;top:2336;width:937;height:394" coordorigin="9123,2336" coordsize="937,394" path="m9123,2729l10060,2729,10060,2336,9123,2336,9123,2729xe" filled="true" fillcolor="#ffffff" stroked="false">
                <v:path arrowok="t"/>
                <v:fill type="solid"/>
              </v:shape>
            </v:group>
            <w10:wrap type="none"/>
          </v:group>
        </w:pict>
      </w:r>
      <w:r>
        <w:rPr/>
        <w:pict>
          <v:group style="position:absolute;margin-left:455.089996pt;margin-top:242.270004pt;width:47.95pt;height:20.8pt;mso-position-horizontal-relative:page;mso-position-vertical-relative:page;z-index:-750088" coordorigin="9102,4845" coordsize="959,416">
            <v:group style="position:absolute;left:9113;top:4856;width:2;height:394" coordorigin="9113,4856" coordsize="2,394">
              <v:shape style="position:absolute;left:9113;top:4856;width:2;height:394" coordorigin="9113,4856" coordsize="0,394" path="m9113,4856l9113,5250e" filled="false" stroked="true" strokeweight="1.08pt" strokecolor="#ffffff">
                <v:path arrowok="t"/>
              </v:shape>
            </v:group>
            <v:group style="position:absolute;left:9123;top:4856;width:937;height:394" coordorigin="9123,4856" coordsize="937,394">
              <v:shape style="position:absolute;left:9123;top:4856;width:937;height:394" coordorigin="9123,4856" coordsize="937,394" path="m9123,5250l10060,5250,10060,4856,9123,4856,9123,5250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006"/>
        <w:gridCol w:w="696"/>
        <w:gridCol w:w="850"/>
        <w:gridCol w:w="710"/>
        <w:gridCol w:w="992"/>
        <w:gridCol w:w="3403"/>
        <w:gridCol w:w="152"/>
        <w:gridCol w:w="839"/>
        <w:gridCol w:w="566"/>
        <w:gridCol w:w="566"/>
        <w:gridCol w:w="710"/>
        <w:gridCol w:w="850"/>
        <w:gridCol w:w="699"/>
        <w:gridCol w:w="1003"/>
        <w:gridCol w:w="1003"/>
      </w:tblGrid>
      <w:tr>
        <w:trPr>
          <w:trHeight w:val="374" w:hRule="exact"/>
        </w:trPr>
        <w:tc>
          <w:tcPr>
            <w:tcW w:w="1006" w:type="dxa"/>
            <w:tcBorders>
              <w:top w:val="single" w:sz="10" w:space="0" w:color="000000"/>
              <w:left w:val="single" w:sz="4" w:space="0" w:color="000000"/>
              <w:bottom w:val="single" w:sz="4" w:space="0" w:color="000000"/>
              <w:right w:val="single" w:sz="4" w:space="0" w:color="000000"/>
            </w:tcBorders>
          </w:tcPr>
          <w:p>
            <w:pPr/>
          </w:p>
        </w:tc>
        <w:tc>
          <w:tcPr>
            <w:tcW w:w="696" w:type="dxa"/>
            <w:tcBorders>
              <w:top w:val="single" w:sz="10" w:space="0" w:color="000000"/>
              <w:left w:val="single" w:sz="4" w:space="0" w:color="000000"/>
              <w:bottom w:val="single" w:sz="4" w:space="0" w:color="000000"/>
              <w:right w:val="single" w:sz="4" w:space="0" w:color="000000"/>
            </w:tcBorders>
          </w:tcPr>
          <w:p>
            <w:pPr/>
          </w:p>
        </w:tc>
        <w:tc>
          <w:tcPr>
            <w:tcW w:w="850" w:type="dxa"/>
            <w:tcBorders>
              <w:top w:val="single" w:sz="10" w:space="0" w:color="000000"/>
              <w:left w:val="single" w:sz="4" w:space="0" w:color="000000"/>
              <w:bottom w:val="single" w:sz="4" w:space="0" w:color="000000"/>
              <w:right w:val="single" w:sz="4" w:space="0" w:color="000000"/>
            </w:tcBorders>
          </w:tcPr>
          <w:p>
            <w:pPr/>
          </w:p>
        </w:tc>
        <w:tc>
          <w:tcPr>
            <w:tcW w:w="710" w:type="dxa"/>
            <w:tcBorders>
              <w:top w:val="single" w:sz="10" w:space="0" w:color="000000"/>
              <w:left w:val="single" w:sz="4" w:space="0" w:color="000000"/>
              <w:bottom w:val="single" w:sz="4" w:space="0" w:color="000000"/>
              <w:right w:val="single" w:sz="4" w:space="0" w:color="000000"/>
            </w:tcBorders>
          </w:tcPr>
          <w:p>
            <w:pPr/>
          </w:p>
        </w:tc>
        <w:tc>
          <w:tcPr>
            <w:tcW w:w="992" w:type="dxa"/>
            <w:tcBorders>
              <w:top w:val="single" w:sz="10" w:space="0" w:color="000000"/>
              <w:left w:val="single" w:sz="4" w:space="0" w:color="000000"/>
              <w:bottom w:val="single" w:sz="4" w:space="0" w:color="000000"/>
              <w:right w:val="single" w:sz="4" w:space="0" w:color="000000"/>
            </w:tcBorders>
          </w:tcPr>
          <w:p>
            <w:pPr/>
          </w:p>
        </w:tc>
        <w:tc>
          <w:tcPr>
            <w:tcW w:w="340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营项目开展经营活动。</w:t>
            </w:r>
          </w:p>
        </w:tc>
        <w:tc>
          <w:tcPr>
            <w:tcW w:w="992" w:type="dxa"/>
            <w:gridSpan w:val="2"/>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566" w:type="dxa"/>
            <w:tcBorders>
              <w:top w:val="single" w:sz="10" w:space="0" w:color="000000"/>
              <w:left w:val="single" w:sz="4" w:space="0" w:color="000000"/>
              <w:bottom w:val="single" w:sz="4" w:space="0" w:color="000000"/>
              <w:right w:val="single" w:sz="4" w:space="0" w:color="000000"/>
            </w:tcBorders>
          </w:tcPr>
          <w:p>
            <w:pPr/>
          </w:p>
        </w:tc>
        <w:tc>
          <w:tcPr>
            <w:tcW w:w="710" w:type="dxa"/>
            <w:tcBorders>
              <w:top w:val="single" w:sz="10" w:space="0" w:color="000000"/>
              <w:left w:val="single" w:sz="4" w:space="0" w:color="000000"/>
              <w:bottom w:val="single" w:sz="4" w:space="0" w:color="000000"/>
              <w:right w:val="single" w:sz="4" w:space="0" w:color="000000"/>
            </w:tcBorders>
          </w:tcPr>
          <w:p>
            <w:pPr/>
          </w:p>
        </w:tc>
        <w:tc>
          <w:tcPr>
            <w:tcW w:w="850" w:type="dxa"/>
            <w:tcBorders>
              <w:top w:val="single" w:sz="10" w:space="0" w:color="000000"/>
              <w:left w:val="single" w:sz="4" w:space="0" w:color="000000"/>
              <w:bottom w:val="single" w:sz="4" w:space="0" w:color="000000"/>
              <w:right w:val="single" w:sz="4" w:space="0" w:color="000000"/>
            </w:tcBorders>
          </w:tcPr>
          <w:p>
            <w:pPr/>
          </w:p>
        </w:tc>
        <w:tc>
          <w:tcPr>
            <w:tcW w:w="699" w:type="dxa"/>
            <w:tcBorders>
              <w:top w:val="single" w:sz="10" w:space="0" w:color="000000"/>
              <w:left w:val="single" w:sz="4" w:space="0" w:color="000000"/>
              <w:bottom w:val="single" w:sz="4" w:space="0" w:color="000000"/>
              <w:right w:val="single" w:sz="4" w:space="0" w:color="000000"/>
            </w:tcBorders>
          </w:tcPr>
          <w:p>
            <w:pPr/>
          </w:p>
        </w:tc>
        <w:tc>
          <w:tcPr>
            <w:tcW w:w="1003" w:type="dxa"/>
            <w:tcBorders>
              <w:top w:val="single" w:sz="10" w:space="0" w:color="000000"/>
              <w:left w:val="single" w:sz="4" w:space="0" w:color="000000"/>
              <w:bottom w:val="single" w:sz="4" w:space="0" w:color="000000"/>
              <w:right w:val="single" w:sz="4" w:space="0" w:color="000000"/>
            </w:tcBorders>
          </w:tcPr>
          <w:p>
            <w:pPr/>
          </w:p>
        </w:tc>
        <w:tc>
          <w:tcPr>
            <w:tcW w:w="1003" w:type="dxa"/>
            <w:tcBorders>
              <w:top w:val="single" w:sz="10" w:space="0" w:color="000000"/>
              <w:left w:val="single" w:sz="4" w:space="0" w:color="000000"/>
              <w:bottom w:val="single" w:sz="4" w:space="0" w:color="000000"/>
              <w:right w:val="single" w:sz="4" w:space="0" w:color="000000"/>
            </w:tcBorders>
          </w:tcPr>
          <w:p>
            <w:pPr/>
          </w:p>
        </w:tc>
      </w:tr>
      <w:tr>
        <w:trPr>
          <w:trHeight w:val="1339"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0"/>
              <w:jc w:val="both"/>
              <w:rPr>
                <w:rFonts w:ascii="宋体" w:hAnsi="宋体" w:cs="宋体" w:eastAsia="宋体" w:hint="default"/>
                <w:sz w:val="18"/>
                <w:szCs w:val="18"/>
              </w:rPr>
            </w:pPr>
            <w:r>
              <w:rPr>
                <w:rFonts w:ascii="宋体" w:hAnsi="宋体" w:cs="宋体" w:eastAsia="宋体" w:hint="default"/>
                <w:sz w:val="18"/>
                <w:szCs w:val="18"/>
              </w:rPr>
              <w:t>重庆美特斯 邦威服饰有 限责任公司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34"/>
              <w:jc w:val="left"/>
              <w:rPr>
                <w:rFonts w:ascii="宋体" w:hAnsi="宋体" w:cs="宋体" w:eastAsia="宋体" w:hint="default"/>
                <w:sz w:val="18"/>
                <w:szCs w:val="18"/>
              </w:rPr>
            </w:pPr>
            <w:r>
              <w:rPr>
                <w:rFonts w:ascii="宋体" w:hAnsi="宋体" w:cs="宋体" w:eastAsia="宋体" w:hint="default"/>
                <w:sz w:val="18"/>
                <w:szCs w:val="18"/>
              </w:rPr>
              <w:t>批发零 售业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7"/>
              <w:jc w:val="left"/>
              <w:rPr>
                <w:rFonts w:ascii="宋体" w:hAnsi="宋体" w:cs="宋体" w:eastAsia="宋体" w:hint="default"/>
                <w:sz w:val="18"/>
                <w:szCs w:val="18"/>
              </w:rPr>
            </w:pPr>
            <w:r>
              <w:rPr>
                <w:rFonts w:ascii="宋体" w:hAnsi="宋体" w:cs="宋体" w:eastAsia="宋体" w:hint="default"/>
                <w:spacing w:val="-5"/>
                <w:sz w:val="18"/>
                <w:szCs w:val="18"/>
              </w:rPr>
              <w:t>销售服装、鞋帽、针纺织品、皮革制品、羽</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6"/>
                <w:sz w:val="18"/>
                <w:szCs w:val="18"/>
              </w:rPr>
              <w:t>绒制品、工艺美术品</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不含黄金饰品</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、玩具</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电子产品</w:t>
            </w:r>
            <w:r>
              <w:rPr>
                <w:rFonts w:ascii="Times New Roman" w:hAnsi="Times New Roman" w:cs="Times New Roman" w:eastAsia="Times New Roman" w:hint="default"/>
                <w:sz w:val="18"/>
                <w:szCs w:val="18"/>
              </w:rPr>
              <w:t>(</w:t>
            </w:r>
            <w:r>
              <w:rPr>
                <w:rFonts w:ascii="宋体" w:hAnsi="宋体" w:cs="宋体" w:eastAsia="宋体" w:hint="default"/>
                <w:sz w:val="18"/>
                <w:szCs w:val="18"/>
              </w:rPr>
              <w:t>不含电子出版物</w:t>
            </w:r>
            <w:r>
              <w:rPr>
                <w:rFonts w:ascii="Times New Roman" w:hAnsi="Times New Roman" w:cs="Times New Roman" w:eastAsia="Times New Roman" w:hint="default"/>
                <w:sz w:val="18"/>
                <w:szCs w:val="18"/>
              </w:rPr>
              <w:t>)</w:t>
            </w:r>
            <w:r>
              <w:rPr>
                <w:rFonts w:ascii="宋体" w:hAnsi="宋体" w:cs="宋体" w:eastAsia="宋体" w:hint="default"/>
                <w:sz w:val="18"/>
                <w:szCs w:val="18"/>
              </w:rPr>
              <w:t>、五金、交电、 日用百货、纸制品。</w:t>
            </w:r>
          </w:p>
        </w:tc>
        <w:tc>
          <w:tcPr>
            <w:tcW w:w="1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83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广州美特斯 邦威服装有 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批发零 售业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67"/>
              <w:jc w:val="left"/>
              <w:rPr>
                <w:rFonts w:ascii="宋体" w:hAnsi="宋体" w:cs="宋体" w:eastAsia="宋体" w:hint="default"/>
                <w:sz w:val="18"/>
                <w:szCs w:val="18"/>
              </w:rPr>
            </w:pPr>
            <w:r>
              <w:rPr>
                <w:rFonts w:ascii="宋体" w:hAnsi="宋体" w:cs="宋体" w:eastAsia="宋体" w:hint="default"/>
                <w:sz w:val="18"/>
                <w:szCs w:val="18"/>
              </w:rPr>
              <w:t>销售：百货、针纺织品、工艺美术品</w:t>
            </w:r>
            <w:r>
              <w:rPr>
                <w:rFonts w:ascii="Times New Roman" w:hAnsi="Times New Roman" w:cs="Times New Roman" w:eastAsia="Times New Roman" w:hint="default"/>
                <w:sz w:val="18"/>
                <w:szCs w:val="18"/>
              </w:rPr>
              <w:t>(</w:t>
            </w:r>
            <w:r>
              <w:rPr>
                <w:rFonts w:ascii="宋体" w:hAnsi="宋体" w:cs="宋体" w:eastAsia="宋体" w:hint="default"/>
                <w:sz w:val="18"/>
                <w:szCs w:val="18"/>
              </w:rPr>
              <w:t>金首 饰除外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70"/>
              <w:jc w:val="both"/>
              <w:rPr>
                <w:rFonts w:ascii="宋体" w:hAnsi="宋体" w:cs="宋体" w:eastAsia="宋体" w:hint="default"/>
                <w:sz w:val="18"/>
                <w:szCs w:val="18"/>
              </w:rPr>
            </w:pPr>
            <w:r>
              <w:rPr>
                <w:rFonts w:ascii="宋体" w:hAnsi="宋体" w:cs="宋体" w:eastAsia="宋体" w:hint="default"/>
                <w:sz w:val="18"/>
                <w:szCs w:val="18"/>
              </w:rPr>
              <w:t>宁波美特斯 邦威服饰有 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批发零 售业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5,000,000</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5"/>
                <w:sz w:val="18"/>
                <w:szCs w:val="18"/>
              </w:rPr>
              <w:t>一般经营项目：服装、鞋帽、针织围巾、手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套、袜子、皮革制品、羽绒制品、箱包、工</w:t>
            </w:r>
            <w:r>
              <w:rPr>
                <w:rFonts w:ascii="宋体" w:hAnsi="宋体" w:cs="宋体" w:eastAsia="宋体" w:hint="default"/>
                <w:sz w:val="18"/>
                <w:szCs w:val="18"/>
              </w:rPr>
              <w:t> 艺品、玩具、家具、普通机械、电子设备 </w:t>
            </w:r>
            <w:r>
              <w:rPr>
                <w:rFonts w:ascii="宋体" w:hAnsi="宋体" w:cs="宋体" w:eastAsia="宋体" w:hint="default"/>
                <w:spacing w:val="-4"/>
                <w:sz w:val="18"/>
                <w:szCs w:val="18"/>
              </w:rPr>
              <w:t>五金交电、日用百货、建筑材料、纸制品的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批发、零售。</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 </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2,599,917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0"/>
              <w:jc w:val="both"/>
              <w:rPr>
                <w:rFonts w:ascii="宋体" w:hAnsi="宋体" w:cs="宋体" w:eastAsia="宋体" w:hint="default"/>
                <w:sz w:val="18"/>
                <w:szCs w:val="18"/>
              </w:rPr>
            </w:pPr>
            <w:r>
              <w:rPr>
                <w:rFonts w:ascii="宋体" w:hAnsi="宋体" w:cs="宋体" w:eastAsia="宋体" w:hint="default"/>
                <w:sz w:val="18"/>
                <w:szCs w:val="18"/>
              </w:rPr>
              <w:t>南京美特斯 邦威服饰有 限公司</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0"/>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34"/>
              <w:jc w:val="left"/>
              <w:rPr>
                <w:rFonts w:ascii="宋体" w:hAnsi="宋体" w:cs="宋体" w:eastAsia="宋体" w:hint="default"/>
                <w:sz w:val="18"/>
                <w:szCs w:val="18"/>
              </w:rPr>
            </w:pPr>
            <w:r>
              <w:rPr>
                <w:rFonts w:ascii="宋体" w:hAnsi="宋体" w:cs="宋体" w:eastAsia="宋体" w:hint="default"/>
                <w:sz w:val="18"/>
                <w:szCs w:val="18"/>
              </w:rPr>
              <w:t>批发零 售业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10,000,000</w:t>
            </w:r>
          </w:p>
        </w:tc>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服装、鞋帽、针纺织品、皮革制品、羽绒制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品、箱包、玩具、饰品、工艺品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金银制品</w:t>
            </w:r>
            <w:r>
              <w:rPr>
                <w:rFonts w:ascii="宋体" w:hAnsi="宋体" w:cs="宋体" w:eastAsia="宋体" w:hint="default"/>
                <w:spacing w:val="-81"/>
                <w:sz w:val="18"/>
                <w:szCs w:val="18"/>
              </w:rPr>
              <w:t> </w:t>
            </w:r>
            <w:r>
              <w:rPr>
                <w:rFonts w:ascii="宋体" w:hAnsi="宋体" w:cs="宋体" w:eastAsia="宋体" w:hint="default"/>
                <w:sz w:val="18"/>
                <w:szCs w:val="18"/>
              </w:rPr>
              <w:t>文物除外</w:t>
            </w:r>
            <w:r>
              <w:rPr>
                <w:rFonts w:ascii="Times New Roman" w:hAnsi="Times New Roman" w:cs="Times New Roman" w:eastAsia="Times New Roman" w:hint="default"/>
                <w:sz w:val="18"/>
                <w:szCs w:val="18"/>
              </w:rPr>
              <w:t>)</w:t>
            </w:r>
            <w:r>
              <w:rPr>
                <w:rFonts w:ascii="宋体" w:hAnsi="宋体" w:cs="宋体" w:eastAsia="宋体" w:hint="default"/>
                <w:sz w:val="18"/>
                <w:szCs w:val="18"/>
              </w:rPr>
              <w:t>、百货、木制品、电子设备、五 金交电</w:t>
            </w:r>
            <w:r>
              <w:rPr>
                <w:rFonts w:ascii="Times New Roman" w:hAnsi="Times New Roman" w:cs="Times New Roman" w:eastAsia="Times New Roman" w:hint="default"/>
                <w:sz w:val="18"/>
                <w:szCs w:val="18"/>
              </w:rPr>
              <w:t>(</w:t>
            </w:r>
            <w:r>
              <w:rPr>
                <w:rFonts w:ascii="宋体" w:hAnsi="宋体" w:cs="宋体" w:eastAsia="宋体" w:hint="default"/>
                <w:sz w:val="18"/>
                <w:szCs w:val="18"/>
              </w:rPr>
              <w:t>不含助力车</w:t>
            </w:r>
            <w:r>
              <w:rPr>
                <w:rFonts w:ascii="Times New Roman" w:hAnsi="Times New Roman" w:cs="Times New Roman" w:eastAsia="Times New Roman" w:hint="default"/>
                <w:sz w:val="18"/>
                <w:szCs w:val="18"/>
              </w:rPr>
              <w:t>)</w:t>
            </w:r>
          </w:p>
        </w:tc>
        <w:tc>
          <w:tcPr>
            <w:tcW w:w="152"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3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9"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left="120" w:right="10178"/>
        <w:jc w:val="left"/>
      </w:pPr>
      <w:r>
        <w:rPr/>
        <w:pict>
          <v:group style="position:absolute;margin-left:455.089996pt;margin-top:-66.858276pt;width:49.15pt;height:43.55pt;mso-position-horizontal-relative:page;mso-position-vertical-relative:paragraph;z-index:-750064" coordorigin="9102,-1337" coordsize="983,871">
            <v:group style="position:absolute;left:9102;top:-1337;width:983;height:468" coordorigin="9102,-1337" coordsize="983,468">
              <v:shape style="position:absolute;left:9102;top:-1337;width:983;height:468" coordorigin="9102,-1337" coordsize="983,468" path="m9102,-869l10084,-869,10084,-1337,9102,-1337,9102,-869xe" filled="true" fillcolor="#ffffff" stroked="false">
                <v:path arrowok="t"/>
                <v:fill type="solid"/>
              </v:shape>
            </v:group>
            <v:group style="position:absolute;left:9113;top:-869;width:2;height:392" coordorigin="9113,-869" coordsize="2,392">
              <v:shape style="position:absolute;left:9113;top:-869;width:2;height:392" coordorigin="9113,-869" coordsize="0,392" path="m9113,-869l9113,-478e" filled="false" stroked="true" strokeweight="1.08pt" strokecolor="#ffffff">
                <v:path arrowok="t"/>
              </v:shape>
            </v:group>
            <v:group style="position:absolute;left:9123;top:-869;width:937;height:392" coordorigin="9123,-869" coordsize="937,392">
              <v:shape style="position:absolute;left:9123;top:-869;width:937;height:392" coordorigin="9123,-869" coordsize="937,392" path="m9123,-478l10060,-478,10060,-869,9123,-869,9123,-478xe" filled="true" fillcolor="#ffffff" stroked="false">
                <v:path arrowok="t"/>
                <v:fill type="solid"/>
              </v:shape>
            </v:group>
            <w10:wrap type="none"/>
          </v:group>
        </w:pict>
      </w:r>
      <w:r>
        <w:rPr/>
        <w:t>通过同一控制下企业合并取得的子公司的其他说明 无</w:t>
      </w:r>
    </w:p>
    <w:p>
      <w:pPr>
        <w:spacing w:line="240" w:lineRule="auto" w:before="4"/>
        <w:rPr>
          <w:rFonts w:ascii="宋体" w:hAnsi="宋体" w:cs="宋体" w:eastAsia="宋体" w:hint="default"/>
          <w:sz w:val="20"/>
          <w:szCs w:val="20"/>
        </w:rPr>
      </w:pPr>
    </w:p>
    <w:p>
      <w:pPr>
        <w:pStyle w:val="Heading4"/>
        <w:spacing w:line="240" w:lineRule="auto"/>
        <w:ind w:left="120"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120" w:right="0"/>
        <w:jc w:val="left"/>
      </w:pPr>
      <w:r>
        <w:rPr/>
        <w:t>无</w:t>
      </w:r>
    </w:p>
    <w:p>
      <w:pPr>
        <w:spacing w:after="0" w:line="240" w:lineRule="auto"/>
        <w:jc w:val="left"/>
        <w:sectPr>
          <w:pgSz w:w="16840" w:h="11910" w:orient="landscape"/>
          <w:pgMar w:header="850" w:footer="1186" w:top="1440" w:bottom="1380" w:left="1320" w:right="12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2214"/>
        <w:jc w:val="left"/>
      </w:pPr>
      <w:r>
        <w:rPr/>
        <w:t>合并报表范围发生变更说明 除本年度新设立子公司岳阳美邦、邦彤实业、及西宁美邦外，合并财务报表范围与上年度一致。</w:t>
      </w:r>
    </w:p>
    <w:p>
      <w:pPr>
        <w:spacing w:line="240" w:lineRule="auto" w:before="0"/>
        <w:rPr>
          <w:rFonts w:ascii="宋体" w:hAnsi="宋体" w:cs="宋体" w:eastAsia="宋体" w:hint="default"/>
          <w:sz w:val="18"/>
          <w:szCs w:val="18"/>
        </w:rPr>
      </w:pPr>
    </w:p>
    <w:p>
      <w:pPr>
        <w:pStyle w:val="BodyText"/>
        <w:spacing w:line="240" w:lineRule="auto" w:before="1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本期新纳入合并范围的子公司、特殊目的主体、通过受托经营或承租等方式形成控制权的经营实体</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3"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岳阳美特斯邦威服饰股份有限公司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1,828,557.00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-171,443.00</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上海邦彤实业有限公司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57,667,425.00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47,667,425.00</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西宁美特斯邦威服饰股份有限公司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60" w:lineRule="auto" w:before="49"/>
        <w:ind w:right="1854"/>
        <w:jc w:val="left"/>
      </w:pPr>
      <w:r>
        <w:rPr/>
        <w:t>本期不再纳入合并范围的子公司、特殊目的主体、通过受托经营或承租等方式形成控制权的经营实体 无</w:t>
      </w:r>
    </w:p>
    <w:p>
      <w:pPr>
        <w:pStyle w:val="BodyText"/>
        <w:spacing w:line="360" w:lineRule="auto" w:before="25"/>
        <w:ind w:right="4914"/>
        <w:jc w:val="left"/>
      </w:pPr>
      <w:r>
        <w:rPr/>
        <w:t>新纳入合并范围的主体和不再纳入合并范围的主体的其他说明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headerReference w:type="default" r:id="rId23"/>
          <w:footerReference w:type="default" r:id="rId24"/>
          <w:pgSz w:w="11910" w:h="16840"/>
          <w:pgMar w:header="850" w:footer="1186" w:top="1440" w:bottom="1380" w:left="980" w:right="980"/>
          <w:pgNumType w:start="89"/>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487" w:lineRule="auto" w:before="120"/>
        <w:ind w:left="152" w:right="545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10</w:t>
      </w:r>
      <w:r>
        <w:rPr>
          <w:rFonts w:ascii="宋体" w:hAnsi="宋体" w:cs="宋体" w:eastAsia="宋体" w:hint="default"/>
          <w:b/>
          <w:bCs/>
          <w:spacing w:val="-1"/>
          <w:sz w:val="21"/>
          <w:szCs w:val="21"/>
        </w:rPr>
        <w:t>、境外经营实体主要报表项目的折算汇率</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z w:val="24"/>
          <w:szCs w:val="24"/>
        </w:rPr>
        <w:t>七、合并财务报表主要项目注释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328"/>
        <w:gridCol w:w="918"/>
        <w:gridCol w:w="1485"/>
        <w:gridCol w:w="1318"/>
        <w:gridCol w:w="917"/>
        <w:gridCol w:w="1606"/>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1" w:type="dxa"/>
            <w:gridSpan w:val="3"/>
            <w:vMerge/>
            <w:tcBorders>
              <w:left w:val="single" w:sz="4" w:space="0" w:color="000000"/>
              <w:bottom w:val="single" w:sz="4" w:space="0" w:color="000000"/>
              <w:right w:val="single" w:sz="4" w:space="0" w:color="000000"/>
            </w:tcBorders>
            <w:shd w:val="clear" w:color="auto" w:fill="D2D2D2"/>
          </w:tcPr>
          <w:p>
            <w:pPr/>
          </w:p>
        </w:tc>
        <w:tc>
          <w:tcPr>
            <w:tcW w:w="3841"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7"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48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3,529,068.00</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4,509,083.00</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3,529,068.00</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4,509,083.00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611,820,116.00</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999,837,992.00</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611,820,116.00</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999,837,992.00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13,268,708.00</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83,283,780.00</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13,268,708.00</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83,283,780.00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628,617,892.00</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1,087,630,855.00</w:t>
            </w:r>
          </w:p>
        </w:tc>
      </w:tr>
    </w:tbl>
    <w:p>
      <w:pPr>
        <w:pStyle w:val="BodyText"/>
        <w:spacing w:line="240" w:lineRule="auto" w:before="49"/>
        <w:ind w:right="0"/>
        <w:jc w:val="left"/>
      </w:pPr>
      <w:r>
        <w:rPr/>
        <w:t>如有因抵押、质押或冻结等对使用有限制、存放在境外、有潜在回收风险的款项应单独说明</w:t>
      </w:r>
    </w:p>
    <w:p>
      <w:pPr>
        <w:pStyle w:val="BodyText"/>
        <w:tabs>
          <w:tab w:pos="993" w:val="left" w:leader="none"/>
        </w:tabs>
        <w:spacing w:line="240" w:lineRule="auto" w:before="115"/>
        <w:ind w:right="0"/>
        <w:jc w:val="left"/>
      </w:pPr>
      <w:r>
        <w:rPr/>
        <w:t>注</w:t>
      </w:r>
      <w:r>
        <w:rPr>
          <w:spacing w:val="-43"/>
        </w:rPr>
        <w:t> </w:t>
      </w:r>
      <w:r>
        <w:rPr>
          <w:rFonts w:ascii="Times New Roman" w:hAnsi="Times New Roman" w:cs="Times New Roman" w:eastAsia="Times New Roman" w:hint="default"/>
        </w:rPr>
        <w:t>1</w:t>
      </w:r>
      <w:r>
        <w:rPr/>
        <w:t>：</w:t>
        <w:tab/>
        <w:t>其他货币资金系本集团向中国银行上海分行康桥支行</w:t>
      </w:r>
      <w:r>
        <w:rPr>
          <w:rFonts w:ascii="Times New Roman" w:hAnsi="Times New Roman" w:cs="Times New Roman" w:eastAsia="Times New Roman" w:hint="default"/>
        </w:rPr>
        <w:t>(“</w:t>
      </w:r>
      <w:r>
        <w:rPr/>
        <w:t>中国银行</w:t>
      </w:r>
      <w:r>
        <w:rPr>
          <w:rFonts w:ascii="Times New Roman" w:hAnsi="Times New Roman" w:cs="Times New Roman" w:eastAsia="Times New Roman" w:hint="default"/>
        </w:rPr>
        <w:t>”)</w:t>
      </w:r>
      <w:r>
        <w:rPr/>
        <w:t>取得银行承兑汇票授信额度的保证金人民币</w:t>
      </w:r>
    </w:p>
    <w:p>
      <w:pPr>
        <w:pStyle w:val="BodyText"/>
        <w:spacing w:line="240" w:lineRule="auto" w:before="63"/>
        <w:ind w:right="0"/>
        <w:jc w:val="left"/>
      </w:pPr>
      <w:r>
        <w:rPr>
          <w:rFonts w:ascii="Times New Roman" w:hAnsi="Times New Roman" w:cs="Times New Roman" w:eastAsia="Times New Roman" w:hint="default"/>
        </w:rPr>
        <w:t>9,688,719 </w:t>
      </w:r>
      <w:r>
        <w:rPr/>
        <w:t>元，以及向中信银行上海浦东分行</w:t>
      </w:r>
      <w:r>
        <w:rPr>
          <w:rFonts w:ascii="Times New Roman" w:hAnsi="Times New Roman" w:cs="Times New Roman" w:eastAsia="Times New Roman" w:hint="default"/>
        </w:rPr>
        <w:t>(”</w:t>
      </w:r>
      <w:r>
        <w:rPr/>
        <w:t>中信银行</w:t>
      </w:r>
      <w:r>
        <w:rPr>
          <w:rFonts w:ascii="Times New Roman" w:hAnsi="Times New Roman" w:cs="Times New Roman" w:eastAsia="Times New Roman" w:hint="default"/>
        </w:rPr>
        <w:t>”)</w:t>
      </w:r>
      <w:r>
        <w:rPr/>
        <w:t>取得银行承兑汇票授信额度的保证金人民币</w:t>
      </w:r>
      <w:r>
        <w:rPr>
          <w:spacing w:val="-47"/>
        </w:rPr>
        <w:t> </w:t>
      </w:r>
      <w:r>
        <w:rPr>
          <w:rFonts w:ascii="Times New Roman" w:hAnsi="Times New Roman" w:cs="Times New Roman" w:eastAsia="Times New Roman" w:hint="default"/>
        </w:rPr>
        <w:t>3,506,462 </w:t>
      </w:r>
      <w:r>
        <w:rPr/>
        <w:t>元。</w:t>
      </w:r>
    </w:p>
    <w:p>
      <w:pPr>
        <w:pStyle w:val="BodyText"/>
        <w:tabs>
          <w:tab w:pos="993" w:val="left" w:leader="none"/>
        </w:tabs>
        <w:spacing w:line="240" w:lineRule="auto" w:before="103"/>
        <w:ind w:right="0"/>
        <w:jc w:val="left"/>
      </w:pPr>
      <w:r>
        <w:rPr/>
        <w:t>注</w:t>
      </w:r>
      <w:r>
        <w:rPr>
          <w:spacing w:val="-43"/>
        </w:rPr>
        <w:t> </w:t>
      </w:r>
      <w:r>
        <w:rPr>
          <w:rFonts w:ascii="Times New Roman" w:hAnsi="Times New Roman" w:cs="Times New Roman" w:eastAsia="Times New Roman" w:hint="default"/>
        </w:rPr>
        <w:t>2</w:t>
      </w:r>
      <w:r>
        <w:rPr/>
        <w:t>：</w:t>
        <w:tab/>
        <w:t>其他货币资金系本集团向花旗银行</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t>有限公司</w:t>
      </w:r>
      <w:r>
        <w:rPr>
          <w:rFonts w:ascii="Times New Roman" w:hAnsi="Times New Roman" w:cs="Times New Roman" w:eastAsia="Times New Roman" w:hint="default"/>
        </w:rPr>
        <w:t>(“</w:t>
      </w:r>
      <w:r>
        <w:rPr/>
        <w:t>花旗银行</w:t>
      </w:r>
      <w:r>
        <w:rPr>
          <w:rFonts w:ascii="Times New Roman" w:hAnsi="Times New Roman" w:cs="Times New Roman" w:eastAsia="Times New Roman" w:hint="default"/>
        </w:rPr>
        <w:t>”)</w:t>
      </w:r>
      <w:r>
        <w:rPr/>
        <w:t>取得应付账款融资借款作质押的保证金人民币</w:t>
      </w:r>
    </w:p>
    <w:p>
      <w:pPr>
        <w:pStyle w:val="BodyText"/>
        <w:spacing w:line="240" w:lineRule="auto" w:before="63"/>
        <w:ind w:right="0"/>
        <w:jc w:val="left"/>
      </w:pPr>
      <w:r>
        <w:rPr>
          <w:rFonts w:ascii="Times New Roman" w:hAnsi="Times New Roman" w:cs="Times New Roman" w:eastAsia="Times New Roman" w:hint="default"/>
        </w:rPr>
        <w:t>73,527</w:t>
      </w:r>
      <w:r>
        <w:rPr>
          <w:rFonts w:ascii="Times New Roman" w:hAnsi="Times New Roman" w:cs="Times New Roman" w:eastAsia="Times New Roman" w:hint="default"/>
          <w:spacing w:val="1"/>
        </w:rPr>
        <w:t> </w:t>
      </w:r>
      <w:r>
        <w:rPr/>
        <w:t>元。</w:t>
      </w:r>
    </w:p>
    <w:p>
      <w:pPr>
        <w:pStyle w:val="BodyText"/>
        <w:spacing w:line="240" w:lineRule="auto" w:before="101"/>
        <w:ind w:right="0"/>
        <w:jc w:val="left"/>
        <w:rPr>
          <w:rFonts w:ascii="Times New Roman" w:hAnsi="Times New Roman" w:cs="Times New Roman" w:eastAsia="Times New Roman" w:hint="default"/>
        </w:rPr>
      </w:pPr>
      <w:r>
        <w:rPr/>
        <w:t>于</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日，本集团的使用权受到限制的货币资金为人民币</w:t>
      </w:r>
      <w:r>
        <w:rPr>
          <w:spacing w:val="-48"/>
        </w:rPr>
        <w:t> </w:t>
      </w:r>
      <w:r>
        <w:rPr>
          <w:rFonts w:ascii="Times New Roman" w:hAnsi="Times New Roman" w:cs="Times New Roman" w:eastAsia="Times New Roman" w:hint="default"/>
        </w:rPr>
        <w:t>13,268,708</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5"/>
        </w:rPr>
        <w:t>日：人民币</w:t>
      </w:r>
      <w:r>
        <w:rPr>
          <w:spacing w:val="-48"/>
        </w:rPr>
        <w:t> </w:t>
      </w:r>
      <w:r>
        <w:rPr>
          <w:rFonts w:ascii="Times New Roman" w:hAnsi="Times New Roman" w:cs="Times New Roman" w:eastAsia="Times New Roman" w:hint="default"/>
        </w:rPr>
        <w:t>83,283,780</w:t>
      </w:r>
    </w:p>
    <w:p>
      <w:pPr>
        <w:pStyle w:val="BodyText"/>
        <w:spacing w:line="240" w:lineRule="auto" w:before="63"/>
        <w:ind w:right="0"/>
        <w:jc w:val="left"/>
      </w:pPr>
      <w:r>
        <w:rPr/>
        <w:t>元</w:t>
      </w:r>
      <w:r>
        <w:rPr>
          <w:rFonts w:ascii="Times New Roman" w:hAnsi="Times New Roman" w:cs="Times New Roman" w:eastAsia="Times New Roman" w:hint="default"/>
        </w:rPr>
        <w:t>)</w:t>
      </w:r>
      <w:r>
        <w:rPr/>
        <w:t>。</w:t>
      </w:r>
    </w:p>
    <w:p>
      <w:pPr>
        <w:pStyle w:val="BodyText"/>
        <w:spacing w:line="240" w:lineRule="auto" w:before="103"/>
        <w:ind w:left="695" w:right="0"/>
        <w:jc w:val="left"/>
      </w:pPr>
      <w:r>
        <w:rPr/>
        <w:t>银行活期存款按照银行活期存款利率取得利息收入。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4"/>
        <w:spacing w:line="240" w:lineRule="auto"/>
        <w:ind w:left="135" w:right="7978"/>
        <w:jc w:val="center"/>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8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8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784" w:right="0"/>
        <w:jc w:val="left"/>
      </w:pPr>
      <w:r>
        <w:rPr/>
        <w:t>不适用</w:t>
      </w:r>
    </w:p>
    <w:p>
      <w:pPr>
        <w:spacing w:after="0" w:line="240" w:lineRule="auto"/>
        <w:jc w:val="left"/>
        <w:sectPr>
          <w:pgSz w:w="11910" w:h="16840"/>
          <w:pgMar w:header="850" w:footer="1186" w:top="1440" w:bottom="13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8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6"/>
        <w:gridCol w:w="923"/>
        <w:gridCol w:w="931"/>
        <w:gridCol w:w="929"/>
        <w:gridCol w:w="930"/>
        <w:gridCol w:w="796"/>
        <w:gridCol w:w="929"/>
        <w:gridCol w:w="1064"/>
        <w:gridCol w:w="1066"/>
      </w:tblGrid>
      <w:tr>
        <w:trPr>
          <w:trHeight w:val="401" w:hRule="exact"/>
        </w:trPr>
        <w:tc>
          <w:tcPr>
            <w:tcW w:w="2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2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6" w:hRule="exact"/>
        </w:trPr>
        <w:tc>
          <w:tcPr>
            <w:tcW w:w="2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6"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1"/>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9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147,269,41</w:t>
            </w:r>
          </w:p>
          <w:p>
            <w:pPr>
              <w:pStyle w:val="TableParagraph"/>
              <w:spacing w:line="240" w:lineRule="auto" w:before="105"/>
              <w:ind w:left="570" w:right="0"/>
              <w:jc w:val="left"/>
              <w:rPr>
                <w:rFonts w:ascii="Times New Roman" w:hAnsi="Times New Roman" w:cs="Times New Roman" w:eastAsia="Times New Roman" w:hint="default"/>
                <w:sz w:val="18"/>
                <w:szCs w:val="18"/>
              </w:rPr>
            </w:pPr>
            <w:r>
              <w:rPr>
                <w:rFonts w:ascii="Times New Roman"/>
                <w:sz w:val="18"/>
              </w:rPr>
              <w:t>9.00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31.47%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134,969,8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14.00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5"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其他不重大</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320,688,16</w:t>
            </w:r>
          </w:p>
          <w:p>
            <w:pPr>
              <w:pStyle w:val="TableParagraph"/>
              <w:spacing w:line="240" w:lineRule="auto" w:before="105"/>
              <w:ind w:left="577" w:right="0"/>
              <w:jc w:val="left"/>
              <w:rPr>
                <w:rFonts w:ascii="Times New Roman" w:hAnsi="Times New Roman" w:cs="Times New Roman" w:eastAsia="Times New Roman" w:hint="default"/>
                <w:sz w:val="18"/>
                <w:szCs w:val="18"/>
              </w:rPr>
            </w:pPr>
            <w:r>
              <w:rPr>
                <w:rFonts w:ascii="Times New Roman"/>
                <w:sz w:val="18"/>
              </w:rPr>
              <w:t>9.00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68.53%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3,116,831.0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1,026,894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,383.00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88.38%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320,688,16</w:t>
            </w:r>
          </w:p>
          <w:p>
            <w:pPr>
              <w:pStyle w:val="TableParagraph"/>
              <w:spacing w:line="240" w:lineRule="auto" w:before="102"/>
              <w:ind w:left="577" w:right="0"/>
              <w:jc w:val="left"/>
              <w:rPr>
                <w:rFonts w:ascii="Times New Roman" w:hAnsi="Times New Roman" w:cs="Times New Roman" w:eastAsia="Times New Roman" w:hint="default"/>
                <w:sz w:val="18"/>
                <w:szCs w:val="18"/>
              </w:rPr>
            </w:pPr>
            <w:r>
              <w:rPr>
                <w:rFonts w:ascii="Times New Roman"/>
                <w:sz w:val="18"/>
              </w:rPr>
              <w:t>9.00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68.53%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3,116,831.0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1,026,894</w:t>
            </w:r>
          </w:p>
          <w:p>
            <w:pPr>
              <w:pStyle w:val="TableParagraph"/>
              <w:spacing w:line="240" w:lineRule="auto" w:before="102"/>
              <w:ind w:left="203" w:right="0"/>
              <w:jc w:val="center"/>
              <w:rPr>
                <w:rFonts w:ascii="Times New Roman" w:hAnsi="Times New Roman" w:cs="Times New Roman" w:eastAsia="Times New Roman" w:hint="default"/>
                <w:sz w:val="18"/>
                <w:szCs w:val="18"/>
              </w:rPr>
            </w:pPr>
            <w:r>
              <w:rPr>
                <w:rFonts w:ascii="Times New Roman"/>
                <w:sz w:val="18"/>
              </w:rPr>
              <w:t>,383.00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88.38%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467,957,58</w:t>
            </w:r>
          </w:p>
          <w:p>
            <w:pPr>
              <w:pStyle w:val="TableParagraph"/>
              <w:spacing w:line="240" w:lineRule="auto" w:before="105"/>
              <w:ind w:left="577" w:right="0"/>
              <w:jc w:val="left"/>
              <w:rPr>
                <w:rFonts w:ascii="Times New Roman" w:hAnsi="Times New Roman" w:cs="Times New Roman" w:eastAsia="Times New Roman" w:hint="default"/>
                <w:sz w:val="18"/>
                <w:szCs w:val="18"/>
              </w:rPr>
            </w:pPr>
            <w:r>
              <w:rPr>
                <w:rFonts w:ascii="Times New Roman"/>
                <w:sz w:val="18"/>
              </w:rPr>
              <w:t>8.00</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3,116,831.0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1,161,864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,197.00</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3114"/>
        <w:jc w:val="left"/>
      </w:pPr>
      <w:r>
        <w:rPr/>
        <w:t>应收账款种类的说明 本集团的应收账款主要包括对加盟商和百货公司专柜的产品销售而产生的应收货款。</w:t>
      </w:r>
    </w:p>
    <w:p>
      <w:pPr>
        <w:spacing w:line="240" w:lineRule="auto" w:before="1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50" w:footer="1186" w:top="1440" w:bottom="1380" w:left="980" w:right="980"/>
        </w:sectPr>
      </w:pPr>
    </w:p>
    <w:p>
      <w:pPr>
        <w:pStyle w:val="BodyText"/>
        <w:spacing w:line="240" w:lineRule="auto" w:before="44"/>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840" w:bottom="28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7"/>
        <w:gridCol w:w="1594"/>
        <w:gridCol w:w="929"/>
        <w:gridCol w:w="1728"/>
        <w:gridCol w:w="1459"/>
        <w:gridCol w:w="931"/>
        <w:gridCol w:w="1460"/>
      </w:tblGrid>
      <w:tr>
        <w:trPr>
          <w:trHeight w:val="401" w:hRule="exact"/>
        </w:trPr>
        <w:tc>
          <w:tcPr>
            <w:tcW w:w="14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467"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46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0"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457,774,040.00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97.82%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2,644,075.00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1,151,917,508.00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99.14%</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457,774,040.00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97.82%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2,644,075.00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1,151,917,508.00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99.14%</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9,076,968.00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411,122.00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9,946,689.00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0.86%</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1,106,580.00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61,634.00</w:t>
            </w:r>
          </w:p>
        </w:tc>
        <w:tc>
          <w:tcPr>
            <w:tcW w:w="1459"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840" w:bottom="280" w:left="980" w:right="980"/>
        </w:sectPr>
      </w:pPr>
    </w:p>
    <w:p>
      <w:pPr>
        <w:spacing w:line="240" w:lineRule="auto" w:before="6"/>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469"/>
        <w:gridCol w:w="1595"/>
        <w:gridCol w:w="928"/>
        <w:gridCol w:w="1728"/>
        <w:gridCol w:w="1460"/>
        <w:gridCol w:w="930"/>
        <w:gridCol w:w="1460"/>
      </w:tblGrid>
      <w:tr>
        <w:trPr>
          <w:trHeight w:val="416" w:hRule="exact"/>
        </w:trPr>
        <w:tc>
          <w:tcPr>
            <w:tcW w:w="1469"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left="436" w:right="0"/>
              <w:jc w:val="left"/>
              <w:rPr>
                <w:rFonts w:ascii="Times New Roman" w:hAnsi="Times New Roman" w:cs="Times New Roman" w:eastAsia="Times New Roman" w:hint="default"/>
                <w:sz w:val="18"/>
                <w:szCs w:val="18"/>
              </w:rPr>
            </w:pPr>
            <w:r>
              <w:rPr>
                <w:rFonts w:ascii="Times New Roman"/>
                <w:sz w:val="18"/>
              </w:rPr>
              <w:t>467,957,588.00</w:t>
            </w:r>
          </w:p>
        </w:tc>
        <w:tc>
          <w:tcPr>
            <w:tcW w:w="928"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left="755" w:right="0"/>
              <w:jc w:val="left"/>
              <w:rPr>
                <w:rFonts w:ascii="Times New Roman" w:hAnsi="Times New Roman" w:cs="Times New Roman" w:eastAsia="Times New Roman" w:hint="default"/>
                <w:sz w:val="18"/>
                <w:szCs w:val="18"/>
              </w:rPr>
            </w:pPr>
            <w:r>
              <w:rPr>
                <w:rFonts w:ascii="Times New Roman"/>
                <w:sz w:val="18"/>
              </w:rPr>
              <w:t>3,116,831.00</w:t>
            </w:r>
          </w:p>
        </w:tc>
        <w:tc>
          <w:tcPr>
            <w:tcW w:w="14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left="168" w:right="0"/>
              <w:jc w:val="left"/>
              <w:rPr>
                <w:rFonts w:ascii="Times New Roman" w:hAnsi="Times New Roman" w:cs="Times New Roman" w:eastAsia="Times New Roman" w:hint="default"/>
                <w:sz w:val="18"/>
                <w:szCs w:val="18"/>
              </w:rPr>
            </w:pPr>
            <w:r>
              <w:rPr>
                <w:rFonts w:ascii="Times New Roman"/>
                <w:sz w:val="18"/>
              </w:rPr>
              <w:t>1,161,864,197.00</w:t>
            </w:r>
          </w:p>
        </w:tc>
        <w:tc>
          <w:tcPr>
            <w:tcW w:w="930"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3"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10" w:space="0" w:color="000000"/>
              <w:left w:val="single" w:sz="4" w:space="0" w:color="000000"/>
              <w:bottom w:val="single" w:sz="4" w:space="0" w:color="000000"/>
              <w:right w:val="single" w:sz="4" w:space="0" w:color="000000"/>
            </w:tcBorders>
          </w:tcPr>
          <w:p>
            <w:pPr/>
          </w:p>
        </w:tc>
      </w:tr>
    </w:tbl>
    <w:p>
      <w:pPr>
        <w:pStyle w:val="BodyText"/>
        <w:spacing w:line="240" w:lineRule="auto" w:before="49"/>
        <w:ind w:left="112" w:right="0"/>
        <w:jc w:val="left"/>
      </w:pPr>
      <w:r>
        <w:rPr/>
        <w:t>组合中，采用余额百分比法计提坏账准备的应收账款</w:t>
      </w:r>
    </w:p>
    <w:p>
      <w:pPr>
        <w:pStyle w:val="BodyText"/>
        <w:spacing w:line="340" w:lineRule="auto" w:before="115"/>
        <w:ind w:left="112" w:right="5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38" w:lineRule="auto" w:before="41"/>
        <w:ind w:left="112" w:right="5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3"/>
        <w:ind w:left="1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4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18"/>
        <w:ind w:left="112"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4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left="112"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4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18"/>
        <w:ind w:left="112"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147,269,419.00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21,900,123.00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17,915,181.00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加盟商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8,395,340.00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加盟商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5,036,077.00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200,516,140.00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爱裳邦购</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与本公司受同一最终控股股东 控制的公司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147,269,419.00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最终控股股东的妹妹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21,900,123.00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最终控股股东的姐姐</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17,915,181.00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186" w:top="1440" w:bottom="1380" w:left="1020" w:right="102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278"/>
        <w:gridCol w:w="2429"/>
        <w:gridCol w:w="2432"/>
        <w:gridCol w:w="2429"/>
      </w:tblGrid>
      <w:tr>
        <w:trPr>
          <w:trHeight w:val="416" w:hRule="exact"/>
        </w:trPr>
        <w:tc>
          <w:tcPr>
            <w:tcW w:w="227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黄岑期、周文汉</w:t>
            </w:r>
          </w:p>
        </w:tc>
        <w:tc>
          <w:tcPr>
            <w:tcW w:w="242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最终控股股东的妹夫、侄子</w:t>
            </w:r>
          </w:p>
        </w:tc>
        <w:tc>
          <w:tcPr>
            <w:tcW w:w="243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1,374,429.00</w:t>
            </w:r>
          </w:p>
        </w:tc>
        <w:tc>
          <w:tcPr>
            <w:tcW w:w="242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188,459,152.00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74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left="112"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4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18"/>
        <w:ind w:left="112"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04"/>
        <w:gridCol w:w="1501"/>
        <w:gridCol w:w="850"/>
        <w:gridCol w:w="991"/>
        <w:gridCol w:w="852"/>
        <w:gridCol w:w="1274"/>
        <w:gridCol w:w="710"/>
        <w:gridCol w:w="699"/>
        <w:gridCol w:w="790"/>
      </w:tblGrid>
      <w:tr>
        <w:trPr>
          <w:trHeight w:val="40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41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7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025"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5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163,930,176.00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138,415,074.00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6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其他不重大</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146,096,022.00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47%</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196,345,386.00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6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146,096,022.00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47%</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196,345,386.00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6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310,026,198.00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334,760,460.00</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left="112" w:right="3074"/>
        <w:jc w:val="left"/>
      </w:pPr>
      <w:r>
        <w:rPr/>
        <w:t>其他应收款种类的说明 本集团的其他应收款主要包括店铺租赁押金、店铺备用金、应收补贴款等应收款项。</w:t>
      </w: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50" w:footer="1186" w:top="1440" w:bottom="1380" w:left="1020" w:right="1020"/>
        </w:sectPr>
      </w:pPr>
    </w:p>
    <w:p>
      <w:pPr>
        <w:pStyle w:val="BodyText"/>
        <w:spacing w:line="240" w:lineRule="auto" w:before="44"/>
        <w:ind w:left="112" w:right="-20"/>
        <w:jc w:val="left"/>
      </w:pPr>
      <w:r>
        <w:rPr/>
        <w:t>期末单项金额重大并单项计提坏账准备的其他应收款</w:t>
      </w:r>
    </w:p>
    <w:p>
      <w:pPr>
        <w:pStyle w:val="BodyText"/>
        <w:spacing w:line="338" w:lineRule="auto" w:before="117"/>
        <w:ind w:left="11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43"/>
        <w:ind w:left="112"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112" w:right="0"/>
        <w:jc w:val="left"/>
      </w:pPr>
      <w:r>
        <w:rPr/>
        <w:t>单位：</w:t>
      </w:r>
      <w:r>
        <w:rPr>
          <w:spacing w:val="1"/>
        </w:rPr>
        <w:t> </w:t>
      </w:r>
      <w:r>
        <w:rPr/>
        <w:t>元</w:t>
      </w:r>
    </w:p>
    <w:p>
      <w:pPr>
        <w:spacing w:after="0" w:line="240" w:lineRule="auto"/>
        <w:jc w:val="left"/>
        <w:sectPr>
          <w:type w:val="continuous"/>
          <w:pgSz w:w="11910" w:h="16840"/>
          <w:pgMar w:top="840" w:bottom="280" w:left="1020" w:right="1020"/>
          <w:cols w:num="2" w:equalWidth="0">
            <w:col w:w="4253" w:space="4576"/>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47"/>
        <w:gridCol w:w="1841"/>
        <w:gridCol w:w="658"/>
        <w:gridCol w:w="1448"/>
        <w:gridCol w:w="1450"/>
        <w:gridCol w:w="658"/>
        <w:gridCol w:w="1669"/>
      </w:tblGrid>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7" w:type="dxa"/>
            <w:vMerge/>
            <w:tcBorders>
              <w:left w:val="single" w:sz="4" w:space="0" w:color="000000"/>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7"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66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bl>
    <w:p>
      <w:pPr>
        <w:spacing w:after="0" w:line="240" w:lineRule="auto"/>
        <w:jc w:val="left"/>
        <w:rPr>
          <w:rFonts w:ascii="宋体" w:hAnsi="宋体" w:cs="宋体" w:eastAsia="宋体" w:hint="default"/>
          <w:sz w:val="18"/>
          <w:szCs w:val="18"/>
        </w:rPr>
        <w:sectPr>
          <w:type w:val="continuous"/>
          <w:pgSz w:w="11910" w:h="16840"/>
          <w:pgMar w:top="840" w:bottom="280" w:left="1020" w:right="102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847"/>
        <w:gridCol w:w="1841"/>
        <w:gridCol w:w="658"/>
        <w:gridCol w:w="1448"/>
        <w:gridCol w:w="1450"/>
        <w:gridCol w:w="658"/>
        <w:gridCol w:w="1669"/>
      </w:tblGrid>
      <w:tr>
        <w:trPr>
          <w:trHeight w:val="410" w:hRule="exact"/>
        </w:trPr>
        <w:tc>
          <w:tcPr>
            <w:tcW w:w="1847"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10" w:space="0" w:color="000000"/>
              <w:left w:val="single" w:sz="4" w:space="0" w:color="000000"/>
              <w:bottom w:val="single" w:sz="4" w:space="0" w:color="000000"/>
              <w:right w:val="single" w:sz="4" w:space="0" w:color="000000"/>
            </w:tcBorders>
            <w:shd w:val="clear" w:color="auto" w:fill="D2D2D2"/>
          </w:tcPr>
          <w:p>
            <w:pPr/>
          </w:p>
        </w:tc>
        <w:tc>
          <w:tcPr>
            <w:tcW w:w="1669" w:type="dxa"/>
            <w:tcBorders>
              <w:top w:val="single" w:sz="10"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242,861,438.00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78%</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213,913,318.00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w:t>
            </w: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242,861,438.00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78%</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213,913,318.00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64%</w:t>
            </w: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26,263,947.00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115,448,682.00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40,255,775.00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13%</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18,760.00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w:t>
            </w: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645,038.00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5,379,700.00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w:t>
            </w:r>
          </w:p>
        </w:tc>
        <w:tc>
          <w:tcPr>
            <w:tcW w:w="16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310,026,198.00</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334,760,460.00</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112" w:right="0"/>
        <w:jc w:val="left"/>
      </w:pPr>
      <w:r>
        <w:rPr/>
        <w:t>组合中，采用余额百分比法计提坏账准备的其他应收款</w:t>
      </w:r>
    </w:p>
    <w:p>
      <w:pPr>
        <w:pStyle w:val="BodyText"/>
        <w:spacing w:line="340" w:lineRule="auto" w:before="115"/>
        <w:ind w:left="112" w:right="5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38" w:lineRule="auto" w:before="41"/>
        <w:ind w:left="112" w:right="5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3"/>
        <w:ind w:left="1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4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18"/>
        <w:ind w:left="112"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4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left="112"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4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18"/>
        <w:ind w:left="112"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1916"/>
        <w:gridCol w:w="2871"/>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地方政府</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163,930,176.00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地方政府补贴</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163,930,176.00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r>
    </w:tbl>
    <w:p>
      <w:pPr>
        <w:pStyle w:val="BodyText"/>
        <w:spacing w:line="240" w:lineRule="auto" w:before="49"/>
        <w:ind w:left="112" w:right="0"/>
        <w:jc w:val="left"/>
      </w:pPr>
      <w:r>
        <w:rPr/>
        <w:t>说明</w:t>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7" w:right="39"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145,755,102.00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47%</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186" w:top="1440" w:bottom="1380" w:left="1020" w:right="102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16" w:hRule="exact"/>
        </w:trPr>
        <w:tc>
          <w:tcPr>
            <w:tcW w:w="1916" w:type="dxa"/>
            <w:tcBorders>
              <w:top w:val="single" w:sz="10" w:space="0" w:color="000000"/>
              <w:left w:val="single" w:sz="4" w:space="0" w:color="000000"/>
              <w:bottom w:val="single" w:sz="4" w:space="0" w:color="000000"/>
              <w:right w:val="single" w:sz="4" w:space="0" w:color="000000"/>
            </w:tcBorders>
          </w:tcPr>
          <w:p>
            <w:pPr/>
          </w:p>
        </w:tc>
        <w:tc>
          <w:tcPr>
            <w:tcW w:w="1913" w:type="dxa"/>
            <w:tcBorders>
              <w:top w:val="single" w:sz="10" w:space="0" w:color="000000"/>
              <w:left w:val="single" w:sz="4" w:space="0" w:color="000000"/>
              <w:bottom w:val="single" w:sz="4" w:space="0" w:color="000000"/>
              <w:right w:val="single" w:sz="4" w:space="0" w:color="000000"/>
            </w:tcBorders>
          </w:tcPr>
          <w:p>
            <w:pPr/>
          </w:p>
        </w:tc>
        <w:tc>
          <w:tcPr>
            <w:tcW w:w="19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18,175,074.00</w:t>
            </w:r>
          </w:p>
        </w:tc>
        <w:tc>
          <w:tcPr>
            <w:tcW w:w="191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3,918,500.00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2,795,200.00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179,403,876.00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74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4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18"/>
        <w:ind w:left="112"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4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left="112"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04"/>
        <w:gridCol w:w="3187"/>
        <w:gridCol w:w="1063"/>
        <w:gridCol w:w="3054"/>
        <w:gridCol w:w="1063"/>
      </w:tblGrid>
      <w:tr>
        <w:trPr>
          <w:trHeight w:val="206" w:hRule="exact"/>
        </w:trPr>
        <w:tc>
          <w:tcPr>
            <w:tcW w:w="1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204" w:type="dxa"/>
            <w:vMerge/>
            <w:tcBorders>
              <w:left w:val="single" w:sz="4" w:space="0" w:color="000000"/>
              <w:bottom w:val="nil" w:sz="6" w:space="0" w:color="auto"/>
              <w:right w:val="single" w:sz="4" w:space="0" w:color="000000"/>
            </w:tcBorders>
            <w:shd w:val="clear" w:color="auto" w:fill="D2D2D2"/>
          </w:tcPr>
          <w:p>
            <w:pPr/>
          </w:p>
        </w:tc>
        <w:tc>
          <w:tcPr>
            <w:tcW w:w="3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7"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305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294,229,182.00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480,562,182.00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w:t>
            </w:r>
          </w:p>
        </w:tc>
      </w:tr>
      <w:tr>
        <w:trPr>
          <w:trHeight w:val="403"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2,283,699.00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7,137,246.00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296,512,881.00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487,699,428.00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left="112" w:right="4077"/>
        <w:jc w:val="left"/>
      </w:pPr>
      <w:r>
        <w:rPr/>
        <w:t>预付款项账龄的说明 预付账款账龄</w:t>
      </w:r>
      <w:r>
        <w:rPr>
          <w:rFonts w:ascii="Times New Roman" w:hAnsi="Times New Roman" w:cs="Times New Roman" w:eastAsia="Times New Roman" w:hint="default"/>
        </w:rPr>
        <w:t>99%</w:t>
      </w:r>
      <w:r>
        <w:rPr/>
        <w:t>在一年以内，有</w:t>
      </w:r>
      <w:r>
        <w:rPr>
          <w:rFonts w:ascii="Times New Roman" w:hAnsi="Times New Roman" w:cs="Times New Roman" w:eastAsia="Times New Roman" w:hint="default"/>
        </w:rPr>
        <w:t>1%</w:t>
      </w:r>
      <w:r>
        <w:rPr/>
        <w:t>部分预付外部单位的账龄在</w:t>
      </w:r>
      <w:r>
        <w:rPr>
          <w:rFonts w:ascii="Times New Roman" w:hAnsi="Times New Roman" w:cs="Times New Roman" w:eastAsia="Times New Roman" w:hint="default"/>
        </w:rPr>
        <w:t>1-2</w:t>
      </w:r>
      <w:r>
        <w:rPr/>
        <w:t>年。</w:t>
      </w:r>
    </w:p>
    <w:p>
      <w:pPr>
        <w:spacing w:line="240" w:lineRule="auto" w:before="9"/>
        <w:rPr>
          <w:rFonts w:ascii="宋体" w:hAnsi="宋体" w:cs="宋体" w:eastAsia="宋体" w:hint="default"/>
          <w:sz w:val="18"/>
          <w:szCs w:val="18"/>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26,167,706.00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4,874,554.00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2,131,628.00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预付货款</w:t>
            </w:r>
          </w:p>
        </w:tc>
      </w:tr>
    </w:tbl>
    <w:p>
      <w:pPr>
        <w:spacing w:after="0" w:line="240" w:lineRule="auto"/>
        <w:jc w:val="left"/>
        <w:rPr>
          <w:rFonts w:ascii="宋体" w:hAnsi="宋体" w:cs="宋体" w:eastAsia="宋体" w:hint="default"/>
          <w:sz w:val="18"/>
          <w:szCs w:val="18"/>
        </w:rPr>
        <w:sectPr>
          <w:pgSz w:w="11910" w:h="16840"/>
          <w:pgMar w:header="850" w:footer="1186" w:top="1440" w:bottom="1380" w:left="1020" w:right="102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16" w:hRule="exact"/>
        </w:trPr>
        <w:tc>
          <w:tcPr>
            <w:tcW w:w="19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1,845,338.00</w:t>
            </w:r>
          </w:p>
        </w:tc>
        <w:tc>
          <w:tcPr>
            <w:tcW w:w="191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1,586,865.00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36,606,091.00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left="112" w:right="0"/>
        <w:jc w:val="left"/>
      </w:pPr>
      <w:r>
        <w:rPr/>
        <w:t>预付款项主要单位的说明 </w:t>
      </w:r>
      <w:r>
        <w:rPr>
          <w:spacing w:val="-2"/>
        </w:rPr>
        <w:t>预付账款前五名主要为预预付账款的对方单位主要是本集团的生产供应商、租赁营业店铺的对方交易单位或个人。由于预付</w:t>
      </w:r>
      <w:r>
        <w:rPr>
          <w:spacing w:val="-64"/>
        </w:rPr>
        <w:t> </w:t>
      </w:r>
      <w:r>
        <w:rPr>
          <w:spacing w:val="-64"/>
        </w:rPr>
      </w:r>
      <w:r>
        <w:rPr/>
        <w:t>款项主要是经过长期合作的供应商，其信用良好，因此预付款项的信用风险较低。</w:t>
      </w:r>
    </w:p>
    <w:p>
      <w:pPr>
        <w:spacing w:line="240" w:lineRule="auto" w:before="7"/>
        <w:rPr>
          <w:rFonts w:ascii="宋体" w:hAnsi="宋体" w:cs="宋体" w:eastAsia="宋体" w:hint="default"/>
          <w:sz w:val="21"/>
          <w:szCs w:val="21"/>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4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left="112"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833" w:right="0"/>
        <w:jc w:val="left"/>
      </w:pPr>
      <w:r>
        <w:rPr/>
        <w:t>预付账款前五名主要为预付的生产货款。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4"/>
        <w:spacing w:line="240" w:lineRule="auto"/>
        <w:ind w:left="112"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576"/>
        <w:gridCol w:w="1473"/>
        <w:gridCol w:w="1193"/>
        <w:gridCol w:w="1330"/>
        <w:gridCol w:w="1327"/>
        <w:gridCol w:w="1330"/>
        <w:gridCol w:w="1327"/>
      </w:tblGrid>
      <w:tr>
        <w:trPr>
          <w:trHeight w:val="206" w:hRule="exact"/>
        </w:trPr>
        <w:tc>
          <w:tcPr>
            <w:tcW w:w="1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576" w:type="dxa"/>
            <w:vMerge/>
            <w:tcBorders>
              <w:left w:val="single" w:sz="4" w:space="0" w:color="000000"/>
              <w:bottom w:val="nil" w:sz="6" w:space="0" w:color="auto"/>
              <w:right w:val="single" w:sz="4" w:space="0" w:color="000000"/>
            </w:tcBorders>
            <w:shd w:val="clear" w:color="auto" w:fill="D2D2D2"/>
          </w:tcPr>
          <w:p>
            <w:pPr/>
          </w:p>
        </w:tc>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42,636,856.00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42,636,856.00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58,196,508.00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58,196,508.00</w:t>
            </w: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2,049,219,259.00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88,514,530.00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1,960,704,729.00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2,547,056,650.00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47,962,130.00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2,499,094,520.00</w:t>
            </w: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2,609,664.00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2,609,664.00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2,545,128.00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2,545,128.00</w:t>
            </w: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2,094,465,779.00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88,514,530.00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2,005,951,249.00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2,607,798,286.00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47,962,130.00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2,559,836,156.00</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720"/>
        <w:gridCol w:w="1616"/>
        <w:gridCol w:w="1615"/>
        <w:gridCol w:w="1414"/>
        <w:gridCol w:w="1430"/>
        <w:gridCol w:w="1757"/>
      </w:tblGrid>
      <w:tr>
        <w:trPr>
          <w:trHeight w:val="204" w:hRule="exact"/>
        </w:trPr>
        <w:tc>
          <w:tcPr>
            <w:tcW w:w="1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7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6"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vMerge/>
            <w:tcBorders>
              <w:left w:val="single" w:sz="4" w:space="0" w:color="000000"/>
              <w:bottom w:val="single" w:sz="4"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1720"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47,962,130.00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60,883,768.00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20,331,368.00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88,514,530.00</w:t>
            </w:r>
          </w:p>
        </w:tc>
      </w:tr>
      <w:tr>
        <w:trPr>
          <w:trHeight w:val="403" w:hRule="exact"/>
        </w:trPr>
        <w:tc>
          <w:tcPr>
            <w:tcW w:w="1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47,962,130.00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60,883,768.00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20,331,368.00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88,514,530.00</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81"/>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5" w:right="9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1910" w:h="16840"/>
          <w:pgMar w:header="850" w:footer="1186" w:top="1440" w:bottom="1380" w:left="1020" w:right="1020"/>
        </w:sectPr>
      </w:pPr>
    </w:p>
    <w:p>
      <w:pPr>
        <w:spacing w:line="240" w:lineRule="auto" w:before="6"/>
        <w:rPr>
          <w:rFonts w:ascii="宋体" w:hAnsi="宋体" w:cs="宋体" w:eastAsia="宋体" w:hint="default"/>
          <w:b/>
          <w:bCs/>
          <w:sz w:val="2"/>
          <w:szCs w:val="2"/>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3"/>
      </w:tblGrid>
      <w:tr>
        <w:trPr>
          <w:trHeight w:val="728" w:hRule="exact"/>
        </w:trPr>
        <w:tc>
          <w:tcPr>
            <w:tcW w:w="239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91" w:type="dxa"/>
            <w:tcBorders>
              <w:top w:val="single" w:sz="10" w:space="0" w:color="000000"/>
              <w:left w:val="single" w:sz="4" w:space="0" w:color="000000"/>
              <w:bottom w:val="single" w:sz="4" w:space="0" w:color="000000"/>
              <w:right w:val="single" w:sz="4" w:space="0" w:color="000000"/>
            </w:tcBorders>
          </w:tcPr>
          <w:p>
            <w:pPr>
              <w:pStyle w:val="TableParagraph"/>
              <w:spacing w:line="316" w:lineRule="auto" w:before="56"/>
              <w:ind w:left="23" w:right="195"/>
              <w:jc w:val="left"/>
              <w:rPr>
                <w:rFonts w:ascii="宋体" w:hAnsi="宋体" w:cs="宋体" w:eastAsia="宋体" w:hint="default"/>
                <w:sz w:val="18"/>
                <w:szCs w:val="18"/>
              </w:rPr>
            </w:pPr>
            <w:r>
              <w:rPr>
                <w:rFonts w:ascii="宋体" w:hAnsi="宋体" w:cs="宋体" w:eastAsia="宋体" w:hint="default"/>
                <w:sz w:val="18"/>
                <w:szCs w:val="18"/>
              </w:rPr>
              <w:t>根据存货成本与可变现净值 孰低计量</w:t>
            </w:r>
          </w:p>
        </w:tc>
        <w:tc>
          <w:tcPr>
            <w:tcW w:w="23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left="112" w:right="0"/>
        <w:jc w:val="left"/>
      </w:pPr>
      <w:r>
        <w:rPr/>
        <w:t>存货的说明</w:t>
      </w:r>
    </w:p>
    <w:p>
      <w:pPr>
        <w:pStyle w:val="BodyText"/>
        <w:spacing w:line="240" w:lineRule="auto" w:before="115"/>
        <w:ind w:left="112" w:right="0"/>
        <w:jc w:val="left"/>
      </w:pPr>
      <w:r>
        <w:rPr/>
        <w:t>于</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日，无所有权受到限制的存货。</w:t>
      </w:r>
    </w:p>
    <w:p>
      <w:pPr>
        <w:spacing w:line="240" w:lineRule="auto" w:before="2"/>
        <w:rPr>
          <w:rFonts w:ascii="宋体" w:hAnsi="宋体" w:cs="宋体" w:eastAsia="宋体" w:hint="default"/>
          <w:sz w:val="26"/>
          <w:szCs w:val="26"/>
        </w:rPr>
      </w:pPr>
    </w:p>
    <w:p>
      <w:pPr>
        <w:pStyle w:val="Heading4"/>
        <w:spacing w:line="240" w:lineRule="auto"/>
        <w:ind w:left="112"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60" w:right="8495"/>
        <w:jc w:val="center"/>
      </w:pPr>
      <w:r>
        <w:rPr/>
        <w:t>不适用</w:t>
      </w:r>
    </w:p>
    <w:p>
      <w:pPr>
        <w:spacing w:line="240" w:lineRule="auto" w:before="0"/>
        <w:rPr>
          <w:rFonts w:ascii="宋体" w:hAnsi="宋体" w:cs="宋体" w:eastAsia="宋体" w:hint="default"/>
          <w:sz w:val="18"/>
          <w:szCs w:val="18"/>
        </w:rPr>
      </w:pPr>
    </w:p>
    <w:p>
      <w:pPr>
        <w:pStyle w:val="Heading4"/>
        <w:spacing w:line="240" w:lineRule="auto" w:before="120"/>
        <w:ind w:left="112" w:right="0"/>
        <w:jc w:val="left"/>
        <w:rPr>
          <w:b w:val="0"/>
          <w:bCs w:val="0"/>
        </w:rPr>
      </w:pPr>
      <w:r>
        <w:rPr>
          <w:rFonts w:ascii="Times New Roman" w:hAnsi="Times New Roman" w:cs="Times New Roman" w:eastAsia="Times New Roman" w:hint="default"/>
        </w:rPr>
        <w:t>11</w:t>
      </w:r>
      <w:r>
        <w:rPr/>
        <w:t>、长期应收款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769"/>
        <w:gridCol w:w="3336"/>
        <w:gridCol w:w="3454"/>
      </w:tblGrid>
      <w:tr>
        <w:trPr>
          <w:trHeight w:val="404"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162,758,919.00</w:t>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164,480,663.00</w:t>
            </w:r>
          </w:p>
        </w:tc>
      </w:tr>
      <w:tr>
        <w:trPr>
          <w:trHeight w:val="403"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162,758,919.00</w:t>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164,480,663.00</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rFonts w:ascii="Times New Roman" w:hAnsi="Times New Roman" w:cs="Times New Roman" w:eastAsia="Times New Roman" w:hint="default"/>
        </w:rPr>
        <w:t>12</w:t>
      </w:r>
      <w:r>
        <w:rPr/>
        <w:t>、对合营企业投资和联营企业投资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5"/>
        <w:gridCol w:w="1198"/>
        <w:gridCol w:w="1193"/>
        <w:gridCol w:w="1198"/>
        <w:gridCol w:w="1198"/>
      </w:tblGrid>
      <w:tr>
        <w:trPr>
          <w:trHeight w:val="102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3"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长安基金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169,754,849.00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29,846,451.00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139,908,398.00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5,481,308.00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-33,106,760.00</w:t>
            </w:r>
          </w:p>
        </w:tc>
      </w:tr>
    </w:tbl>
    <w:p>
      <w:pPr>
        <w:pStyle w:val="BodyText"/>
        <w:spacing w:line="357" w:lineRule="auto" w:before="49"/>
        <w:ind w:left="112" w:right="1994"/>
        <w:jc w:val="left"/>
      </w:pPr>
      <w:r>
        <w:rPr/>
        <w:t>合营企业、联营企业的重要会计政策、会计估计与公司的会计政策、会计估计存在重大差异的说明 无</w:t>
      </w:r>
    </w:p>
    <w:p>
      <w:pPr>
        <w:spacing w:line="240" w:lineRule="auto" w:before="6"/>
        <w:rPr>
          <w:rFonts w:ascii="宋体" w:hAnsi="宋体" w:cs="宋体" w:eastAsia="宋体" w:hint="default"/>
          <w:sz w:val="20"/>
          <w:szCs w:val="20"/>
        </w:rPr>
      </w:pPr>
    </w:p>
    <w:p>
      <w:pPr>
        <w:pStyle w:val="Heading4"/>
        <w:spacing w:line="240" w:lineRule="auto"/>
        <w:ind w:left="112" w:right="0"/>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7"/>
        <w:gridCol w:w="799"/>
        <w:gridCol w:w="797"/>
        <w:gridCol w:w="800"/>
        <w:gridCol w:w="797"/>
      </w:tblGrid>
      <w:tr>
        <w:trPr>
          <w:trHeight w:val="1964"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1"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35"/>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3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40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长安基金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pacing w:val="-1"/>
                <w:sz w:val="18"/>
              </w:rPr>
              <w:t>66,000,00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24,095,00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22,074,76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46,169,77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33%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186" w:top="1440" w:bottom="1380" w:left="1020" w:right="1020"/>
        </w:sectPr>
      </w:pPr>
    </w:p>
    <w:p>
      <w:pPr>
        <w:spacing w:line="240" w:lineRule="auto" w:before="6"/>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794"/>
        <w:gridCol w:w="797"/>
        <w:gridCol w:w="799"/>
        <w:gridCol w:w="797"/>
        <w:gridCol w:w="799"/>
        <w:gridCol w:w="798"/>
        <w:gridCol w:w="798"/>
        <w:gridCol w:w="797"/>
        <w:gridCol w:w="799"/>
        <w:gridCol w:w="797"/>
        <w:gridCol w:w="800"/>
        <w:gridCol w:w="797"/>
      </w:tblGrid>
      <w:tr>
        <w:trPr>
          <w:trHeight w:val="374" w:hRule="exact"/>
        </w:trPr>
        <w:tc>
          <w:tcPr>
            <w:tcW w:w="794"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7"/>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7"/>
              <w:ind w:left="451" w:right="0"/>
              <w:jc w:val="left"/>
              <w:rPr>
                <w:rFonts w:ascii="Times New Roman" w:hAnsi="Times New Roman" w:cs="Times New Roman" w:eastAsia="Times New Roman" w:hint="default"/>
                <w:sz w:val="18"/>
                <w:szCs w:val="18"/>
              </w:rPr>
            </w:pPr>
            <w:r>
              <w:rPr>
                <w:rFonts w:ascii="Times New Roman"/>
                <w:sz w:val="18"/>
              </w:rPr>
              <w:t>2.00</w:t>
            </w:r>
          </w:p>
        </w:tc>
        <w:tc>
          <w:tcPr>
            <w:tcW w:w="79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7"/>
              <w:ind w:left="451" w:right="0"/>
              <w:jc w:val="left"/>
              <w:rPr>
                <w:rFonts w:ascii="Times New Roman" w:hAnsi="Times New Roman" w:cs="Times New Roman" w:eastAsia="Times New Roman" w:hint="default"/>
                <w:sz w:val="18"/>
                <w:szCs w:val="18"/>
              </w:rPr>
            </w:pPr>
            <w:r>
              <w:rPr>
                <w:rFonts w:ascii="Times New Roman"/>
                <w:sz w:val="18"/>
              </w:rPr>
              <w:t>9.00</w:t>
            </w:r>
          </w:p>
        </w:tc>
        <w:tc>
          <w:tcPr>
            <w:tcW w:w="79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7"/>
              <w:ind w:left="451"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9"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800"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r>
      <w:tr>
        <w:trPr>
          <w:trHeight w:val="716"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66,000,00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24,095,00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22,074,76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46,169,77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708"/>
        <w:gridCol w:w="2003"/>
        <w:gridCol w:w="1863"/>
        <w:gridCol w:w="1860"/>
        <w:gridCol w:w="2127"/>
      </w:tblGrid>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74,339,844.00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14,544,669.00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88,884,513.00</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74,339,844.00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14,544,669.00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88,884,513.00</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6,077,627.00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2,223,577.00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8,301,204.00</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6,077,627.00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2,223,577.00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8,301,204.00</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68,262,217.00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12,321,092.00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80,583,309.00</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68,262,217.00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12,321,092.00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80,583,309.00</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68,262,217.00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12,321,092.00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80,583,309.00</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68,262,217.00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12,321,092.00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80,583,309.00</w:t>
            </w:r>
          </w:p>
        </w:tc>
      </w:tr>
    </w:tbl>
    <w:p>
      <w:pPr>
        <w:pStyle w:val="BodyText"/>
        <w:spacing w:line="240" w:lineRule="auto" w:before="49"/>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5337"/>
        <w:gridCol w:w="4221"/>
      </w:tblGrid>
      <w:tr>
        <w:trPr>
          <w:trHeight w:val="401" w:hRule="exact"/>
        </w:trPr>
        <w:tc>
          <w:tcPr>
            <w:tcW w:w="53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5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2,223,577.00</w:t>
            </w:r>
          </w:p>
        </w:tc>
      </w:tr>
      <w:tr>
        <w:trPr>
          <w:trHeight w:val="401" w:hRule="exact"/>
        </w:trPr>
        <w:tc>
          <w:tcPr>
            <w:tcW w:w="5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36"/>
        <w:ind w:left="112" w:right="0"/>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106"/>
        <w:gridCol w:w="1473"/>
        <w:gridCol w:w="2921"/>
        <w:gridCol w:w="1596"/>
        <w:gridCol w:w="1460"/>
      </w:tblGrid>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2,243,267,453.00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276,147,131.00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17,822,717.00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2,501,591,867.00</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1,871,566,098.00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211,518,166.00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694,427.00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2,082,389,837.00</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37,397,439.00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1,072,523.00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707,529.00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37,762,433.00</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81,519,916.00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3,948,034.00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1,227,802.00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84,240,148.00</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240,158,633.00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56,541,692.00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14,950,438.00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281,749,887.00</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186" w:top="1440" w:bottom="1380" w:left="1020" w:right="1020"/>
        </w:sectPr>
      </w:pPr>
    </w:p>
    <w:tbl>
      <w:tblPr>
        <w:tblW w:w="0" w:type="auto"/>
        <w:jc w:val="left"/>
        <w:tblInd w:w="108" w:type="dxa"/>
        <w:tblLayout w:type="fixed"/>
        <w:tblCellMar>
          <w:top w:w="0" w:type="dxa"/>
          <w:left w:w="0" w:type="dxa"/>
          <w:bottom w:w="0" w:type="dxa"/>
          <w:right w:w="0" w:type="dxa"/>
        </w:tblCellMar>
        <w:tblLook w:val="01E0"/>
      </w:tblPr>
      <w:tblGrid>
        <w:gridCol w:w="2129"/>
        <w:gridCol w:w="1474"/>
        <w:gridCol w:w="1315"/>
        <w:gridCol w:w="1594"/>
        <w:gridCol w:w="1584"/>
        <w:gridCol w:w="1472"/>
      </w:tblGrid>
      <w:tr>
        <w:trPr>
          <w:trHeight w:val="416" w:hRule="exact"/>
        </w:trPr>
        <w:tc>
          <w:tcPr>
            <w:tcW w:w="212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3"/>
              <w:ind w:right="34"/>
              <w:jc w:val="right"/>
              <w:rPr>
                <w:rFonts w:ascii="Times New Roman" w:hAnsi="Times New Roman" w:cs="Times New Roman" w:eastAsia="Times New Roman" w:hint="default"/>
                <w:sz w:val="18"/>
                <w:szCs w:val="18"/>
              </w:rPr>
            </w:pPr>
            <w:r>
              <w:rPr>
                <w:rFonts w:ascii="Times New Roman"/>
                <w:spacing w:val="-1"/>
                <w:sz w:val="18"/>
              </w:rPr>
              <w:t>12,625,367.00</w:t>
            </w:r>
          </w:p>
        </w:tc>
        <w:tc>
          <w:tcPr>
            <w:tcW w:w="2909"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93"/>
              <w:ind w:left="1932" w:right="0"/>
              <w:jc w:val="left"/>
              <w:rPr>
                <w:rFonts w:ascii="Times New Roman" w:hAnsi="Times New Roman" w:cs="Times New Roman" w:eastAsia="Times New Roman" w:hint="default"/>
                <w:sz w:val="18"/>
                <w:szCs w:val="18"/>
              </w:rPr>
            </w:pPr>
            <w:r>
              <w:rPr>
                <w:rFonts w:ascii="Times New Roman"/>
                <w:sz w:val="18"/>
              </w:rPr>
              <w:t>3,066,716.00</w:t>
            </w:r>
          </w:p>
        </w:tc>
        <w:tc>
          <w:tcPr>
            <w:tcW w:w="158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242,521.00</w:t>
            </w:r>
          </w:p>
        </w:tc>
        <w:tc>
          <w:tcPr>
            <w:tcW w:w="147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15,449,562.00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8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3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97"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8"/>
              <w:ind w:right="34"/>
              <w:jc w:val="right"/>
              <w:rPr>
                <w:rFonts w:ascii="Times New Roman" w:hAnsi="Times New Roman" w:cs="Times New Roman" w:eastAsia="Times New Roman" w:hint="default"/>
                <w:sz w:val="18"/>
                <w:szCs w:val="18"/>
              </w:rPr>
            </w:pPr>
            <w:r>
              <w:rPr>
                <w:rFonts w:ascii="Times New Roman"/>
                <w:spacing w:val="-1"/>
                <w:sz w:val="18"/>
              </w:rPr>
              <w:t>320,288,360.00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109,994,228.00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8"/>
                <w:szCs w:val="18"/>
              </w:rPr>
            </w:pPr>
            <w:r>
              <w:rPr>
                <w:rFonts w:ascii="Times New Roman"/>
                <w:spacing w:val="-1"/>
                <w:sz w:val="18"/>
              </w:rPr>
              <w:t>9,773,266.00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420,509,322.00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6"/>
              <w:ind w:right="34"/>
              <w:jc w:val="right"/>
              <w:rPr>
                <w:rFonts w:ascii="Times New Roman" w:hAnsi="Times New Roman" w:cs="Times New Roman" w:eastAsia="Times New Roman" w:hint="default"/>
                <w:sz w:val="18"/>
                <w:szCs w:val="18"/>
              </w:rPr>
            </w:pPr>
            <w:r>
              <w:rPr>
                <w:rFonts w:ascii="Times New Roman"/>
                <w:spacing w:val="-1"/>
                <w:sz w:val="18"/>
              </w:rPr>
              <w:t>153,588,986.00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51,113,279.00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
              <w:jc w:val="right"/>
              <w:rPr>
                <w:rFonts w:ascii="Times New Roman" w:hAnsi="Times New Roman" w:cs="Times New Roman" w:eastAsia="Times New Roman" w:hint="default"/>
                <w:sz w:val="18"/>
                <w:szCs w:val="18"/>
              </w:rPr>
            </w:pPr>
            <w:r>
              <w:rPr>
                <w:rFonts w:ascii="Times New Roman"/>
                <w:spacing w:val="-1"/>
                <w:sz w:val="18"/>
              </w:rPr>
              <w:t>108,411.00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204,593,854.00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8"/>
              <w:ind w:right="34"/>
              <w:jc w:val="right"/>
              <w:rPr>
                <w:rFonts w:ascii="Times New Roman" w:hAnsi="Times New Roman" w:cs="Times New Roman" w:eastAsia="Times New Roman" w:hint="default"/>
                <w:sz w:val="18"/>
                <w:szCs w:val="18"/>
              </w:rPr>
            </w:pPr>
            <w:r>
              <w:rPr>
                <w:rFonts w:ascii="Times New Roman"/>
                <w:spacing w:val="-1"/>
                <w:sz w:val="18"/>
              </w:rPr>
              <w:t>20,963,104.00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6,023,107.00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8"/>
                <w:szCs w:val="18"/>
              </w:rPr>
            </w:pPr>
            <w:r>
              <w:rPr>
                <w:rFonts w:ascii="Times New Roman"/>
                <w:spacing w:val="-1"/>
                <w:sz w:val="18"/>
              </w:rPr>
              <w:t>36,822.00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26,949,389.00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6"/>
              <w:ind w:right="34"/>
              <w:jc w:val="right"/>
              <w:rPr>
                <w:rFonts w:ascii="Times New Roman" w:hAnsi="Times New Roman" w:cs="Times New Roman" w:eastAsia="Times New Roman" w:hint="default"/>
                <w:sz w:val="18"/>
                <w:szCs w:val="18"/>
              </w:rPr>
            </w:pPr>
            <w:r>
              <w:rPr>
                <w:rFonts w:ascii="Times New Roman"/>
                <w:spacing w:val="-1"/>
                <w:sz w:val="18"/>
              </w:rPr>
              <w:t>35,300,538.00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7,598,135.00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
              <w:jc w:val="right"/>
              <w:rPr>
                <w:rFonts w:ascii="Times New Roman" w:hAnsi="Times New Roman" w:cs="Times New Roman" w:eastAsia="Times New Roman" w:hint="default"/>
                <w:sz w:val="18"/>
                <w:szCs w:val="18"/>
              </w:rPr>
            </w:pPr>
            <w:r>
              <w:rPr>
                <w:rFonts w:ascii="Times New Roman"/>
                <w:spacing w:val="-1"/>
                <w:sz w:val="18"/>
              </w:rPr>
              <w:t>740,098.00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42,158,575.00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4"/>
              <w:jc w:val="right"/>
              <w:rPr>
                <w:rFonts w:ascii="Times New Roman" w:hAnsi="Times New Roman" w:cs="Times New Roman" w:eastAsia="Times New Roman" w:hint="default"/>
                <w:sz w:val="18"/>
                <w:szCs w:val="18"/>
              </w:rPr>
            </w:pPr>
            <w:r>
              <w:rPr>
                <w:rFonts w:ascii="Times New Roman"/>
                <w:spacing w:val="-1"/>
                <w:sz w:val="18"/>
              </w:rPr>
              <w:t>107,455,702.00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43,641,019.00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
              <w:jc w:val="right"/>
              <w:rPr>
                <w:rFonts w:ascii="Times New Roman" w:hAnsi="Times New Roman" w:cs="Times New Roman" w:eastAsia="Times New Roman" w:hint="default"/>
                <w:sz w:val="18"/>
                <w:szCs w:val="18"/>
              </w:rPr>
            </w:pPr>
            <w:r>
              <w:rPr>
                <w:rFonts w:ascii="Times New Roman"/>
                <w:spacing w:val="-1"/>
                <w:sz w:val="18"/>
              </w:rPr>
              <w:t>8,752,902.00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142,343,819.00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4"/>
              <w:jc w:val="right"/>
              <w:rPr>
                <w:rFonts w:ascii="Times New Roman" w:hAnsi="Times New Roman" w:cs="Times New Roman" w:eastAsia="Times New Roman" w:hint="default"/>
                <w:sz w:val="18"/>
                <w:szCs w:val="18"/>
              </w:rPr>
            </w:pPr>
            <w:r>
              <w:rPr>
                <w:rFonts w:ascii="Times New Roman"/>
                <w:spacing w:val="-1"/>
                <w:sz w:val="18"/>
              </w:rPr>
              <w:t>2,980,030.00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1,618,688.00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
              <w:jc w:val="right"/>
              <w:rPr>
                <w:rFonts w:ascii="Times New Roman" w:hAnsi="Times New Roman" w:cs="Times New Roman" w:eastAsia="Times New Roman" w:hint="default"/>
                <w:sz w:val="18"/>
                <w:szCs w:val="18"/>
              </w:rPr>
            </w:pPr>
            <w:r>
              <w:rPr>
                <w:rFonts w:ascii="Times New Roman"/>
                <w:spacing w:val="-1"/>
                <w:sz w:val="18"/>
              </w:rPr>
              <w:t>135,033.00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4,463,685.00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1,922,979,093.00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2,081,082,545.00</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spacing w:val="-1"/>
                <w:sz w:val="18"/>
              </w:rPr>
              <w:t>1,717,977,112.00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9"/>
              <w:ind w:right="19"/>
              <w:jc w:val="right"/>
              <w:rPr>
                <w:rFonts w:ascii="Times New Roman" w:hAnsi="Times New Roman" w:cs="Times New Roman" w:eastAsia="Times New Roman" w:hint="default"/>
                <w:sz w:val="18"/>
                <w:szCs w:val="18"/>
              </w:rPr>
            </w:pPr>
            <w:r>
              <w:rPr>
                <w:rFonts w:ascii="Times New Roman"/>
                <w:spacing w:val="-1"/>
                <w:sz w:val="18"/>
              </w:rPr>
              <w:t>1,877,795,983.00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16,434,335.00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10,813,044.00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46,219,378.00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42,081,573.00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132,702,931.00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139,406,068.00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9,645,337.00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10,985,877.00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1,922,979,093.00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2,081,082,545.00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1,717,977,112.00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1,877,795,983.00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16,434,335.00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10,813,044.00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46,219,378.00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42,081,573.00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132,702,931.00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139,406,068.00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9,645,337.00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14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10,985,877.00</w:t>
            </w:r>
          </w:p>
        </w:tc>
      </w:tr>
    </w:tbl>
    <w:p>
      <w:pPr>
        <w:pStyle w:val="BodyText"/>
        <w:spacing w:line="240" w:lineRule="auto" w:before="44"/>
        <w:ind w:left="112" w:right="0"/>
        <w:jc w:val="left"/>
      </w:pPr>
      <w:r>
        <w:rPr/>
        <w:t>本期折旧额</w:t>
      </w:r>
      <w:r>
        <w:rPr>
          <w:spacing w:val="-49"/>
        </w:rPr>
        <w:t> </w:t>
      </w:r>
      <w:r>
        <w:rPr>
          <w:rFonts w:ascii="Times New Roman" w:hAnsi="Times New Roman" w:cs="Times New Roman" w:eastAsia="Times New Roman" w:hint="default"/>
        </w:rPr>
        <w:t>109,994,228.00</w:t>
      </w:r>
      <w:r>
        <w:rPr>
          <w:rFonts w:ascii="Times New Roman" w:hAnsi="Times New Roman" w:cs="Times New Roman" w:eastAsia="Times New Roman" w:hint="default"/>
          <w:spacing w:val="-2"/>
        </w:rPr>
        <w:t> </w:t>
      </w:r>
      <w:r>
        <w:rPr/>
        <w:t>元；本期由在建工程转入固定资产原价为</w:t>
      </w:r>
      <w:r>
        <w:rPr>
          <w:spacing w:val="-49"/>
        </w:rPr>
        <w:t> </w:t>
      </w:r>
      <w:r>
        <w:rPr>
          <w:rFonts w:ascii="Times New Roman" w:hAnsi="Times New Roman" w:cs="Times New Roman" w:eastAsia="Times New Roman" w:hint="default"/>
        </w:rPr>
        <w:t>149,300,138.00</w:t>
      </w:r>
      <w:r>
        <w:rPr>
          <w:rFonts w:ascii="Times New Roman" w:hAnsi="Times New Roman" w:cs="Times New Roman" w:eastAsia="Times New Roman" w:hint="default"/>
          <w:spacing w:val="-2"/>
        </w:rPr>
        <w:t> </w:t>
      </w:r>
      <w:r>
        <w:rPr/>
        <w:t>元。</w:t>
      </w:r>
    </w:p>
    <w:p>
      <w:pPr>
        <w:spacing w:line="240" w:lineRule="auto" w:before="13"/>
        <w:rPr>
          <w:rFonts w:ascii="宋体" w:hAnsi="宋体" w:cs="宋体" w:eastAsia="宋体" w:hint="default"/>
          <w:sz w:val="25"/>
          <w:szCs w:val="25"/>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4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left="112"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4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18"/>
        <w:ind w:left="112"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44" w:right="0"/>
        <w:jc w:val="left"/>
      </w:pPr>
      <w:r>
        <w:rPr/>
        <w:t>不适用</w:t>
      </w:r>
    </w:p>
    <w:p>
      <w:pPr>
        <w:spacing w:after="0" w:line="240" w:lineRule="auto"/>
        <w:jc w:val="left"/>
        <w:sectPr>
          <w:pgSz w:w="11910" w:h="16840"/>
          <w:pgMar w:header="850" w:footer="1186" w:top="1480" w:bottom="1380" w:left="1020" w:right="10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8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厦门中华城的房产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西安万达的房产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昆明龙城国际的房产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bl>
    <w:p>
      <w:pPr>
        <w:pStyle w:val="BodyText"/>
        <w:spacing w:line="240" w:lineRule="auto" w:before="49"/>
        <w:ind w:right="0"/>
        <w:jc w:val="left"/>
      </w:pPr>
      <w:r>
        <w:rPr/>
        <w:t>固定资产说明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总部办公楼改良</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2,559,565.00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2,559,565.00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14,430,087.00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14,430,087.00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系统升级项目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4,541,970.00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4,541,970.00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16,256,706.00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16,256,706.00</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六灶工业园区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4,009,248.00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4,009,248.00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95,218,485.00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95,218,485.00</w:t>
            </w:r>
          </w:p>
        </w:tc>
      </w:tr>
      <w:tr>
        <w:trPr>
          <w:trHeight w:val="40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东莞办公室改良</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176,242.00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176,242.00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5,001,844.00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5,001,844.00</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门店装修工程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1,345,361.00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1,345,361.00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1,501,453.00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1,501,453.00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重庆江北阳光城</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8,359,900.00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8,359,900.00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5,716,102.00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5,716,102.00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21,516,365.00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21,516,365.00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26,708,388.00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26,708,388.00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153,924,940.00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153,924,940.00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4"/>
        <w:gridCol w:w="737"/>
        <w:gridCol w:w="737"/>
      </w:tblGrid>
      <w:tr>
        <w:trPr>
          <w:trHeight w:val="1339"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4" w:right="92" w:hanging="181"/>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71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六灶工 业园区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787,430,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95,218,4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85.00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32,120,7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123,329,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998.00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6" w:right="0"/>
              <w:jc w:val="left"/>
              <w:rPr>
                <w:rFonts w:ascii="Times New Roman" w:hAnsi="Times New Roman" w:cs="Times New Roman" w:eastAsia="Times New Roman" w:hint="default"/>
                <w:sz w:val="18"/>
                <w:szCs w:val="18"/>
              </w:rPr>
            </w:pPr>
            <w:r>
              <w:rPr>
                <w:rFonts w:ascii="Times New Roman"/>
                <w:sz w:val="18"/>
              </w:rPr>
              <w:t>57%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4,009,24</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8.00</w:t>
            </w: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787,430,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95,218,4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85.00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32,120,7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61.00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123,329,</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998.00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4,009,24</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8.00</w:t>
            </w:r>
          </w:p>
        </w:tc>
      </w:tr>
    </w:tbl>
    <w:p>
      <w:pPr>
        <w:spacing w:after="0" w:line="240" w:lineRule="auto"/>
        <w:jc w:val="left"/>
        <w:rPr>
          <w:rFonts w:ascii="Times New Roman" w:hAnsi="Times New Roman" w:cs="Times New Roman" w:eastAsia="Times New Roman" w:hint="default"/>
          <w:sz w:val="18"/>
          <w:szCs w:val="18"/>
        </w:rPr>
        <w:sectPr>
          <w:footerReference w:type="default" r:id="rId25"/>
          <w:pgSz w:w="11910" w:h="16840"/>
          <w:pgMar w:footer="1186" w:header="850" w:top="1440" w:bottom="13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5"/>
        <w:ind w:right="4914"/>
        <w:jc w:val="left"/>
      </w:pPr>
      <w:r>
        <w:rPr/>
        <w:t>在建工程项目变动情况的说明 在建工程中六灶工业园区本期完工转入固定资产</w:t>
      </w:r>
      <w:r>
        <w:rPr>
          <w:rFonts w:ascii="Times New Roman" w:hAnsi="Times New Roman" w:cs="Times New Roman" w:eastAsia="Times New Roman" w:hint="default"/>
        </w:rPr>
        <w:t>123,329,998</w:t>
      </w:r>
      <w:r>
        <w:rPr/>
        <w:t>。</w:t>
      </w:r>
    </w:p>
    <w:p>
      <w:pPr>
        <w:spacing w:line="240" w:lineRule="auto" w:before="9"/>
        <w:rPr>
          <w:rFonts w:ascii="宋体" w:hAnsi="宋体" w:cs="宋体" w:eastAsia="宋体" w:hint="default"/>
          <w:sz w:val="18"/>
          <w:szCs w:val="18"/>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5" w:right="7970"/>
        <w:jc w:val="center"/>
      </w:pP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5" w:right="7970"/>
        <w:jc w:val="center"/>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84"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17</w:t>
      </w:r>
      <w:r>
        <w:rPr/>
        <w:t>、工程物资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5" w:right="7970"/>
        <w:jc w:val="center"/>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18</w:t>
      </w:r>
      <w:r>
        <w:rPr/>
        <w:t>、固定资产清理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5" w:right="7970"/>
        <w:jc w:val="center"/>
      </w:pP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19</w:t>
      </w:r>
      <w:r>
        <w:rPr/>
        <w:t>、生产性生物资产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5" w:right="7970"/>
        <w:jc w:val="center"/>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5" w:right="7970"/>
        <w:jc w:val="center"/>
      </w:pP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3"/>
        <w:gridCol w:w="1844"/>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222,695,408.00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19,923,034.00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242,618,442.00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88,870,840.00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88,870,840.00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1,946,039.00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191,966.00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2,138,005.00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130,031,829.00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17,834,591.00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147,866,420.00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1,846,700.00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1,896,477.00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3,743,177.00</w:t>
            </w:r>
          </w:p>
        </w:tc>
      </w:tr>
    </w:tbl>
    <w:p>
      <w:pPr>
        <w:spacing w:after="0" w:line="240" w:lineRule="auto"/>
        <w:jc w:val="right"/>
        <w:rPr>
          <w:rFonts w:ascii="Times New Roman" w:hAnsi="Times New Roman" w:cs="Times New Roman" w:eastAsia="Times New Roman" w:hint="default"/>
          <w:sz w:val="18"/>
          <w:szCs w:val="18"/>
        </w:rPr>
        <w:sectPr>
          <w:footerReference w:type="default" r:id="rId26"/>
          <w:pgSz w:w="11910" w:h="16840"/>
          <w:pgMar w:footer="1186" w:header="850" w:top="1440" w:bottom="1380" w:left="980" w:right="980"/>
          <w:pgNumType w:start="101"/>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196"/>
        <w:gridCol w:w="1844"/>
        <w:gridCol w:w="1844"/>
        <w:gridCol w:w="1843"/>
        <w:gridCol w:w="1844"/>
      </w:tblGrid>
      <w:tr>
        <w:trPr>
          <w:trHeight w:val="416" w:hRule="exact"/>
        </w:trPr>
        <w:tc>
          <w:tcPr>
            <w:tcW w:w="219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34,510,803.00</w:t>
            </w:r>
          </w:p>
        </w:tc>
        <w:tc>
          <w:tcPr>
            <w:tcW w:w="18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19,183,761.00</w:t>
            </w:r>
          </w:p>
        </w:tc>
        <w:tc>
          <w:tcPr>
            <w:tcW w:w="1843" w:type="dxa"/>
            <w:tcBorders>
              <w:top w:val="single" w:sz="10" w:space="0" w:color="000000"/>
              <w:left w:val="single" w:sz="4" w:space="0" w:color="000000"/>
              <w:bottom w:val="single" w:sz="4" w:space="0" w:color="000000"/>
              <w:right w:val="single" w:sz="4" w:space="0" w:color="000000"/>
            </w:tcBorders>
          </w:tcPr>
          <w:p>
            <w:pPr/>
          </w:p>
        </w:tc>
        <w:tc>
          <w:tcPr>
            <w:tcW w:w="18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53,694,564.00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10,498,200.00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1,754,255.00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12,252,455.00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329,249.00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214,535.00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543,784.00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23,230,419.00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16,832,667.00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40,063,086.00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452,935.00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382,304.00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835,239.00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188,184,605.00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739,273.00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188,923,878.00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78,372,640.00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-1,754,255.00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76,618,385.00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1,616,790.00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-22,569.00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1,594,221.00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网络管理软件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106,801,410.00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1,001,924.00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107,803,334.00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1,393,765.00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1,514,173.00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2,907,938.00</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财务管理软件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网络管理软件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188,184,605.00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739,273.00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188,923,878.00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78,372,640.00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-1,754,255.00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76,618,385.00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1,616,790.00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-22,569.00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1,594,221.00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网络管理软件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106,801,410.00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1,001,924.00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107,803,334.00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1,393,765.00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1,514,173.00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2,907,938.00</w:t>
            </w:r>
          </w:p>
        </w:tc>
      </w:tr>
    </w:tbl>
    <w:p>
      <w:pPr>
        <w:pStyle w:val="BodyText"/>
        <w:spacing w:line="240" w:lineRule="auto" w:before="49"/>
        <w:ind w:left="112" w:right="0"/>
        <w:jc w:val="left"/>
      </w:pPr>
      <w:r>
        <w:rPr/>
        <w:t>本期摊销额</w:t>
      </w:r>
      <w:r>
        <w:rPr>
          <w:spacing w:val="-46"/>
        </w:rPr>
        <w:t> </w:t>
      </w:r>
      <w:r>
        <w:rPr>
          <w:rFonts w:ascii="Times New Roman" w:hAnsi="Times New Roman" w:cs="Times New Roman" w:eastAsia="Times New Roman" w:hint="default"/>
        </w:rPr>
        <w:t>19,183,761.00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left="112" w:right="0"/>
        <w:jc w:val="left"/>
        <w:rPr>
          <w:b w:val="0"/>
          <w:bCs w:val="0"/>
        </w:rPr>
      </w:pPr>
      <w:r>
        <w:rPr>
          <w:rFonts w:ascii="Times New Roman" w:hAnsi="Times New Roman" w:cs="Times New Roman" w:eastAsia="Times New Roman" w:hint="default"/>
        </w:rPr>
        <w:t>22</w:t>
      </w:r>
      <w:r>
        <w:rPr/>
        <w:t>、商誉</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8"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left="112"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经营租入固定资 产改良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208,887,908.00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147,889,199.00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166,606,000.00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12,657,170.00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177,513,937.00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关店损失</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2"/>
              <w:jc w:val="left"/>
              <w:rPr>
                <w:rFonts w:ascii="宋体" w:hAnsi="宋体" w:cs="宋体" w:eastAsia="宋体" w:hint="default"/>
                <w:sz w:val="18"/>
                <w:szCs w:val="18"/>
              </w:rPr>
            </w:pPr>
            <w:r>
              <w:rPr>
                <w:rFonts w:ascii="宋体" w:hAnsi="宋体" w:cs="宋体" w:eastAsia="宋体" w:hint="default"/>
                <w:sz w:val="18"/>
                <w:szCs w:val="18"/>
              </w:rPr>
              <w:t>预付一年以上租 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75,159,845.00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78,691,909.00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82,984,189.00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70,867,565.00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284,047,753.00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226,581,108.00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249,590,189.00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12,657,170.00</w:t>
            </w:r>
          </w:p>
        </w:tc>
        <w:tc>
          <w:tcPr>
            <w:tcW w:w="1366"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248,381,502.00</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left="112" w:right="8114"/>
        <w:jc w:val="left"/>
      </w:pPr>
      <w:r>
        <w:rPr/>
        <w:t>长期待摊费用的说明 无</w:t>
      </w:r>
    </w:p>
    <w:p>
      <w:pPr>
        <w:spacing w:after="0" w:line="357" w:lineRule="auto"/>
        <w:jc w:val="left"/>
        <w:sectPr>
          <w:pgSz w:w="11910" w:h="16840"/>
          <w:pgMar w:header="850" w:footer="1186" w:top="1440" w:bottom="138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rPr>
        <w:t>24</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已确认的递延所得税资产和递延所得税负债</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4"/>
        <w:gridCol w:w="2924"/>
        <w:gridCol w:w="2921"/>
      </w:tblGrid>
      <w:tr>
        <w:trPr>
          <w:trHeight w:val="406"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20,243,476.00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11,777,329.00</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308,464,236.00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207,813,734.00</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抵消内部未实现利润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109,799,713.00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137,751,469.00</w:t>
            </w:r>
          </w:p>
        </w:tc>
      </w:tr>
      <w:tr>
        <w:trPr>
          <w:trHeight w:val="404"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19,439,716.00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28,529,706.00</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457,947,141.00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385,872,238.00</w:t>
            </w:r>
          </w:p>
        </w:tc>
      </w:tr>
      <w:tr>
        <w:trPr>
          <w:trHeight w:val="403"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互抵后的递延所得税资产及负债的组成项目</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3"/>
        <w:gridCol w:w="1626"/>
        <w:gridCol w:w="1628"/>
        <w:gridCol w:w="1627"/>
        <w:gridCol w:w="1617"/>
      </w:tblGrid>
      <w:tr>
        <w:trPr>
          <w:trHeight w:val="317"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9"/>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6"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7" w:type="dxa"/>
            <w:vMerge/>
            <w:tcBorders>
              <w:left w:val="single" w:sz="4" w:space="0" w:color="000000"/>
              <w:right w:val="single" w:sz="4" w:space="0" w:color="000000"/>
            </w:tcBorders>
            <w:shd w:val="clear" w:color="auto" w:fill="D2D2D2"/>
          </w:tcPr>
          <w:p>
            <w:pPr/>
          </w:p>
        </w:tc>
        <w:tc>
          <w:tcPr>
            <w:tcW w:w="1617" w:type="dxa"/>
            <w:vMerge/>
            <w:tcBorders>
              <w:left w:val="single" w:sz="4" w:space="0" w:color="000000"/>
              <w:right w:val="single" w:sz="4" w:space="0" w:color="000000"/>
            </w:tcBorders>
            <w:shd w:val="clear" w:color="auto" w:fill="D2D2D2"/>
          </w:tcPr>
          <w:p>
            <w:pPr/>
          </w:p>
        </w:tc>
      </w:tr>
      <w:tr>
        <w:trPr>
          <w:trHeight w:val="317" w:hRule="exact"/>
        </w:trPr>
        <w:tc>
          <w:tcPr>
            <w:tcW w:w="3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7" w:type="dxa"/>
            <w:vMerge/>
            <w:tcBorders>
              <w:left w:val="single" w:sz="4" w:space="0" w:color="000000"/>
              <w:bottom w:val="single" w:sz="4" w:space="0" w:color="000000"/>
              <w:right w:val="single" w:sz="4" w:space="0" w:color="000000"/>
            </w:tcBorders>
            <w:shd w:val="clear" w:color="auto" w:fill="D2D2D2"/>
          </w:tcPr>
          <w:p>
            <w:pPr/>
          </w:p>
        </w:tc>
        <w:tc>
          <w:tcPr>
            <w:tcW w:w="161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63" w:right="0"/>
              <w:jc w:val="left"/>
              <w:rPr>
                <w:rFonts w:ascii="Times New Roman" w:hAnsi="Times New Roman" w:cs="Times New Roman" w:eastAsia="Times New Roman" w:hint="default"/>
                <w:sz w:val="18"/>
                <w:szCs w:val="18"/>
              </w:rPr>
            </w:pPr>
            <w:r>
              <w:rPr>
                <w:rFonts w:ascii="Times New Roman"/>
                <w:sz w:val="18"/>
              </w:rPr>
              <w:t>457,947,141.00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1,852,374,082</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9" w:right="0"/>
              <w:jc w:val="left"/>
              <w:rPr>
                <w:rFonts w:ascii="Times New Roman" w:hAnsi="Times New Roman" w:cs="Times New Roman" w:eastAsia="Times New Roman" w:hint="default"/>
                <w:sz w:val="18"/>
                <w:szCs w:val="18"/>
              </w:rPr>
            </w:pPr>
            <w:r>
              <w:rPr>
                <w:rFonts w:ascii="Times New Roman"/>
                <w:sz w:val="18"/>
              </w:rPr>
              <w:t>385,872,238.00</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1,543,630,281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25</w:t>
      </w:r>
      <w:r>
        <w:rPr/>
        <w:t>、资产减值准备明细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527"/>
        <w:gridCol w:w="1529"/>
        <w:gridCol w:w="1400"/>
        <w:gridCol w:w="1397"/>
        <w:gridCol w:w="1453"/>
      </w:tblGrid>
      <w:tr>
        <w:trPr>
          <w:trHeight w:val="206" w:hRule="exact"/>
        </w:trPr>
        <w:tc>
          <w:tcPr>
            <w:tcW w:w="2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2D2D2"/>
          </w:tcPr>
          <w:p>
            <w:pPr/>
          </w:p>
        </w:tc>
        <w:tc>
          <w:tcPr>
            <w:tcW w:w="1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2266"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4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3"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0"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3,116,831.00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3,116,831.00</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47,962,130.00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60,883,768.00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20,331,368.00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88,514,530.00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47,962,130.00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64,000,599.00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20,331,368.00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91,631,361.00</w:t>
            </w:r>
          </w:p>
        </w:tc>
      </w:tr>
    </w:tbl>
    <w:p>
      <w:pPr>
        <w:pStyle w:val="BodyText"/>
        <w:spacing w:line="357" w:lineRule="auto" w:before="49"/>
        <w:ind w:right="7794"/>
        <w:jc w:val="left"/>
      </w:pPr>
      <w:r>
        <w:rPr/>
        <w:t>资产减值明细情况的说明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26</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50" w:footer="1186" w:top="1440" w:bottom="1380" w:left="980" w:right="98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591"/>
        <w:gridCol w:w="2921"/>
        <w:gridCol w:w="3058"/>
      </w:tblGrid>
      <w:tr>
        <w:trPr>
          <w:trHeight w:val="416" w:hRule="exact"/>
        </w:trPr>
        <w:tc>
          <w:tcPr>
            <w:tcW w:w="35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2921" w:type="dxa"/>
            <w:tcBorders>
              <w:top w:val="single" w:sz="10" w:space="0" w:color="000000"/>
              <w:left w:val="single" w:sz="4" w:space="0" w:color="000000"/>
              <w:bottom w:val="single" w:sz="4" w:space="0" w:color="000000"/>
              <w:right w:val="single" w:sz="4" w:space="0" w:color="000000"/>
            </w:tcBorders>
          </w:tcPr>
          <w:p>
            <w:pPr/>
          </w:p>
        </w:tc>
        <w:tc>
          <w:tcPr>
            <w:tcW w:w="305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51,015,634.00</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博物馆藏品</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7,835,724.00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7,835,724.00</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7,835,724.00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58,851,358.00</w:t>
            </w:r>
          </w:p>
        </w:tc>
      </w:tr>
    </w:tbl>
    <w:p>
      <w:pPr>
        <w:pStyle w:val="BodyText"/>
        <w:spacing w:line="357" w:lineRule="auto" w:before="49"/>
        <w:ind w:left="112" w:right="7934"/>
        <w:jc w:val="left"/>
      </w:pPr>
      <w:r>
        <w:rPr/>
        <w:t>其他非流动资产的说明 无</w:t>
      </w:r>
    </w:p>
    <w:p>
      <w:pPr>
        <w:spacing w:line="240" w:lineRule="auto" w:before="6"/>
        <w:rPr>
          <w:rFonts w:ascii="宋体" w:hAnsi="宋体" w:cs="宋体" w:eastAsia="宋体" w:hint="default"/>
          <w:sz w:val="20"/>
          <w:szCs w:val="20"/>
        </w:rPr>
      </w:pPr>
    </w:p>
    <w:p>
      <w:pPr>
        <w:pStyle w:val="Heading4"/>
        <w:spacing w:line="240" w:lineRule="auto"/>
        <w:ind w:left="112" w:right="0"/>
        <w:jc w:val="left"/>
        <w:rPr>
          <w:b w:val="0"/>
          <w:bCs w:val="0"/>
        </w:rPr>
      </w:pPr>
      <w:r>
        <w:rPr>
          <w:rFonts w:ascii="Times New Roman" w:hAnsi="Times New Roman" w:cs="Times New Roman" w:eastAsia="Times New Roman" w:hint="default"/>
        </w:rPr>
        <w:t>27</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569"/>
        <w:gridCol w:w="2932"/>
        <w:gridCol w:w="3058"/>
      </w:tblGrid>
      <w:tr>
        <w:trPr>
          <w:trHeight w:val="404"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32" w:type="dxa"/>
            <w:tcBorders>
              <w:top w:val="single" w:sz="4" w:space="0" w:color="000000"/>
              <w:left w:val="single" w:sz="9" w:space="0" w:color="D2D2D2"/>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231,514,076.00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634,224,413.00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1,837,800,000.00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794,224,413.00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2,369,314,076.00</w:t>
            </w:r>
          </w:p>
        </w:tc>
      </w:tr>
    </w:tbl>
    <w:p>
      <w:pPr>
        <w:pStyle w:val="BodyText"/>
        <w:spacing w:line="357" w:lineRule="auto" w:before="49"/>
        <w:ind w:left="112" w:right="8114"/>
        <w:jc w:val="left"/>
      </w:pPr>
      <w:r>
        <w:rPr/>
        <w:t>短期借款分类的说明 无</w:t>
      </w:r>
    </w:p>
    <w:p>
      <w:pPr>
        <w:spacing w:line="240" w:lineRule="auto" w:before="6"/>
        <w:rPr>
          <w:rFonts w:ascii="宋体" w:hAnsi="宋体" w:cs="宋体" w:eastAsia="宋体" w:hint="default"/>
          <w:sz w:val="20"/>
          <w:szCs w:val="20"/>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12"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left="112" w:right="0"/>
        <w:jc w:val="left"/>
        <w:rPr>
          <w:b w:val="0"/>
          <w:bCs w:val="0"/>
        </w:rPr>
      </w:pPr>
      <w:r>
        <w:rPr>
          <w:rFonts w:ascii="Times New Roman" w:hAnsi="Times New Roman" w:cs="Times New Roman" w:eastAsia="Times New Roman" w:hint="default"/>
        </w:rPr>
        <w:t>28</w:t>
      </w:r>
      <w:r>
        <w:rPr/>
        <w:t>、交易性金融负债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660" w:right="8495"/>
        <w:jc w:val="center"/>
      </w:pPr>
      <w:r>
        <w:rPr/>
        <w:t>不适用</w:t>
      </w:r>
    </w:p>
    <w:p>
      <w:pPr>
        <w:spacing w:line="240" w:lineRule="auto" w:before="0"/>
        <w:rPr>
          <w:rFonts w:ascii="宋体" w:hAnsi="宋体" w:cs="宋体" w:eastAsia="宋体" w:hint="default"/>
          <w:sz w:val="18"/>
          <w:szCs w:val="18"/>
        </w:rPr>
      </w:pPr>
    </w:p>
    <w:p>
      <w:pPr>
        <w:pStyle w:val="Heading4"/>
        <w:spacing w:line="240" w:lineRule="auto" w:before="120"/>
        <w:ind w:left="112" w:right="0"/>
        <w:jc w:val="left"/>
        <w:rPr>
          <w:b w:val="0"/>
          <w:bCs w:val="0"/>
        </w:rPr>
      </w:pPr>
      <w:r>
        <w:rPr>
          <w:rFonts w:ascii="Times New Roman" w:hAnsi="Times New Roman" w:cs="Times New Roman" w:eastAsia="Times New Roman" w:hint="default"/>
        </w:rPr>
        <w:t>29</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43,906,076.00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15,550,199.00</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43,906,076.00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15,550,199.00</w:t>
            </w:r>
          </w:p>
        </w:tc>
      </w:tr>
    </w:tbl>
    <w:p>
      <w:pPr>
        <w:pStyle w:val="BodyText"/>
        <w:spacing w:line="338" w:lineRule="auto" w:before="49"/>
        <w:ind w:left="112" w:right="6089"/>
        <w:jc w:val="left"/>
      </w:pPr>
      <w:r>
        <w:rPr/>
        <w:t>下一会计期间将到期的金额</w:t>
      </w:r>
      <w:r>
        <w:rPr>
          <w:spacing w:val="-46"/>
        </w:rPr>
        <w:t> </w:t>
      </w:r>
      <w:r>
        <w:rPr>
          <w:rFonts w:ascii="Times New Roman" w:hAnsi="Times New Roman" w:cs="Times New Roman" w:eastAsia="Times New Roman" w:hint="default"/>
        </w:rPr>
        <w:t>43,906,076.00</w:t>
      </w:r>
      <w:r>
        <w:rPr>
          <w:rFonts w:ascii="Times New Roman" w:hAnsi="Times New Roman" w:cs="Times New Roman" w:eastAsia="Times New Roman" w:hint="default"/>
          <w:spacing w:val="1"/>
        </w:rPr>
        <w:t> </w:t>
      </w:r>
      <w:r>
        <w:rPr/>
        <w:t>元。 应付票据的说明</w:t>
      </w:r>
    </w:p>
    <w:p>
      <w:pPr>
        <w:pStyle w:val="BodyText"/>
        <w:spacing w:line="240" w:lineRule="auto" w:before="43"/>
        <w:ind w:left="112" w:right="0"/>
        <w:jc w:val="left"/>
      </w:pPr>
      <w:r>
        <w:rPr/>
        <w:t>于</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spacing w:val="-4"/>
        </w:rPr>
        <w:t>日，本集团交存保证金人民币</w:t>
      </w:r>
      <w:r>
        <w:rPr>
          <w:spacing w:val="-45"/>
        </w:rPr>
        <w:t> </w:t>
      </w:r>
      <w:r>
        <w:rPr>
          <w:rFonts w:ascii="Times New Roman" w:hAnsi="Times New Roman" w:cs="Times New Roman" w:eastAsia="Times New Roman" w:hint="default"/>
        </w:rPr>
        <w:t>9,688,719</w:t>
      </w:r>
      <w:r>
        <w:rPr>
          <w:rFonts w:ascii="Times New Roman" w:hAnsi="Times New Roman" w:cs="Times New Roman" w:eastAsia="Times New Roman" w:hint="default"/>
          <w:spacing w:val="1"/>
        </w:rPr>
        <w:t> </w:t>
      </w:r>
      <w:r>
        <w:rPr>
          <w:spacing w:val="-3"/>
        </w:rPr>
        <w:t>元，取得了中国银行授予的人民币</w:t>
      </w:r>
      <w:r>
        <w:rPr>
          <w:spacing w:val="-45"/>
        </w:rPr>
        <w:t> </w:t>
      </w:r>
      <w:r>
        <w:rPr>
          <w:rFonts w:ascii="Times New Roman" w:hAnsi="Times New Roman" w:cs="Times New Roman" w:eastAsia="Times New Roman" w:hint="default"/>
        </w:rPr>
        <w:t>32,295,730</w:t>
      </w:r>
      <w:r>
        <w:rPr>
          <w:rFonts w:ascii="Times New Roman" w:hAnsi="Times New Roman" w:cs="Times New Roman" w:eastAsia="Times New Roman" w:hint="default"/>
          <w:spacing w:val="1"/>
        </w:rPr>
        <w:t> </w:t>
      </w:r>
      <w:r>
        <w:rPr/>
        <w:t>元的银行承兑汇票</w:t>
      </w:r>
    </w:p>
    <w:p>
      <w:pPr>
        <w:pStyle w:val="BodyText"/>
        <w:spacing w:line="240" w:lineRule="auto" w:before="63"/>
        <w:ind w:left="112" w:right="0"/>
        <w:jc w:val="left"/>
      </w:pPr>
      <w:r>
        <w:rPr/>
        <w:t>授信额度；同时，交存保证金人民币</w:t>
      </w:r>
      <w:r>
        <w:rPr>
          <w:spacing w:val="-49"/>
        </w:rPr>
        <w:t> </w:t>
      </w:r>
      <w:r>
        <w:rPr>
          <w:rFonts w:ascii="Times New Roman" w:hAnsi="Times New Roman" w:cs="Times New Roman" w:eastAsia="Times New Roman" w:hint="default"/>
        </w:rPr>
        <w:t>3,506,462</w:t>
      </w:r>
      <w:r>
        <w:rPr>
          <w:rFonts w:ascii="Times New Roman" w:hAnsi="Times New Roman" w:cs="Times New Roman" w:eastAsia="Times New Roman" w:hint="default"/>
          <w:spacing w:val="-3"/>
        </w:rPr>
        <w:t> </w:t>
      </w:r>
      <w:r>
        <w:rPr/>
        <w:t>元，取得中信银行上海浦东分行授予的人民币</w:t>
      </w:r>
      <w:r>
        <w:rPr>
          <w:spacing w:val="-50"/>
        </w:rPr>
        <w:t> </w:t>
      </w:r>
      <w:r>
        <w:rPr>
          <w:rFonts w:ascii="Times New Roman" w:hAnsi="Times New Roman" w:cs="Times New Roman" w:eastAsia="Times New Roman" w:hint="default"/>
        </w:rPr>
        <w:t>11,688,207</w:t>
      </w:r>
      <w:r>
        <w:rPr>
          <w:rFonts w:ascii="Times New Roman" w:hAnsi="Times New Roman" w:cs="Times New Roman" w:eastAsia="Times New Roman" w:hint="default"/>
          <w:spacing w:val="-3"/>
        </w:rPr>
        <w:t> </w:t>
      </w:r>
      <w:r>
        <w:rPr/>
        <w:t>元银行承兑汇票授</w:t>
      </w:r>
    </w:p>
    <w:p>
      <w:pPr>
        <w:pStyle w:val="BodyText"/>
        <w:spacing w:line="240" w:lineRule="auto" w:before="63"/>
        <w:ind w:left="112" w:right="0"/>
        <w:jc w:val="left"/>
      </w:pPr>
      <w:r>
        <w:rPr/>
        <w:t>信额度。于</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日，本集团实际发生的银行承兑汇票金额为人民币</w:t>
      </w:r>
      <w:r>
        <w:rPr>
          <w:spacing w:val="-45"/>
        </w:rPr>
        <w:t> </w:t>
      </w:r>
      <w:r>
        <w:rPr>
          <w:rFonts w:ascii="Times New Roman" w:hAnsi="Times New Roman" w:cs="Times New Roman" w:eastAsia="Times New Roman" w:hint="default"/>
        </w:rPr>
        <w:t>43,906,076</w:t>
      </w:r>
      <w:r>
        <w:rPr>
          <w:rFonts w:ascii="Times New Roman" w:hAnsi="Times New Roman" w:cs="Times New Roman" w:eastAsia="Times New Roman" w:hint="default"/>
          <w:spacing w:val="-1"/>
        </w:rPr>
        <w:t> </w:t>
      </w:r>
      <w:r>
        <w:rPr/>
        <w:t>元。</w:t>
      </w:r>
    </w:p>
    <w:p>
      <w:pPr>
        <w:spacing w:after="0" w:line="240" w:lineRule="auto"/>
        <w:jc w:val="left"/>
        <w:sectPr>
          <w:pgSz w:w="11910" w:h="16840"/>
          <w:pgMar w:header="850" w:footer="1186" w:top="1440" w:bottom="138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rPr>
        <w:t>30</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成衣供应商</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418,716,314.00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456,183,823.00</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面辅料供应商</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60,806,603.00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66,237,824.00</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59,741,872.00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83,966,922.00</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539,264,789.00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606,388,569.00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135" w:right="7970"/>
        <w:jc w:val="center"/>
      </w:pPr>
      <w:r>
        <w:rPr/>
        <w:t>不适用</w:t>
      </w:r>
    </w:p>
    <w:p>
      <w:pPr>
        <w:spacing w:line="240" w:lineRule="auto" w:before="0"/>
        <w:rPr>
          <w:rFonts w:ascii="宋体" w:hAnsi="宋体" w:cs="宋体" w:eastAsia="宋体" w:hint="default"/>
          <w:sz w:val="18"/>
          <w:szCs w:val="18"/>
        </w:rPr>
      </w:pPr>
    </w:p>
    <w:p>
      <w:pPr>
        <w:pStyle w:val="Heading4"/>
        <w:spacing w:line="506" w:lineRule="auto" w:before="120"/>
        <w:ind w:right="5454"/>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3</w:t>
      </w:r>
      <w:r>
        <w:rPr>
          <w:spacing w:val="-1"/>
        </w:rPr>
        <w:t>）账龄超过一年的大额应付账款情况的说明</w:t>
      </w:r>
      <w:r>
        <w:rPr>
          <w:spacing w:val="-84"/>
        </w:rPr>
        <w:t> </w:t>
      </w:r>
      <w:r>
        <w:rPr>
          <w:spacing w:val="-84"/>
        </w:rPr>
      </w:r>
      <w:r>
        <w:rPr>
          <w:rFonts w:ascii="宋体" w:hAnsi="宋体" w:cs="宋体" w:eastAsia="宋体" w:hint="default"/>
          <w:b w:val="0"/>
          <w:bCs w:val="0"/>
        </w:rPr>
        <w:t>无</w:t>
      </w:r>
    </w:p>
    <w:p>
      <w:pPr>
        <w:pStyle w:val="Heading4"/>
        <w:spacing w:line="240" w:lineRule="auto" w:before="104"/>
        <w:ind w:right="0"/>
        <w:jc w:val="left"/>
        <w:rPr>
          <w:b w:val="0"/>
          <w:bCs w:val="0"/>
        </w:rPr>
      </w:pPr>
      <w:r>
        <w:rPr>
          <w:rFonts w:ascii="Times New Roman" w:hAnsi="Times New Roman" w:cs="Times New Roman" w:eastAsia="Times New Roman" w:hint="default"/>
        </w:rPr>
        <w:t>31</w:t>
      </w:r>
      <w:r>
        <w:rPr/>
        <w:t>、预收账款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预收销货款</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70,636,427.00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27,197,086.00</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70,636,427.00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27,197,086.00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5" w:right="7970"/>
        <w:jc w:val="center"/>
      </w:pP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5" w:right="7970"/>
        <w:jc w:val="center"/>
      </w:pPr>
      <w:r>
        <w:rPr/>
        <w:t>不适用</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32</w:t>
      </w:r>
      <w:r>
        <w:rPr/>
        <w:t>、应付职工薪酬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6"/>
        <w:gridCol w:w="1874"/>
        <w:gridCol w:w="1992"/>
        <w:gridCol w:w="2259"/>
        <w:gridCol w:w="1861"/>
      </w:tblGrid>
      <w:tr>
        <w:trPr>
          <w:trHeight w:val="401"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center"/>
              <w:rPr>
                <w:rFonts w:ascii="宋体" w:hAnsi="宋体" w:cs="宋体" w:eastAsia="宋体" w:hint="default"/>
                <w:sz w:val="18"/>
                <w:szCs w:val="18"/>
              </w:rPr>
            </w:pPr>
            <w:r>
              <w:rPr>
                <w:rFonts w:ascii="宋体" w:hAnsi="宋体" w:cs="宋体" w:eastAsia="宋体" w:hint="default"/>
                <w:spacing w:val="-9"/>
                <w:sz w:val="18"/>
                <w:szCs w:val="18"/>
              </w:rPr>
              <w:t>一、工资、奖金、津</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09" w:right="0"/>
              <w:jc w:val="left"/>
              <w:rPr>
                <w:rFonts w:ascii="Times New Roman" w:hAnsi="Times New Roman" w:cs="Times New Roman" w:eastAsia="Times New Roman" w:hint="default"/>
                <w:sz w:val="18"/>
                <w:szCs w:val="18"/>
              </w:rPr>
            </w:pPr>
            <w:r>
              <w:rPr>
                <w:rFonts w:ascii="Times New Roman"/>
                <w:sz w:val="18"/>
              </w:rPr>
              <w:t>107,335,941.00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6" w:right="0"/>
              <w:jc w:val="left"/>
              <w:rPr>
                <w:rFonts w:ascii="Times New Roman" w:hAnsi="Times New Roman" w:cs="Times New Roman" w:eastAsia="Times New Roman" w:hint="default"/>
                <w:sz w:val="18"/>
                <w:szCs w:val="18"/>
              </w:rPr>
            </w:pPr>
            <w:r>
              <w:rPr>
                <w:rFonts w:ascii="Times New Roman"/>
                <w:spacing w:val="-2"/>
                <w:sz w:val="18"/>
              </w:rPr>
              <w:t>811,119,211.00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2" w:right="0"/>
              <w:jc w:val="left"/>
              <w:rPr>
                <w:rFonts w:ascii="Times New Roman" w:hAnsi="Times New Roman" w:cs="Times New Roman" w:eastAsia="Times New Roman" w:hint="default"/>
                <w:sz w:val="18"/>
                <w:szCs w:val="18"/>
              </w:rPr>
            </w:pPr>
            <w:r>
              <w:rPr>
                <w:rFonts w:ascii="Times New Roman"/>
                <w:sz w:val="18"/>
              </w:rPr>
              <w:t>820,190,460.00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5" w:right="0"/>
              <w:jc w:val="left"/>
              <w:rPr>
                <w:rFonts w:ascii="Times New Roman" w:hAnsi="Times New Roman" w:cs="Times New Roman" w:eastAsia="Times New Roman" w:hint="default"/>
                <w:sz w:val="18"/>
                <w:szCs w:val="18"/>
              </w:rPr>
            </w:pPr>
            <w:r>
              <w:rPr>
                <w:rFonts w:ascii="Times New Roman"/>
                <w:sz w:val="18"/>
              </w:rPr>
              <w:t>98,264,692.00</w:t>
            </w:r>
          </w:p>
        </w:tc>
      </w:tr>
    </w:tbl>
    <w:p>
      <w:pPr>
        <w:spacing w:after="0" w:line="240" w:lineRule="auto"/>
        <w:jc w:val="left"/>
        <w:rPr>
          <w:rFonts w:ascii="Times New Roman" w:hAnsi="Times New Roman" w:cs="Times New Roman" w:eastAsia="Times New Roman" w:hint="default"/>
          <w:sz w:val="18"/>
          <w:szCs w:val="18"/>
        </w:rPr>
        <w:sectPr>
          <w:pgSz w:w="11910" w:h="16840"/>
          <w:pgMar w:header="850" w:footer="1186" w:top="1440" w:bottom="1380" w:left="980" w:right="98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596"/>
        <w:gridCol w:w="1863"/>
        <w:gridCol w:w="1992"/>
        <w:gridCol w:w="2259"/>
        <w:gridCol w:w="1861"/>
      </w:tblGrid>
      <w:tr>
        <w:trPr>
          <w:trHeight w:val="374" w:hRule="exact"/>
        </w:trPr>
        <w:tc>
          <w:tcPr>
            <w:tcW w:w="1596"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贴和补贴</w:t>
            </w:r>
          </w:p>
        </w:tc>
        <w:tc>
          <w:tcPr>
            <w:tcW w:w="1863" w:type="dxa"/>
            <w:tcBorders>
              <w:top w:val="single" w:sz="10" w:space="0" w:color="000000"/>
              <w:left w:val="single" w:sz="4" w:space="0" w:color="000000"/>
              <w:bottom w:val="single" w:sz="4" w:space="0" w:color="000000"/>
              <w:right w:val="single" w:sz="4" w:space="0" w:color="000000"/>
            </w:tcBorders>
          </w:tcPr>
          <w:p>
            <w:pPr/>
          </w:p>
        </w:tc>
        <w:tc>
          <w:tcPr>
            <w:tcW w:w="1992" w:type="dxa"/>
            <w:tcBorders>
              <w:top w:val="single" w:sz="10" w:space="0" w:color="000000"/>
              <w:left w:val="single" w:sz="4" w:space="0" w:color="000000"/>
              <w:bottom w:val="single" w:sz="4" w:space="0" w:color="000000"/>
              <w:right w:val="single" w:sz="4" w:space="0" w:color="000000"/>
            </w:tcBorders>
          </w:tcPr>
          <w:p>
            <w:pPr/>
          </w:p>
        </w:tc>
        <w:tc>
          <w:tcPr>
            <w:tcW w:w="2259" w:type="dxa"/>
            <w:tcBorders>
              <w:top w:val="single" w:sz="10" w:space="0" w:color="000000"/>
              <w:left w:val="single" w:sz="4" w:space="0" w:color="000000"/>
              <w:bottom w:val="single" w:sz="4" w:space="0" w:color="000000"/>
              <w:right w:val="single" w:sz="4" w:space="0" w:color="000000"/>
            </w:tcBorders>
          </w:tcPr>
          <w:p>
            <w:pPr/>
          </w:p>
        </w:tc>
        <w:tc>
          <w:tcPr>
            <w:tcW w:w="1861" w:type="dxa"/>
            <w:tcBorders>
              <w:top w:val="single" w:sz="10" w:space="0" w:color="000000"/>
              <w:left w:val="single" w:sz="4" w:space="0" w:color="000000"/>
              <w:bottom w:val="single" w:sz="4" w:space="0" w:color="000000"/>
              <w:right w:val="single" w:sz="4" w:space="0" w:color="000000"/>
            </w:tcBorders>
          </w:tcPr>
          <w:p>
            <w:pP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55,384.00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55,378,301.00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55,408,796.00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24,889.00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5,375,755.00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134,498,961.00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134,267,758.00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5,606,958.00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2,853,882.00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83,011,361.00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83,027,698.00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2,837,545.00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2,041,066.00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39,519,582.00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39,468,213.00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2,092,435.00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294,521.00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6,849,692.00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6,659,138.00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485,075.00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73,691.00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2,233,227.00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2,236,731.00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70,187.00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112,595.00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2,885,099.00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2,875,978.00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121,716.00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544,462.00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17,422,415.00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17,325,737.00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641,140.00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10,968,594.00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446,885.00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7,453,230.00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3,962,249.00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工会经费和职工教 育经费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10,968,594.00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446,885.00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7,453,230.00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3,962,249.00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124,280,136.00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1,018,865,773.00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1,034,645,981.00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108,499,928.00</w:t>
            </w:r>
          </w:p>
        </w:tc>
      </w:tr>
    </w:tbl>
    <w:p>
      <w:pPr>
        <w:pStyle w:val="BodyText"/>
        <w:spacing w:line="240" w:lineRule="auto" w:before="49"/>
        <w:ind w:left="112" w:right="0"/>
        <w:jc w:val="left"/>
      </w:pPr>
      <w:r>
        <w:rPr/>
        <w:t>应付职工薪酬中属于拖欠性质的金额</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left="112" w:right="0"/>
        <w:jc w:val="left"/>
        <w:rPr>
          <w:rFonts w:ascii="Times New Roman" w:hAnsi="Times New Roman" w:cs="Times New Roman" w:eastAsia="Times New Roman" w:hint="default"/>
        </w:rPr>
      </w:pPr>
      <w:r>
        <w:rPr/>
        <w:t>工会经费和职工教育经费金额</w:t>
      </w:r>
      <w:r>
        <w:rPr>
          <w:spacing w:val="-48"/>
        </w:rPr>
        <w:t> </w:t>
      </w:r>
      <w:r>
        <w:rPr>
          <w:rFonts w:ascii="Times New Roman" w:hAnsi="Times New Roman" w:cs="Times New Roman" w:eastAsia="Times New Roman" w:hint="default"/>
        </w:rPr>
        <w:t>446,886.00</w:t>
      </w:r>
      <w:r>
        <w:rPr>
          <w:rFonts w:ascii="Times New Roman" w:hAnsi="Times New Roman" w:cs="Times New Roman" w:eastAsia="Times New Roman" w:hint="default"/>
          <w:spacing w:val="-1"/>
        </w:rPr>
        <w:t> </w:t>
      </w:r>
      <w:r>
        <w:rPr/>
        <w:t>元，非货币性福利金额</w:t>
      </w:r>
      <w:r>
        <w:rPr>
          <w:spacing w:val="-49"/>
        </w:rPr>
        <w:t> </w:t>
      </w:r>
      <w:r>
        <w:rPr>
          <w:rFonts w:ascii="Times New Roman" w:hAnsi="Times New Roman" w:cs="Times New Roman" w:eastAsia="Times New Roman" w:hint="default"/>
        </w:rPr>
        <w:t>55,378,301.00</w:t>
      </w:r>
      <w:r>
        <w:rPr>
          <w:rFonts w:ascii="Times New Roman" w:hAnsi="Times New Roman" w:cs="Times New Roman" w:eastAsia="Times New Roman" w:hint="default"/>
          <w:spacing w:val="-1"/>
        </w:rPr>
        <w:t> </w:t>
      </w:r>
      <w:r>
        <w:rPr/>
        <w:t>元，因解除劳动关系给予补偿</w:t>
      </w:r>
      <w:r>
        <w:rPr>
          <w:spacing w:val="-48"/>
        </w:rPr>
        <w:t> </w:t>
      </w:r>
      <w:r>
        <w:rPr>
          <w:rFonts w:ascii="Times New Roman" w:hAnsi="Times New Roman" w:cs="Times New Roman" w:eastAsia="Times New Roman" w:hint="default"/>
        </w:rPr>
        <w:t>2,144,930.00</w:t>
      </w:r>
    </w:p>
    <w:p>
      <w:pPr>
        <w:pStyle w:val="BodyText"/>
        <w:spacing w:line="357" w:lineRule="auto" w:before="63"/>
        <w:ind w:left="112" w:right="6314"/>
        <w:jc w:val="left"/>
      </w:pPr>
      <w:r>
        <w:rPr/>
        <w:t>元。 应付职工薪酬预计发放时间、金额等安排 本公司当月计提的薪酬于次月</w:t>
      </w:r>
      <w:r>
        <w:rPr>
          <w:rFonts w:ascii="Times New Roman" w:hAnsi="Times New Roman" w:cs="Times New Roman" w:eastAsia="Times New Roman" w:hint="default"/>
        </w:rPr>
        <w:t>20</w:t>
      </w:r>
      <w:r>
        <w:rPr/>
        <w:t>日前发放。</w:t>
      </w:r>
    </w:p>
    <w:p>
      <w:pPr>
        <w:spacing w:line="240" w:lineRule="auto" w:before="9"/>
        <w:rPr>
          <w:rFonts w:ascii="宋体" w:hAnsi="宋体" w:cs="宋体" w:eastAsia="宋体" w:hint="default"/>
          <w:sz w:val="18"/>
          <w:szCs w:val="18"/>
        </w:rPr>
      </w:pPr>
    </w:p>
    <w:p>
      <w:pPr>
        <w:pStyle w:val="Heading4"/>
        <w:spacing w:line="240" w:lineRule="auto"/>
        <w:ind w:left="112" w:right="0"/>
        <w:jc w:val="left"/>
        <w:rPr>
          <w:b w:val="0"/>
          <w:bCs w:val="0"/>
        </w:rPr>
      </w:pPr>
      <w:r>
        <w:rPr>
          <w:rFonts w:ascii="Times New Roman" w:hAnsi="Times New Roman" w:cs="Times New Roman" w:eastAsia="Times New Roman" w:hint="default"/>
        </w:rPr>
        <w:t>33</w:t>
      </w:r>
      <w:r>
        <w:rPr/>
        <w:t>、应交税费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124"/>
        <w:gridCol w:w="2789"/>
        <w:gridCol w:w="2657"/>
      </w:tblGrid>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48,768,512.00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15,113,727.00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227,447,217.00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189,989,548.00</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2,261,314.00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2,066,130.00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3,109,265.00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2,078,175.00</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4,286,927.00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7,375,019.00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14,140,794.00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10,156,810.00</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592,110.00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3,708,800.00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300,606,139.00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230,488,209.00</w:t>
            </w:r>
          </w:p>
        </w:tc>
      </w:tr>
    </w:tbl>
    <w:p>
      <w:pPr>
        <w:pStyle w:val="BodyText"/>
        <w:spacing w:line="360" w:lineRule="auto" w:before="49"/>
        <w:ind w:left="112" w:right="1454"/>
        <w:jc w:val="left"/>
      </w:pPr>
      <w:r>
        <w:rPr/>
        <w:t>应交税费说明，所在地税务机关同意各分公司、分厂之间应纳税所得额相互调剂的，应说明税款计算过程 不适用</w:t>
      </w:r>
    </w:p>
    <w:p>
      <w:pPr>
        <w:spacing w:line="240" w:lineRule="auto" w:before="4"/>
        <w:rPr>
          <w:rFonts w:ascii="宋体" w:hAnsi="宋体" w:cs="宋体" w:eastAsia="宋体" w:hint="default"/>
          <w:sz w:val="20"/>
          <w:szCs w:val="20"/>
        </w:rPr>
      </w:pPr>
    </w:p>
    <w:p>
      <w:pPr>
        <w:pStyle w:val="Heading4"/>
        <w:spacing w:line="240" w:lineRule="auto"/>
        <w:ind w:left="112" w:right="0"/>
        <w:jc w:val="left"/>
        <w:rPr>
          <w:b w:val="0"/>
          <w:bCs w:val="0"/>
        </w:rPr>
      </w:pPr>
      <w:r>
        <w:rPr>
          <w:rFonts w:ascii="Times New Roman" w:hAnsi="Times New Roman" w:cs="Times New Roman" w:eastAsia="Times New Roman" w:hint="default"/>
        </w:rPr>
        <w:t>34</w:t>
      </w:r>
      <w:r>
        <w:rPr/>
        <w:t>、应付利息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744" w:right="0"/>
        <w:jc w:val="left"/>
      </w:pPr>
      <w:r>
        <w:rPr/>
        <w:t>不适用</w:t>
      </w:r>
    </w:p>
    <w:p>
      <w:pPr>
        <w:spacing w:after="0" w:line="240" w:lineRule="auto"/>
        <w:jc w:val="left"/>
        <w:sectPr>
          <w:pgSz w:w="11910" w:h="16840"/>
          <w:pgMar w:header="850" w:footer="1186" w:top="1440" w:bottom="138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rPr>
        <w:t>35</w:t>
      </w:r>
      <w:r>
        <w:rPr/>
        <w:t>、应付股利</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8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36</w:t>
      </w:r>
      <w:r>
        <w:rPr/>
        <w:t>、其他应付款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押金及质保金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79,126,500.00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76,779,672.00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应付工程及设备款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24,874,698.00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21,100,258.00</w:t>
            </w: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预提租金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65,670,831.00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110,993,406.00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预提水电、运输等费用</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24,531,756.00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20,975,730.00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13,698,991.00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15,321,684.00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207,902,776.00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245,170,750.00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8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8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8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37</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78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38</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8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84" w:right="0"/>
        <w:jc w:val="left"/>
      </w:pPr>
      <w:r>
        <w:rPr/>
        <w:t>不适用</w:t>
      </w:r>
    </w:p>
    <w:p>
      <w:pPr>
        <w:spacing w:after="0" w:line="240" w:lineRule="auto"/>
        <w:jc w:val="left"/>
        <w:sectPr>
          <w:pgSz w:w="11910" w:h="16840"/>
          <w:pgMar w:header="850" w:footer="1186" w:top="1440" w:bottom="13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5"/>
        <w:gridCol w:w="675"/>
        <w:gridCol w:w="1241"/>
        <w:gridCol w:w="958"/>
        <w:gridCol w:w="955"/>
        <w:gridCol w:w="958"/>
        <w:gridCol w:w="958"/>
        <w:gridCol w:w="958"/>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2" w:right="60" w:hanging="180"/>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3" w:right="22"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3" w:right="22"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第一期短期 融资券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365 </w:t>
            </w:r>
            <w:r>
              <w:rPr>
                <w:rFonts w:ascii="宋体" w:hAnsi="宋体" w:cs="宋体" w:eastAsia="宋体" w:hint="default"/>
                <w:sz w:val="18"/>
                <w:szCs w:val="18"/>
              </w:rPr>
              <w:t>天</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796,800,000.00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12,618,082.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12,618,082.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809,418,082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年第 一期短期融 资券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365 </w:t>
            </w:r>
            <w:r>
              <w:rPr>
                <w:rFonts w:ascii="宋体" w:hAnsi="宋体" w:cs="宋体" w:eastAsia="宋体" w:hint="default"/>
                <w:sz w:val="18"/>
                <w:szCs w:val="18"/>
              </w:rPr>
              <w:t>天</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498,000,000.00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22,860,274.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5,139,726.0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年第 二期短期融 资券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365 </w:t>
            </w:r>
            <w:r>
              <w:rPr>
                <w:rFonts w:ascii="宋体" w:hAnsi="宋体" w:cs="宋体" w:eastAsia="宋体" w:hint="default"/>
                <w:sz w:val="18"/>
                <w:szCs w:val="18"/>
              </w:rPr>
              <w:t>天</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498,000,000.00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19,296,438.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9,103,562.0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7614"/>
        <w:jc w:val="left"/>
      </w:pPr>
      <w:r>
        <w:rPr/>
        <w:t>一年内到期的应付债券说明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5" w:right="7970"/>
        <w:jc w:val="center"/>
      </w:pP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39</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809,418,082.00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1,038,156,712.00</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809,418,082.00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1,038,156,712.00</w:t>
            </w:r>
          </w:p>
        </w:tc>
      </w:tr>
    </w:tbl>
    <w:p>
      <w:pPr>
        <w:pStyle w:val="BodyText"/>
        <w:spacing w:line="360" w:lineRule="auto" w:before="49"/>
        <w:ind w:right="8334"/>
        <w:jc w:val="left"/>
      </w:pPr>
      <w:r>
        <w:rPr/>
        <w:t>其他流动负债说明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40</w:t>
      </w:r>
      <w:r>
        <w:rPr/>
        <w:t>、长期借款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2" w:type="dxa"/>
            <w:tcBorders>
              <w:top w:val="single" w:sz="4" w:space="0" w:color="000000"/>
              <w:left w:val="single" w:sz="9" w:space="0" w:color="D2D2D2"/>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bl>
    <w:p>
      <w:pPr>
        <w:pStyle w:val="BodyText"/>
        <w:spacing w:line="360" w:lineRule="auto" w:before="49"/>
        <w:ind w:right="8154"/>
        <w:jc w:val="left"/>
      </w:pPr>
      <w:r>
        <w:rPr/>
        <w:t>长期借款分类的说明 无</w:t>
      </w:r>
    </w:p>
    <w:p>
      <w:pPr>
        <w:spacing w:after="0" w:line="360" w:lineRule="auto"/>
        <w:jc w:val="left"/>
        <w:sectPr>
          <w:pgSz w:w="11910" w:h="16840"/>
          <w:pgMar w:header="850" w:footer="1186" w:top="1440" w:bottom="13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135" w:right="7970"/>
        <w:jc w:val="center"/>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41</w:t>
      </w:r>
      <w:r>
        <w:rPr/>
        <w:t>、应付债券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135" w:right="7970"/>
        <w:jc w:val="center"/>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42</w:t>
      </w:r>
      <w:r>
        <w:rPr/>
        <w:t>、长期应付款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5" w:right="7970"/>
        <w:jc w:val="center"/>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43</w:t>
      </w:r>
      <w:r>
        <w:rPr/>
        <w:t>、专项应付款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135" w:right="7970"/>
        <w:jc w:val="center"/>
      </w:pP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44</w:t>
      </w:r>
      <w:r>
        <w:rPr/>
        <w:t>、其他非流动负债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35" w:right="7970"/>
        <w:jc w:val="center"/>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45</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3"/>
        </w:rPr>
        <w:t> </w:t>
      </w:r>
      <w:r>
        <w:rPr>
          <w:rFonts w:ascii="Times New Roman" w:hAnsi="Times New Roman" w:cs="Times New Roman" w:eastAsia="Times New Roman" w:hint="default"/>
        </w:rPr>
        <w:t>3</w:t>
      </w:r>
    </w:p>
    <w:p>
      <w:pPr>
        <w:pStyle w:val="BodyText"/>
        <w:spacing w:line="357" w:lineRule="auto" w:before="63"/>
        <w:ind w:right="234"/>
        <w:jc w:val="left"/>
      </w:pPr>
      <w:r>
        <w:rPr/>
        <w:t>年的股份有限公司，设立前的年份只需说明净资产情况；有限责任公司整体变更为股份公司应说明公司设立时的验资情况 不适用</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46</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8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47</w:t>
      </w:r>
      <w:r>
        <w:rPr/>
        <w:t>、专项储备</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8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48</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4"/>
        <w:gridCol w:w="1861"/>
        <w:gridCol w:w="1992"/>
        <w:gridCol w:w="1728"/>
        <w:gridCol w:w="1582"/>
      </w:tblGrid>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bl>
    <w:p>
      <w:pPr>
        <w:spacing w:after="0" w:line="240" w:lineRule="auto"/>
        <w:jc w:val="left"/>
        <w:rPr>
          <w:rFonts w:ascii="宋体" w:hAnsi="宋体" w:cs="宋体" w:eastAsia="宋体" w:hint="default"/>
          <w:sz w:val="18"/>
          <w:szCs w:val="18"/>
        </w:rPr>
        <w:sectPr>
          <w:footerReference w:type="default" r:id="rId27"/>
          <w:pgSz w:w="11910" w:h="16840"/>
          <w:pgMar w:footer="1186" w:header="850" w:top="1440" w:bottom="1380" w:left="980" w:right="980"/>
          <w:pgNumType w:start="109"/>
        </w:sectPr>
      </w:pPr>
    </w:p>
    <w:p>
      <w:pPr>
        <w:spacing w:line="240" w:lineRule="auto" w:before="6"/>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394"/>
        <w:gridCol w:w="1861"/>
        <w:gridCol w:w="1992"/>
        <w:gridCol w:w="1728"/>
        <w:gridCol w:w="1594"/>
      </w:tblGrid>
      <w:tr>
        <w:trPr>
          <w:trHeight w:val="416" w:hRule="exact"/>
        </w:trPr>
        <w:tc>
          <w:tcPr>
            <w:tcW w:w="239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930,332,190.00</w:t>
            </w:r>
          </w:p>
        </w:tc>
        <w:tc>
          <w:tcPr>
            <w:tcW w:w="1992" w:type="dxa"/>
            <w:tcBorders>
              <w:top w:val="single" w:sz="10" w:space="0" w:color="000000"/>
              <w:left w:val="single" w:sz="4" w:space="0" w:color="000000"/>
              <w:bottom w:val="single" w:sz="4" w:space="0" w:color="000000"/>
              <w:right w:val="single" w:sz="4" w:space="0" w:color="000000"/>
            </w:tcBorders>
          </w:tcPr>
          <w:p>
            <w:pPr/>
          </w:p>
        </w:tc>
        <w:tc>
          <w:tcPr>
            <w:tcW w:w="1728" w:type="dxa"/>
            <w:tcBorders>
              <w:top w:val="single" w:sz="10" w:space="0" w:color="000000"/>
              <w:left w:val="single" w:sz="4" w:space="0" w:color="000000"/>
              <w:bottom w:val="single" w:sz="4" w:space="0" w:color="000000"/>
              <w:right w:val="single" w:sz="4" w:space="0" w:color="000000"/>
            </w:tcBorders>
          </w:tcPr>
          <w:p>
            <w:pPr/>
          </w:p>
        </w:tc>
        <w:tc>
          <w:tcPr>
            <w:tcW w:w="15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930,332,190.00</w:t>
            </w:r>
          </w:p>
        </w:tc>
      </w:tr>
      <w:tr>
        <w:trPr>
          <w:trHeight w:val="401"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138,842,061.00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555,903.00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139,397,964.00</w:t>
            </w:r>
          </w:p>
        </w:tc>
      </w:tr>
      <w:tr>
        <w:trPr>
          <w:trHeight w:val="403"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1,069,174,251.00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555,903.00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1,069,730,154.00</w:t>
            </w:r>
          </w:p>
        </w:tc>
      </w:tr>
    </w:tbl>
    <w:p>
      <w:pPr>
        <w:pStyle w:val="BodyText"/>
        <w:spacing w:line="240" w:lineRule="auto" w:before="49"/>
        <w:ind w:left="112" w:right="0"/>
        <w:jc w:val="left"/>
      </w:pPr>
      <w:r>
        <w:rPr/>
        <w:t>资本公积说明</w:t>
      </w:r>
    </w:p>
    <w:p>
      <w:pPr>
        <w:spacing w:line="240" w:lineRule="auto" w:before="0"/>
        <w:rPr>
          <w:rFonts w:ascii="宋体" w:hAnsi="宋体" w:cs="宋体" w:eastAsia="宋体" w:hint="default"/>
          <w:sz w:val="18"/>
          <w:szCs w:val="18"/>
        </w:rPr>
      </w:pPr>
    </w:p>
    <w:p>
      <w:pPr>
        <w:pStyle w:val="Heading4"/>
        <w:spacing w:line="240" w:lineRule="auto" w:before="118"/>
        <w:ind w:left="112" w:right="0"/>
        <w:jc w:val="left"/>
        <w:rPr>
          <w:b w:val="0"/>
          <w:bCs w:val="0"/>
        </w:rPr>
      </w:pPr>
      <w:r>
        <w:rPr>
          <w:rFonts w:ascii="Times New Roman" w:hAnsi="Times New Roman" w:cs="Times New Roman" w:eastAsia="Times New Roman" w:hint="default"/>
        </w:rPr>
        <w:t>49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372"/>
        <w:gridCol w:w="1873"/>
        <w:gridCol w:w="1992"/>
        <w:gridCol w:w="1728"/>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703" w:right="0"/>
              <w:jc w:val="left"/>
              <w:rPr>
                <w:rFonts w:ascii="Times New Roman" w:hAnsi="Times New Roman" w:cs="Times New Roman" w:eastAsia="Times New Roman" w:hint="default"/>
                <w:sz w:val="18"/>
                <w:szCs w:val="18"/>
              </w:rPr>
            </w:pPr>
            <w:r>
              <w:rPr>
                <w:rFonts w:ascii="Times New Roman"/>
                <w:sz w:val="18"/>
              </w:rPr>
              <w:t>558,716,738.00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49,826,626.00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608,543,364.00</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558,716,738.00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49,826,626.00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608,543,364.00</w:t>
            </w:r>
          </w:p>
        </w:tc>
      </w:tr>
    </w:tbl>
    <w:p>
      <w:pPr>
        <w:pStyle w:val="BodyText"/>
        <w:spacing w:line="357" w:lineRule="auto" w:before="49"/>
        <w:ind w:left="112" w:right="3434"/>
        <w:jc w:val="left"/>
      </w:pPr>
      <w:r>
        <w:rPr/>
        <w:t>盈余公积说明，用盈余公积转增股本、弥补亏损、分派股利的，应说明有关决议 不适用</w:t>
      </w:r>
    </w:p>
    <w:p>
      <w:pPr>
        <w:spacing w:line="240" w:lineRule="auto" w:before="6"/>
        <w:rPr>
          <w:rFonts w:ascii="宋体" w:hAnsi="宋体" w:cs="宋体" w:eastAsia="宋体" w:hint="default"/>
          <w:sz w:val="20"/>
          <w:szCs w:val="20"/>
        </w:rPr>
      </w:pPr>
    </w:p>
    <w:p>
      <w:pPr>
        <w:pStyle w:val="Heading4"/>
        <w:spacing w:line="240" w:lineRule="auto"/>
        <w:ind w:left="112" w:right="0"/>
        <w:jc w:val="left"/>
        <w:rPr>
          <w:b w:val="0"/>
          <w:bCs w:val="0"/>
        </w:rPr>
      </w:pPr>
      <w:r>
        <w:rPr>
          <w:rFonts w:ascii="Times New Roman" w:hAnsi="Times New Roman" w:cs="Times New Roman" w:eastAsia="Times New Roman" w:hint="default"/>
        </w:rPr>
        <w:t>50</w:t>
      </w:r>
      <w:r>
        <w:rPr/>
        <w:t>、一般风险准备</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660" w:right="8495"/>
        <w:jc w:val="center"/>
      </w:pPr>
      <w:r>
        <w:rPr/>
        <w:t>不适用</w:t>
      </w:r>
    </w:p>
    <w:p>
      <w:pPr>
        <w:spacing w:line="240" w:lineRule="auto" w:before="0"/>
        <w:rPr>
          <w:rFonts w:ascii="宋体" w:hAnsi="宋体" w:cs="宋体" w:eastAsia="宋体" w:hint="default"/>
          <w:sz w:val="18"/>
          <w:szCs w:val="18"/>
        </w:rPr>
      </w:pPr>
    </w:p>
    <w:p>
      <w:pPr>
        <w:pStyle w:val="Heading4"/>
        <w:spacing w:line="240" w:lineRule="auto" w:before="120"/>
        <w:ind w:left="112" w:right="0"/>
        <w:jc w:val="left"/>
        <w:rPr>
          <w:b w:val="0"/>
          <w:bCs w:val="0"/>
        </w:rPr>
      </w:pPr>
      <w:r>
        <w:rPr>
          <w:rFonts w:ascii="Times New Roman" w:hAnsi="Times New Roman" w:cs="Times New Roman" w:eastAsia="Times New Roman" w:hint="default"/>
        </w:rPr>
        <w:t>51</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696"/>
        <w:gridCol w:w="3741"/>
        <w:gridCol w:w="2122"/>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1,493,052,239.00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1,493,052,239.00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849,582,393.00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49,826,626.00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844,200,000.00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1,448,608,006.00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74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left="112" w:right="0"/>
        <w:jc w:val="left"/>
        <w:rPr>
          <w:b w:val="0"/>
          <w:bCs w:val="0"/>
        </w:rPr>
      </w:pPr>
      <w:r>
        <w:rPr>
          <w:rFonts w:ascii="Times New Roman" w:hAnsi="Times New Roman" w:cs="Times New Roman" w:eastAsia="Times New Roman" w:hint="default"/>
        </w:rPr>
        <w:t>52</w:t>
      </w:r>
      <w:r>
        <w:rPr/>
        <w:t>、营业收入、营业成本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9,457,094,562.00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9,906,852,343.00</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52,456,052.00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38,205,454.00</w:t>
            </w:r>
          </w:p>
        </w:tc>
      </w:tr>
    </w:tbl>
    <w:p>
      <w:pPr>
        <w:spacing w:after="0" w:line="240" w:lineRule="auto"/>
        <w:jc w:val="right"/>
        <w:rPr>
          <w:rFonts w:ascii="Times New Roman" w:hAnsi="Times New Roman" w:cs="Times New Roman" w:eastAsia="Times New Roman" w:hint="default"/>
          <w:sz w:val="18"/>
          <w:szCs w:val="18"/>
        </w:rPr>
        <w:sectPr>
          <w:footerReference w:type="default" r:id="rId28"/>
          <w:pgSz w:w="11910" w:h="16840"/>
          <w:pgMar w:footer="1186" w:header="850" w:top="1440" w:bottom="1380" w:left="1020" w:right="1020"/>
          <w:pgNumType w:start="110"/>
        </w:sectPr>
      </w:pPr>
    </w:p>
    <w:p>
      <w:pPr>
        <w:spacing w:line="240" w:lineRule="auto" w:before="6"/>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321"/>
        <w:gridCol w:w="3058"/>
        <w:gridCol w:w="3190"/>
      </w:tblGrid>
      <w:tr>
        <w:trPr>
          <w:trHeight w:val="416" w:hRule="exact"/>
        </w:trPr>
        <w:tc>
          <w:tcPr>
            <w:tcW w:w="332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left="1763" w:right="0"/>
              <w:jc w:val="left"/>
              <w:rPr>
                <w:rFonts w:ascii="Times New Roman" w:hAnsi="Times New Roman" w:cs="Times New Roman" w:eastAsia="Times New Roman" w:hint="default"/>
                <w:sz w:val="18"/>
                <w:szCs w:val="18"/>
              </w:rPr>
            </w:pPr>
            <w:r>
              <w:rPr>
                <w:rFonts w:ascii="Times New Roman"/>
                <w:sz w:val="18"/>
              </w:rPr>
              <w:t>5,272,796,271.00</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left="1898" w:right="0"/>
              <w:jc w:val="left"/>
              <w:rPr>
                <w:rFonts w:ascii="Times New Roman" w:hAnsi="Times New Roman" w:cs="Times New Roman" w:eastAsia="Times New Roman" w:hint="default"/>
                <w:sz w:val="18"/>
                <w:szCs w:val="18"/>
              </w:rPr>
            </w:pPr>
            <w:r>
              <w:rPr>
                <w:rFonts w:ascii="Times New Roman"/>
                <w:sz w:val="18"/>
              </w:rPr>
              <w:t>5,552,258,986.00</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9,457,094,562.00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5,251,077,722.00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9,906,852,343.00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5,521,685,989.00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9,457,094,562.00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5,251,077,722.00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9,906,852,343.00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5,521,685,989.00</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5,499,831,962.00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3,036,039,135.00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6,210,918,643.00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3,465,273,000.00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2,082,655,943.00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1,192,136,077.00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2,054,288,800.00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1,167,662,389.00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1,874,606,657.00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1,022,902,510.00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1,641,644,900.00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888,750,600.00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9,457,094,562.00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5,251,077,722.00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9,906,852,343.00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5,521,685,989.00</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10,164,250,278.00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6,937,118,865.00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11,572,914,006.00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7,584,384,796.00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904,635,783.00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622,604,260.00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945,085,777.00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728,153,727.00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1,393,533,487.00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975,429,689.00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1,316,660,977.00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1,102,935,747.00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1,088,654,670.00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756,460,160.00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1,130,038,454.00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903,231,972.00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抵消</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-4,093,979,656.00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-4,040,535,252.00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-5,057,846,871.00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-4,797,020,253.00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9,457,094,562.00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5,251,077,722.00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9,906,852,343.00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5,521,685,989.00</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595"/>
        <w:gridCol w:w="2849"/>
        <w:gridCol w:w="4127"/>
      </w:tblGrid>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0" w:right="0"/>
              <w:jc w:val="left"/>
              <w:rPr>
                <w:rFonts w:ascii="Times New Roman" w:hAnsi="Times New Roman" w:cs="Times New Roman" w:eastAsia="Times New Roman" w:hint="default"/>
                <w:sz w:val="18"/>
                <w:szCs w:val="18"/>
              </w:rPr>
            </w:pPr>
            <w:r>
              <w:rPr>
                <w:rFonts w:ascii="Times New Roman"/>
                <w:sz w:val="18"/>
              </w:rPr>
              <w:t>499,924,330.00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186" w:top="1440" w:bottom="1380" w:left="1020" w:right="102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595"/>
        <w:gridCol w:w="2849"/>
        <w:gridCol w:w="4127"/>
      </w:tblGrid>
      <w:tr>
        <w:trPr>
          <w:trHeight w:val="416" w:hRule="exact"/>
        </w:trPr>
        <w:tc>
          <w:tcPr>
            <w:tcW w:w="259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84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1"/>
                <w:sz w:val="18"/>
              </w:rPr>
              <w:t>82,206,811.00</w:t>
            </w:r>
          </w:p>
        </w:tc>
        <w:tc>
          <w:tcPr>
            <w:tcW w:w="41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0.86%</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60,420,120.00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0.64%</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57,088,669.00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0.6%</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51,164,123.00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0.54%</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750,804,053.00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7.9%</w:t>
            </w:r>
          </w:p>
        </w:tc>
      </w:tr>
    </w:tbl>
    <w:p>
      <w:pPr>
        <w:pStyle w:val="BodyText"/>
        <w:spacing w:line="357" w:lineRule="auto" w:before="49"/>
        <w:ind w:left="112" w:right="8474"/>
        <w:jc w:val="left"/>
      </w:pPr>
      <w:r>
        <w:rPr/>
        <w:t>营业收入的说明 无</w:t>
      </w:r>
    </w:p>
    <w:p>
      <w:pPr>
        <w:spacing w:line="240" w:lineRule="auto" w:before="6"/>
        <w:rPr>
          <w:rFonts w:ascii="宋体" w:hAnsi="宋体" w:cs="宋体" w:eastAsia="宋体" w:hint="default"/>
          <w:sz w:val="20"/>
          <w:szCs w:val="20"/>
        </w:rPr>
      </w:pPr>
    </w:p>
    <w:p>
      <w:pPr>
        <w:pStyle w:val="Heading4"/>
        <w:spacing w:line="240" w:lineRule="auto"/>
        <w:ind w:left="112" w:right="0"/>
        <w:jc w:val="left"/>
        <w:rPr>
          <w:b w:val="0"/>
          <w:bCs w:val="0"/>
        </w:rPr>
      </w:pPr>
      <w:r>
        <w:rPr>
          <w:rFonts w:ascii="Times New Roman" w:hAnsi="Times New Roman" w:cs="Times New Roman" w:eastAsia="Times New Roman" w:hint="default"/>
        </w:rPr>
        <w:t>53</w:t>
      </w:r>
      <w:r>
        <w:rPr/>
        <w:t>、合同项目收入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60" w:right="8495"/>
        <w:jc w:val="center"/>
      </w:pPr>
      <w:r>
        <w:rPr/>
        <w:t>不适用</w:t>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rFonts w:ascii="Times New Roman" w:hAnsi="Times New Roman" w:cs="Times New Roman" w:eastAsia="Times New Roman" w:hint="default"/>
        </w:rPr>
        <w:t>54</w:t>
      </w:r>
      <w:r>
        <w:rPr/>
        <w:t>、营业税金及附加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794"/>
        <w:gridCol w:w="1993"/>
        <w:gridCol w:w="1863"/>
        <w:gridCol w:w="2921"/>
      </w:tblGrid>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4,528,303.00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6,813,181.00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应税收入的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计缴营业税</w:t>
            </w:r>
          </w:p>
        </w:tc>
      </w:tr>
      <w:tr>
        <w:trPr>
          <w:trHeight w:val="161" w:hRule="exact"/>
        </w:trPr>
        <w:tc>
          <w:tcPr>
            <w:tcW w:w="2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1" w:right="0"/>
              <w:jc w:val="left"/>
              <w:rPr>
                <w:rFonts w:ascii="Times New Roman" w:hAnsi="Times New Roman" w:cs="Times New Roman" w:eastAsia="Times New Roman" w:hint="default"/>
                <w:sz w:val="18"/>
                <w:szCs w:val="18"/>
              </w:rPr>
            </w:pPr>
            <w:r>
              <w:rPr>
                <w:rFonts w:ascii="Times New Roman"/>
                <w:sz w:val="18"/>
              </w:rPr>
              <w:t>19,504,793.00</w:t>
            </w:r>
          </w:p>
        </w:tc>
        <w:tc>
          <w:tcPr>
            <w:tcW w:w="18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4" w:right="0"/>
              <w:jc w:val="left"/>
              <w:rPr>
                <w:rFonts w:ascii="Times New Roman" w:hAnsi="Times New Roman" w:cs="Times New Roman" w:eastAsia="Times New Roman" w:hint="default"/>
                <w:sz w:val="18"/>
                <w:szCs w:val="18"/>
              </w:rPr>
            </w:pPr>
            <w:r>
              <w:rPr>
                <w:rFonts w:ascii="Times New Roman"/>
                <w:sz w:val="18"/>
              </w:rPr>
              <w:t>13,424,092.00</w:t>
            </w:r>
          </w:p>
        </w:tc>
        <w:tc>
          <w:tcPr>
            <w:tcW w:w="2921" w:type="dxa"/>
            <w:vMerge w:val="restart"/>
            <w:tcBorders>
              <w:top w:val="single" w:sz="4" w:space="0" w:color="000000"/>
              <w:left w:val="single" w:sz="4" w:space="0" w:color="000000"/>
              <w:right w:val="single" w:sz="4" w:space="0" w:color="000000"/>
            </w:tcBorders>
          </w:tcPr>
          <w:p>
            <w:pPr>
              <w:pStyle w:val="TableParagraph"/>
              <w:spacing w:line="300" w:lineRule="auto" w:before="49"/>
              <w:ind w:left="24" w:right="139"/>
              <w:jc w:val="left"/>
              <w:rPr>
                <w:rFonts w:ascii="宋体" w:hAnsi="宋体" w:cs="宋体" w:eastAsia="宋体" w:hint="default"/>
                <w:sz w:val="18"/>
                <w:szCs w:val="18"/>
              </w:rPr>
            </w:pPr>
            <w:r>
              <w:rPr>
                <w:rFonts w:ascii="宋体" w:hAnsi="宋体" w:cs="宋体" w:eastAsia="宋体" w:hint="default"/>
                <w:sz w:val="18"/>
                <w:szCs w:val="18"/>
              </w:rPr>
              <w:t>按实际缴纳流转税的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计缴城 市维护建设税</w:t>
            </w:r>
          </w:p>
        </w:tc>
      </w:tr>
      <w:tr>
        <w:trPr>
          <w:trHeight w:val="394" w:hRule="exact"/>
        </w:trPr>
        <w:tc>
          <w:tcPr>
            <w:tcW w:w="27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3" w:type="dxa"/>
            <w:vMerge/>
            <w:tcBorders>
              <w:left w:val="single" w:sz="9" w:space="0" w:color="D2D2D2"/>
              <w:right w:val="single" w:sz="4" w:space="0" w:color="000000"/>
            </w:tcBorders>
          </w:tcPr>
          <w:p>
            <w:pPr/>
          </w:p>
        </w:tc>
        <w:tc>
          <w:tcPr>
            <w:tcW w:w="1863" w:type="dxa"/>
            <w:vMerge/>
            <w:tcBorders>
              <w:left w:val="single" w:sz="4" w:space="0" w:color="000000"/>
              <w:right w:val="single" w:sz="4" w:space="0" w:color="000000"/>
            </w:tcBorders>
          </w:tcPr>
          <w:p>
            <w:pPr/>
          </w:p>
        </w:tc>
        <w:tc>
          <w:tcPr>
            <w:tcW w:w="2921" w:type="dxa"/>
            <w:vMerge/>
            <w:tcBorders>
              <w:left w:val="single" w:sz="4" w:space="0" w:color="000000"/>
              <w:right w:val="single" w:sz="4" w:space="0" w:color="000000"/>
            </w:tcBorders>
          </w:tcPr>
          <w:p>
            <w:pPr/>
          </w:p>
        </w:tc>
      </w:tr>
      <w:tr>
        <w:trPr>
          <w:trHeight w:val="161" w:hRule="exact"/>
        </w:trPr>
        <w:tc>
          <w:tcPr>
            <w:tcW w:w="2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93" w:type="dxa"/>
            <w:vMerge/>
            <w:tcBorders>
              <w:left w:val="single" w:sz="9" w:space="0" w:color="D2D2D2"/>
              <w:bottom w:val="single" w:sz="4" w:space="0" w:color="000000"/>
              <w:right w:val="single" w:sz="4" w:space="0" w:color="000000"/>
            </w:tcBorders>
          </w:tcPr>
          <w:p>
            <w:pPr/>
          </w:p>
        </w:tc>
        <w:tc>
          <w:tcPr>
            <w:tcW w:w="1863" w:type="dxa"/>
            <w:vMerge/>
            <w:tcBorders>
              <w:left w:val="single" w:sz="4" w:space="0" w:color="000000"/>
              <w:bottom w:val="single" w:sz="4" w:space="0" w:color="000000"/>
              <w:right w:val="single" w:sz="4" w:space="0" w:color="000000"/>
            </w:tcBorders>
          </w:tcPr>
          <w:p>
            <w:pPr/>
          </w:p>
        </w:tc>
        <w:tc>
          <w:tcPr>
            <w:tcW w:w="2921" w:type="dxa"/>
            <w:vMerge/>
            <w:tcBorders>
              <w:left w:val="single" w:sz="4" w:space="0" w:color="000000"/>
              <w:bottom w:val="single" w:sz="4" w:space="0" w:color="000000"/>
              <w:right w:val="single" w:sz="4" w:space="0" w:color="000000"/>
            </w:tcBorders>
          </w:tcPr>
          <w:p>
            <w:pP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31,015,181.00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29,016,674.00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6,078,350.00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5,726,101.00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1,251,075.00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89,744.00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62,377,702.00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55,069,792.00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left="112" w:right="7934"/>
        <w:jc w:val="left"/>
      </w:pPr>
      <w:r>
        <w:rPr/>
        <w:t>营业税金及附加的说明 无</w:t>
      </w:r>
    </w:p>
    <w:p>
      <w:pPr>
        <w:spacing w:line="240" w:lineRule="auto" w:before="6"/>
        <w:rPr>
          <w:rFonts w:ascii="宋体" w:hAnsi="宋体" w:cs="宋体" w:eastAsia="宋体" w:hint="default"/>
          <w:sz w:val="20"/>
          <w:szCs w:val="20"/>
        </w:rPr>
      </w:pPr>
    </w:p>
    <w:p>
      <w:pPr>
        <w:pStyle w:val="Heading4"/>
        <w:spacing w:line="240" w:lineRule="auto"/>
        <w:ind w:left="112" w:right="0"/>
        <w:jc w:val="left"/>
        <w:rPr>
          <w:b w:val="0"/>
          <w:bCs w:val="0"/>
        </w:rPr>
      </w:pPr>
      <w:r>
        <w:rPr>
          <w:rFonts w:ascii="Times New Roman" w:hAnsi="Times New Roman" w:cs="Times New Roman" w:eastAsia="Times New Roman" w:hint="default"/>
        </w:rPr>
        <w:t>55</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租金及物业管理费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1,010,522,994.00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822,491,753.00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894,756,723.00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698,269,981.00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279,197,265.00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231,648,615.00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100,470,977.00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81,772,896.00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85,408,638.00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48,272,628.00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71,264,743.00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92,125,348.00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69,198,286.00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86,609,463.00</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186" w:top="1440" w:bottom="1380" w:left="1020" w:right="102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16" w:hRule="exact"/>
        </w:trPr>
        <w:tc>
          <w:tcPr>
            <w:tcW w:w="319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50,665,801.00</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106,184,610.00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38,023,687.00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37,600,979.00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促销费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24,734,691.00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20,436,638.00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147,921,342.00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79,716,944.00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2,772,165,147.00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2,305,129,855.00</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rFonts w:ascii="Times New Roman" w:hAnsi="Times New Roman" w:cs="Times New Roman" w:eastAsia="Times New Roman" w:hint="default"/>
        </w:rPr>
        <w:t>56</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员工工资及福利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135,369,937.00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187,099,706.00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43,769,351.00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58,791,925.00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14,423,046.00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16,908,165.00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12,527,565.00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8,918,089.00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11,302,794.00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14,355,932.00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11,202,165.00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13,432,935.00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7,858,336.00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8,598,368.00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4,914,068.00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4,343,589.00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4,334,431.00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10,087,347.00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19,400,739.00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18,374,937.00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265,102,432.00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340,910,993.00</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rFonts w:ascii="Times New Roman" w:hAnsi="Times New Roman" w:cs="Times New Roman" w:eastAsia="Times New Roman" w:hint="default"/>
        </w:rPr>
        <w:t>57</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181,107,499.00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218,560,331.00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3,088,117.00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2,487,728.00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-16,261,602.00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-14,433,994.00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167,934,014.00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206,614,065.00</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rFonts w:ascii="Times New Roman" w:hAnsi="Times New Roman" w:cs="Times New Roman" w:eastAsia="Times New Roman" w:hint="default"/>
        </w:rPr>
        <w:t>58</w:t>
      </w:r>
      <w:r>
        <w:rPr/>
        <w:t>、公允价值变动收益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744" w:right="0"/>
        <w:jc w:val="left"/>
      </w:pPr>
      <w:r>
        <w:rPr/>
        <w:t>不适用</w:t>
      </w:r>
    </w:p>
    <w:p>
      <w:pPr>
        <w:spacing w:after="0" w:line="240" w:lineRule="auto"/>
        <w:jc w:val="left"/>
        <w:sectPr>
          <w:pgSz w:w="11910" w:h="16840"/>
          <w:pgMar w:header="850" w:footer="1186" w:top="1440" w:bottom="138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rPr>
        <w:t>59</w:t>
      </w:r>
      <w:r>
        <w:rPr/>
        <w:t>、投资收益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-10,925,231.00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-8,904,998.00</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00" w:type="dxa"/>
            <w:tcBorders>
              <w:top w:val="single" w:sz="4" w:space="0" w:color="000000"/>
              <w:left w:val="single" w:sz="10"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517,121.00</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-10,925,231.00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-8,387,877.00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784"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1"/>
      </w:tblGrid>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长安基金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-10,925,231.00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-8,904,998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-10,925,231.00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-8,904,998</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1674"/>
        <w:jc w:val="left"/>
      </w:pPr>
      <w:r>
        <w:rPr/>
        <w:t>投资收益的说明，若投资收益汇回有重大限制的，应予以说明。若不存在此类重大限制，也应做出说明 不适用</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60</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3,116,831.00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60,883,768.00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31,089,600.00</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64,000,599.00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31,089,600.00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61</w:t>
      </w:r>
      <w:r>
        <w:rPr/>
        <w:t>、营业外收入</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161"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4"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494,353.00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2,369,919.00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494,353.00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2,369,919.00</w:t>
            </w:r>
          </w:p>
        </w:tc>
        <w:tc>
          <w:tcPr>
            <w:tcW w:w="21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186" w:top="1440" w:bottom="1380" w:left="980" w:right="98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294"/>
        <w:gridCol w:w="1956"/>
        <w:gridCol w:w="2160"/>
        <w:gridCol w:w="2161"/>
      </w:tblGrid>
      <w:tr>
        <w:trPr>
          <w:trHeight w:val="416" w:hRule="exact"/>
        </w:trPr>
        <w:tc>
          <w:tcPr>
            <w:tcW w:w="3294"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189,840,746.00</w:t>
            </w:r>
          </w:p>
        </w:tc>
        <w:tc>
          <w:tcPr>
            <w:tcW w:w="21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141,975,574.00</w:t>
            </w:r>
          </w:p>
        </w:tc>
        <w:tc>
          <w:tcPr>
            <w:tcW w:w="2161" w:type="dxa"/>
            <w:tcBorders>
              <w:top w:val="single" w:sz="10"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违约金及罚没款收入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31,042,443.00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11,100,783.00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不能支付的应付账款核销及其他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6,331,928.00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3,693,213.00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227,709,470.00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159,139,489.00</w:t>
            </w:r>
          </w:p>
        </w:tc>
        <w:tc>
          <w:tcPr>
            <w:tcW w:w="21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660"/>
        <w:gridCol w:w="1995"/>
        <w:gridCol w:w="1995"/>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地方政府财政支持</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189,840,746.00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141,975,574.00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189,840,746.00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141,975,574.00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left="112" w:right="8474"/>
        <w:jc w:val="left"/>
      </w:pPr>
      <w:r>
        <w:rPr/>
        <w:t>营业外收入说明 无</w:t>
      </w:r>
    </w:p>
    <w:p>
      <w:pPr>
        <w:spacing w:line="240" w:lineRule="auto" w:before="4"/>
        <w:rPr>
          <w:rFonts w:ascii="宋体" w:hAnsi="宋体" w:cs="宋体" w:eastAsia="宋体" w:hint="default"/>
          <w:sz w:val="20"/>
          <w:szCs w:val="20"/>
        </w:rPr>
      </w:pPr>
    </w:p>
    <w:p>
      <w:pPr>
        <w:pStyle w:val="Heading4"/>
        <w:spacing w:line="240" w:lineRule="auto"/>
        <w:ind w:left="112" w:right="0"/>
        <w:jc w:val="left"/>
        <w:rPr>
          <w:b w:val="0"/>
          <w:bCs w:val="0"/>
        </w:rPr>
      </w:pPr>
      <w:r>
        <w:rPr>
          <w:rFonts w:ascii="Times New Roman" w:hAnsi="Times New Roman" w:cs="Times New Roman" w:eastAsia="Times New Roman" w:hint="default"/>
        </w:rPr>
        <w:t>62</w:t>
      </w:r>
      <w:r>
        <w:rPr/>
        <w:t>、营业外支出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3709"/>
        <w:gridCol w:w="2021"/>
        <w:gridCol w:w="1915"/>
        <w:gridCol w:w="1913"/>
      </w:tblGrid>
      <w:tr>
        <w:trPr>
          <w:trHeight w:val="161" w:hRule="exact"/>
        </w:trPr>
        <w:tc>
          <w:tcPr>
            <w:tcW w:w="3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2"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13,997,835.00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22,010,466.00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1,340,665.00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132,828.00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1,864,883.00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2,261,500.00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违约金及罚没款支出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222,204.00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141,534.00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2,401,541.00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4,258,976.00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18,486,463.00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28,672,476.00</w:t>
            </w:r>
          </w:p>
        </w:tc>
        <w:tc>
          <w:tcPr>
            <w:tcW w:w="19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112" w:right="8474"/>
        <w:jc w:val="left"/>
      </w:pPr>
      <w:r>
        <w:rPr/>
        <w:t>营业外支出说明 无</w:t>
      </w:r>
    </w:p>
    <w:p>
      <w:pPr>
        <w:spacing w:line="240" w:lineRule="auto" w:before="6"/>
        <w:rPr>
          <w:rFonts w:ascii="宋体" w:hAnsi="宋体" w:cs="宋体" w:eastAsia="宋体" w:hint="default"/>
          <w:sz w:val="20"/>
          <w:szCs w:val="20"/>
        </w:rPr>
      </w:pPr>
    </w:p>
    <w:p>
      <w:pPr>
        <w:pStyle w:val="Heading4"/>
        <w:spacing w:line="240" w:lineRule="auto"/>
        <w:ind w:left="112" w:right="0"/>
        <w:jc w:val="left"/>
        <w:rPr>
          <w:b w:val="0"/>
          <w:bCs w:val="0"/>
        </w:rPr>
      </w:pPr>
      <w:r>
        <w:rPr>
          <w:rFonts w:ascii="Times New Roman" w:hAnsi="Times New Roman" w:cs="Times New Roman" w:eastAsia="Times New Roman" w:hint="default"/>
        </w:rPr>
        <w:t>63</w:t>
      </w:r>
      <w:r>
        <w:rPr/>
        <w:t>、所得税费用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325,964,735.00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520,274,232.00</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-72,074,903.00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-150,218,002.00</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253,889,832.00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370,056,230.00</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186" w:top="1440" w:bottom="138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rPr>
        <w:t>64</w:t>
      </w:r>
      <w:r>
        <w:rPr/>
        <w:t>、基本每股收益和稀释每股收益的计算过程</w:t>
      </w:r>
      <w:r>
        <w:rPr>
          <w:b w:val="0"/>
          <w:bCs w:val="0"/>
        </w:rPr>
      </w:r>
    </w:p>
    <w:p>
      <w:pPr>
        <w:spacing w:line="240" w:lineRule="auto" w:before="5"/>
        <w:rPr>
          <w:rFonts w:ascii="宋体" w:hAnsi="宋体" w:cs="宋体" w:eastAsia="宋体" w:hint="default"/>
          <w:b/>
          <w:bCs/>
          <w:sz w:val="26"/>
          <w:szCs w:val="26"/>
        </w:rPr>
      </w:pPr>
    </w:p>
    <w:p>
      <w:pPr>
        <w:pStyle w:val="BodyText"/>
        <w:spacing w:line="309" w:lineRule="auto"/>
        <w:ind w:right="161"/>
        <w:jc w:val="left"/>
      </w:pPr>
      <w:r>
        <w:rPr/>
        <w:t>基本每股收益按照归属于本公司普通股股东的当期净利润，除以发行在外普通股的加权平均数计算。</w:t>
      </w:r>
      <w:r>
        <w:rPr>
          <w:spacing w:val="-17"/>
        </w:rPr>
        <w:t> </w:t>
      </w:r>
      <w:r>
        <w:rPr/>
        <w:t>稀释每股收益的分子</w:t>
      </w:r>
      <w:r>
        <w:rPr/>
        <w:t> 以归属于本公司普通股股东的当期净利润，调整下述因素后确定：</w:t>
      </w:r>
      <w:r>
        <w:rPr>
          <w:spacing w:val="-16"/>
        </w:rPr>
        <w:t> </w:t>
      </w:r>
      <w:r>
        <w:rPr>
          <w:rFonts w:ascii="Times New Roman" w:hAnsi="Times New Roman" w:cs="Times New Roman" w:eastAsia="Times New Roman" w:hint="default"/>
        </w:rPr>
        <w:t>(1)</w:t>
      </w:r>
      <w:r>
        <w:rPr/>
        <w:t>当期已确认为费用的稀释性潜在普通股的利息；</w:t>
      </w:r>
      <w:r>
        <w:rPr>
          <w:rFonts w:ascii="Times New Roman" w:hAnsi="Times New Roman" w:cs="Times New Roman" w:eastAsia="Times New Roman" w:hint="default"/>
        </w:rPr>
        <w:t>(2) </w:t>
      </w:r>
      <w:r>
        <w:rPr/>
        <w:t>稀释性潜在普通股转换时将产生的收益或费用；以及</w:t>
      </w:r>
      <w:r>
        <w:rPr>
          <w:rFonts w:ascii="Times New Roman" w:hAnsi="Times New Roman" w:cs="Times New Roman" w:eastAsia="Times New Roman" w:hint="default"/>
        </w:rPr>
        <w:t>(3)</w:t>
      </w:r>
      <w:r>
        <w:rPr/>
        <w:t>上述调整相关的所得税影响。</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65</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13" w:right="7978"/>
        <w:jc w:val="center"/>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66</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16,261,602.00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136,700,652.00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联营公司代垫款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生产质量保证金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供应商生产保证金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68,241,261.00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罚没收入及其他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37,374,371.00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258,577,886.00</w:t>
            </w:r>
          </w:p>
        </w:tc>
      </w:tr>
    </w:tbl>
    <w:p>
      <w:pPr>
        <w:pStyle w:val="BodyText"/>
        <w:spacing w:line="360" w:lineRule="auto" w:before="49"/>
        <w:ind w:right="6714"/>
        <w:jc w:val="left"/>
      </w:pPr>
      <w:r>
        <w:rPr/>
        <w:t>收到的其他与经营活动有关的现金说明 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预付店铺租金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932,566.00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租金及租赁押金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1,023,965,950.00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48,318,825.00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道具费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36,724,746.00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108,710,406.00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44,237,080.00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咨询顾问费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13,542,222.00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27,621,411.00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16,673,742.00</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186" w:top="1440" w:bottom="1380" w:left="980" w:right="98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5586"/>
        <w:gridCol w:w="3985"/>
      </w:tblGrid>
      <w:tr>
        <w:trPr>
          <w:trHeight w:val="416" w:hRule="exact"/>
        </w:trPr>
        <w:tc>
          <w:tcPr>
            <w:tcW w:w="558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98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12,915,464.00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69,412,986.00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65,452,215.00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特许使用权费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31,958,849.00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促销费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24,734,691.00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53,756,822.00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1,578,957,975.00</w:t>
            </w:r>
          </w:p>
        </w:tc>
      </w:tr>
    </w:tbl>
    <w:p>
      <w:pPr>
        <w:pStyle w:val="BodyText"/>
        <w:spacing w:line="357" w:lineRule="auto" w:before="49"/>
        <w:ind w:left="112" w:right="6674"/>
        <w:jc w:val="left"/>
      </w:pPr>
      <w:r>
        <w:rPr/>
        <w:t>支付的其他与经营活动有关的现金说明 无</w:t>
      </w:r>
    </w:p>
    <w:p>
      <w:pPr>
        <w:spacing w:line="240" w:lineRule="auto" w:before="6"/>
        <w:rPr>
          <w:rFonts w:ascii="宋体" w:hAnsi="宋体" w:cs="宋体" w:eastAsia="宋体" w:hint="default"/>
          <w:sz w:val="20"/>
          <w:szCs w:val="20"/>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679"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left="112"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679"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left="112"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收回质押借款的保证金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99,278,685.00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收回承兑汇票保证金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32,596,551.00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131,875,236.00</w:t>
            </w:r>
          </w:p>
        </w:tc>
      </w:tr>
    </w:tbl>
    <w:p>
      <w:pPr>
        <w:pStyle w:val="BodyText"/>
        <w:spacing w:line="357" w:lineRule="auto" w:before="49"/>
        <w:ind w:left="112" w:right="6674"/>
        <w:jc w:val="left"/>
      </w:pPr>
      <w:r>
        <w:rPr/>
        <w:t>收到的其他与筹资活动有关的现金说明 无</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支付质押借款的保证金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34,607,364.00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支付承兑汇票保证金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27,252,800.00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65,060,164.00</w:t>
            </w:r>
          </w:p>
        </w:tc>
      </w:tr>
    </w:tbl>
    <w:p>
      <w:pPr>
        <w:pStyle w:val="BodyText"/>
        <w:spacing w:line="357" w:lineRule="auto" w:before="49"/>
        <w:ind w:left="112" w:right="6674"/>
        <w:jc w:val="left"/>
      </w:pPr>
      <w:r>
        <w:rPr/>
        <w:t>支付的其他与筹资活动有关的现金说明 无</w:t>
      </w:r>
    </w:p>
    <w:p>
      <w:pPr>
        <w:spacing w:after="0" w:line="357" w:lineRule="auto"/>
        <w:jc w:val="left"/>
        <w:sectPr>
          <w:pgSz w:w="11910" w:h="16840"/>
          <w:pgMar w:header="850" w:footer="1186" w:top="1440" w:bottom="138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rPr>
        <w:t>67</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849,582,393.00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1,206,007,412.00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64,000,599.00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31,089,600.00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112,217,805.00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95,735,848.00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19,183,761.00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13,187,201.00</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249,590,189.00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206,683,374.00</w:t>
            </w:r>
          </w:p>
        </w:tc>
      </w:tr>
      <w:tr>
        <w:trPr>
          <w:trHeight w:val="71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18,929,213.00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19,640,547.00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181,107,499.00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218,560,331.00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10,925,231.00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8,387,877.00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-72,074,903.00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-150,218,002.00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493,001,139.00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-42,543,640.00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917,840,882.00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-81,345,111.00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11,621,154.00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-595,221,014.00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555,903.00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46,693,205.00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2,856,480,865.00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976,657,628.00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615,349,184.00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1,004,347,075.00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1,004,347,075.00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990,983,172.00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-388,997,891.00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13,363,903.00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80"/>
        <w:gridCol w:w="2522"/>
        <w:gridCol w:w="2657"/>
      </w:tblGrid>
      <w:tr>
        <w:trPr>
          <w:trHeight w:val="403" w:hRule="exact"/>
        </w:trPr>
        <w:tc>
          <w:tcPr>
            <w:tcW w:w="4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3"/>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2522"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15,500,000.00</w:t>
            </w:r>
          </w:p>
        </w:tc>
      </w:tr>
      <w:tr>
        <w:trPr>
          <w:trHeight w:val="403" w:hRule="exact"/>
        </w:trPr>
        <w:tc>
          <w:tcPr>
            <w:tcW w:w="4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处置子公司及其他营业单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收到的现金和现金等价物</w:t>
            </w:r>
          </w:p>
        </w:tc>
        <w:tc>
          <w:tcPr>
            <w:tcW w:w="2522"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4,500,000.00</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186" w:top="1440" w:bottom="1380" w:left="980" w:right="980"/>
        </w:sectPr>
      </w:pPr>
    </w:p>
    <w:p>
      <w:pPr>
        <w:spacing w:line="240" w:lineRule="auto" w:before="6"/>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389"/>
        <w:gridCol w:w="2523"/>
        <w:gridCol w:w="2657"/>
      </w:tblGrid>
      <w:tr>
        <w:trPr>
          <w:trHeight w:val="728" w:hRule="exact"/>
        </w:trPr>
        <w:tc>
          <w:tcPr>
            <w:tcW w:w="4389"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3"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23" w:type="dxa"/>
            <w:tcBorders>
              <w:top w:val="single" w:sz="10" w:space="0" w:color="000000"/>
              <w:left w:val="single" w:sz="4" w:space="0" w:color="000000"/>
              <w:bottom w:val="single" w:sz="4" w:space="0" w:color="000000"/>
              <w:right w:val="single" w:sz="4" w:space="0" w:color="000000"/>
            </w:tcBorders>
          </w:tcPr>
          <w:p>
            <w:pPr/>
          </w:p>
        </w:tc>
        <w:tc>
          <w:tcPr>
            <w:tcW w:w="265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38,331.00</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2523"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4,461,669.00</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2523"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14,982,879.00</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23"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10,567,879.00</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23"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10,500,000.00</w:t>
            </w:r>
          </w:p>
        </w:tc>
      </w:tr>
      <w:tr>
        <w:trPr>
          <w:trHeight w:val="40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23"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6,085,000.00</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4365"/>
        <w:gridCol w:w="2536"/>
        <w:gridCol w:w="2657"/>
      </w:tblGrid>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615,349,184.00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1,004,347,075.00</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3,529,068.00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4,509,083.00</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611,820,116.00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999,837,992.00</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615,349,184.00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1,004,347,075.00</w:t>
            </w:r>
          </w:p>
        </w:tc>
      </w:tr>
    </w:tbl>
    <w:p>
      <w:pPr>
        <w:pStyle w:val="BodyText"/>
        <w:spacing w:line="360" w:lineRule="auto" w:before="49"/>
        <w:ind w:left="112" w:right="7574"/>
        <w:jc w:val="left"/>
      </w:pPr>
      <w:r>
        <w:rPr/>
        <w:t>现金流量表补充资料的说明 无</w:t>
      </w:r>
    </w:p>
    <w:p>
      <w:pPr>
        <w:spacing w:line="240" w:lineRule="auto" w:before="4"/>
        <w:rPr>
          <w:rFonts w:ascii="宋体" w:hAnsi="宋体" w:cs="宋体" w:eastAsia="宋体" w:hint="default"/>
          <w:sz w:val="20"/>
          <w:szCs w:val="20"/>
        </w:rPr>
      </w:pPr>
    </w:p>
    <w:p>
      <w:pPr>
        <w:pStyle w:val="Heading4"/>
        <w:spacing w:line="240" w:lineRule="auto"/>
        <w:ind w:left="112" w:right="0"/>
        <w:jc w:val="left"/>
        <w:rPr>
          <w:b w:val="0"/>
          <w:bCs w:val="0"/>
        </w:rPr>
      </w:pPr>
      <w:r>
        <w:rPr>
          <w:rFonts w:ascii="Times New Roman" w:hAnsi="Times New Roman" w:cs="Times New Roman" w:eastAsia="Times New Roman" w:hint="default"/>
        </w:rPr>
        <w:t>68</w:t>
      </w:r>
      <w:r>
        <w:rPr/>
        <w:t>、所有者权益变动表项目注释</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112" w:right="1294"/>
        <w:jc w:val="left"/>
      </w:pPr>
      <w:r>
        <w:rPr/>
        <w:t>说明对上年年末余额进行调整的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项目名称及调整金额、由同一控制下企业合并产生的追溯调整等事项 不适用</w:t>
      </w:r>
    </w:p>
    <w:p>
      <w:pPr>
        <w:spacing w:line="240" w:lineRule="auto" w:before="6"/>
        <w:rPr>
          <w:rFonts w:ascii="宋体" w:hAnsi="宋体" w:cs="宋体" w:eastAsia="宋体" w:hint="default"/>
          <w:sz w:val="19"/>
          <w:szCs w:val="19"/>
        </w:rPr>
      </w:pPr>
    </w:p>
    <w:p>
      <w:pPr>
        <w:pStyle w:val="Heading2"/>
        <w:spacing w:line="240" w:lineRule="auto" w:before="0"/>
        <w:ind w:left="112" w:right="0"/>
        <w:jc w:val="left"/>
        <w:rPr>
          <w:b w:val="0"/>
          <w:bCs w:val="0"/>
        </w:rPr>
      </w:pPr>
      <w:r>
        <w:rPr/>
        <w:t>八、资产证券化业务的会计处理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79" w:right="0"/>
        <w:jc w:val="left"/>
      </w:pPr>
      <w:r>
        <w:rPr/>
        <w:t>不适用</w:t>
      </w:r>
    </w:p>
    <w:p>
      <w:pPr>
        <w:spacing w:line="240" w:lineRule="auto" w:before="3"/>
        <w:rPr>
          <w:rFonts w:ascii="宋体" w:hAnsi="宋体" w:cs="宋体" w:eastAsia="宋体" w:hint="default"/>
          <w:sz w:val="25"/>
          <w:szCs w:val="25"/>
        </w:rPr>
      </w:pPr>
    </w:p>
    <w:p>
      <w:pPr>
        <w:pStyle w:val="Heading2"/>
        <w:spacing w:line="240" w:lineRule="auto" w:before="0"/>
        <w:ind w:left="112" w:right="0"/>
        <w:jc w:val="left"/>
        <w:rPr>
          <w:b w:val="0"/>
          <w:bCs w:val="0"/>
        </w:rPr>
      </w:pPr>
      <w:r>
        <w:rPr/>
        <w:t>九、关联方及关联交易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12"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874"/>
        <w:gridCol w:w="869"/>
        <w:gridCol w:w="871"/>
        <w:gridCol w:w="869"/>
        <w:gridCol w:w="871"/>
        <w:gridCol w:w="869"/>
        <w:gridCol w:w="872"/>
        <w:gridCol w:w="869"/>
        <w:gridCol w:w="871"/>
        <w:gridCol w:w="869"/>
        <w:gridCol w:w="862"/>
      </w:tblGrid>
      <w:tr>
        <w:trPr>
          <w:trHeight w:val="1340"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41"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母公司对 本企业的 持股比例</w:t>
            </w:r>
          </w:p>
          <w:p>
            <w:pPr>
              <w:pStyle w:val="TableParagraph"/>
              <w:spacing w:line="240" w:lineRule="auto" w:before="59"/>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71"/>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986"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华服投资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24" w:right="115"/>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both"/>
              <w:rPr>
                <w:rFonts w:ascii="宋体" w:hAnsi="宋体" w:cs="宋体" w:eastAsia="宋体" w:hint="default"/>
                <w:sz w:val="18"/>
                <w:szCs w:val="18"/>
              </w:rPr>
            </w:pPr>
            <w:r>
              <w:rPr>
                <w:rFonts w:ascii="宋体" w:hAnsi="宋体" w:cs="宋体" w:eastAsia="宋体" w:hint="default"/>
                <w:sz w:val="18"/>
                <w:szCs w:val="18"/>
              </w:rPr>
              <w:t>实业投资 投资管理 企业管理</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335,285,71</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4.00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72" w:right="0"/>
              <w:jc w:val="left"/>
              <w:rPr>
                <w:rFonts w:ascii="Times New Roman" w:hAnsi="Times New Roman" w:cs="Times New Roman" w:eastAsia="Times New Roman" w:hint="default"/>
                <w:sz w:val="18"/>
                <w:szCs w:val="18"/>
              </w:rPr>
            </w:pPr>
            <w:r>
              <w:rPr>
                <w:rFonts w:ascii="Times New Roman"/>
                <w:sz w:val="18"/>
              </w:rPr>
              <w:t>80.6%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72" w:right="0"/>
              <w:jc w:val="left"/>
              <w:rPr>
                <w:rFonts w:ascii="Times New Roman" w:hAnsi="Times New Roman" w:cs="Times New Roman" w:eastAsia="Times New Roman" w:hint="default"/>
                <w:sz w:val="18"/>
                <w:szCs w:val="18"/>
              </w:rPr>
            </w:pPr>
            <w:r>
              <w:rPr>
                <w:rFonts w:ascii="Times New Roman"/>
                <w:sz w:val="18"/>
              </w:rPr>
              <w:t>80.6%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66604978-</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left"/>
        <w:rPr>
          <w:rFonts w:ascii="Times New Roman" w:hAnsi="Times New Roman" w:cs="Times New Roman" w:eastAsia="Times New Roman" w:hint="default"/>
          <w:sz w:val="18"/>
          <w:szCs w:val="18"/>
        </w:rPr>
        <w:sectPr>
          <w:pgSz w:w="11910" w:h="16840"/>
          <w:pgMar w:header="850" w:footer="1186" w:top="1440" w:bottom="1380" w:left="1020" w:right="1020"/>
        </w:sectPr>
      </w:pPr>
    </w:p>
    <w:p>
      <w:pPr>
        <w:spacing w:line="240" w:lineRule="auto" w:before="11"/>
        <w:rPr>
          <w:rFonts w:ascii="宋体" w:hAnsi="宋体" w:cs="宋体" w:eastAsia="宋体" w:hint="default"/>
          <w:sz w:val="2"/>
          <w:szCs w:val="2"/>
        </w:rPr>
      </w:pPr>
    </w:p>
    <w:p>
      <w:pPr>
        <w:spacing w:line="1327" w:lineRule="exact"/>
        <w:ind w:left="116" w:right="0" w:firstLine="0"/>
        <w:rPr>
          <w:rFonts w:ascii="宋体" w:hAnsi="宋体" w:cs="宋体" w:eastAsia="宋体" w:hint="default"/>
          <w:sz w:val="20"/>
          <w:szCs w:val="20"/>
        </w:rPr>
      </w:pPr>
      <w:r>
        <w:rPr>
          <w:rFonts w:ascii="宋体" w:hAnsi="宋体" w:cs="宋体" w:eastAsia="宋体" w:hint="default"/>
          <w:position w:val="-26"/>
          <w:sz w:val="20"/>
          <w:szCs w:val="20"/>
        </w:rPr>
        <w:pict>
          <v:group style="width:485.65pt;height:66.4pt;mso-position-horizontal-relative:char;mso-position-vertical-relative:line" coordorigin="0,0" coordsize="9713,1328">
            <v:group style="position:absolute;left:7;top:7;width:9698;height:2" coordorigin="7,7" coordsize="9698,2">
              <v:shape style="position:absolute;left:7;top:7;width:9698;height:2" coordorigin="7,7" coordsize="9698,0" path="m7,7l9705,7e" filled="false" stroked="true" strokeweight=".72pt" strokecolor="#000000">
                <v:path arrowok="t"/>
              </v:shape>
            </v:group>
            <v:group style="position:absolute;left:5267;top:26;width:860;height:1287" coordorigin="5267,26" coordsize="860,1287">
              <v:shape style="position:absolute;left:5267;top:26;width:860;height:1287" coordorigin="5267,26" coordsize="860,1287" path="m5267,1313l6126,1313,6126,26,5267,26,5267,1313xe" filled="true" fillcolor="#ffffff" stroked="false">
                <v:path arrowok="t"/>
                <v:fill type="solid"/>
              </v:shape>
            </v:group>
            <v:group style="position:absolute;left:41;top:19;width:865;height:2" coordorigin="41,19" coordsize="865,2">
              <v:shape style="position:absolute;left:41;top:19;width:865;height:2" coordorigin="41,19" coordsize="865,0" path="m41,19l905,19e" filled="false" stroked="true" strokeweight=".48pt" strokecolor="#000000">
                <v:path arrowok="t"/>
              </v:shape>
            </v:group>
            <v:group style="position:absolute;left:915;top:19;width:860;height:2" coordorigin="915,19" coordsize="860,2">
              <v:shape style="position:absolute;left:915;top:19;width:860;height:2" coordorigin="915,19" coordsize="860,0" path="m915,19l1774,19e" filled="false" stroked="true" strokeweight=".48pt" strokecolor="#000000">
                <v:path arrowok="t"/>
              </v:shape>
            </v:group>
            <v:group style="position:absolute;left:1784;top:19;width:862;height:2" coordorigin="1784,19" coordsize="862,2">
              <v:shape style="position:absolute;left:1784;top:19;width:862;height:2" coordorigin="1784,19" coordsize="862,0" path="m1784,19l2645,19e" filled="false" stroked="true" strokeweight=".48pt" strokecolor="#000000">
                <v:path arrowok="t"/>
              </v:shape>
            </v:group>
            <v:group style="position:absolute;left:2655;top:19;width:860;height:2" coordorigin="2655,19" coordsize="860,2">
              <v:shape style="position:absolute;left:2655;top:19;width:860;height:2" coordorigin="2655,19" coordsize="860,0" path="m2655,19l3514,19e" filled="false" stroked="true" strokeweight=".48pt" strokecolor="#000000">
                <v:path arrowok="t"/>
              </v:shape>
            </v:group>
            <v:group style="position:absolute;left:3524;top:19;width:862;height:2" coordorigin="3524,19" coordsize="862,2">
              <v:shape style="position:absolute;left:3524;top:19;width:862;height:2" coordorigin="3524,19" coordsize="862,0" path="m3524,19l4386,19e" filled="false" stroked="true" strokeweight=".48pt" strokecolor="#000000">
                <v:path arrowok="t"/>
              </v:shape>
            </v:group>
            <v:group style="position:absolute;left:4395;top:19;width:860;height:2" coordorigin="4395,19" coordsize="860,2">
              <v:shape style="position:absolute;left:4395;top:19;width:860;height:2" coordorigin="4395,19" coordsize="860,0" path="m4395,19l5255,19e" filled="false" stroked="true" strokeweight=".48pt" strokecolor="#000000">
                <v:path arrowok="t"/>
              </v:shape>
            </v:group>
            <v:group style="position:absolute;left:5264;top:19;width:863;height:2" coordorigin="5264,19" coordsize="863,2">
              <v:shape style="position:absolute;left:5264;top:19;width:863;height:2" coordorigin="5264,19" coordsize="863,0" path="m5264,19l6126,19e" filled="false" stroked="true" strokeweight=".48pt" strokecolor="#000000">
                <v:path arrowok="t"/>
              </v:shape>
            </v:group>
            <v:group style="position:absolute;left:6136;top:19;width:860;height:2" coordorigin="6136,19" coordsize="860,2">
              <v:shape style="position:absolute;left:6136;top:19;width:860;height:2" coordorigin="6136,19" coordsize="860,0" path="m6136,19l6995,19e" filled="false" stroked="true" strokeweight=".48pt" strokecolor="#000000">
                <v:path arrowok="t"/>
              </v:shape>
            </v:group>
            <v:group style="position:absolute;left:7005;top:19;width:862;height:2" coordorigin="7005,19" coordsize="862,2">
              <v:shape style="position:absolute;left:7005;top:19;width:862;height:2" coordorigin="7005,19" coordsize="862,0" path="m7005,19l7866,19e" filled="false" stroked="true" strokeweight=".48pt" strokecolor="#000000">
                <v:path arrowok="t"/>
              </v:shape>
            </v:group>
            <v:group style="position:absolute;left:7876;top:19;width:860;height:2" coordorigin="7876,19" coordsize="860,2">
              <v:shape style="position:absolute;left:7876;top:19;width:860;height:2" coordorigin="7876,19" coordsize="860,0" path="m7876,19l8735,19e" filled="false" stroked="true" strokeweight=".48pt" strokecolor="#000000">
                <v:path arrowok="t"/>
              </v:shape>
            </v:group>
            <v:group style="position:absolute;left:8745;top:19;width:852;height:2" coordorigin="8745,19" coordsize="852,2">
              <v:shape style="position:absolute;left:8745;top:19;width:852;height:2" coordorigin="8745,19" coordsize="852,0" path="m8745,19l9597,19e" filled="false" stroked="true" strokeweight=".48pt" strokecolor="#000000">
                <v:path arrowok="t"/>
              </v:shape>
            </v:group>
            <v:group style="position:absolute;left:36;top:14;width:2;height:1309" coordorigin="36,14" coordsize="2,1309">
              <v:shape style="position:absolute;left:36;top:14;width:2;height:1309" coordorigin="36,14" coordsize="0,1309" path="m36,14l36,1323e" filled="false" stroked="true" strokeweight=".48pt" strokecolor="#000000">
                <v:path arrowok="t"/>
              </v:shape>
            </v:group>
            <v:group style="position:absolute;left:41;top:1318;width:865;height:2" coordorigin="41,1318" coordsize="865,2">
              <v:shape style="position:absolute;left:41;top:1318;width:865;height:2" coordorigin="41,1318" coordsize="865,0" path="m41,1318l905,1318e" filled="false" stroked="true" strokeweight=".48001pt" strokecolor="#000000">
                <v:path arrowok="t"/>
              </v:shape>
            </v:group>
            <v:group style="position:absolute;left:910;top:14;width:2;height:1309" coordorigin="910,14" coordsize="2,1309">
              <v:shape style="position:absolute;left:910;top:14;width:2;height:1309" coordorigin="910,14" coordsize="0,1309" path="m910,14l910,1323e" filled="false" stroked="true" strokeweight=".48pt" strokecolor="#000000">
                <v:path arrowok="t"/>
              </v:shape>
            </v:group>
            <v:group style="position:absolute;left:915;top:1318;width:860;height:2" coordorigin="915,1318" coordsize="860,2">
              <v:shape style="position:absolute;left:915;top:1318;width:860;height:2" coordorigin="915,1318" coordsize="860,0" path="m915,1318l1774,1318e" filled="false" stroked="true" strokeweight=".48001pt" strokecolor="#000000">
                <v:path arrowok="t"/>
              </v:shape>
            </v:group>
            <v:group style="position:absolute;left:1779;top:14;width:2;height:1309" coordorigin="1779,14" coordsize="2,1309">
              <v:shape style="position:absolute;left:1779;top:14;width:2;height:1309" coordorigin="1779,14" coordsize="0,1309" path="m1779,14l1779,1323e" filled="false" stroked="true" strokeweight=".48pt" strokecolor="#000000">
                <v:path arrowok="t"/>
              </v:shape>
            </v:group>
            <v:group style="position:absolute;left:1784;top:1318;width:862;height:2" coordorigin="1784,1318" coordsize="862,2">
              <v:shape style="position:absolute;left:1784;top:1318;width:862;height:2" coordorigin="1784,1318" coordsize="862,0" path="m1784,1318l2645,1318e" filled="false" stroked="true" strokeweight=".48001pt" strokecolor="#000000">
                <v:path arrowok="t"/>
              </v:shape>
            </v:group>
            <v:group style="position:absolute;left:2650;top:14;width:2;height:1309" coordorigin="2650,14" coordsize="2,1309">
              <v:shape style="position:absolute;left:2650;top:14;width:2;height:1309" coordorigin="2650,14" coordsize="0,1309" path="m2650,14l2650,1323e" filled="false" stroked="true" strokeweight=".48pt" strokecolor="#000000">
                <v:path arrowok="t"/>
              </v:shape>
            </v:group>
            <v:group style="position:absolute;left:2655;top:1318;width:860;height:2" coordorigin="2655,1318" coordsize="860,2">
              <v:shape style="position:absolute;left:2655;top:1318;width:860;height:2" coordorigin="2655,1318" coordsize="860,0" path="m2655,1318l3514,1318e" filled="false" stroked="true" strokeweight=".48001pt" strokecolor="#000000">
                <v:path arrowok="t"/>
              </v:shape>
            </v:group>
            <v:group style="position:absolute;left:3519;top:14;width:2;height:1309" coordorigin="3519,14" coordsize="2,1309">
              <v:shape style="position:absolute;left:3519;top:14;width:2;height:1309" coordorigin="3519,14" coordsize="0,1309" path="m3519,14l3519,1323e" filled="false" stroked="true" strokeweight=".48pt" strokecolor="#000000">
                <v:path arrowok="t"/>
              </v:shape>
            </v:group>
            <v:group style="position:absolute;left:3524;top:1318;width:862;height:2" coordorigin="3524,1318" coordsize="862,2">
              <v:shape style="position:absolute;left:3524;top:1318;width:862;height:2" coordorigin="3524,1318" coordsize="862,0" path="m3524,1318l4386,1318e" filled="false" stroked="true" strokeweight=".48001pt" strokecolor="#000000">
                <v:path arrowok="t"/>
              </v:shape>
            </v:group>
            <v:group style="position:absolute;left:4391;top:14;width:2;height:1309" coordorigin="4391,14" coordsize="2,1309">
              <v:shape style="position:absolute;left:4391;top:14;width:2;height:1309" coordorigin="4391,14" coordsize="0,1309" path="m4391,14l4391,1323e" filled="false" stroked="true" strokeweight=".48001pt" strokecolor="#000000">
                <v:path arrowok="t"/>
              </v:shape>
            </v:group>
            <v:group style="position:absolute;left:4395;top:1318;width:860;height:2" coordorigin="4395,1318" coordsize="860,2">
              <v:shape style="position:absolute;left:4395;top:1318;width:860;height:2" coordorigin="4395,1318" coordsize="860,0" path="m4395,1318l5255,1318e" filled="false" stroked="true" strokeweight=".48001pt" strokecolor="#000000">
                <v:path arrowok="t"/>
              </v:shape>
            </v:group>
            <v:group style="position:absolute;left:5259;top:14;width:2;height:1309" coordorigin="5259,14" coordsize="2,1309">
              <v:shape style="position:absolute;left:5259;top:14;width:2;height:1309" coordorigin="5259,14" coordsize="0,1309" path="m5259,14l5259,1323e" filled="false" stroked="true" strokeweight=".48001pt" strokecolor="#000000">
                <v:path arrowok="t"/>
              </v:shape>
            </v:group>
            <v:group style="position:absolute;left:5264;top:1318;width:863;height:2" coordorigin="5264,1318" coordsize="863,2">
              <v:shape style="position:absolute;left:5264;top:1318;width:863;height:2" coordorigin="5264,1318" coordsize="863,0" path="m5264,1318l6126,1318e" filled="false" stroked="true" strokeweight=".48001pt" strokecolor="#000000">
                <v:path arrowok="t"/>
              </v:shape>
            </v:group>
            <v:group style="position:absolute;left:6131;top:14;width:2;height:1309" coordorigin="6131,14" coordsize="2,1309">
              <v:shape style="position:absolute;left:6131;top:14;width:2;height:1309" coordorigin="6131,14" coordsize="0,1309" path="m6131,14l6131,1323e" filled="false" stroked="true" strokeweight=".47998pt" strokecolor="#000000">
                <v:path arrowok="t"/>
              </v:shape>
            </v:group>
            <v:group style="position:absolute;left:6136;top:1318;width:860;height:2" coordorigin="6136,1318" coordsize="860,2">
              <v:shape style="position:absolute;left:6136;top:1318;width:860;height:2" coordorigin="6136,1318" coordsize="860,0" path="m6136,1318l6995,1318e" filled="false" stroked="true" strokeweight=".48001pt" strokecolor="#000000">
                <v:path arrowok="t"/>
              </v:shape>
            </v:group>
            <v:group style="position:absolute;left:7000;top:14;width:2;height:1309" coordorigin="7000,14" coordsize="2,1309">
              <v:shape style="position:absolute;left:7000;top:14;width:2;height:1309" coordorigin="7000,14" coordsize="0,1309" path="m7000,14l7000,1323e" filled="false" stroked="true" strokeweight=".47998pt" strokecolor="#000000">
                <v:path arrowok="t"/>
              </v:shape>
            </v:group>
            <v:group style="position:absolute;left:7005;top:1318;width:862;height:2" coordorigin="7005,1318" coordsize="862,2">
              <v:shape style="position:absolute;left:7005;top:1318;width:862;height:2" coordorigin="7005,1318" coordsize="862,0" path="m7005,1318l7866,1318e" filled="false" stroked="true" strokeweight=".48001pt" strokecolor="#000000">
                <v:path arrowok="t"/>
              </v:shape>
            </v:group>
            <v:group style="position:absolute;left:7871;top:14;width:2;height:1309" coordorigin="7871,14" coordsize="2,1309">
              <v:shape style="position:absolute;left:7871;top:14;width:2;height:1309" coordorigin="7871,14" coordsize="0,1309" path="m7871,14l7871,1323e" filled="false" stroked="true" strokeweight=".48001pt" strokecolor="#000000">
                <v:path arrowok="t"/>
              </v:shape>
            </v:group>
            <v:group style="position:absolute;left:7876;top:1318;width:860;height:2" coordorigin="7876,1318" coordsize="860,2">
              <v:shape style="position:absolute;left:7876;top:1318;width:860;height:2" coordorigin="7876,1318" coordsize="860,0" path="m7876,1318l8735,1318e" filled="false" stroked="true" strokeweight=".48001pt" strokecolor="#000000">
                <v:path arrowok="t"/>
              </v:shape>
            </v:group>
            <v:group style="position:absolute;left:8740;top:14;width:2;height:1309" coordorigin="8740,14" coordsize="2,1309">
              <v:shape style="position:absolute;left:8740;top:14;width:2;height:1309" coordorigin="8740,14" coordsize="0,1309" path="m8740,14l8740,1323e" filled="false" stroked="true" strokeweight=".48001pt" strokecolor="#000000">
                <v:path arrowok="t"/>
              </v:shape>
            </v:group>
            <v:group style="position:absolute;left:8745;top:1318;width:852;height:2" coordorigin="8745,1318" coordsize="852,2">
              <v:shape style="position:absolute;left:8745;top:1318;width:852;height:2" coordorigin="8745,1318" coordsize="852,0" path="m8745,1318l9597,1318e" filled="false" stroked="true" strokeweight=".48001pt" strokecolor="#000000">
                <v:path arrowok="t"/>
              </v:shape>
            </v:group>
            <v:group style="position:absolute;left:9602;top:14;width:2;height:1309" coordorigin="9602,14" coordsize="2,1309">
              <v:shape style="position:absolute;left:9602;top:14;width:2;height:1309" coordorigin="9602,14" coordsize="0,1309" path="m9602,14l9602,1323e" filled="false" stroked="true" strokeweight=".48004pt" strokecolor="#000000">
                <v:path arrowok="t"/>
              </v:shape>
              <v:shape style="position:absolute;left:4391;top:7;width:869;height:1311" type="#_x0000_t202" filled="false" stroked="false">
                <v:textbox inset="0,0,0,0">
                  <w:txbxContent>
                    <w:p>
                      <w:pPr>
                        <w:spacing w:line="319" w:lineRule="auto" w:before="27"/>
                        <w:ind w:left="28" w:right="118" w:firstLine="0"/>
                        <w:jc w:val="both"/>
                        <w:rPr>
                          <w:rFonts w:ascii="宋体" w:hAnsi="宋体" w:cs="宋体" w:eastAsia="宋体" w:hint="default"/>
                          <w:sz w:val="18"/>
                          <w:szCs w:val="18"/>
                        </w:rPr>
                      </w:pPr>
                      <w:r>
                        <w:rPr>
                          <w:rFonts w:ascii="宋体" w:hAnsi="宋体" w:cs="宋体" w:eastAsia="宋体" w:hint="default"/>
                          <w:sz w:val="18"/>
                          <w:szCs w:val="18"/>
                        </w:rPr>
                        <w:t>咨询投资 信息咨询 企业策划 景观设计</w:t>
                      </w:r>
                    </w:p>
                  </w:txbxContent>
                </v:textbox>
                <w10:wrap type="none"/>
              </v:shape>
              <v:shape style="position:absolute;left:5139;top:9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26"/>
          <w:sz w:val="20"/>
          <w:szCs w:val="20"/>
        </w:rPr>
      </w:r>
    </w:p>
    <w:p>
      <w:pPr>
        <w:pStyle w:val="BodyText"/>
        <w:spacing w:line="240" w:lineRule="auto" w:before="44"/>
        <w:ind w:right="0"/>
        <w:jc w:val="left"/>
      </w:pPr>
      <w:r>
        <w:rPr/>
        <w:t>本企业的母公司情况的说明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5"/>
        <w:gridCol w:w="961"/>
        <w:gridCol w:w="958"/>
        <w:gridCol w:w="956"/>
        <w:gridCol w:w="958"/>
        <w:gridCol w:w="955"/>
        <w:gridCol w:w="958"/>
        <w:gridCol w:w="958"/>
      </w:tblGrid>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1"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博物馆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批发零售业 非营利性组 织</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3" w:right="139"/>
              <w:jc w:val="left"/>
              <w:rPr>
                <w:rFonts w:ascii="Times New Roman" w:hAnsi="Times New Roman" w:cs="Times New Roman" w:eastAsia="Times New Roman" w:hint="default"/>
                <w:sz w:val="18"/>
                <w:szCs w:val="18"/>
              </w:rPr>
            </w:pPr>
            <w:r>
              <w:rPr>
                <w:rFonts w:ascii="Times New Roman"/>
                <w:sz w:val="18"/>
              </w:rPr>
              <w:t>77521459- X</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上海企发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76089235-5</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美邦销售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陈丽</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77854772-8</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成都美邦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李旭光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73480815-6</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沈阳美邦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75076510-9</w:t>
            </w:r>
          </w:p>
        </w:tc>
      </w:tr>
      <w:tr>
        <w:trPr>
          <w:trHeight w:val="71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天津美邦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金艳丽</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777309904</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济南美邦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刘建军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77634851-4</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福州美邦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周成培</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39"/>
              <w:jc w:val="left"/>
              <w:rPr>
                <w:rFonts w:ascii="Times New Roman" w:hAnsi="Times New Roman" w:cs="Times New Roman" w:eastAsia="Times New Roman" w:hint="default"/>
                <w:sz w:val="18"/>
                <w:szCs w:val="18"/>
              </w:rPr>
            </w:pPr>
            <w:r>
              <w:rPr>
                <w:rFonts w:ascii="Times New Roman"/>
                <w:sz w:val="18"/>
              </w:rPr>
              <w:t>78693914- X</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昆明美邦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余建勇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78464309-7</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哈尔滨美邦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78754631-3</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南昌美邦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李旭光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78973762-3</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西安美邦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钟明利</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39"/>
              <w:jc w:val="left"/>
              <w:rPr>
                <w:rFonts w:ascii="Times New Roman" w:hAnsi="Times New Roman" w:cs="Times New Roman" w:eastAsia="Times New Roman" w:hint="default"/>
                <w:sz w:val="18"/>
                <w:szCs w:val="18"/>
              </w:rPr>
            </w:pPr>
            <w:r>
              <w:rPr>
                <w:rFonts w:ascii="Times New Roman"/>
                <w:sz w:val="18"/>
              </w:rPr>
              <w:t>75022074- X</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39"/>
              <w:jc w:val="left"/>
              <w:rPr>
                <w:rFonts w:ascii="Times New Roman" w:hAnsi="Times New Roman" w:cs="Times New Roman" w:eastAsia="Times New Roman" w:hint="default"/>
                <w:sz w:val="18"/>
                <w:szCs w:val="18"/>
              </w:rPr>
            </w:pPr>
            <w:r>
              <w:rPr>
                <w:rFonts w:ascii="Times New Roman"/>
                <w:sz w:val="18"/>
              </w:rPr>
              <w:t>25392413- X</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有限责任公</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10,000,000.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74155223-2</w:t>
            </w:r>
          </w:p>
        </w:tc>
      </w:tr>
    </w:tbl>
    <w:p>
      <w:pPr>
        <w:spacing w:after="0" w:line="240" w:lineRule="auto"/>
        <w:jc w:val="left"/>
        <w:rPr>
          <w:rFonts w:ascii="Times New Roman" w:hAnsi="Times New Roman" w:cs="Times New Roman" w:eastAsia="Times New Roman" w:hint="default"/>
          <w:sz w:val="18"/>
          <w:szCs w:val="18"/>
        </w:rPr>
        <w:sectPr>
          <w:footerReference w:type="default" r:id="rId29"/>
          <w:pgSz w:w="11910" w:h="16840"/>
          <w:pgMar w:footer="1186" w:header="850" w:top="1440" w:bottom="1380" w:left="980" w:right="980"/>
          <w:pgNumType w:start="120"/>
        </w:sectPr>
      </w:pPr>
    </w:p>
    <w:tbl>
      <w:tblPr>
        <w:tblW w:w="0" w:type="auto"/>
        <w:jc w:val="left"/>
        <w:tblInd w:w="108" w:type="dxa"/>
        <w:tblLayout w:type="fixed"/>
        <w:tblCellMar>
          <w:top w:w="0" w:type="dxa"/>
          <w:left w:w="0" w:type="dxa"/>
          <w:bottom w:w="0" w:type="dxa"/>
          <w:right w:w="0" w:type="dxa"/>
        </w:tblCellMar>
        <w:tblLook w:val="01E0"/>
      </w:tblPr>
      <w:tblGrid>
        <w:gridCol w:w="958"/>
        <w:gridCol w:w="958"/>
        <w:gridCol w:w="955"/>
        <w:gridCol w:w="961"/>
        <w:gridCol w:w="958"/>
        <w:gridCol w:w="956"/>
        <w:gridCol w:w="958"/>
        <w:gridCol w:w="955"/>
        <w:gridCol w:w="958"/>
        <w:gridCol w:w="958"/>
      </w:tblGrid>
      <w:tr>
        <w:trPr>
          <w:trHeight w:val="374" w:hRule="exact"/>
        </w:trPr>
        <w:tc>
          <w:tcPr>
            <w:tcW w:w="958" w:type="dxa"/>
            <w:tcBorders>
              <w:top w:val="single" w:sz="10" w:space="0" w:color="000000"/>
              <w:left w:val="single" w:sz="4" w:space="0" w:color="000000"/>
              <w:bottom w:val="single" w:sz="4" w:space="0" w:color="000000"/>
              <w:right w:val="single" w:sz="4" w:space="0" w:color="000000"/>
            </w:tcBorders>
          </w:tcPr>
          <w:p>
            <w:pPr/>
          </w:p>
        </w:tc>
        <w:tc>
          <w:tcPr>
            <w:tcW w:w="958" w:type="dxa"/>
            <w:tcBorders>
              <w:top w:val="single" w:sz="10" w:space="0" w:color="000000"/>
              <w:left w:val="single" w:sz="4" w:space="0" w:color="000000"/>
              <w:bottom w:val="single" w:sz="4" w:space="0" w:color="000000"/>
              <w:right w:val="single" w:sz="4" w:space="0" w:color="000000"/>
            </w:tcBorders>
          </w:tcPr>
          <w:p>
            <w:pPr/>
          </w:p>
        </w:tc>
        <w:tc>
          <w:tcPr>
            <w:tcW w:w="95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61" w:type="dxa"/>
            <w:tcBorders>
              <w:top w:val="single" w:sz="10" w:space="0" w:color="000000"/>
              <w:left w:val="single" w:sz="4" w:space="0" w:color="000000"/>
              <w:bottom w:val="single" w:sz="4" w:space="0" w:color="000000"/>
              <w:right w:val="single" w:sz="4" w:space="0" w:color="000000"/>
            </w:tcBorders>
          </w:tcPr>
          <w:p>
            <w:pPr/>
          </w:p>
        </w:tc>
        <w:tc>
          <w:tcPr>
            <w:tcW w:w="958" w:type="dxa"/>
            <w:tcBorders>
              <w:top w:val="single" w:sz="10" w:space="0" w:color="000000"/>
              <w:left w:val="single" w:sz="4" w:space="0" w:color="000000"/>
              <w:bottom w:val="single" w:sz="4" w:space="0" w:color="000000"/>
              <w:right w:val="single" w:sz="4" w:space="0" w:color="000000"/>
            </w:tcBorders>
          </w:tcPr>
          <w:p>
            <w:pPr/>
          </w:p>
        </w:tc>
        <w:tc>
          <w:tcPr>
            <w:tcW w:w="956" w:type="dxa"/>
            <w:tcBorders>
              <w:top w:val="single" w:sz="10" w:space="0" w:color="000000"/>
              <w:left w:val="single" w:sz="4" w:space="0" w:color="000000"/>
              <w:bottom w:val="single" w:sz="4" w:space="0" w:color="000000"/>
              <w:right w:val="single" w:sz="4" w:space="0" w:color="000000"/>
            </w:tcBorders>
          </w:tcPr>
          <w:p>
            <w:pPr/>
          </w:p>
        </w:tc>
        <w:tc>
          <w:tcPr>
            <w:tcW w:w="95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10" w:space="0" w:color="000000"/>
              <w:left w:val="single" w:sz="4" w:space="0" w:color="000000"/>
              <w:bottom w:val="single" w:sz="4" w:space="0" w:color="000000"/>
              <w:right w:val="single" w:sz="4" w:space="0" w:color="000000"/>
            </w:tcBorders>
          </w:tcPr>
          <w:p>
            <w:pPr/>
          </w:p>
        </w:tc>
        <w:tc>
          <w:tcPr>
            <w:tcW w:w="958" w:type="dxa"/>
            <w:tcBorders>
              <w:top w:val="single" w:sz="10" w:space="0" w:color="000000"/>
              <w:left w:val="single" w:sz="4" w:space="0" w:color="000000"/>
              <w:bottom w:val="single" w:sz="4" w:space="0" w:color="000000"/>
              <w:right w:val="single" w:sz="4" w:space="0" w:color="000000"/>
            </w:tcBorders>
          </w:tcPr>
          <w:p>
            <w:pPr/>
          </w:p>
        </w:tc>
        <w:tc>
          <w:tcPr>
            <w:tcW w:w="958" w:type="dxa"/>
            <w:tcBorders>
              <w:top w:val="single" w:sz="10" w:space="0" w:color="000000"/>
              <w:left w:val="single" w:sz="4" w:space="0" w:color="000000"/>
              <w:bottom w:val="single" w:sz="4" w:space="0" w:color="000000"/>
              <w:right w:val="single" w:sz="4" w:space="0" w:color="000000"/>
            </w:tcBorders>
          </w:tcPr>
          <w:p>
            <w:pPr/>
          </w:p>
        </w:tc>
      </w:tr>
      <w:tr>
        <w:trPr>
          <w:trHeight w:val="71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陈红</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86"/>
              <w:ind w:left="23" w:right="139"/>
              <w:jc w:val="left"/>
              <w:rPr>
                <w:rFonts w:ascii="Times New Roman" w:hAnsi="Times New Roman" w:cs="Times New Roman" w:eastAsia="Times New Roman" w:hint="default"/>
                <w:sz w:val="18"/>
                <w:szCs w:val="18"/>
              </w:rPr>
            </w:pPr>
            <w:r>
              <w:rPr>
                <w:rFonts w:ascii="Times New Roman"/>
                <w:sz w:val="18"/>
              </w:rPr>
              <w:t>73657455- X</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任彬</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749945030</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宁波美邦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张静</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79008310-2</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温州美邦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79555755-7</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蔡燕霞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66066060-2</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4"/>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陈小汾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79979952-9</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广西美邦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徐洪涛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66704273-5</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长春美邦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4"/>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郁萃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66873601-8</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兰州美邦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崔全力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67591989-1</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4"/>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6"/>
              <w:ind w:left="23" w:right="139"/>
              <w:jc w:val="left"/>
              <w:rPr>
                <w:rFonts w:ascii="Times New Roman" w:hAnsi="Times New Roman" w:cs="Times New Roman" w:eastAsia="Times New Roman" w:hint="default"/>
                <w:sz w:val="18"/>
                <w:szCs w:val="18"/>
              </w:rPr>
            </w:pPr>
            <w:r>
              <w:rPr>
                <w:rFonts w:ascii="Times New Roman"/>
                <w:sz w:val="18"/>
              </w:rPr>
              <w:t>68039310- X</w:t>
            </w:r>
          </w:p>
        </w:tc>
      </w:tr>
      <w:tr>
        <w:trPr>
          <w:trHeight w:val="71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米安斯迪</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4"/>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68095834-2</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苏州美邦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4"/>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任彬</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68217317-8</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上海邦购</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68407109-5</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合肥美邦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4"/>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68499197-5</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杭州美特斯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68905738-0</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上海霓尚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4"/>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欧敏</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86"/>
              <w:ind w:left="23" w:right="139"/>
              <w:jc w:val="left"/>
              <w:rPr>
                <w:rFonts w:ascii="Times New Roman" w:hAnsi="Times New Roman" w:cs="Times New Roman" w:eastAsia="Times New Roman" w:hint="default"/>
                <w:sz w:val="18"/>
                <w:szCs w:val="18"/>
              </w:rPr>
            </w:pPr>
            <w:r>
              <w:rPr>
                <w:rFonts w:ascii="Times New Roman"/>
                <w:sz w:val="18"/>
              </w:rPr>
              <w:t>69579319- X</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4" w:right="22"/>
              <w:jc w:val="left"/>
              <w:rPr>
                <w:rFonts w:ascii="宋体" w:hAnsi="宋体" w:cs="宋体" w:eastAsia="宋体" w:hint="default"/>
                <w:sz w:val="18"/>
                <w:szCs w:val="18"/>
              </w:rPr>
            </w:pPr>
            <w:r>
              <w:rPr>
                <w:rFonts w:ascii="宋体" w:hAnsi="宋体" w:cs="宋体" w:eastAsia="宋体" w:hint="default"/>
                <w:sz w:val="18"/>
                <w:szCs w:val="18"/>
              </w:rPr>
              <w:t>郑州米安斯 迪</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69999800-2</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4"/>
              <w:ind w:left="24" w:right="22"/>
              <w:jc w:val="left"/>
              <w:rPr>
                <w:rFonts w:ascii="宋体" w:hAnsi="宋体" w:cs="宋体" w:eastAsia="宋体" w:hint="default"/>
                <w:sz w:val="18"/>
                <w:szCs w:val="18"/>
              </w:rPr>
            </w:pPr>
            <w:r>
              <w:rPr>
                <w:rFonts w:ascii="宋体" w:hAnsi="宋体" w:cs="宋体" w:eastAsia="宋体" w:hint="default"/>
                <w:sz w:val="18"/>
                <w:szCs w:val="18"/>
              </w:rPr>
              <w:t>石家庄米安 斯迪</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4"/>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石家庄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陈昌伟</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55044781-9</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8"/>
                <w:szCs w:val="18"/>
              </w:rPr>
            </w:pPr>
            <w:r>
              <w:rPr>
                <w:rFonts w:ascii="宋体" w:hAnsi="宋体" w:cs="宋体" w:eastAsia="宋体" w:hint="default"/>
                <w:sz w:val="18"/>
                <w:szCs w:val="18"/>
              </w:rPr>
              <w:t>乌鲁木齐美</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有限责任公</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王凯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3" w:right="0"/>
              <w:jc w:val="left"/>
              <w:rPr>
                <w:rFonts w:ascii="Times New Roman" w:hAnsi="Times New Roman" w:cs="Times New Roman" w:eastAsia="Times New Roman" w:hint="default"/>
                <w:sz w:val="18"/>
                <w:szCs w:val="18"/>
              </w:rPr>
            </w:pPr>
            <w:r>
              <w:rPr>
                <w:rFonts w:ascii="Times New Roman"/>
                <w:sz w:val="18"/>
              </w:rPr>
              <w:t>10,000,000.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Times New Roman" w:hAnsi="Times New Roman" w:cs="Times New Roman" w:eastAsia="Times New Roman" w:hint="default"/>
                <w:sz w:val="18"/>
                <w:szCs w:val="18"/>
              </w:rPr>
            </w:pPr>
            <w:r>
              <w:rPr>
                <w:rFonts w:ascii="Times New Roman"/>
                <w:sz w:val="18"/>
              </w:rPr>
              <w:t>55243077-0</w:t>
            </w:r>
          </w:p>
        </w:tc>
      </w:tr>
    </w:tbl>
    <w:p>
      <w:pPr>
        <w:spacing w:after="0" w:line="240" w:lineRule="auto"/>
        <w:jc w:val="left"/>
        <w:rPr>
          <w:rFonts w:ascii="Times New Roman" w:hAnsi="Times New Roman" w:cs="Times New Roman" w:eastAsia="Times New Roman" w:hint="default"/>
          <w:sz w:val="18"/>
          <w:szCs w:val="18"/>
        </w:rPr>
        <w:sectPr>
          <w:pgSz w:w="11910" w:h="16840"/>
          <w:pgMar w:header="850" w:footer="1186" w:top="1480" w:bottom="1380" w:left="1020" w:right="108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958"/>
        <w:gridCol w:w="958"/>
        <w:gridCol w:w="955"/>
        <w:gridCol w:w="961"/>
        <w:gridCol w:w="958"/>
        <w:gridCol w:w="956"/>
        <w:gridCol w:w="958"/>
        <w:gridCol w:w="955"/>
        <w:gridCol w:w="958"/>
        <w:gridCol w:w="958"/>
      </w:tblGrid>
      <w:tr>
        <w:trPr>
          <w:trHeight w:val="374" w:hRule="exact"/>
        </w:trPr>
        <w:tc>
          <w:tcPr>
            <w:tcW w:w="95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邦</w:t>
            </w:r>
          </w:p>
        </w:tc>
        <w:tc>
          <w:tcPr>
            <w:tcW w:w="958" w:type="dxa"/>
            <w:tcBorders>
              <w:top w:val="single" w:sz="10" w:space="0" w:color="000000"/>
              <w:left w:val="single" w:sz="4" w:space="0" w:color="000000"/>
              <w:bottom w:val="single" w:sz="4" w:space="0" w:color="000000"/>
              <w:right w:val="single" w:sz="4" w:space="0" w:color="000000"/>
            </w:tcBorders>
          </w:tcPr>
          <w:p>
            <w:pPr/>
          </w:p>
        </w:tc>
        <w:tc>
          <w:tcPr>
            <w:tcW w:w="95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61" w:type="dxa"/>
            <w:tcBorders>
              <w:top w:val="single" w:sz="10" w:space="0" w:color="000000"/>
              <w:left w:val="single" w:sz="4" w:space="0" w:color="000000"/>
              <w:bottom w:val="single" w:sz="4" w:space="0" w:color="000000"/>
              <w:right w:val="single" w:sz="4" w:space="0" w:color="000000"/>
            </w:tcBorders>
          </w:tcPr>
          <w:p>
            <w:pPr/>
          </w:p>
        </w:tc>
        <w:tc>
          <w:tcPr>
            <w:tcW w:w="958" w:type="dxa"/>
            <w:tcBorders>
              <w:top w:val="single" w:sz="10" w:space="0" w:color="000000"/>
              <w:left w:val="single" w:sz="4" w:space="0" w:color="000000"/>
              <w:bottom w:val="single" w:sz="4" w:space="0" w:color="000000"/>
              <w:right w:val="single" w:sz="4" w:space="0" w:color="000000"/>
            </w:tcBorders>
          </w:tcPr>
          <w:p>
            <w:pPr/>
          </w:p>
        </w:tc>
        <w:tc>
          <w:tcPr>
            <w:tcW w:w="956" w:type="dxa"/>
            <w:tcBorders>
              <w:top w:val="single" w:sz="10" w:space="0" w:color="000000"/>
              <w:left w:val="single" w:sz="4" w:space="0" w:color="000000"/>
              <w:bottom w:val="single" w:sz="4" w:space="0" w:color="000000"/>
              <w:right w:val="single" w:sz="4" w:space="0" w:color="000000"/>
            </w:tcBorders>
          </w:tcPr>
          <w:p>
            <w:pPr/>
          </w:p>
        </w:tc>
        <w:tc>
          <w:tcPr>
            <w:tcW w:w="95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10" w:space="0" w:color="000000"/>
              <w:left w:val="single" w:sz="4" w:space="0" w:color="000000"/>
              <w:bottom w:val="single" w:sz="4" w:space="0" w:color="000000"/>
              <w:right w:val="single" w:sz="4" w:space="0" w:color="000000"/>
            </w:tcBorders>
          </w:tcPr>
          <w:p>
            <w:pPr/>
          </w:p>
        </w:tc>
        <w:tc>
          <w:tcPr>
            <w:tcW w:w="958" w:type="dxa"/>
            <w:tcBorders>
              <w:top w:val="single" w:sz="10" w:space="0" w:color="000000"/>
              <w:left w:val="single" w:sz="4" w:space="0" w:color="000000"/>
              <w:bottom w:val="single" w:sz="4" w:space="0" w:color="000000"/>
              <w:right w:val="single" w:sz="4" w:space="0" w:color="000000"/>
            </w:tcBorders>
          </w:tcPr>
          <w:p>
            <w:pPr/>
          </w:p>
        </w:tc>
        <w:tc>
          <w:tcPr>
            <w:tcW w:w="958" w:type="dxa"/>
            <w:tcBorders>
              <w:top w:val="single" w:sz="10" w:space="0" w:color="000000"/>
              <w:left w:val="single" w:sz="4" w:space="0" w:color="000000"/>
              <w:bottom w:val="single" w:sz="4" w:space="0" w:color="000000"/>
              <w:right w:val="single" w:sz="4" w:space="0" w:color="000000"/>
            </w:tcBorders>
          </w:tcPr>
          <w:p>
            <w:pPr/>
          </w:p>
        </w:tc>
      </w:tr>
      <w:tr>
        <w:trPr>
          <w:trHeight w:val="71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太原米安斯 迪</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陈昌伟</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55871803-8</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华邦科创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56656874-6</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祺格服饰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57910137-9</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岳阳美邦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岳阳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陈小汾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05169418-8</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邦彤实业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39"/>
              <w:jc w:val="left"/>
              <w:rPr>
                <w:rFonts w:ascii="Times New Roman" w:hAnsi="Times New Roman" w:cs="Times New Roman" w:eastAsia="Times New Roman" w:hint="default"/>
                <w:sz w:val="18"/>
                <w:szCs w:val="18"/>
              </w:rPr>
            </w:pPr>
            <w:r>
              <w:rPr>
                <w:rFonts w:ascii="Times New Roman"/>
                <w:sz w:val="18"/>
              </w:rPr>
              <w:t>05125406- X</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西宁美邦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崔全力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批发零售业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59503886-7</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4"/>
        <w:gridCol w:w="953"/>
        <w:gridCol w:w="960"/>
        <w:gridCol w:w="956"/>
        <w:gridCol w:w="955"/>
        <w:gridCol w:w="960"/>
        <w:gridCol w:w="958"/>
        <w:gridCol w:w="958"/>
        <w:gridCol w:w="958"/>
        <w:gridCol w:w="960"/>
      </w:tblGrid>
      <w:tr>
        <w:trPr>
          <w:trHeight w:val="1337"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00"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19"/>
              <w:jc w:val="center"/>
              <w:rPr>
                <w:rFonts w:ascii="宋体" w:hAnsi="宋体" w:cs="宋体" w:eastAsia="宋体" w:hint="default"/>
                <w:sz w:val="18"/>
                <w:szCs w:val="18"/>
              </w:rPr>
            </w:pPr>
            <w:r>
              <w:rPr>
                <w:rFonts w:ascii="宋体" w:hAnsi="宋体" w:cs="宋体" w:eastAsia="宋体" w:hint="default"/>
                <w:sz w:val="18"/>
                <w:szCs w:val="18"/>
              </w:rPr>
              <w:t>本企业在被 投资单位表 决权比例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3"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长安基金</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万跃楠</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基金管理</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33%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33%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42"/>
              <w:jc w:val="left"/>
              <w:rPr>
                <w:rFonts w:ascii="Times New Roman" w:hAnsi="Times New Roman" w:cs="Times New Roman" w:eastAsia="Times New Roman" w:hint="default"/>
                <w:sz w:val="18"/>
                <w:szCs w:val="18"/>
              </w:rPr>
            </w:pPr>
            <w:r>
              <w:rPr>
                <w:rFonts w:ascii="Times New Roman"/>
                <w:sz w:val="18"/>
              </w:rPr>
              <w:t>58208408- X</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49"/>
              <w:jc w:val="righ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爱裳邦购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与本公司受同一最终控股股东控制的公 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57910472</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与本公司受同一最终控股股东控制的公 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72001112</w:t>
            </w:r>
            <w:r>
              <w:rPr>
                <w:rFonts w:ascii="宋体" w:hAnsi="宋体" w:cs="宋体" w:eastAsia="宋体" w:hint="default"/>
                <w:sz w:val="18"/>
                <w:szCs w:val="18"/>
              </w:rPr>
              <w:t>－</w:t>
            </w:r>
            <w:r>
              <w:rPr>
                <w:rFonts w:ascii="Times New Roman" w:hAnsi="Times New Roman" w:cs="Times New Roman" w:eastAsia="Times New Roman" w:hint="default"/>
                <w:sz w:val="18"/>
                <w:szCs w:val="18"/>
              </w:rPr>
              <w:t>X</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祺格实业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与本公司受同一最终控股股东控制的公 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74327667</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6"/>
              <w:jc w:val="right"/>
              <w:rPr>
                <w:rFonts w:ascii="宋体" w:hAnsi="宋体" w:cs="宋体" w:eastAsia="宋体" w:hint="default"/>
                <w:sz w:val="18"/>
                <w:szCs w:val="18"/>
              </w:rPr>
            </w:pPr>
            <w:r>
              <w:rPr>
                <w:rFonts w:ascii="宋体" w:hAnsi="宋体" w:cs="宋体" w:eastAsia="宋体" w:hint="default"/>
                <w:sz w:val="18"/>
                <w:szCs w:val="18"/>
              </w:rPr>
              <w:t>本公司最终控股股东的姐姐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6"/>
              <w:jc w:val="right"/>
              <w:rPr>
                <w:rFonts w:ascii="宋体" w:hAnsi="宋体" w:cs="宋体" w:eastAsia="宋体" w:hint="default"/>
                <w:sz w:val="18"/>
                <w:szCs w:val="18"/>
              </w:rPr>
            </w:pPr>
            <w:r>
              <w:rPr>
                <w:rFonts w:ascii="宋体" w:hAnsi="宋体" w:cs="宋体" w:eastAsia="宋体" w:hint="default"/>
                <w:sz w:val="18"/>
                <w:szCs w:val="18"/>
              </w:rPr>
              <w:t>本公司最终控股股东的妹妹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黄岑期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6"/>
              <w:jc w:val="right"/>
              <w:rPr>
                <w:rFonts w:ascii="宋体" w:hAnsi="宋体" w:cs="宋体" w:eastAsia="宋体" w:hint="default"/>
                <w:sz w:val="18"/>
                <w:szCs w:val="18"/>
              </w:rPr>
            </w:pPr>
            <w:r>
              <w:rPr>
                <w:rFonts w:ascii="宋体" w:hAnsi="宋体" w:cs="宋体" w:eastAsia="宋体" w:hint="default"/>
                <w:sz w:val="18"/>
                <w:szCs w:val="18"/>
              </w:rPr>
              <w:t>本公司最终控股股东的妹夫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周文汉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6"/>
              <w:jc w:val="right"/>
              <w:rPr>
                <w:rFonts w:ascii="宋体" w:hAnsi="宋体" w:cs="宋体" w:eastAsia="宋体" w:hint="default"/>
                <w:sz w:val="18"/>
                <w:szCs w:val="18"/>
              </w:rPr>
            </w:pPr>
            <w:r>
              <w:rPr>
                <w:rFonts w:ascii="宋体" w:hAnsi="宋体" w:cs="宋体" w:eastAsia="宋体" w:hint="default"/>
                <w:sz w:val="18"/>
                <w:szCs w:val="18"/>
              </w:rPr>
              <w:t>本公司最终控股股东的侄子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50" w:footer="1186" w:top="1440" w:bottom="1380" w:left="1020" w:right="1020"/>
        </w:sectPr>
      </w:pPr>
    </w:p>
    <w:p>
      <w:pPr>
        <w:spacing w:line="240" w:lineRule="auto" w:before="6"/>
        <w:rPr>
          <w:rFonts w:ascii="宋体" w:hAnsi="宋体" w:cs="宋体" w:eastAsia="宋体"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16" w:hRule="exact"/>
        </w:trPr>
        <w:tc>
          <w:tcPr>
            <w:tcW w:w="318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31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本公司最终控股股东的女儿</w:t>
            </w:r>
          </w:p>
        </w:tc>
        <w:tc>
          <w:tcPr>
            <w:tcW w:w="31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本集团的关键高级管理人员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57" w:lineRule="auto" w:before="49"/>
        <w:ind w:left="112" w:right="7214"/>
        <w:jc w:val="left"/>
      </w:pPr>
      <w:r>
        <w:rPr/>
        <w:t>本企业的其他关联方情况的说明 无</w:t>
      </w:r>
    </w:p>
    <w:p>
      <w:pPr>
        <w:spacing w:line="240" w:lineRule="auto" w:before="6"/>
        <w:rPr>
          <w:rFonts w:ascii="宋体" w:hAnsi="宋体" w:cs="宋体" w:eastAsia="宋体" w:hint="default"/>
          <w:sz w:val="20"/>
          <w:szCs w:val="20"/>
        </w:rPr>
      </w:pPr>
    </w:p>
    <w:p>
      <w:pPr>
        <w:pStyle w:val="Heading4"/>
        <w:spacing w:line="240" w:lineRule="auto"/>
        <w:ind w:left="112"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50" w:footer="1186" w:top="1440" w:bottom="1380" w:left="1020" w:right="1020"/>
        </w:sectPr>
      </w:pPr>
    </w:p>
    <w:p>
      <w:pPr>
        <w:pStyle w:val="BodyText"/>
        <w:spacing w:line="360" w:lineRule="auto" w:before="44"/>
        <w:ind w:left="112" w:right="-20"/>
        <w:jc w:val="left"/>
      </w:pPr>
      <w:r>
        <w:rPr/>
        <w:t>不适用 出售商品、提供劳务情况表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2" w:right="0"/>
        <w:jc w:val="left"/>
      </w:pPr>
      <w:r>
        <w:rPr/>
        <w:t>单位：</w:t>
      </w:r>
      <w:r>
        <w:rPr>
          <w:spacing w:val="1"/>
        </w:rPr>
        <w:t> </w:t>
      </w:r>
      <w:r>
        <w:rPr/>
        <w:t>元</w:t>
      </w:r>
    </w:p>
    <w:p>
      <w:pPr>
        <w:spacing w:after="0" w:line="240" w:lineRule="auto"/>
        <w:jc w:val="left"/>
        <w:sectPr>
          <w:type w:val="continuous"/>
          <w:pgSz w:w="11910" w:h="16840"/>
          <w:pgMar w:top="840" w:bottom="280" w:left="1020" w:right="1020"/>
          <w:cols w:num="2" w:equalWidth="0">
            <w:col w:w="2273" w:space="6556"/>
            <w:col w:w="104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20"/>
        <w:jc w:val="right"/>
      </w:pPr>
      <w:r>
        <w:rPr/>
        <w:pict>
          <v:shape style="position:absolute;margin-left:409.630005pt;margin-top:3.831725pt;width:85.5pt;height:15.6pt;mso-position-horizontal-relative:page;mso-position-vertical-relative:paragraph;z-index:-749656" type="#_x0000_t202" filled="false" stroked="false">
            <v:textbox inset="0,0,0,0">
              <w:txbxContent>
                <w:p>
                  <w:pPr>
                    <w:pStyle w:val="BodyText"/>
                    <w:spacing w:line="203" w:lineRule="exact"/>
                    <w:ind w:left="0" w:right="0"/>
                    <w:jc w:val="left"/>
                  </w:pPr>
                  <w:r>
                    <w:rPr/>
                    <w:t>）</w:t>
                  </w:r>
                </w:p>
              </w:txbxContent>
            </v:textbox>
            <w10:wrap type="none"/>
          </v:shape>
        </w:pict>
      </w:r>
      <w:r>
        <w:rPr/>
        <w:pict>
          <v:shape style="position:absolute;margin-left:56.400002pt;margin-top:-51.995255pt;width:479.15pt;height:277.150pt;mso-position-horizontal-relative:page;mso-position-vertical-relative:paragraph;z-index:38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9"/>
                    <w:gridCol w:w="1462"/>
                    <w:gridCol w:w="1594"/>
                    <w:gridCol w:w="797"/>
                    <w:gridCol w:w="1594"/>
                    <w:gridCol w:w="797"/>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爱裳邦购</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5"/>
                            <w:sz w:val="18"/>
                            <w:szCs w:val="18"/>
                          </w:rPr>
                          <w:t>市场价格、经年度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股东大会审议通 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499,924,330.00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161,795,329.00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黄岑期、周文汉</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pacing w:val="-5"/>
                            <w:sz w:val="18"/>
                            <w:szCs w:val="18"/>
                          </w:rPr>
                          <w:t>市场价格、经年度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股东大会审议通 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40,210,581.00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84,395,268.00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3"/>
                          <w:jc w:val="left"/>
                          <w:rPr>
                            <w:rFonts w:ascii="宋体" w:hAnsi="宋体" w:cs="宋体" w:eastAsia="宋体" w:hint="default"/>
                            <w:sz w:val="18"/>
                            <w:szCs w:val="18"/>
                          </w:rPr>
                        </w:pPr>
                        <w:r>
                          <w:rPr>
                            <w:rFonts w:ascii="宋体" w:hAnsi="宋体" w:cs="宋体" w:eastAsia="宋体" w:hint="default"/>
                            <w:spacing w:val="-5"/>
                            <w:sz w:val="18"/>
                            <w:szCs w:val="18"/>
                          </w:rPr>
                          <w:t>市场价格、经年度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股东大会审议通 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39,887,719.00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41,238,443.00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pacing w:val="-5"/>
                            <w:sz w:val="18"/>
                            <w:szCs w:val="18"/>
                          </w:rPr>
                          <w:t>市场价格、经年度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股东大会审议通 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30,618,549.00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39,489,150.00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12"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18"/>
        <w:ind w:left="112"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840" w:bottom="280" w:left="1020" w:right="1020"/>
        </w:sectPr>
      </w:pPr>
    </w:p>
    <w:p>
      <w:pPr>
        <w:pStyle w:val="BodyText"/>
        <w:spacing w:line="360" w:lineRule="auto" w:before="44"/>
        <w:ind w:left="112" w:right="-20"/>
        <w:jc w:val="left"/>
      </w:pPr>
      <w:r>
        <w:rPr/>
        <w:t>不适用 公司承租情况表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2" w:right="0"/>
        <w:jc w:val="left"/>
      </w:pPr>
      <w:r>
        <w:rPr/>
        <w:t>单位：</w:t>
      </w:r>
      <w:r>
        <w:rPr>
          <w:spacing w:val="1"/>
        </w:rPr>
        <w:t> </w:t>
      </w:r>
      <w:r>
        <w:rPr/>
        <w:t>元</w:t>
      </w:r>
    </w:p>
    <w:p>
      <w:pPr>
        <w:spacing w:after="0" w:line="240" w:lineRule="auto"/>
        <w:jc w:val="left"/>
        <w:sectPr>
          <w:type w:val="continuous"/>
          <w:pgSz w:w="11910" w:h="16840"/>
          <w:pgMar w:top="840" w:bottom="280" w:left="1020" w:right="1020"/>
          <w:cols w:num="2" w:equalWidth="0">
            <w:col w:w="1373" w:space="7456"/>
            <w:col w:w="104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72"/>
        <w:gridCol w:w="1370"/>
        <w:gridCol w:w="1373"/>
        <w:gridCol w:w="1368"/>
        <w:gridCol w:w="1368"/>
        <w:gridCol w:w="1368"/>
        <w:gridCol w:w="1352"/>
      </w:tblGrid>
      <w:tr>
        <w:trPr>
          <w:trHeight w:val="715"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spacing w:after="0" w:line="316" w:lineRule="auto"/>
        <w:jc w:val="left"/>
        <w:rPr>
          <w:rFonts w:ascii="宋体" w:hAnsi="宋体" w:cs="宋体" w:eastAsia="宋体" w:hint="default"/>
          <w:sz w:val="18"/>
          <w:szCs w:val="18"/>
        </w:rPr>
        <w:sectPr>
          <w:type w:val="continuous"/>
          <w:pgSz w:w="11910" w:h="16840"/>
          <w:pgMar w:top="840" w:bottom="280" w:left="1020" w:right="102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373"/>
        <w:gridCol w:w="1370"/>
        <w:gridCol w:w="1373"/>
        <w:gridCol w:w="1368"/>
        <w:gridCol w:w="1368"/>
        <w:gridCol w:w="1368"/>
        <w:gridCol w:w="1352"/>
      </w:tblGrid>
      <w:tr>
        <w:trPr>
          <w:trHeight w:val="728" w:hRule="exact"/>
        </w:trPr>
        <w:tc>
          <w:tcPr>
            <w:tcW w:w="137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137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温州美邦</w:t>
            </w:r>
          </w:p>
        </w:tc>
        <w:tc>
          <w:tcPr>
            <w:tcW w:w="137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35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5,806,452.00</w:t>
            </w:r>
          </w:p>
        </w:tc>
      </w:tr>
      <w:tr>
        <w:trPr>
          <w:trHeight w:val="71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武汉美邦</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昆明美邦</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4,787,307.00</w:t>
            </w:r>
          </w:p>
        </w:tc>
      </w:tr>
    </w:tbl>
    <w:p>
      <w:pPr>
        <w:pStyle w:val="BodyText"/>
        <w:spacing w:line="240" w:lineRule="auto" w:before="49"/>
        <w:ind w:left="112" w:right="0"/>
        <w:jc w:val="left"/>
      </w:pPr>
      <w:r>
        <w:rPr/>
        <w:t>关联租赁情况说明</w:t>
      </w:r>
    </w:p>
    <w:p>
      <w:pPr>
        <w:spacing w:line="240" w:lineRule="auto" w:before="0"/>
        <w:rPr>
          <w:rFonts w:ascii="宋体" w:hAnsi="宋体" w:cs="宋体" w:eastAsia="宋体" w:hint="default"/>
          <w:sz w:val="18"/>
          <w:szCs w:val="18"/>
        </w:rPr>
      </w:pPr>
    </w:p>
    <w:p>
      <w:pPr>
        <w:pStyle w:val="Heading4"/>
        <w:spacing w:line="240" w:lineRule="auto" w:before="118"/>
        <w:ind w:left="112"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95" w:right="8560"/>
        <w:jc w:val="center"/>
      </w:pPr>
      <w:r>
        <w:rPr/>
        <w:t>不适用</w:t>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95" w:right="8560"/>
        <w:jc w:val="center"/>
      </w:pPr>
      <w:r>
        <w:rPr/>
        <w:t>不适用</w:t>
      </w:r>
    </w:p>
    <w:p>
      <w:pPr>
        <w:spacing w:line="240" w:lineRule="auto" w:before="0"/>
        <w:rPr>
          <w:rFonts w:ascii="宋体" w:hAnsi="宋体" w:cs="宋体" w:eastAsia="宋体" w:hint="default"/>
          <w:sz w:val="18"/>
          <w:szCs w:val="18"/>
        </w:rPr>
      </w:pPr>
    </w:p>
    <w:p>
      <w:pPr>
        <w:pStyle w:val="Heading4"/>
        <w:spacing w:line="240" w:lineRule="auto" w:before="118"/>
        <w:ind w:left="112"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95" w:right="8560"/>
        <w:jc w:val="center"/>
      </w:pPr>
      <w:r>
        <w:rPr/>
        <w:t>不适用</w:t>
      </w:r>
    </w:p>
    <w:p>
      <w:pPr>
        <w:spacing w:line="240" w:lineRule="auto" w:before="0"/>
        <w:rPr>
          <w:rFonts w:ascii="宋体" w:hAnsi="宋体" w:cs="宋体" w:eastAsia="宋体" w:hint="default"/>
          <w:sz w:val="18"/>
          <w:szCs w:val="18"/>
        </w:rPr>
      </w:pPr>
    </w:p>
    <w:p>
      <w:pPr>
        <w:pStyle w:val="Heading4"/>
        <w:spacing w:line="240" w:lineRule="auto" w:before="120"/>
        <w:ind w:left="112" w:right="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2"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112" w:right="0"/>
        <w:jc w:val="left"/>
      </w:pPr>
      <w:r>
        <w:rPr/>
        <w:t>上市公司应收关联方款项</w:t>
      </w:r>
    </w:p>
    <w:p>
      <w:pPr>
        <w:pStyle w:val="BodyText"/>
        <w:spacing w:line="240" w:lineRule="auto" w:before="117"/>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060"/>
        <w:gridCol w:w="1666"/>
        <w:gridCol w:w="1462"/>
        <w:gridCol w:w="1462"/>
        <w:gridCol w:w="1459"/>
        <w:gridCol w:w="1460"/>
      </w:tblGrid>
      <w:tr>
        <w:trPr>
          <w:trHeight w:val="401" w:hRule="exact"/>
        </w:trPr>
        <w:tc>
          <w:tcPr>
            <w:tcW w:w="2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2060"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爱裳邦购</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147,269,419.00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134,969,814.00</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21,900,123.00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20,310,759.00</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17,915,181.00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19,847,389.00</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黄岑期、周文汉</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1,374,429.00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15,325,971.00</w:t>
            </w:r>
          </w:p>
        </w:tc>
        <w:tc>
          <w:tcPr>
            <w:tcW w:w="14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112" w:right="0"/>
        <w:jc w:val="left"/>
      </w:pPr>
      <w:r>
        <w:rPr/>
        <w:t>上市公司应付关联方款项</w:t>
      </w:r>
    </w:p>
    <w:p>
      <w:pPr>
        <w:pStyle w:val="BodyText"/>
        <w:spacing w:line="240" w:lineRule="auto" w:before="115"/>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794"/>
        <w:gridCol w:w="2259"/>
        <w:gridCol w:w="2259"/>
        <w:gridCol w:w="2259"/>
      </w:tblGrid>
      <w:tr>
        <w:trPr>
          <w:trHeight w:val="401" w:hRule="exact"/>
        </w:trPr>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6" w:right="0"/>
              <w:jc w:val="left"/>
              <w:rPr>
                <w:rFonts w:ascii="Times New Roman" w:hAnsi="Times New Roman" w:cs="Times New Roman" w:eastAsia="Times New Roman" w:hint="default"/>
                <w:sz w:val="18"/>
                <w:szCs w:val="18"/>
              </w:rPr>
            </w:pPr>
            <w:r>
              <w:rPr>
                <w:rFonts w:ascii="Times New Roman"/>
                <w:sz w:val="18"/>
              </w:rPr>
              <w:t>893,051.00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2" w:right="0"/>
              <w:jc w:val="left"/>
              <w:rPr>
                <w:rFonts w:ascii="Times New Roman" w:hAnsi="Times New Roman" w:cs="Times New Roman" w:eastAsia="Times New Roman" w:hint="default"/>
                <w:sz w:val="18"/>
                <w:szCs w:val="18"/>
              </w:rPr>
            </w:pPr>
            <w:r>
              <w:rPr>
                <w:rFonts w:ascii="Times New Roman"/>
                <w:sz w:val="18"/>
              </w:rPr>
              <w:t>1,015,301.00</w:t>
            </w:r>
          </w:p>
        </w:tc>
      </w:tr>
    </w:tbl>
    <w:p>
      <w:pPr>
        <w:spacing w:after="0" w:line="240" w:lineRule="auto"/>
        <w:jc w:val="left"/>
        <w:rPr>
          <w:rFonts w:ascii="Times New Roman" w:hAnsi="Times New Roman" w:cs="Times New Roman" w:eastAsia="Times New Roman" w:hint="default"/>
          <w:sz w:val="18"/>
          <w:szCs w:val="18"/>
        </w:rPr>
        <w:sectPr>
          <w:pgSz w:w="11910" w:h="16840"/>
          <w:pgMar w:header="850" w:footer="1186" w:top="1440" w:bottom="1380" w:left="1020" w:right="1020"/>
        </w:sectPr>
      </w:pPr>
    </w:p>
    <w:p>
      <w:pPr>
        <w:pStyle w:val="Heading2"/>
        <w:spacing w:line="240" w:lineRule="auto" w:before="13"/>
        <w:ind w:right="0"/>
        <w:jc w:val="left"/>
        <w:rPr>
          <w:b w:val="0"/>
          <w:bCs w:val="0"/>
        </w:rPr>
      </w:pPr>
      <w:r>
        <w:rPr/>
        <w:pict>
          <v:group style="position:absolute;margin-left:55.200001pt;margin-top:2.185603pt;width:484.9pt;height:.1pt;mso-position-horizontal-relative:page;mso-position-vertical-relative:paragraph;z-index:-749608" coordorigin="1104,44" coordsize="9698,2">
            <v:shape style="position:absolute;left:1104;top:44;width:9698;height:2" coordorigin="1104,44" coordsize="9698,0" path="m1104,44l10802,44e" filled="false" stroked="true" strokeweight=".72pt" strokecolor="#000000">
              <v:path arrowok="t"/>
            </v:shape>
            <w10:wrap type="none"/>
          </v:group>
        </w:pict>
      </w:r>
      <w:r>
        <w:rPr/>
        <w:t>十、股份支付</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30,307,622.00</w:t>
            </w:r>
          </w:p>
        </w:tc>
      </w:tr>
      <w:tr>
        <w:trPr>
          <w:trHeight w:val="71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78"/>
              <w:jc w:val="left"/>
              <w:rPr>
                <w:rFonts w:ascii="宋体" w:hAnsi="宋体" w:cs="宋体" w:eastAsia="宋体" w:hint="default"/>
                <w:sz w:val="18"/>
                <w:szCs w:val="18"/>
              </w:rPr>
            </w:pPr>
            <w:r>
              <w:rPr>
                <w:rFonts w:ascii="宋体" w:hAnsi="宋体" w:cs="宋体" w:eastAsia="宋体" w:hint="default"/>
                <w:sz w:val="18"/>
                <w:szCs w:val="18"/>
              </w:rPr>
              <w:t>公司期末发行在外的股份期权行权价格的范围和 合同剩余期限</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24.53 </w:t>
            </w:r>
            <w:r>
              <w:rPr>
                <w:rFonts w:ascii="宋体" w:hAnsi="宋体" w:cs="宋体" w:eastAsia="宋体" w:hint="default"/>
                <w:sz w:val="18"/>
                <w:szCs w:val="18"/>
              </w:rPr>
              <w:t>元 </w:t>
            </w:r>
            <w:r>
              <w:rPr>
                <w:rFonts w:ascii="Times New Roman" w:hAnsi="Times New Roman" w:cs="Times New Roman" w:eastAsia="Times New Roman" w:hint="default"/>
                <w:sz w:val="18"/>
                <w:szCs w:val="18"/>
              </w:rPr>
              <w:t>2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p>
        </w:tc>
      </w:tr>
      <w:tr>
        <w:trPr>
          <w:trHeight w:val="715"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0"/>
              <w:jc w:val="left"/>
              <w:rPr>
                <w:rFonts w:ascii="宋体" w:hAnsi="宋体" w:cs="宋体" w:eastAsia="宋体" w:hint="default"/>
                <w:sz w:val="18"/>
                <w:szCs w:val="18"/>
              </w:rPr>
            </w:pPr>
            <w:r>
              <w:rPr>
                <w:rFonts w:ascii="宋体" w:hAnsi="宋体" w:cs="宋体" w:eastAsia="宋体" w:hint="default"/>
                <w:sz w:val="18"/>
                <w:szCs w:val="18"/>
              </w:rPr>
              <w:t>公司期末其他权益工具行权价格的范围和合同剩 余期限</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股份支付情况的说明</w:t>
      </w:r>
    </w:p>
    <w:p>
      <w:pPr>
        <w:pStyle w:val="BodyText"/>
        <w:spacing w:line="240" w:lineRule="auto" w:before="115"/>
        <w:ind w:right="0"/>
        <w:jc w:val="left"/>
      </w:pPr>
      <w:r>
        <w:rPr/>
        <w:t>于</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日，本公司在本计划下发行在外的股份期权为</w:t>
      </w:r>
      <w:r>
        <w:rPr>
          <w:spacing w:val="-49"/>
        </w:rPr>
        <w:t> </w:t>
      </w:r>
      <w:r>
        <w:rPr>
          <w:rFonts w:ascii="Times New Roman" w:hAnsi="Times New Roman" w:cs="Times New Roman" w:eastAsia="Times New Roman" w:hint="default"/>
        </w:rPr>
        <w:t>1,972,000</w:t>
      </w:r>
      <w:r>
        <w:rPr>
          <w:rFonts w:ascii="Times New Roman" w:hAnsi="Times New Roman" w:cs="Times New Roman" w:eastAsia="Times New Roman" w:hint="default"/>
          <w:spacing w:val="-2"/>
        </w:rPr>
        <w:t> </w:t>
      </w:r>
      <w:r>
        <w:rPr>
          <w:spacing w:val="-3"/>
        </w:rPr>
        <w:t>份。根据本公司资本结构，如果发行在外的股份</w:t>
      </w:r>
    </w:p>
    <w:p>
      <w:pPr>
        <w:pStyle w:val="BodyText"/>
        <w:spacing w:line="240" w:lineRule="auto" w:before="63"/>
        <w:ind w:right="0"/>
        <w:jc w:val="left"/>
      </w:pPr>
      <w:r>
        <w:rPr/>
        <w:t>期权全部行权，将发行</w:t>
      </w:r>
      <w:r>
        <w:rPr>
          <w:spacing w:val="-47"/>
        </w:rPr>
        <w:t> </w:t>
      </w:r>
      <w:r>
        <w:rPr>
          <w:rFonts w:ascii="Times New Roman" w:hAnsi="Times New Roman" w:cs="Times New Roman" w:eastAsia="Times New Roman" w:hint="default"/>
        </w:rPr>
        <w:t>1,972,000</w:t>
      </w:r>
      <w:r>
        <w:rPr>
          <w:rFonts w:ascii="Times New Roman" w:hAnsi="Times New Roman" w:cs="Times New Roman" w:eastAsia="Times New Roman" w:hint="default"/>
          <w:spacing w:val="-2"/>
        </w:rPr>
        <w:t> </w:t>
      </w:r>
      <w:r>
        <w:rPr/>
        <w:t>股额外本公司普通股，增加本公司股本人民币</w:t>
      </w:r>
      <w:r>
        <w:rPr>
          <w:spacing w:val="-47"/>
        </w:rPr>
        <w:t> </w:t>
      </w:r>
      <w:r>
        <w:rPr>
          <w:rFonts w:ascii="Times New Roman" w:hAnsi="Times New Roman" w:cs="Times New Roman" w:eastAsia="Times New Roman" w:hint="default"/>
        </w:rPr>
        <w:t>1,972,000</w:t>
      </w:r>
      <w:r>
        <w:rPr>
          <w:rFonts w:ascii="Times New Roman" w:hAnsi="Times New Roman" w:cs="Times New Roman" w:eastAsia="Times New Roman" w:hint="default"/>
          <w:spacing w:val="-2"/>
        </w:rPr>
        <w:t> </w:t>
      </w:r>
      <w:r>
        <w:rPr/>
        <w:t>元和股本溢价人民币</w:t>
      </w:r>
    </w:p>
    <w:p>
      <w:pPr>
        <w:pStyle w:val="BodyText"/>
        <w:spacing w:line="240" w:lineRule="auto" w:before="103"/>
        <w:ind w:right="0"/>
        <w:jc w:val="left"/>
      </w:pPr>
      <w:r>
        <w:rPr>
          <w:rFonts w:ascii="Times New Roman" w:hAnsi="Times New Roman" w:cs="Times New Roman" w:eastAsia="Times New Roman" w:hint="default"/>
        </w:rPr>
        <w:t>46,401,160</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w:t>
      </w:r>
      <w:r>
        <w:rPr/>
        <w:t>扣除发行费用前</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于本财务报表批准日，本公司在本计划下发行在外的股份期权为</w:t>
      </w:r>
      <w:r>
        <w:rPr>
          <w:spacing w:val="-47"/>
        </w:rPr>
        <w:t> </w:t>
      </w:r>
      <w:r>
        <w:rPr>
          <w:rFonts w:ascii="Times New Roman" w:hAnsi="Times New Roman" w:cs="Times New Roman" w:eastAsia="Times New Roman" w:hint="default"/>
        </w:rPr>
        <w:t>1,972,000 </w:t>
      </w:r>
      <w:r>
        <w:rPr/>
        <w:t>份，约为本公司当日发行在外股份的</w:t>
      </w:r>
      <w:r>
        <w:rPr>
          <w:spacing w:val="-47"/>
        </w:rPr>
        <w:t> </w:t>
      </w:r>
      <w:r>
        <w:rPr>
          <w:rFonts w:ascii="Times New Roman" w:hAnsi="Times New Roman" w:cs="Times New Roman" w:eastAsia="Times New Roman" w:hint="default"/>
        </w:rPr>
        <w:t>0.196%</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斯克尔斯期权定价模型计算</w:t>
            </w:r>
          </w:p>
        </w:tc>
      </w:tr>
      <w:tr>
        <w:trPr>
          <w:trHeight w:val="102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2"/>
              <w:jc w:val="both"/>
              <w:rPr>
                <w:rFonts w:ascii="宋体" w:hAnsi="宋体" w:cs="宋体" w:eastAsia="宋体" w:hint="default"/>
                <w:sz w:val="18"/>
                <w:szCs w:val="18"/>
              </w:rPr>
            </w:pPr>
            <w:r>
              <w:rPr>
                <w:rFonts w:ascii="宋体" w:hAnsi="宋体" w:cs="宋体" w:eastAsia="宋体" w:hint="default"/>
                <w:sz w:val="18"/>
                <w:szCs w:val="18"/>
              </w:rPr>
              <w:t>可行权日之前，于每个资产负债表日为以权益结算的股份支 付确认的累计金额反映了等待期已届满的部分以及本集团对 最终可行权的权益工具数量的最佳估计</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51,402,808.00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555,903.00</w:t>
            </w:r>
          </w:p>
        </w:tc>
      </w:tr>
    </w:tbl>
    <w:p>
      <w:pPr>
        <w:pStyle w:val="BodyText"/>
        <w:spacing w:line="357" w:lineRule="auto" w:before="49"/>
        <w:ind w:right="7434"/>
        <w:jc w:val="left"/>
      </w:pPr>
      <w:r>
        <w:rPr/>
        <w:t>以权益结算的股份支付的说明 无</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99"/>
        <w:gridCol w:w="4571"/>
      </w:tblGrid>
      <w:tr>
        <w:trPr>
          <w:trHeight w:val="403" w:hRule="exact"/>
        </w:trPr>
        <w:tc>
          <w:tcPr>
            <w:tcW w:w="4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负债中因以现金结算的股份支付产生的累计负债金额</w:t>
            </w:r>
          </w:p>
        </w:tc>
        <w:tc>
          <w:tcPr>
            <w:tcW w:w="4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以现金结算的股份支付而确认的费用总额</w:t>
            </w:r>
          </w:p>
        </w:tc>
        <w:tc>
          <w:tcPr>
            <w:tcW w:w="4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60" w:lineRule="auto" w:before="49"/>
        <w:ind w:right="7434"/>
        <w:jc w:val="left"/>
      </w:pPr>
      <w:r>
        <w:rPr/>
        <w:t>以现金结算的股份支付的说明 无</w:t>
      </w:r>
    </w:p>
    <w:p>
      <w:pPr>
        <w:spacing w:after="0" w:line="360" w:lineRule="auto"/>
        <w:jc w:val="left"/>
        <w:sectPr>
          <w:pgSz w:w="11910" w:h="16840"/>
          <w:pgMar w:header="850" w:footer="1186" w:top="1440" w:bottom="13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rPr>
        <w:t>4</w:t>
      </w:r>
      <w:r>
        <w:rPr/>
        <w:t>、以股份支付服务情况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60,268,489.00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以股份支付换取的其他服务总额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、股份支付的修改、终止情况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t>十一、或有事项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3" w:right="7978"/>
        <w:jc w:val="center"/>
      </w:pPr>
      <w:r>
        <w:rPr/>
        <w:t>不适用</w:t>
      </w:r>
    </w:p>
    <w:p>
      <w:pPr>
        <w:spacing w:line="240" w:lineRule="auto" w:before="4"/>
        <w:rPr>
          <w:rFonts w:ascii="宋体" w:hAnsi="宋体" w:cs="宋体" w:eastAsia="宋体" w:hint="default"/>
          <w:sz w:val="25"/>
          <w:szCs w:val="25"/>
        </w:rPr>
      </w:pPr>
    </w:p>
    <w:p>
      <w:pPr>
        <w:spacing w:line="506" w:lineRule="auto" w:before="0"/>
        <w:ind w:left="152" w:right="8087" w:firstLine="0"/>
        <w:jc w:val="left"/>
        <w:rPr>
          <w:rFonts w:ascii="宋体" w:hAnsi="宋体" w:cs="宋体" w:eastAsia="宋体" w:hint="default"/>
          <w:sz w:val="18"/>
          <w:szCs w:val="18"/>
        </w:rPr>
      </w:pPr>
      <w:r>
        <w:rPr>
          <w:rFonts w:ascii="宋体" w:hAnsi="宋体" w:cs="宋体" w:eastAsia="宋体" w:hint="default"/>
          <w:b/>
          <w:bCs/>
          <w:sz w:val="24"/>
          <w:szCs w:val="24"/>
        </w:rPr>
        <w:t>十二、承诺事项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b/>
          <w:bCs/>
          <w:spacing w:val="-103"/>
          <w:sz w:val="21"/>
          <w:szCs w:val="21"/>
        </w:rPr>
        <w:t> </w:t>
      </w:r>
      <w:r>
        <w:rPr>
          <w:rFonts w:ascii="宋体" w:hAnsi="宋体" w:cs="宋体" w:eastAsia="宋体" w:hint="default"/>
          <w:sz w:val="18"/>
          <w:szCs w:val="18"/>
        </w:rPr>
        <w:t>无</w:t>
      </w:r>
    </w:p>
    <w:p>
      <w:pPr>
        <w:pStyle w:val="Heading4"/>
        <w:spacing w:line="240" w:lineRule="auto" w:before="156"/>
        <w:ind w:right="0"/>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t>十三、资产负债表日后事项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229"/>
        <w:jc w:val="left"/>
      </w:pPr>
      <w:r>
        <w:rPr/>
        <w:t>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日，本公司第二届董事会召开第十五次会议，批准</w:t>
      </w:r>
      <w:r>
        <w:rPr>
          <w:rFonts w:ascii="Times New Roman" w:hAnsi="Times New Roman" w:cs="Times New Roman" w:eastAsia="Times New Roman" w:hint="default"/>
        </w:rPr>
        <w:t>2012</w:t>
      </w:r>
      <w:r>
        <w:rPr/>
        <w:t>年度利润分配预案：以</w:t>
      </w:r>
      <w:r>
        <w:rPr>
          <w:rFonts w:ascii="Times New Roman" w:hAnsi="Times New Roman" w:cs="Times New Roman" w:eastAsia="Times New Roman" w:hint="default"/>
        </w:rPr>
        <w:t>2012</w:t>
      </w:r>
      <w:r>
        <w:rPr/>
        <w:t>年末公司总股本 </w:t>
      </w:r>
      <w:r>
        <w:rPr>
          <w:rFonts w:ascii="Times New Roman" w:hAnsi="Times New Roman" w:cs="Times New Roman" w:eastAsia="Times New Roman" w:hint="default"/>
        </w:rPr>
        <w:t>1,005,000,000</w:t>
      </w:r>
      <w:r>
        <w:rPr>
          <w:rFonts w:ascii="Times New Roman" w:hAnsi="Times New Roman" w:cs="Times New Roman" w:eastAsia="Times New Roman" w:hint="default"/>
          <w:spacing w:val="20"/>
        </w:rPr>
        <w:t> </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7.5</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，本次利润分配共计</w:t>
      </w:r>
      <w:r>
        <w:rPr>
          <w:rFonts w:ascii="Times New Roman" w:hAnsi="Times New Roman" w:cs="Times New Roman" w:eastAsia="Times New Roman" w:hint="default"/>
        </w:rPr>
        <w:t>753,750,000</w:t>
      </w:r>
      <w:r>
        <w:rPr/>
        <w:t>元。本次利润分配预案须 经</w:t>
      </w:r>
      <w:r>
        <w:rPr>
          <w:rFonts w:ascii="Times New Roman" w:hAnsi="Times New Roman" w:cs="Times New Roman" w:eastAsia="Times New Roman" w:hint="default"/>
        </w:rPr>
        <w:t>2012</w:t>
      </w:r>
      <w:r>
        <w:rPr/>
        <w:t>年年度股东大会审议通过后执行。</w:t>
      </w:r>
    </w:p>
    <w:p>
      <w:pPr>
        <w:spacing w:line="240" w:lineRule="auto" w:before="5"/>
        <w:rPr>
          <w:rFonts w:ascii="宋体" w:hAnsi="宋体" w:cs="宋体" w:eastAsia="宋体" w:hint="default"/>
          <w:sz w:val="20"/>
          <w:szCs w:val="20"/>
        </w:rPr>
      </w:pPr>
    </w:p>
    <w:p>
      <w:pPr>
        <w:pStyle w:val="Heading2"/>
        <w:spacing w:line="240" w:lineRule="auto" w:before="0"/>
        <w:ind w:right="0"/>
        <w:jc w:val="left"/>
        <w:rPr>
          <w:b w:val="0"/>
          <w:bCs w:val="0"/>
        </w:rPr>
      </w:pPr>
      <w:r>
        <w:rPr/>
        <w:t>十四、其他重要事项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850" w:footer="1186" w:top="1440" w:bottom="13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401"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000"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4,386,120,168.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3,116,831.00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5,135,355,370.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4,386,120,168.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3,116,831.00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5,135,355,370.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4,386,120,168.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3,116,831.00</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5,135,355,370.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应收账款种类的说明</w:t>
      </w:r>
    </w:p>
    <w:p>
      <w:pPr>
        <w:pStyle w:val="BodyText"/>
        <w:spacing w:line="360" w:lineRule="auto" w:before="117"/>
        <w:ind w:right="2934" w:firstLine="720"/>
        <w:jc w:val="left"/>
      </w:pPr>
      <w:r>
        <w:rPr/>
        <w:t>本公司的应收账款主要包括对子公司和加盟商的产品销售而产生的应收货款。 期末单项金额重大并单项计提坏账准备的应收账款</w:t>
      </w:r>
    </w:p>
    <w:p>
      <w:pPr>
        <w:pStyle w:val="BodyText"/>
        <w:spacing w:line="340" w:lineRule="auto" w:before="2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组合中，采用账龄分析法计提坏账准备的应收账款</w:t>
      </w:r>
    </w:p>
    <w:p>
      <w:pPr>
        <w:pStyle w:val="BodyText"/>
        <w:spacing w:line="340" w:lineRule="auto" w:before="3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组合中，采用余额百分比法计提坏账准备的应收账款</w:t>
      </w:r>
    </w:p>
    <w:p>
      <w:pPr>
        <w:pStyle w:val="BodyText"/>
        <w:spacing w:line="338" w:lineRule="auto" w:before="41"/>
        <w:ind w:right="5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40" w:lineRule="auto" w:before="43"/>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5"/>
      </w:tblGrid>
      <w:tr>
        <w:trPr>
          <w:trHeight w:val="71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49"/>
        <w:ind w:right="0"/>
        <w:jc w:val="left"/>
      </w:pPr>
      <w:r>
        <w:rPr/>
        <w:t>期末单项金额重大或虽不重大但单独进行减值测试的应收账款坏账准备计提</w:t>
      </w:r>
    </w:p>
    <w:p>
      <w:pPr>
        <w:pStyle w:val="BodyText"/>
        <w:spacing w:line="240" w:lineRule="auto" w:before="115"/>
        <w:ind w:left="0" w:right="151"/>
        <w:jc w:val="right"/>
      </w:pPr>
      <w:r>
        <w:rPr/>
        <w:t>单位：</w:t>
      </w:r>
      <w:r>
        <w:rPr>
          <w:spacing w:val="1"/>
        </w:rPr>
        <w:t> </w:t>
      </w:r>
      <w:r>
        <w:rPr/>
        <w:t>元</w:t>
      </w:r>
    </w:p>
    <w:p>
      <w:pPr>
        <w:spacing w:after="0" w:line="240" w:lineRule="auto"/>
        <w:jc w:val="right"/>
        <w:sectPr>
          <w:pgSz w:w="11910" w:h="16840"/>
          <w:pgMar w:header="850" w:footer="1186" w:top="1440" w:bottom="1380" w:left="980" w:right="98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931"/>
        <w:gridCol w:w="1935"/>
        <w:gridCol w:w="1935"/>
        <w:gridCol w:w="1932"/>
        <w:gridCol w:w="1823"/>
      </w:tblGrid>
      <w:tr>
        <w:trPr>
          <w:trHeight w:val="410" w:hRule="exact"/>
        </w:trPr>
        <w:tc>
          <w:tcPr>
            <w:tcW w:w="193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2"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3"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left="112" w:right="0"/>
        <w:jc w:val="left"/>
      </w:pPr>
      <w:r>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4"/>
        <w:spacing w:line="240" w:lineRule="auto" w:before="118"/>
        <w:ind w:left="112"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6"/>
        <w:gridCol w:w="1594"/>
        <w:gridCol w:w="1583"/>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59"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240" w:lineRule="auto" w:before="50"/>
        <w:ind w:left="112" w:right="0"/>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18"/>
        <w:ind w:left="112"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6"/>
        <w:gridCol w:w="1726"/>
        <w:gridCol w:w="1594"/>
        <w:gridCol w:w="1862"/>
        <w:gridCol w:w="1857"/>
      </w:tblGrid>
      <w:tr>
        <w:trPr>
          <w:trHeight w:val="402"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4"/>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360,261,830.00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77,736,488.00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312,784,247.00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277,731,832.00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218,232,507.00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200,283,870.00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1,447,030,774.00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437,998,318.00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312,784,247.00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上海企发</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277,731,832.00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邦彤实业</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218,232,507.00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186" w:top="1440" w:bottom="1380" w:left="1020" w:right="1020"/>
        </w:sectPr>
      </w:pPr>
    </w:p>
    <w:tbl>
      <w:tblPr>
        <w:tblW w:w="0" w:type="auto"/>
        <w:jc w:val="left"/>
        <w:tblInd w:w="108" w:type="dxa"/>
        <w:tblLayout w:type="fixed"/>
        <w:tblCellMar>
          <w:top w:w="0" w:type="dxa"/>
          <w:left w:w="0" w:type="dxa"/>
          <w:bottom w:w="0" w:type="dxa"/>
          <w:right w:w="0" w:type="dxa"/>
        </w:tblCellMar>
        <w:tblLook w:val="01E0"/>
      </w:tblPr>
      <w:tblGrid>
        <w:gridCol w:w="2278"/>
        <w:gridCol w:w="2429"/>
        <w:gridCol w:w="2432"/>
        <w:gridCol w:w="2429"/>
      </w:tblGrid>
      <w:tr>
        <w:trPr>
          <w:trHeight w:val="416" w:hRule="exact"/>
        </w:trPr>
        <w:tc>
          <w:tcPr>
            <w:tcW w:w="227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沈阳美邦</w:t>
            </w:r>
          </w:p>
        </w:tc>
        <w:tc>
          <w:tcPr>
            <w:tcW w:w="242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200,283,870.00</w:t>
            </w:r>
          </w:p>
        </w:tc>
        <w:tc>
          <w:tcPr>
            <w:tcW w:w="242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杭州美邦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178,503,629.00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济南美邦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173,246,796.00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天津美邦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170,165,485.00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成都美邦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169,600,501.00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南京美邦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169,294,433.00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重庆美邦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167,682,002.00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苏州美邦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163,105,586.00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广州美邦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Times New Roman" w:hAnsi="Times New Roman" w:cs="Times New Roman" w:eastAsia="Times New Roman" w:hint="default"/>
                <w:sz w:val="18"/>
                <w:szCs w:val="18"/>
              </w:rPr>
            </w:pPr>
            <w:r>
              <w:rPr>
                <w:rFonts w:ascii="Times New Roman"/>
                <w:spacing w:val="-1"/>
                <w:sz w:val="18"/>
              </w:rPr>
              <w:t>159,941,595.00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西安美邦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158,404,844.00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4%</w:t>
            </w:r>
          </w:p>
        </w:tc>
      </w:tr>
      <w:tr>
        <w:trPr>
          <w:trHeight w:val="40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4" w:right="0"/>
              <w:jc w:val="left"/>
              <w:rPr>
                <w:rFonts w:ascii="宋体" w:hAnsi="宋体" w:cs="宋体" w:eastAsia="宋体" w:hint="default"/>
                <w:sz w:val="18"/>
                <w:szCs w:val="18"/>
              </w:rPr>
            </w:pPr>
            <w:r>
              <w:rPr>
                <w:rFonts w:ascii="宋体" w:hAnsi="宋体" w:cs="宋体" w:eastAsia="宋体" w:hint="default"/>
                <w:sz w:val="18"/>
                <w:szCs w:val="18"/>
              </w:rPr>
              <w:t>哈尔滨美邦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22"/>
              <w:jc w:val="right"/>
              <w:rPr>
                <w:rFonts w:ascii="Times New Roman" w:hAnsi="Times New Roman" w:cs="Times New Roman" w:eastAsia="Times New Roman" w:hint="default"/>
                <w:sz w:val="18"/>
                <w:szCs w:val="18"/>
              </w:rPr>
            </w:pPr>
            <w:r>
              <w:rPr>
                <w:rFonts w:ascii="Times New Roman"/>
                <w:spacing w:val="-1"/>
                <w:sz w:val="18"/>
              </w:rPr>
              <w:t>130,372,315.00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7"/>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南昌美邦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119,879,658.00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长春美邦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119,381,735.00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深圳美邦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109,049,448.00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宁波美邦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105,989,634.00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合肥美邦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105,696,884.00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昆明美邦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82,907,409.00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兰州美邦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74,947,746.00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南宁美邦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69,771,744.00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温州美邦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58,145,104.00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福州美邦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58,097,841.00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美邦销售</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50,228,764.00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爱裳邦购</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集团外关联方</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49,086,937.00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乌鲁木齐美邦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40,658,759.00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杭州美特斯</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39,047,105.00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石家庄米安斯迪</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35,556,182.00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郑州米安斯迪</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26,410,862.00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上海霓尚</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13,721,289.00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上海邦购</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12,783,694.00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岳阳美邦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pacing w:val="-1"/>
                <w:sz w:val="18"/>
              </w:rPr>
              <w:t>123,758</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6"/>
              <w:ind w:right="20"/>
              <w:jc w:val="right"/>
              <w:rPr>
                <w:rFonts w:ascii="Times New Roman" w:hAnsi="Times New Roman" w:cs="Times New Roman" w:eastAsia="Times New Roman" w:hint="default"/>
                <w:sz w:val="18"/>
                <w:szCs w:val="18"/>
              </w:rPr>
            </w:pPr>
            <w:r>
              <w:rPr>
                <w:rFonts w:ascii="Times New Roman"/>
                <w:spacing w:val="-1"/>
                <w:sz w:val="18"/>
              </w:rPr>
              <w:t>4,258,832,513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97%</w:t>
            </w:r>
          </w:p>
        </w:tc>
      </w:tr>
    </w:tbl>
    <w:p>
      <w:pPr>
        <w:pStyle w:val="BodyText"/>
        <w:spacing w:line="240" w:lineRule="auto" w:before="3"/>
        <w:ind w:left="112" w:right="0"/>
        <w:jc w:val="left"/>
      </w:pPr>
      <w:r>
        <w:rPr/>
        <w:t>无</w:t>
      </w:r>
    </w:p>
    <w:p>
      <w:pPr>
        <w:spacing w:after="0" w:line="240" w:lineRule="auto"/>
        <w:jc w:val="left"/>
        <w:sectPr>
          <w:pgSz w:w="11910" w:h="16840"/>
          <w:pgMar w:header="850" w:footer="1186" w:top="1480" w:bottom="1380" w:left="1020" w:right="10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47"/>
        <w:gridCol w:w="1466"/>
        <w:gridCol w:w="523"/>
        <w:gridCol w:w="1325"/>
        <w:gridCol w:w="523"/>
        <w:gridCol w:w="1328"/>
        <w:gridCol w:w="523"/>
        <w:gridCol w:w="1196"/>
        <w:gridCol w:w="526"/>
      </w:tblGrid>
      <w:tr>
        <w:trPr>
          <w:trHeight w:val="398" w:hRule="exact"/>
        </w:trPr>
        <w:tc>
          <w:tcPr>
            <w:tcW w:w="2147" w:type="dxa"/>
            <w:vMerge w:val="restart"/>
            <w:tcBorders>
              <w:top w:val="single" w:sz="4" w:space="0" w:color="000000"/>
              <w:left w:val="single" w:sz="4" w:space="0" w:color="000000"/>
              <w:right w:val="single" w:sz="4" w:space="0" w:color="000000"/>
            </w:tcBorders>
            <w:shd w:val="clear" w:color="auto" w:fill="D2D2D2"/>
          </w:tcPr>
          <w:p>
            <w:pPr/>
          </w:p>
        </w:tc>
        <w:tc>
          <w:tcPr>
            <w:tcW w:w="38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7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2147" w:type="dxa"/>
            <w:vMerge/>
            <w:tcBorders>
              <w:left w:val="single" w:sz="4" w:space="0" w:color="000000"/>
              <w:bottom w:val="nil" w:sz="6" w:space="0" w:color="auto"/>
              <w:right w:val="single" w:sz="4" w:space="0" w:color="000000"/>
            </w:tcBorders>
            <w:shd w:val="clear" w:color="auto" w:fill="D2D2D2"/>
          </w:tcPr>
          <w:p>
            <w:pPr/>
          </w:p>
        </w:tc>
        <w:tc>
          <w:tcPr>
            <w:tcW w:w="19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3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0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0" w:hRule="exact"/>
        </w:trPr>
        <w:tc>
          <w:tcPr>
            <w:tcW w:w="21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988" w:type="dxa"/>
            <w:gridSpan w:val="2"/>
            <w:vMerge/>
            <w:tcBorders>
              <w:left w:val="single" w:sz="4" w:space="0" w:color="000000"/>
              <w:bottom w:val="single" w:sz="4" w:space="0" w:color="000000"/>
              <w:right w:val="single" w:sz="4" w:space="0" w:color="000000"/>
            </w:tcBorders>
            <w:shd w:val="clear" w:color="auto" w:fill="D2D2D2"/>
          </w:tcPr>
          <w:p>
            <w:pPr/>
          </w:p>
        </w:tc>
        <w:tc>
          <w:tcPr>
            <w:tcW w:w="1848" w:type="dxa"/>
            <w:gridSpan w:val="2"/>
            <w:vMerge/>
            <w:tcBorders>
              <w:left w:val="single" w:sz="4" w:space="0" w:color="000000"/>
              <w:bottom w:val="single" w:sz="4" w:space="0" w:color="000000"/>
              <w:right w:val="single" w:sz="4" w:space="0" w:color="000000"/>
            </w:tcBorders>
            <w:shd w:val="clear" w:color="auto" w:fill="D2D2D2"/>
          </w:tcPr>
          <w:p>
            <w:pPr/>
          </w:p>
        </w:tc>
        <w:tc>
          <w:tcPr>
            <w:tcW w:w="1850" w:type="dxa"/>
            <w:gridSpan w:val="2"/>
            <w:vMerge/>
            <w:tcBorders>
              <w:left w:val="single" w:sz="4" w:space="0" w:color="000000"/>
              <w:bottom w:val="single" w:sz="4" w:space="0" w:color="000000"/>
              <w:right w:val="single" w:sz="4" w:space="0" w:color="000000"/>
            </w:tcBorders>
            <w:shd w:val="clear" w:color="auto" w:fill="D2D2D2"/>
          </w:tcPr>
          <w:p>
            <w:pPr/>
          </w:p>
        </w:tc>
        <w:tc>
          <w:tcPr>
            <w:tcW w:w="1722" w:type="dxa"/>
            <w:gridSpan w:val="2"/>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2147" w:type="dxa"/>
            <w:vMerge/>
            <w:tcBorders>
              <w:left w:val="single" w:sz="4" w:space="0" w:color="000000"/>
              <w:bottom w:val="single" w:sz="4" w:space="0" w:color="FFFFFF"/>
              <w:right w:val="single" w:sz="4" w:space="0" w:color="000000"/>
            </w:tcBorders>
            <w:shd w:val="clear" w:color="auto" w:fill="D2D2D2"/>
          </w:tcPr>
          <w:p>
            <w:pPr/>
          </w:p>
        </w:tc>
        <w:tc>
          <w:tcPr>
            <w:tcW w:w="146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5" w:type="dxa"/>
            <w:tcBorders>
              <w:top w:val="single" w:sz="4" w:space="0" w:color="000000"/>
              <w:left w:val="single" w:sz="4" w:space="0" w:color="000000"/>
              <w:bottom w:val="nil" w:sz="6" w:space="0" w:color="auto"/>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2147" w:type="dxa"/>
            <w:vMerge w:val="restart"/>
            <w:tcBorders>
              <w:top w:val="single" w:sz="4" w:space="0" w:color="FFFFFF"/>
              <w:left w:val="single" w:sz="4" w:space="0" w:color="000000"/>
              <w:right w:val="single" w:sz="4" w:space="0" w:color="000000"/>
            </w:tcBorders>
            <w:shd w:val="clear" w:color="auto" w:fill="D2D2D2"/>
          </w:tcPr>
          <w:p>
            <w:pPr/>
          </w:p>
        </w:tc>
        <w:tc>
          <w:tcPr>
            <w:tcW w:w="1466"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46"/>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3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vMerge/>
            <w:tcBorders>
              <w:left w:val="single" w:sz="4" w:space="0" w:color="000000"/>
              <w:right w:val="single" w:sz="4" w:space="0" w:color="000000"/>
            </w:tcBorders>
            <w:shd w:val="clear" w:color="auto" w:fill="D2D2D2"/>
          </w:tcPr>
          <w:p>
            <w:pPr/>
          </w:p>
        </w:tc>
      </w:tr>
      <w:tr>
        <w:trPr>
          <w:trHeight w:val="161" w:hRule="exact"/>
        </w:trPr>
        <w:tc>
          <w:tcPr>
            <w:tcW w:w="2147" w:type="dxa"/>
            <w:vMerge/>
            <w:tcBorders>
              <w:left w:val="single" w:sz="4" w:space="0" w:color="000000"/>
              <w:bottom w:val="single" w:sz="4" w:space="0" w:color="000000"/>
              <w:right w:val="single" w:sz="4" w:space="0" w:color="000000"/>
            </w:tcBorders>
            <w:shd w:val="clear" w:color="auto" w:fill="D2D2D2"/>
          </w:tcPr>
          <w:p>
            <w:pPr/>
          </w:p>
        </w:tc>
        <w:tc>
          <w:tcPr>
            <w:tcW w:w="1466"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325"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2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43"/>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163,930,176.00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27%</w:t>
            </w:r>
          </w:p>
        </w:tc>
        <w:tc>
          <w:tcPr>
            <w:tcW w:w="1325"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138,415,074.00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26%</w:t>
            </w:r>
          </w:p>
        </w:tc>
        <w:tc>
          <w:tcPr>
            <w:tcW w:w="1196"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955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1025" w:hRule="exact"/>
        </w:trPr>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3"/>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4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454,166,737.00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73%</w:t>
            </w:r>
          </w:p>
        </w:tc>
        <w:tc>
          <w:tcPr>
            <w:tcW w:w="1325"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402,917,987.00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618,096,913.00</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5" w:type="dxa"/>
            <w:tcBorders>
              <w:top w:val="single" w:sz="4" w:space="0" w:color="000000"/>
              <w:left w:val="single" w:sz="12" w:space="0" w:color="D2D2D2"/>
              <w:bottom w:val="single" w:sz="4" w:space="0" w:color="000000"/>
              <w:right w:val="single" w:sz="14" w:space="0" w:color="D2D2D2"/>
            </w:tcBorders>
          </w:tcPr>
          <w:p>
            <w:pP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541,333,061.00</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10" w:space="0" w:color="D2D2D2"/>
              <w:bottom w:val="single" w:sz="4" w:space="0" w:color="000000"/>
              <w:right w:val="single" w:sz="13" w:space="0" w:color="D2D2D2"/>
            </w:tcBorders>
          </w:tcPr>
          <w:p>
            <w:pP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50" w:footer="1186" w:top="1440" w:bottom="1380" w:left="980" w:right="980"/>
        </w:sectPr>
      </w:pPr>
    </w:p>
    <w:p>
      <w:pPr>
        <w:pStyle w:val="BodyText"/>
        <w:spacing w:line="357" w:lineRule="auto" w:before="49"/>
        <w:ind w:right="-20"/>
        <w:jc w:val="left"/>
      </w:pPr>
      <w:r>
        <w:rPr/>
        <w:t>其他应收款种类的说明 本公司的其他应收款主要包括应收子公司垫付费用、租房押金和保证金等应收款项。 期末单项金额重大并单项计提坏账准备的其他应收款</w:t>
      </w:r>
    </w:p>
    <w:p>
      <w:pPr>
        <w:pStyle w:val="BodyText"/>
        <w:spacing w:line="340" w:lineRule="auto" w:before="26"/>
        <w:ind w:right="250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840" w:bottom="280" w:left="980" w:right="980"/>
          <w:cols w:num="2" w:equalWidth="0">
            <w:col w:w="6813" w:space="201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793"/>
        <w:gridCol w:w="662"/>
        <w:gridCol w:w="1594"/>
        <w:gridCol w:w="1863"/>
        <w:gridCol w:w="665"/>
        <w:gridCol w:w="1726"/>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68"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273,483,493.00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44.25%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447,209,371.00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82.61%</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273,483,493.00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44.25%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447,209,371.00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82.61%</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344,613,420.00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55.75%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94,123,690.00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17.39%</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618,096,913.00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541,333,061.00</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12" w:space="0" w:color="D2D2D2"/>
              <w:bottom w:val="single" w:sz="4" w:space="0" w:color="000000"/>
              <w:right w:val="single" w:sz="4" w:space="0" w:color="000000"/>
            </w:tcBorders>
          </w:tcPr>
          <w:p>
            <w:pPr/>
          </w:p>
        </w:tc>
      </w:tr>
    </w:tbl>
    <w:p>
      <w:pPr>
        <w:pStyle w:val="BodyText"/>
        <w:spacing w:line="240" w:lineRule="auto" w:before="49"/>
        <w:ind w:right="0"/>
        <w:jc w:val="left"/>
      </w:pPr>
      <w:r>
        <w:rPr/>
        <w:t>组合中，采用余额百分比法计提坏账准备的其他应收款</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39"/>
        <w:ind w:right="5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spacing w:after="0" w:line="340" w:lineRule="auto"/>
        <w:jc w:val="left"/>
        <w:sectPr>
          <w:type w:val="continuous"/>
          <w:pgSz w:w="11910" w:h="16840"/>
          <w:pgMar w:top="840" w:bottom="2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5"/>
      </w:tblGrid>
      <w:tr>
        <w:trPr>
          <w:trHeight w:val="713"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49"/>
        <w:ind w:right="0"/>
        <w:jc w:val="left"/>
      </w:pPr>
      <w:r>
        <w:rPr/>
        <w:t>期末单项金额重大或虽不重大但单独进行减值测试的其他应收账款坏账准备计提</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43"/>
      </w:tblGrid>
      <w:tr>
        <w:trPr>
          <w:trHeight w:val="403"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0"/>
        <w:jc w:val="left"/>
      </w:pPr>
      <w:r>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792"/>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49"/>
        <w:ind w:right="0"/>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8"/>
        <w:gridCol w:w="1729"/>
        <w:gridCol w:w="1726"/>
        <w:gridCol w:w="1860"/>
        <w:gridCol w:w="1591"/>
      </w:tblGrid>
      <w:tr>
        <w:trPr>
          <w:trHeight w:val="403" w:hRule="exact"/>
        </w:trPr>
        <w:tc>
          <w:tcPr>
            <w:tcW w:w="2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658" w:type="dxa"/>
            <w:vMerge/>
            <w:tcBorders>
              <w:left w:val="single" w:sz="4" w:space="0" w:color="000000"/>
              <w:bottom w:val="single" w:sz="4" w:space="0" w:color="000000"/>
              <w:right w:val="single" w:sz="4" w:space="0" w:color="000000"/>
            </w:tcBorders>
            <w:shd w:val="clear" w:color="auto" w:fill="D2D2D2"/>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地方政府补助</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1"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130,124,570.00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74,699,391.00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145,755,102.00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18,175,074.00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27,556,435.00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25,439,300.00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186" w:top="1440" w:bottom="1380" w:left="980" w:right="98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16" w:hRule="exact"/>
        </w:trPr>
        <w:tc>
          <w:tcPr>
            <w:tcW w:w="19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23,801,400.00</w:t>
            </w:r>
          </w:p>
        </w:tc>
        <w:tc>
          <w:tcPr>
            <w:tcW w:w="191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445,551,272.00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美邦销售</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204,823,961.00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33%</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石家庄米安斯迪</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27,556,435.00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华邦科创</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25,439,300.00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温州美邦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23,801,400.00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w:t>
            </w:r>
          </w:p>
        </w:tc>
      </w:tr>
      <w:tr>
        <w:trPr>
          <w:trHeight w:val="40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昆明美邦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19,743,712.00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18,652,632.00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16,636,465.00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15,176,001.00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上海霓尚</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11,368,679.00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10,975,969.00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7,449,588.00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7,023,029.00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郑州米安斯迪</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2,528,375.00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岳阳美邦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2,326,137.00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2,281,468.00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济南美邦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2,214,764.00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乌鲁木齐美邦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1,736,155.00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太原米安斯迪</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883,848.00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博物馆</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772,816.00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哈尔滨美邦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578,948.00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25,451.00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22,690.00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22,068.00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南宁美邦</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402,040,981.00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186" w:top="1440" w:bottom="138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不符合终止确认条件的其他应收款项的转移金额为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800"/>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35"/>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3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35"/>
              <w:jc w:val="righ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31"/>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长安基金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66,000,00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24,095,00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22,074,76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46,169,77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博物馆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上海企发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61,013,30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63,513,30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63,513,30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美邦销售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11,874,49</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11,874,49</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3.00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11,874,49</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3.00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沈阳美邦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6,124,104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6,124,104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6,124,104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天津美邦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6,788,749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6,788,749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6,788,749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济南美邦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6,095,832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6,095,832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6,095,832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福州美邦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昆明美邦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8,018,137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8,018,137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8,018,137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哈尔滨美 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南昌美邦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3,992,077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8,992,077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8,992,077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186" w:top="1440" w:bottom="1380" w:left="980" w:right="980"/>
        </w:sectPr>
      </w:pPr>
    </w:p>
    <w:tbl>
      <w:tblPr>
        <w:tblW w:w="0" w:type="auto"/>
        <w:jc w:val="left"/>
        <w:tblInd w:w="10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800"/>
        <w:gridCol w:w="797"/>
      </w:tblGrid>
      <w:tr>
        <w:trPr>
          <w:trHeight w:val="728" w:hRule="exact"/>
        </w:trPr>
        <w:tc>
          <w:tcPr>
            <w:tcW w:w="79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西安美邦</w:t>
            </w:r>
          </w:p>
        </w:tc>
        <w:tc>
          <w:tcPr>
            <w:tcW w:w="7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2,070,026</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2,070,026</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2,070,026</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800"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杭州美邦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3,207,383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3,207,383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3,207,383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9"/>
              <w:jc w:val="right"/>
              <w:rPr>
                <w:rFonts w:ascii="宋体" w:hAnsi="宋体" w:cs="宋体" w:eastAsia="宋体" w:hint="default"/>
                <w:sz w:val="18"/>
                <w:szCs w:val="18"/>
              </w:rPr>
            </w:pPr>
            <w:r>
              <w:rPr>
                <w:rFonts w:ascii="宋体" w:hAnsi="宋体" w:cs="宋体" w:eastAsia="宋体" w:hint="default"/>
                <w:sz w:val="18"/>
                <w:szCs w:val="18"/>
              </w:rPr>
              <w:t>北京美邦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9"/>
              <w:jc w:val="right"/>
              <w:rPr>
                <w:rFonts w:ascii="宋体" w:hAnsi="宋体" w:cs="宋体" w:eastAsia="宋体" w:hint="default"/>
                <w:sz w:val="18"/>
                <w:szCs w:val="18"/>
              </w:rPr>
            </w:pPr>
            <w:r>
              <w:rPr>
                <w:rFonts w:ascii="宋体" w:hAnsi="宋体" w:cs="宋体" w:eastAsia="宋体" w:hint="default"/>
                <w:sz w:val="18"/>
                <w:szCs w:val="18"/>
              </w:rPr>
              <w:t>重庆美邦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9"/>
              <w:jc w:val="right"/>
              <w:rPr>
                <w:rFonts w:ascii="宋体" w:hAnsi="宋体" w:cs="宋体" w:eastAsia="宋体" w:hint="default"/>
                <w:sz w:val="18"/>
                <w:szCs w:val="18"/>
              </w:rPr>
            </w:pPr>
            <w:r>
              <w:rPr>
                <w:rFonts w:ascii="宋体" w:hAnsi="宋体" w:cs="宋体" w:eastAsia="宋体" w:hint="default"/>
                <w:sz w:val="18"/>
                <w:szCs w:val="18"/>
              </w:rPr>
              <w:t>广州美邦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宁波美邦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2,599,917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2,599,917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2,599,917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温州美邦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5"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5"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5"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南京美邦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武汉美邦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广西美邦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长春美邦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兰州美邦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4,750,000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4,750,000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4,750,000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深圳美邦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米安斯迪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苏州美邦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上海邦购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合肥美邦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4"/>
              <w:ind w:left="24" w:right="39"/>
              <w:jc w:val="left"/>
              <w:rPr>
                <w:rFonts w:ascii="宋体" w:hAnsi="宋体" w:cs="宋体" w:eastAsia="宋体" w:hint="default"/>
                <w:sz w:val="18"/>
                <w:szCs w:val="18"/>
              </w:rPr>
            </w:pPr>
            <w:r>
              <w:rPr>
                <w:rFonts w:ascii="宋体" w:hAnsi="宋体" w:cs="宋体" w:eastAsia="宋体" w:hint="default"/>
                <w:sz w:val="18"/>
                <w:szCs w:val="18"/>
              </w:rPr>
              <w:t>杭州美特 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9,000,000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上海霓尚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4"/>
              <w:ind w:left="24" w:right="39"/>
              <w:jc w:val="left"/>
              <w:rPr>
                <w:rFonts w:ascii="宋体" w:hAnsi="宋体" w:cs="宋体" w:eastAsia="宋体" w:hint="default"/>
                <w:sz w:val="18"/>
                <w:szCs w:val="18"/>
              </w:rPr>
            </w:pPr>
            <w:r>
              <w:rPr>
                <w:rFonts w:ascii="宋体" w:hAnsi="宋体" w:cs="宋体" w:eastAsia="宋体" w:hint="default"/>
                <w:sz w:val="18"/>
                <w:szCs w:val="18"/>
              </w:rPr>
              <w:t>郑州米安 斯迪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9"/>
              <w:jc w:val="right"/>
              <w:rPr>
                <w:rFonts w:ascii="宋体" w:hAnsi="宋体" w:cs="宋体" w:eastAsia="宋体" w:hint="default"/>
                <w:sz w:val="18"/>
                <w:szCs w:val="18"/>
              </w:rPr>
            </w:pPr>
            <w:r>
              <w:rPr>
                <w:rFonts w:ascii="宋体" w:hAnsi="宋体" w:cs="宋体" w:eastAsia="宋体" w:hint="default"/>
                <w:sz w:val="18"/>
                <w:szCs w:val="18"/>
              </w:rPr>
              <w:t>石家庄米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186" w:top="1480" w:bottom="1380" w:left="1020" w:right="1080"/>
        </w:sectPr>
      </w:pPr>
    </w:p>
    <w:p>
      <w:pPr>
        <w:spacing w:line="240" w:lineRule="auto" w:before="6"/>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800"/>
        <w:gridCol w:w="797"/>
      </w:tblGrid>
      <w:tr>
        <w:trPr>
          <w:trHeight w:val="374" w:hRule="exact"/>
        </w:trPr>
        <w:tc>
          <w:tcPr>
            <w:tcW w:w="79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安斯迪</w:t>
            </w:r>
          </w:p>
        </w:tc>
        <w:tc>
          <w:tcPr>
            <w:tcW w:w="797" w:type="dxa"/>
            <w:tcBorders>
              <w:top w:val="single" w:sz="10" w:space="0" w:color="000000"/>
              <w:left w:val="single" w:sz="4" w:space="0" w:color="000000"/>
              <w:bottom w:val="single" w:sz="4" w:space="0" w:color="000000"/>
              <w:right w:val="single" w:sz="4" w:space="0" w:color="000000"/>
            </w:tcBorders>
          </w:tcPr>
          <w:p>
            <w:pPr/>
          </w:p>
        </w:tc>
        <w:tc>
          <w:tcPr>
            <w:tcW w:w="79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7"/>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7"/>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7"/>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9"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800"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r>
      <w:tr>
        <w:trPr>
          <w:trHeight w:val="716"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乌鲁木齐 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太原米安 斯迪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华邦科创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祺格服饰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岳阳美邦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上海邦彤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西宁美邦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451,634,0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26.00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403,729,0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28.00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36,074,76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439,803,7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97.00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left="112" w:right="8114"/>
        <w:jc w:val="left"/>
      </w:pPr>
      <w:r>
        <w:rPr/>
        <w:t>长期股权投资的说明 无</w:t>
      </w:r>
    </w:p>
    <w:p>
      <w:pPr>
        <w:spacing w:line="240" w:lineRule="auto" w:before="4"/>
        <w:rPr>
          <w:rFonts w:ascii="宋体" w:hAnsi="宋体" w:cs="宋体" w:eastAsia="宋体" w:hint="default"/>
          <w:sz w:val="20"/>
          <w:szCs w:val="20"/>
        </w:rPr>
      </w:pPr>
    </w:p>
    <w:p>
      <w:pPr>
        <w:pStyle w:val="Heading4"/>
        <w:spacing w:line="240" w:lineRule="auto"/>
        <w:ind w:left="112"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2502"/>
        <w:gridCol w:w="3468"/>
        <w:gridCol w:w="3589"/>
      </w:tblGrid>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7,478,112,411.00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9,242,488,797.00</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38,356,211.00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34,531,276.00</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7,516,468,622.00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9,277,020,073.00</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5,310,419,041.00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6,008,050,613.00</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261"/>
        <w:gridCol w:w="1863"/>
        <w:gridCol w:w="1860"/>
        <w:gridCol w:w="1860"/>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3" w:right="0"/>
              <w:jc w:val="left"/>
              <w:rPr>
                <w:rFonts w:ascii="Times New Roman" w:hAnsi="Times New Roman" w:cs="Times New Roman" w:eastAsia="Times New Roman" w:hint="default"/>
                <w:sz w:val="18"/>
                <w:szCs w:val="18"/>
              </w:rPr>
            </w:pPr>
            <w:r>
              <w:rPr>
                <w:rFonts w:ascii="Times New Roman"/>
                <w:sz w:val="18"/>
              </w:rPr>
              <w:t>7,478,112,411.00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5,269,789,626.00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9,242,488,797.00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5,964,634,492.00</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3" w:right="0"/>
              <w:jc w:val="left"/>
              <w:rPr>
                <w:rFonts w:ascii="Times New Roman" w:hAnsi="Times New Roman" w:cs="Times New Roman" w:eastAsia="Times New Roman" w:hint="default"/>
                <w:sz w:val="18"/>
                <w:szCs w:val="18"/>
              </w:rPr>
            </w:pPr>
            <w:r>
              <w:rPr>
                <w:rFonts w:ascii="Times New Roman"/>
                <w:sz w:val="18"/>
              </w:rPr>
              <w:t>7,478,112,411.00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5,269,789,626.00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9,242,488,797.00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5,964,634,492.00</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186" w:top="1440" w:bottom="138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0"/>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7,386,197,829.00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5,142,551,095.00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9,115,139,147.00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5,830,222,753.00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辅料</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91,914,582.00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127,238,531.00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127,349,650.00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134,411,739.00</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7,478,112,411.00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5,269,789,626.00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9,242,488,797.00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5,964,634,492.00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0"/>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3" w:right="0"/>
              <w:jc w:val="left"/>
              <w:rPr>
                <w:rFonts w:ascii="Times New Roman" w:hAnsi="Times New Roman" w:cs="Times New Roman" w:eastAsia="Times New Roman" w:hint="default"/>
                <w:sz w:val="18"/>
                <w:szCs w:val="18"/>
              </w:rPr>
            </w:pPr>
            <w:r>
              <w:rPr>
                <w:rFonts w:ascii="Times New Roman"/>
                <w:sz w:val="18"/>
              </w:rPr>
              <w:t>7,478,112,411.00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5,269,789,626.00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9,242,488,797.00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5,964,634,492.00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3" w:right="0"/>
              <w:jc w:val="left"/>
              <w:rPr>
                <w:rFonts w:ascii="Times New Roman" w:hAnsi="Times New Roman" w:cs="Times New Roman" w:eastAsia="Times New Roman" w:hint="default"/>
                <w:sz w:val="18"/>
                <w:szCs w:val="18"/>
              </w:rPr>
            </w:pPr>
            <w:r>
              <w:rPr>
                <w:rFonts w:ascii="Times New Roman"/>
                <w:sz w:val="18"/>
              </w:rPr>
              <w:t>7,478,112,411.00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5,269,789,626.00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9,242,488,797.00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5,964,634,492.00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1"/>
        <w:gridCol w:w="1865"/>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6" w:hanging="58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437,998,318.00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312,784,247.00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277,731,832.00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218,232,507.00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200,283,870.00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1,447,030,774.00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r>
    </w:tbl>
    <w:p>
      <w:pPr>
        <w:pStyle w:val="BodyText"/>
        <w:spacing w:line="360" w:lineRule="auto" w:before="49"/>
        <w:ind w:right="5094"/>
        <w:jc w:val="left"/>
      </w:pPr>
      <w:r>
        <w:rPr/>
        <w:t>营业收入的说明 本公司的主营收入主要是向子公司和加盟商销售服装收入。</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400" w:right="0"/>
              <w:jc w:val="left"/>
              <w:rPr>
                <w:rFonts w:ascii="Times New Roman" w:hAnsi="Times New Roman" w:cs="Times New Roman" w:eastAsia="Times New Roman" w:hint="default"/>
                <w:sz w:val="18"/>
                <w:szCs w:val="18"/>
              </w:rPr>
            </w:pPr>
            <w:r>
              <w:rPr>
                <w:rFonts w:ascii="Times New Roman"/>
                <w:sz w:val="18"/>
              </w:rPr>
              <w:t>-10,925,231.00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8" w:right="0"/>
              <w:jc w:val="left"/>
              <w:rPr>
                <w:rFonts w:ascii="Times New Roman" w:hAnsi="Times New Roman" w:cs="Times New Roman" w:eastAsia="Times New Roman" w:hint="default"/>
                <w:sz w:val="18"/>
                <w:szCs w:val="18"/>
              </w:rPr>
            </w:pPr>
            <w:r>
              <w:rPr>
                <w:rFonts w:ascii="Times New Roman"/>
                <w:sz w:val="18"/>
              </w:rPr>
              <w:t>-8,904,998.00</w:t>
            </w:r>
          </w:p>
        </w:tc>
      </w:tr>
    </w:tbl>
    <w:p>
      <w:pPr>
        <w:spacing w:after="0" w:line="240" w:lineRule="auto"/>
        <w:jc w:val="left"/>
        <w:rPr>
          <w:rFonts w:ascii="Times New Roman" w:hAnsi="Times New Roman" w:cs="Times New Roman" w:eastAsia="Times New Roman" w:hint="default"/>
          <w:sz w:val="18"/>
          <w:szCs w:val="18"/>
        </w:rPr>
        <w:sectPr>
          <w:pgSz w:w="11910" w:h="16840"/>
          <w:pgMar w:header="850" w:footer="1186" w:top="1440" w:bottom="1380" w:left="980" w:right="980"/>
        </w:sectPr>
      </w:pPr>
    </w:p>
    <w:p>
      <w:pPr>
        <w:spacing w:line="240" w:lineRule="auto" w:before="6"/>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521"/>
        <w:gridCol w:w="2523"/>
        <w:gridCol w:w="2525"/>
      </w:tblGrid>
      <w:tr>
        <w:trPr>
          <w:trHeight w:val="416" w:hRule="exact"/>
        </w:trPr>
        <w:tc>
          <w:tcPr>
            <w:tcW w:w="452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23" w:type="dxa"/>
            <w:tcBorders>
              <w:top w:val="single" w:sz="10" w:space="0" w:color="000000"/>
              <w:left w:val="single" w:sz="4" w:space="0" w:color="000000"/>
              <w:bottom w:val="single" w:sz="4" w:space="0" w:color="000000"/>
              <w:right w:val="single" w:sz="4" w:space="0" w:color="000000"/>
            </w:tcBorders>
          </w:tcPr>
          <w:p>
            <w:pPr/>
          </w:p>
        </w:tc>
        <w:tc>
          <w:tcPr>
            <w:tcW w:w="252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4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7" w:right="0"/>
              <w:jc w:val="left"/>
              <w:rPr>
                <w:rFonts w:ascii="Times New Roman" w:hAnsi="Times New Roman" w:cs="Times New Roman" w:eastAsia="Times New Roman" w:hint="default"/>
                <w:sz w:val="18"/>
                <w:szCs w:val="18"/>
              </w:rPr>
            </w:pPr>
            <w:r>
              <w:rPr>
                <w:rFonts w:ascii="Times New Roman"/>
                <w:sz w:val="18"/>
              </w:rPr>
              <w:t>-10,925,231.00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-8,404,998.00</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5"/>
        <w:gridCol w:w="1728"/>
        <w:gridCol w:w="1594"/>
        <w:gridCol w:w="2921"/>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上海无和有投资有限公司</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上期为处置子公司收益</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500,000.00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left="112"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5"/>
        <w:gridCol w:w="1728"/>
        <w:gridCol w:w="1594"/>
        <w:gridCol w:w="2921"/>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长安基金</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-10,925,231.00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经营亏损</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-10,925,231.00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112" w:right="0"/>
        <w:jc w:val="left"/>
      </w:pPr>
      <w:r>
        <w:rPr/>
        <w:t>投资收益的说明</w:t>
      </w:r>
    </w:p>
    <w:p>
      <w:pPr>
        <w:spacing w:line="240" w:lineRule="auto" w:before="0"/>
        <w:rPr>
          <w:rFonts w:ascii="宋体" w:hAnsi="宋体" w:cs="宋体" w:eastAsia="宋体" w:hint="default"/>
          <w:sz w:val="18"/>
          <w:szCs w:val="18"/>
        </w:rPr>
      </w:pPr>
    </w:p>
    <w:p>
      <w:pPr>
        <w:pStyle w:val="Heading4"/>
        <w:spacing w:line="240" w:lineRule="auto" w:before="120"/>
        <w:ind w:left="112"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041"/>
        <w:gridCol w:w="2270"/>
        <w:gridCol w:w="2259"/>
      </w:tblGrid>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666,009,374.00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1,525,626,457.00</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28,214,157.00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23,918,219.00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83,624,405.00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71,856,196.00</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82,965,840.00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101,196,108.00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86,052,370.00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31,966,302.00</w:t>
            </w:r>
          </w:p>
        </w:tc>
      </w:tr>
      <w:tr>
        <w:trPr>
          <w:trHeight w:val="71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480,431.00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73,300.00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180,113,826.00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218,560,331.00</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10,925,231.00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8,404,998.00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-2,415,106.00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175,314.00</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352,566,113.00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263,299,337.00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830,254,822.00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-886,451,556.00</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525,723,661.00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-389,828,100.00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555,903.00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46,693,205.00</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186" w:top="1440" w:bottom="1380" w:left="1020" w:right="1020"/>
        </w:sectPr>
      </w:pPr>
    </w:p>
    <w:p>
      <w:pPr>
        <w:spacing w:line="240" w:lineRule="auto" w:before="6"/>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5041"/>
        <w:gridCol w:w="2270"/>
        <w:gridCol w:w="2259"/>
      </w:tblGrid>
      <w:tr>
        <w:trPr>
          <w:trHeight w:val="416" w:hRule="exact"/>
        </w:trPr>
        <w:tc>
          <w:tcPr>
            <w:tcW w:w="5041" w:type="dxa"/>
            <w:tcBorders>
              <w:top w:val="single" w:sz="10"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10" w:space="0" w:color="000000"/>
              <w:left w:val="single" w:sz="12" w:space="0" w:color="D2D2D2"/>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1"/>
                <w:sz w:val="18"/>
              </w:rPr>
              <w:t>2,845,071,027.00</w:t>
            </w:r>
          </w:p>
        </w:tc>
        <w:tc>
          <w:tcPr>
            <w:tcW w:w="225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pacing w:val="-2"/>
                <w:sz w:val="18"/>
              </w:rPr>
              <w:t>1,015,490,111.00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204,067,394.00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642,321,062.00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642,321,062.00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412,889,546.00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-438,253,668.00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229,431,516.00</w:t>
            </w:r>
          </w:p>
        </w:tc>
      </w:tr>
    </w:tbl>
    <w:p>
      <w:pPr>
        <w:spacing w:line="240" w:lineRule="auto" w:before="1"/>
        <w:rPr>
          <w:rFonts w:ascii="宋体" w:hAnsi="宋体" w:cs="宋体" w:eastAsia="宋体" w:hint="default"/>
          <w:sz w:val="18"/>
          <w:szCs w:val="18"/>
        </w:rPr>
      </w:pPr>
    </w:p>
    <w:p>
      <w:pPr>
        <w:pStyle w:val="Heading2"/>
        <w:spacing w:line="240" w:lineRule="auto"/>
        <w:ind w:left="112" w:right="0"/>
        <w:jc w:val="left"/>
        <w:rPr>
          <w:b w:val="0"/>
          <w:bCs w:val="0"/>
        </w:rPr>
      </w:pPr>
      <w:r>
        <w:rPr/>
        <w:t>十六、补充资料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2"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529"/>
        <w:gridCol w:w="2177"/>
        <w:gridCol w:w="1915"/>
        <w:gridCol w:w="1937"/>
      </w:tblGrid>
      <w:tr>
        <w:trPr>
          <w:trHeight w:val="184"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1"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6"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18" w:space="0" w:color="D2D2D2"/>
              <w:left w:val="single" w:sz="13" w:space="0" w:color="D2D2D2"/>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z w:val="18"/>
              </w:rPr>
              <w:t>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0.85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0.85</w:t>
            </w:r>
          </w:p>
        </w:tc>
      </w:tr>
      <w:tr>
        <w:trPr>
          <w:trHeight w:val="713"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0.65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0.65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36"/>
        <w:ind w:left="112"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8"/>
        <w:rPr>
          <w:rFonts w:ascii="宋体" w:hAnsi="宋体" w:cs="宋体" w:eastAsia="宋体" w:hint="default"/>
          <w:b/>
          <w:bCs/>
          <w:sz w:val="22"/>
          <w:szCs w:val="22"/>
        </w:rPr>
      </w:pPr>
    </w:p>
    <w:p>
      <w:pPr>
        <w:pStyle w:val="BodyText"/>
        <w:tabs>
          <w:tab w:pos="1389" w:val="left" w:leader="none"/>
        </w:tabs>
        <w:spacing w:line="240" w:lineRule="auto"/>
        <w:ind w:left="833" w:right="0"/>
        <w:jc w:val="left"/>
      </w:pPr>
      <w:r>
        <w:rPr>
          <w:rFonts w:ascii="Times New Roman" w:hAnsi="Times New Roman" w:cs="Times New Roman" w:eastAsia="Times New Roman" w:hint="default"/>
        </w:rPr>
        <w:t>(1).</w:t>
        <w:tab/>
      </w:r>
      <w:r>
        <w:rPr/>
        <w:t>货币资金余额较年初下降</w:t>
      </w:r>
      <w:r>
        <w:rPr>
          <w:rFonts w:ascii="Times New Roman" w:hAnsi="Times New Roman" w:cs="Times New Roman" w:eastAsia="Times New Roman" w:hint="default"/>
        </w:rPr>
        <w:t>42%</w:t>
      </w:r>
      <w:r>
        <w:rPr/>
        <w:t>，主要是由于本年度公司经营性净现金流较为充裕，积极偿付短期借款所致。</w:t>
      </w:r>
    </w:p>
    <w:p>
      <w:pPr>
        <w:pStyle w:val="BodyText"/>
        <w:tabs>
          <w:tab w:pos="1389" w:val="left" w:leader="none"/>
        </w:tabs>
        <w:spacing w:line="230" w:lineRule="exact" w:before="53"/>
        <w:ind w:left="1390" w:right="189" w:hanging="557"/>
        <w:jc w:val="left"/>
      </w:pPr>
      <w:r>
        <w:rPr>
          <w:rFonts w:ascii="Times New Roman" w:hAnsi="Times New Roman" w:cs="Times New Roman" w:eastAsia="Times New Roman" w:hint="default"/>
        </w:rPr>
        <w:t>(2).</w:t>
        <w:tab/>
      </w:r>
      <w:r>
        <w:rPr>
          <w:spacing w:val="-2"/>
        </w:rPr>
        <w:t>应收账款余额较年初下降</w:t>
      </w:r>
      <w:r>
        <w:rPr>
          <w:rFonts w:ascii="Times New Roman" w:hAnsi="Times New Roman" w:cs="Times New Roman" w:eastAsia="Times New Roman" w:hint="default"/>
          <w:spacing w:val="-2"/>
        </w:rPr>
        <w:t>60%</w:t>
      </w:r>
      <w:r>
        <w:rPr>
          <w:spacing w:val="-2"/>
        </w:rPr>
        <w:t>，主要是由于加盟商整体零售形势好于当季提货，其库存有所下降，现金流持</w:t>
      </w:r>
      <w:r>
        <w:rPr>
          <w:spacing w:val="-64"/>
        </w:rPr>
        <w:t> </w:t>
      </w:r>
      <w:r>
        <w:rPr>
          <w:spacing w:val="-64"/>
        </w:rPr>
      </w:r>
      <w:r>
        <w:rPr/>
        <w:t>续增加，及时支付了提货款。</w:t>
      </w:r>
    </w:p>
    <w:p>
      <w:pPr>
        <w:pStyle w:val="BodyText"/>
        <w:tabs>
          <w:tab w:pos="1389" w:val="left" w:leader="none"/>
        </w:tabs>
        <w:spacing w:line="230" w:lineRule="exact" w:before="46"/>
        <w:ind w:left="1390" w:right="192" w:hanging="557"/>
        <w:jc w:val="left"/>
      </w:pPr>
      <w:r>
        <w:rPr>
          <w:rFonts w:ascii="Times New Roman" w:hAnsi="Times New Roman" w:cs="Times New Roman" w:eastAsia="Times New Roman" w:hint="default"/>
        </w:rPr>
        <w:t>(3).</w:t>
        <w:tab/>
      </w:r>
      <w:r>
        <w:rPr>
          <w:spacing w:val="-2"/>
        </w:rPr>
        <w:t>预付账款余额较年初下降</w:t>
      </w:r>
      <w:r>
        <w:rPr>
          <w:rFonts w:ascii="Times New Roman" w:hAnsi="Times New Roman" w:cs="Times New Roman" w:eastAsia="Times New Roman" w:hint="default"/>
          <w:spacing w:val="-2"/>
        </w:rPr>
        <w:t>39%</w:t>
      </w:r>
      <w:r>
        <w:rPr>
          <w:spacing w:val="-2"/>
        </w:rPr>
        <w:t>，主要是由于本年度公司继续加强对采购规模的合理控制，支付的预付货款有</w:t>
      </w:r>
      <w:r>
        <w:rPr>
          <w:spacing w:val="-65"/>
        </w:rPr>
        <w:t> </w:t>
      </w:r>
      <w:r>
        <w:rPr>
          <w:spacing w:val="-65"/>
        </w:rPr>
      </w:r>
      <w:r>
        <w:rPr/>
        <w:t>所下降所致。</w:t>
      </w:r>
    </w:p>
    <w:p>
      <w:pPr>
        <w:pStyle w:val="BodyText"/>
        <w:tabs>
          <w:tab w:pos="1389" w:val="left" w:leader="none"/>
        </w:tabs>
        <w:spacing w:line="230" w:lineRule="exact" w:before="46"/>
        <w:ind w:left="1390" w:right="192" w:hanging="557"/>
        <w:jc w:val="left"/>
      </w:pPr>
      <w:r>
        <w:rPr>
          <w:rFonts w:ascii="Times New Roman" w:hAnsi="Times New Roman" w:cs="Times New Roman" w:eastAsia="Times New Roman" w:hint="default"/>
        </w:rPr>
        <w:t>(4).</w:t>
        <w:tab/>
      </w:r>
      <w:r>
        <w:rPr>
          <w:spacing w:val="-2"/>
        </w:rPr>
        <w:t>存货余额较年初下降</w:t>
      </w:r>
      <w:r>
        <w:rPr>
          <w:rFonts w:ascii="Times New Roman" w:hAnsi="Times New Roman" w:cs="Times New Roman" w:eastAsia="Times New Roman" w:hint="default"/>
          <w:spacing w:val="-2"/>
        </w:rPr>
        <w:t>22%</w:t>
      </w:r>
      <w:r>
        <w:rPr>
          <w:spacing w:val="-2"/>
        </w:rPr>
        <w:t>，主要是由于公司继续采取积极策略消化库存货品，同时继续适度控制生产采购规</w:t>
      </w:r>
      <w:r>
        <w:rPr>
          <w:spacing w:val="-66"/>
        </w:rPr>
        <w:t> </w:t>
      </w:r>
      <w:r>
        <w:rPr>
          <w:spacing w:val="-66"/>
        </w:rPr>
      </w:r>
      <w:r>
        <w:rPr/>
        <w:t>模，从而降低了存货水平。</w:t>
      </w:r>
    </w:p>
    <w:p>
      <w:pPr>
        <w:pStyle w:val="BodyText"/>
        <w:tabs>
          <w:tab w:pos="1389" w:val="left" w:leader="none"/>
        </w:tabs>
        <w:spacing w:line="240" w:lineRule="auto" w:before="17"/>
        <w:ind w:left="833" w:right="0"/>
        <w:jc w:val="left"/>
      </w:pPr>
      <w:r>
        <w:rPr>
          <w:rFonts w:ascii="Times New Roman" w:hAnsi="Times New Roman" w:cs="Times New Roman" w:eastAsia="Times New Roman" w:hint="default"/>
        </w:rPr>
        <w:t>(5).</w:t>
        <w:tab/>
      </w:r>
      <w:r>
        <w:rPr/>
        <w:t>长期股权投资余额较年初增加</w:t>
      </w:r>
      <w:r>
        <w:rPr>
          <w:rFonts w:ascii="Times New Roman" w:hAnsi="Times New Roman" w:cs="Times New Roman" w:eastAsia="Times New Roman" w:hint="default"/>
        </w:rPr>
        <w:t>92%</w:t>
      </w:r>
      <w:r>
        <w:rPr/>
        <w:t>，主要是由于本期内向联营企业长安基金管理有限公司增资所致。</w:t>
      </w:r>
    </w:p>
    <w:p>
      <w:pPr>
        <w:pStyle w:val="BodyText"/>
        <w:tabs>
          <w:tab w:pos="1389" w:val="left" w:leader="none"/>
        </w:tabs>
        <w:spacing w:line="230" w:lineRule="exact" w:before="53"/>
        <w:ind w:left="1390" w:right="193" w:hanging="557"/>
        <w:jc w:val="left"/>
      </w:pPr>
      <w:r>
        <w:rPr>
          <w:rFonts w:ascii="Times New Roman" w:hAnsi="Times New Roman" w:cs="Times New Roman" w:eastAsia="Times New Roman" w:hint="default"/>
        </w:rPr>
        <w:t>(6).</w:t>
        <w:tab/>
      </w:r>
      <w:r>
        <w:rPr/>
        <w:t>固定资产余额较年初增加</w:t>
      </w:r>
      <w:r>
        <w:rPr>
          <w:rFonts w:ascii="Times New Roman" w:hAnsi="Times New Roman" w:cs="Times New Roman" w:eastAsia="Times New Roman" w:hint="default"/>
        </w:rPr>
        <w:t>8%</w:t>
      </w:r>
      <w:r>
        <w:rPr/>
        <w:t>，主要是由于部分在建工程完工并投入使用，在本年度转为固定资产，另有去</w:t>
      </w:r>
      <w:r>
        <w:rPr>
          <w:spacing w:val="-74"/>
        </w:rPr>
        <w:t> </w:t>
      </w:r>
      <w:r>
        <w:rPr>
          <w:spacing w:val="-74"/>
        </w:rPr>
      </w:r>
      <w:r>
        <w:rPr/>
        <w:t>年所购店铺在本年度相关手续已完备后转入固定资产所致。</w:t>
      </w:r>
    </w:p>
    <w:p>
      <w:pPr>
        <w:pStyle w:val="BodyText"/>
        <w:tabs>
          <w:tab w:pos="1389" w:val="left" w:leader="none"/>
        </w:tabs>
        <w:spacing w:line="232" w:lineRule="exact" w:before="44"/>
        <w:ind w:left="1390" w:right="192" w:hanging="557"/>
        <w:jc w:val="left"/>
      </w:pPr>
      <w:r>
        <w:rPr>
          <w:rFonts w:ascii="Times New Roman" w:hAnsi="Times New Roman" w:cs="Times New Roman" w:eastAsia="Times New Roman" w:hint="default"/>
        </w:rPr>
        <w:t>(7).</w:t>
        <w:tab/>
      </w:r>
      <w:r>
        <w:rPr>
          <w:spacing w:val="-2"/>
        </w:rPr>
        <w:t>在建工程余额较年初下降</w:t>
      </w:r>
      <w:r>
        <w:rPr>
          <w:rFonts w:ascii="Times New Roman" w:hAnsi="Times New Roman" w:cs="Times New Roman" w:eastAsia="Times New Roman" w:hint="default"/>
          <w:spacing w:val="-2"/>
        </w:rPr>
        <w:t>83%</w:t>
      </w:r>
      <w:r>
        <w:rPr>
          <w:spacing w:val="-2"/>
        </w:rPr>
        <w:t>，主要原因为六灶工业园区部分新增项目建设完工并投入使用，在本年度转为</w:t>
      </w:r>
      <w:r>
        <w:rPr>
          <w:spacing w:val="-65"/>
        </w:rPr>
        <w:t> </w:t>
      </w:r>
      <w:r>
        <w:rPr>
          <w:spacing w:val="-65"/>
        </w:rPr>
      </w:r>
      <w:r>
        <w:rPr/>
        <w:t>固定资产。</w:t>
      </w:r>
    </w:p>
    <w:p>
      <w:pPr>
        <w:pStyle w:val="BodyText"/>
        <w:tabs>
          <w:tab w:pos="1389" w:val="left" w:leader="none"/>
        </w:tabs>
        <w:spacing w:line="232" w:lineRule="exact" w:before="41"/>
        <w:ind w:left="1390" w:right="192" w:hanging="557"/>
        <w:jc w:val="left"/>
      </w:pPr>
      <w:r>
        <w:rPr>
          <w:rFonts w:ascii="Times New Roman" w:hAnsi="Times New Roman" w:cs="Times New Roman" w:eastAsia="Times New Roman" w:hint="default"/>
        </w:rPr>
        <w:t>(8).</w:t>
        <w:tab/>
      </w:r>
      <w:r>
        <w:rPr>
          <w:spacing w:val="-2"/>
        </w:rPr>
        <w:t>其他非流动资产较年初下降</w:t>
      </w:r>
      <w:r>
        <w:rPr>
          <w:rFonts w:ascii="Times New Roman" w:hAnsi="Times New Roman" w:cs="Times New Roman" w:eastAsia="Times New Roman" w:hint="default"/>
          <w:spacing w:val="-2"/>
        </w:rPr>
        <w:t>87%</w:t>
      </w:r>
      <w:r>
        <w:rPr>
          <w:spacing w:val="-2"/>
        </w:rPr>
        <w:t>，主要是由于上期记入本项目的预付购房款在本期相关手续已完备后转入固</w:t>
      </w:r>
      <w:r>
        <w:rPr>
          <w:spacing w:val="-65"/>
        </w:rPr>
        <w:t> </w:t>
      </w:r>
      <w:r>
        <w:rPr>
          <w:spacing w:val="-65"/>
        </w:rPr>
      </w:r>
      <w:r>
        <w:rPr/>
        <w:t>定资产所致。</w:t>
      </w:r>
    </w:p>
    <w:p>
      <w:pPr>
        <w:pStyle w:val="BodyText"/>
        <w:tabs>
          <w:tab w:pos="1389" w:val="left" w:leader="none"/>
        </w:tabs>
        <w:spacing w:line="240" w:lineRule="auto" w:before="17"/>
        <w:ind w:left="833" w:right="0"/>
        <w:jc w:val="left"/>
      </w:pPr>
      <w:r>
        <w:rPr>
          <w:rFonts w:ascii="Times New Roman" w:hAnsi="Times New Roman" w:cs="Times New Roman" w:eastAsia="Times New Roman" w:hint="default"/>
        </w:rPr>
        <w:t>(9).</w:t>
        <w:tab/>
      </w:r>
      <w:r>
        <w:rPr/>
        <w:t>短期借款余额较年初下降</w:t>
      </w:r>
      <w:r>
        <w:rPr>
          <w:rFonts w:ascii="Times New Roman" w:hAnsi="Times New Roman" w:cs="Times New Roman" w:eastAsia="Times New Roman" w:hint="default"/>
        </w:rPr>
        <w:t>66%</w:t>
      </w:r>
      <w:r>
        <w:rPr/>
        <w:t>，主要是由于本年度经营性现金流充裕，偿还较多短期借款所致。</w:t>
      </w:r>
    </w:p>
    <w:p>
      <w:pPr>
        <w:pStyle w:val="BodyText"/>
        <w:tabs>
          <w:tab w:pos="1389" w:val="left" w:leader="none"/>
        </w:tabs>
        <w:spacing w:line="240" w:lineRule="auto" w:before="24"/>
        <w:ind w:left="833" w:right="0"/>
        <w:jc w:val="left"/>
      </w:pPr>
      <w:r>
        <w:rPr>
          <w:rFonts w:ascii="Times New Roman" w:hAnsi="Times New Roman" w:cs="Times New Roman" w:eastAsia="Times New Roman" w:hint="default"/>
        </w:rPr>
        <w:t>(10).</w:t>
        <w:tab/>
      </w:r>
      <w:r>
        <w:rPr/>
        <w:t>应付票据较年初增加</w:t>
      </w:r>
      <w:r>
        <w:rPr>
          <w:rFonts w:ascii="Times New Roman" w:hAnsi="Times New Roman" w:cs="Times New Roman" w:eastAsia="Times New Roman" w:hint="default"/>
        </w:rPr>
        <w:t>182%</w:t>
      </w:r>
      <w:r>
        <w:rPr/>
        <w:t>，主要是由于本期内开具的银行承兑汇票增加所致。</w:t>
      </w:r>
    </w:p>
    <w:p>
      <w:pPr>
        <w:pStyle w:val="BodyText"/>
        <w:tabs>
          <w:tab w:pos="1389" w:val="left" w:leader="none"/>
        </w:tabs>
        <w:spacing w:line="240" w:lineRule="auto" w:before="25"/>
        <w:ind w:left="833" w:right="0"/>
        <w:jc w:val="left"/>
      </w:pPr>
      <w:r>
        <w:rPr>
          <w:rFonts w:ascii="Times New Roman" w:hAnsi="Times New Roman" w:cs="Times New Roman" w:eastAsia="Times New Roman" w:hint="default"/>
          <w:spacing w:val="-1"/>
        </w:rPr>
        <w:t>(11).</w:t>
        <w:tab/>
      </w:r>
      <w:r>
        <w:rPr>
          <w:spacing w:val="-1"/>
        </w:rPr>
        <w:t>预收账款余额较年初增加</w:t>
      </w:r>
      <w:r>
        <w:rPr>
          <w:rFonts w:ascii="Times New Roman" w:hAnsi="Times New Roman" w:cs="Times New Roman" w:eastAsia="Times New Roman" w:hint="default"/>
          <w:spacing w:val="-1"/>
        </w:rPr>
        <w:t>160%</w:t>
      </w:r>
      <w:r>
        <w:rPr>
          <w:spacing w:val="-1"/>
        </w:rPr>
        <w:t>，主要是由于加盟商为应对元旦及春节销售高峰，预付货款进行备货所致。</w:t>
      </w:r>
    </w:p>
    <w:p>
      <w:pPr>
        <w:pStyle w:val="BodyText"/>
        <w:spacing w:line="223" w:lineRule="auto" w:before="39"/>
        <w:ind w:left="1390" w:right="100" w:hanging="557"/>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30"/>
        </w:rPr>
        <w:t> </w:t>
      </w:r>
      <w:r>
        <w:rPr/>
        <w:t>应交税费余额较年初增加</w:t>
      </w:r>
      <w:r>
        <w:rPr>
          <w:rFonts w:ascii="Times New Roman" w:hAnsi="Times New Roman" w:cs="Times New Roman" w:eastAsia="Times New Roman" w:hint="default"/>
        </w:rPr>
        <w:t>30%</w:t>
      </w:r>
      <w:r>
        <w:rPr/>
        <w:t>，主要是由于公司本年度加大新品的生产入库控制力度，进项税金有所减少，</w:t>
      </w:r>
      <w:r>
        <w:rPr>
          <w:w w:val="99"/>
        </w:rPr>
        <w:t> </w:t>
      </w:r>
      <w:r>
        <w:rPr>
          <w:spacing w:val="-4"/>
        </w:rPr>
        <w:t>因而应交增值税款有所增加；另外，所得税税率恢复至法定税率</w:t>
      </w:r>
      <w:r>
        <w:rPr>
          <w:rFonts w:ascii="Times New Roman" w:hAnsi="Times New Roman" w:cs="Times New Roman" w:eastAsia="Times New Roman" w:hint="default"/>
          <w:spacing w:val="-4"/>
        </w:rPr>
        <w:t>25%</w:t>
      </w:r>
      <w:r>
        <w:rPr>
          <w:spacing w:val="-4"/>
        </w:rPr>
        <w:t>，比上一年度优惠税率上升一个百分点，</w:t>
      </w:r>
      <w:r>
        <w:rPr>
          <w:w w:val="99"/>
        </w:rPr>
        <w:t> </w:t>
      </w:r>
      <w:r>
        <w:rPr/>
        <w:t>计提的所得税增加。</w:t>
      </w:r>
    </w:p>
    <w:p>
      <w:pPr>
        <w:pStyle w:val="BodyText"/>
        <w:tabs>
          <w:tab w:pos="1389" w:val="left" w:leader="none"/>
        </w:tabs>
        <w:spacing w:line="240" w:lineRule="auto" w:before="40"/>
        <w:ind w:left="833" w:right="0"/>
        <w:jc w:val="left"/>
      </w:pPr>
      <w:r>
        <w:rPr>
          <w:rFonts w:ascii="Times New Roman" w:hAnsi="Times New Roman" w:cs="Times New Roman" w:eastAsia="Times New Roman" w:hint="default"/>
        </w:rPr>
        <w:t>(13).</w:t>
        <w:tab/>
      </w:r>
      <w:r>
        <w:rPr/>
        <w:t>长期借款余额为零较年初下降</w:t>
      </w:r>
      <w:r>
        <w:rPr>
          <w:rFonts w:ascii="Times New Roman" w:hAnsi="Times New Roman" w:cs="Times New Roman" w:eastAsia="Times New Roman" w:hint="default"/>
        </w:rPr>
        <w:t>100%</w:t>
      </w:r>
      <w:r>
        <w:rPr/>
        <w:t>，主要由于本期内归还了到期的长期借款所致。</w:t>
      </w:r>
    </w:p>
    <w:p>
      <w:pPr>
        <w:pStyle w:val="BodyText"/>
        <w:tabs>
          <w:tab w:pos="1389" w:val="left" w:leader="none"/>
        </w:tabs>
        <w:spacing w:line="230" w:lineRule="exact" w:before="53"/>
        <w:ind w:left="1390" w:right="191" w:hanging="557"/>
        <w:jc w:val="left"/>
      </w:pPr>
      <w:r>
        <w:rPr>
          <w:rFonts w:ascii="Times New Roman" w:hAnsi="Times New Roman" w:cs="Times New Roman" w:eastAsia="Times New Roman" w:hint="default"/>
        </w:rPr>
        <w:t>(14).</w:t>
        <w:tab/>
      </w:r>
      <w:r>
        <w:rPr/>
        <w:t>应付债券余额较年初下降</w:t>
      </w:r>
      <w:r>
        <w:rPr>
          <w:rFonts w:ascii="Times New Roman" w:hAnsi="Times New Roman" w:cs="Times New Roman" w:eastAsia="Times New Roman" w:hint="default"/>
        </w:rPr>
        <w:t>22%</w:t>
      </w:r>
      <w:r>
        <w:rPr/>
        <w:t>，主要是由于本年度归还了去年发行的</w:t>
      </w:r>
      <w:r>
        <w:rPr>
          <w:rFonts w:ascii="Times New Roman" w:hAnsi="Times New Roman" w:cs="Times New Roman" w:eastAsia="Times New Roman" w:hint="default"/>
        </w:rPr>
        <w:t>10</w:t>
      </w:r>
      <w:r>
        <w:rPr/>
        <w:t>亿元短期融资券，同时新发行</w:t>
      </w:r>
      <w:r>
        <w:rPr>
          <w:rFonts w:ascii="Times New Roman" w:hAnsi="Times New Roman" w:cs="Times New Roman" w:eastAsia="Times New Roman" w:hint="default"/>
        </w:rPr>
        <w:t>8</w:t>
      </w:r>
      <w:r>
        <w:rPr/>
        <w:t>亿元</w:t>
      </w:r>
      <w:r>
        <w:rPr>
          <w:spacing w:val="-71"/>
        </w:rPr>
        <w:t> </w:t>
      </w:r>
      <w:r>
        <w:rPr/>
        <w:t>短期融资券所致。</w:t>
      </w:r>
    </w:p>
    <w:p>
      <w:pPr>
        <w:pStyle w:val="BodyText"/>
        <w:tabs>
          <w:tab w:pos="1389" w:val="left" w:leader="none"/>
        </w:tabs>
        <w:spacing w:line="230" w:lineRule="exact" w:before="46"/>
        <w:ind w:left="1390" w:right="189" w:hanging="557"/>
        <w:jc w:val="left"/>
      </w:pPr>
      <w:r>
        <w:rPr>
          <w:rFonts w:ascii="Times New Roman" w:hAnsi="Times New Roman" w:cs="Times New Roman" w:eastAsia="Times New Roman" w:hint="default"/>
        </w:rPr>
        <w:t>(15).</w:t>
        <w:tab/>
      </w:r>
      <w:r>
        <w:rPr>
          <w:spacing w:val="-1"/>
        </w:rPr>
        <w:t>营业收入较去年下降</w:t>
      </w:r>
      <w:r>
        <w:rPr>
          <w:rFonts w:ascii="Times New Roman" w:hAnsi="Times New Roman" w:cs="Times New Roman" w:eastAsia="Times New Roman" w:hint="default"/>
          <w:spacing w:val="-1"/>
        </w:rPr>
        <w:t>4%</w:t>
      </w:r>
      <w:r>
        <w:rPr>
          <w:spacing w:val="-1"/>
        </w:rPr>
        <w:t>，营业成本较去年下降</w:t>
      </w:r>
      <w:r>
        <w:rPr>
          <w:rFonts w:ascii="Times New Roman" w:hAnsi="Times New Roman" w:cs="Times New Roman" w:eastAsia="Times New Roman" w:hint="default"/>
          <w:spacing w:val="-1"/>
        </w:rPr>
        <w:t>5%</w:t>
      </w:r>
      <w:r>
        <w:rPr>
          <w:spacing w:val="-1"/>
        </w:rPr>
        <w:t>，主要是由于受宏观经济环境的影响，消费者需求有所下</w:t>
      </w:r>
      <w:r>
        <w:rPr>
          <w:spacing w:val="-84"/>
        </w:rPr>
        <w:t> </w:t>
      </w:r>
      <w:r>
        <w:rPr>
          <w:spacing w:val="-84"/>
        </w:rPr>
      </w:r>
      <w:r>
        <w:rPr/>
        <w:t>降，同时由于春节较去年偏晚，部分加盟商</w:t>
      </w:r>
      <w:r>
        <w:rPr>
          <w:rFonts w:ascii="Times New Roman" w:hAnsi="Times New Roman" w:cs="Times New Roman" w:eastAsia="Times New Roman" w:hint="default"/>
        </w:rPr>
        <w:t>2013</w:t>
      </w:r>
      <w:r>
        <w:rPr/>
        <w:t>年春装提货相应延后。</w:t>
      </w:r>
    </w:p>
    <w:p>
      <w:pPr>
        <w:spacing w:after="0" w:line="230" w:lineRule="exact"/>
        <w:jc w:val="left"/>
        <w:sectPr>
          <w:pgSz w:w="11910" w:h="16840"/>
          <w:pgMar w:header="850" w:footer="1186" w:top="1440" w:bottom="1380" w:left="1020" w:right="940"/>
        </w:sectPr>
      </w:pPr>
    </w:p>
    <w:p>
      <w:pPr>
        <w:pStyle w:val="BodyText"/>
        <w:tabs>
          <w:tab w:pos="1429" w:val="left" w:leader="none"/>
        </w:tabs>
        <w:spacing w:line="240" w:lineRule="auto" w:before="11"/>
        <w:ind w:left="873" w:right="0"/>
        <w:jc w:val="left"/>
      </w:pPr>
      <w:r>
        <w:rPr/>
        <w:pict>
          <v:group style="position:absolute;margin-left:55.200001pt;margin-top:2.181733pt;width:484.9pt;height:.1pt;mso-position-horizontal-relative:page;mso-position-vertical-relative:paragraph;z-index:-749440"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Times New Roman" w:hAnsi="Times New Roman" w:cs="Times New Roman" w:eastAsia="Times New Roman" w:hint="default"/>
        </w:rPr>
        <w:t>(16).</w:t>
        <w:tab/>
      </w:r>
      <w:r>
        <w:rPr/>
        <w:t>销售费用较去年增长</w:t>
      </w:r>
      <w:r>
        <w:rPr>
          <w:rFonts w:ascii="Times New Roman" w:hAnsi="Times New Roman" w:cs="Times New Roman" w:eastAsia="Times New Roman" w:hint="default"/>
        </w:rPr>
        <w:t>20%</w:t>
      </w:r>
      <w:r>
        <w:rPr/>
        <w:t>，主要是由于本年度店铺人员薪资及店铺租金较去年增长所致。</w:t>
      </w:r>
    </w:p>
    <w:p>
      <w:pPr>
        <w:pStyle w:val="BodyText"/>
        <w:tabs>
          <w:tab w:pos="1429" w:val="left" w:leader="none"/>
        </w:tabs>
        <w:spacing w:line="240" w:lineRule="auto" w:before="25"/>
        <w:ind w:left="873" w:right="0"/>
        <w:jc w:val="left"/>
      </w:pPr>
      <w:r>
        <w:rPr>
          <w:rFonts w:ascii="Times New Roman" w:hAnsi="Times New Roman" w:cs="Times New Roman" w:eastAsia="Times New Roman" w:hint="default"/>
        </w:rPr>
        <w:t>(17).</w:t>
        <w:tab/>
      </w:r>
      <w:r>
        <w:rPr/>
        <w:t>管理费用较去年下降</w:t>
      </w:r>
      <w:r>
        <w:rPr>
          <w:rFonts w:ascii="Times New Roman" w:hAnsi="Times New Roman" w:cs="Times New Roman" w:eastAsia="Times New Roman" w:hint="default"/>
        </w:rPr>
        <w:t>22%</w:t>
      </w:r>
      <w:r>
        <w:rPr/>
        <w:t>，主要是由于本年度管理费用控制措施有效。</w:t>
      </w:r>
    </w:p>
    <w:p>
      <w:pPr>
        <w:pStyle w:val="BodyText"/>
        <w:tabs>
          <w:tab w:pos="1429" w:val="left" w:leader="none"/>
        </w:tabs>
        <w:spacing w:line="230" w:lineRule="exact" w:before="53"/>
        <w:ind w:left="1430" w:right="152" w:hanging="557"/>
        <w:jc w:val="left"/>
      </w:pPr>
      <w:r>
        <w:rPr>
          <w:rFonts w:ascii="Times New Roman" w:hAnsi="Times New Roman" w:cs="Times New Roman" w:eastAsia="Times New Roman" w:hint="default"/>
        </w:rPr>
        <w:t>(18).</w:t>
        <w:tab/>
      </w:r>
      <w:r>
        <w:rPr>
          <w:spacing w:val="-2"/>
        </w:rPr>
        <w:t>财务费用较去年下降</w:t>
      </w:r>
      <w:r>
        <w:rPr>
          <w:rFonts w:ascii="Times New Roman" w:hAnsi="Times New Roman" w:cs="Times New Roman" w:eastAsia="Times New Roman" w:hint="default"/>
          <w:spacing w:val="-2"/>
        </w:rPr>
        <w:t>19%</w:t>
      </w:r>
      <w:r>
        <w:rPr>
          <w:spacing w:val="-2"/>
        </w:rPr>
        <w:t>，主要是由于本年度经营性净现金流较为充裕，公司积极偿付短期借款及到期的长</w:t>
      </w:r>
      <w:r>
        <w:rPr>
          <w:spacing w:val="-66"/>
        </w:rPr>
        <w:t> </w:t>
      </w:r>
      <w:r>
        <w:rPr>
          <w:spacing w:val="-66"/>
        </w:rPr>
      </w:r>
      <w:r>
        <w:rPr/>
        <w:t>期借款，因而利息支出有所下降。</w:t>
      </w:r>
    </w:p>
    <w:p>
      <w:pPr>
        <w:pStyle w:val="BodyText"/>
        <w:tabs>
          <w:tab w:pos="1429" w:val="left" w:leader="none"/>
        </w:tabs>
        <w:spacing w:line="232" w:lineRule="exact" w:before="44"/>
        <w:ind w:left="1430" w:right="153" w:hanging="557"/>
        <w:jc w:val="left"/>
      </w:pPr>
      <w:r>
        <w:rPr>
          <w:rFonts w:ascii="Times New Roman" w:hAnsi="Times New Roman" w:cs="Times New Roman" w:eastAsia="Times New Roman" w:hint="default"/>
        </w:rPr>
        <w:t>(19).</w:t>
        <w:tab/>
      </w:r>
      <w:r>
        <w:rPr/>
        <w:t>资产减值损失较去年增加</w:t>
      </w:r>
      <w:r>
        <w:rPr>
          <w:rFonts w:ascii="Times New Roman" w:hAnsi="Times New Roman" w:cs="Times New Roman" w:eastAsia="Times New Roman" w:hint="default"/>
        </w:rPr>
        <w:t>106%</w:t>
      </w:r>
      <w:r>
        <w:rPr/>
        <w:t>，主要是由于公司根据存货跌价准备计提原则，加大了对往年货品的减值准</w:t>
      </w:r>
      <w:r>
        <w:rPr>
          <w:spacing w:val="-73"/>
        </w:rPr>
        <w:t> </w:t>
      </w:r>
      <w:r>
        <w:rPr>
          <w:spacing w:val="-73"/>
        </w:rPr>
      </w:r>
      <w:r>
        <w:rPr/>
        <w:t>备计提力度。</w:t>
      </w:r>
    </w:p>
    <w:p>
      <w:pPr>
        <w:pStyle w:val="BodyText"/>
        <w:tabs>
          <w:tab w:pos="1429" w:val="left" w:leader="none"/>
        </w:tabs>
        <w:spacing w:line="240" w:lineRule="auto" w:before="17"/>
        <w:ind w:left="873" w:right="0"/>
        <w:jc w:val="left"/>
      </w:pPr>
      <w:r>
        <w:rPr>
          <w:rFonts w:ascii="Times New Roman" w:hAnsi="Times New Roman" w:cs="Times New Roman" w:eastAsia="Times New Roman" w:hint="default"/>
        </w:rPr>
        <w:t>(20).</w:t>
        <w:tab/>
      </w:r>
      <w:r>
        <w:rPr/>
        <w:t>投资收益较去年下降</w:t>
      </w:r>
      <w:r>
        <w:rPr>
          <w:rFonts w:ascii="Times New Roman" w:hAnsi="Times New Roman" w:cs="Times New Roman" w:eastAsia="Times New Roman" w:hint="default"/>
        </w:rPr>
        <w:t>30%</w:t>
      </w:r>
      <w:r>
        <w:rPr/>
        <w:t>，主要是公司联营企业长安基金管理有限公司</w:t>
      </w:r>
      <w:r>
        <w:rPr>
          <w:rFonts w:ascii="Times New Roman" w:hAnsi="Times New Roman" w:cs="Times New Roman" w:eastAsia="Times New Roman" w:hint="default"/>
        </w:rPr>
        <w:t>2012</w:t>
      </w:r>
      <w:r>
        <w:rPr/>
        <w:t>年度的经营亏损上升。</w:t>
      </w:r>
    </w:p>
    <w:p>
      <w:pPr>
        <w:pStyle w:val="BodyText"/>
        <w:tabs>
          <w:tab w:pos="1429" w:val="left" w:leader="none"/>
        </w:tabs>
        <w:spacing w:line="240" w:lineRule="auto" w:before="24"/>
        <w:ind w:left="873" w:right="0"/>
        <w:jc w:val="left"/>
      </w:pPr>
      <w:r>
        <w:rPr>
          <w:rFonts w:ascii="Times New Roman" w:hAnsi="Times New Roman" w:cs="Times New Roman" w:eastAsia="Times New Roman" w:hint="default"/>
        </w:rPr>
        <w:t>(21).</w:t>
        <w:tab/>
      </w:r>
      <w:r>
        <w:rPr/>
        <w:t>营业外收入较去年增加</w:t>
      </w:r>
      <w:r>
        <w:rPr>
          <w:rFonts w:ascii="Times New Roman" w:hAnsi="Times New Roman" w:cs="Times New Roman" w:eastAsia="Times New Roman" w:hint="default"/>
        </w:rPr>
        <w:t>43%</w:t>
      </w:r>
      <w:r>
        <w:rPr/>
        <w:t>，主要是本年度地方政府财政补贴增加所致。</w:t>
      </w:r>
    </w:p>
    <w:p>
      <w:pPr>
        <w:pStyle w:val="BodyText"/>
        <w:tabs>
          <w:tab w:pos="1429" w:val="left" w:leader="none"/>
        </w:tabs>
        <w:spacing w:line="240" w:lineRule="auto" w:before="22"/>
        <w:ind w:left="873" w:right="0"/>
        <w:jc w:val="left"/>
      </w:pPr>
      <w:r>
        <w:rPr>
          <w:rFonts w:ascii="Times New Roman" w:hAnsi="Times New Roman" w:cs="Times New Roman" w:eastAsia="Times New Roman" w:hint="default"/>
        </w:rPr>
        <w:t>(22).</w:t>
        <w:tab/>
      </w:r>
      <w:r>
        <w:rPr/>
        <w:t>营业外支出较去年下降</w:t>
      </w:r>
      <w:r>
        <w:rPr>
          <w:rFonts w:ascii="Times New Roman" w:hAnsi="Times New Roman" w:cs="Times New Roman" w:eastAsia="Times New Roman" w:hint="default"/>
        </w:rPr>
        <w:t>36%</w:t>
      </w:r>
      <w:r>
        <w:rPr/>
        <w:t>，主要是由于本年度公司直营店铺关店损失减少所致。</w:t>
      </w:r>
    </w:p>
    <w:p>
      <w:pPr>
        <w:pStyle w:val="BodyText"/>
        <w:tabs>
          <w:tab w:pos="1429" w:val="left" w:leader="none"/>
        </w:tabs>
        <w:spacing w:line="240" w:lineRule="auto" w:before="24"/>
        <w:ind w:left="873" w:right="0"/>
        <w:jc w:val="left"/>
      </w:pPr>
      <w:r>
        <w:rPr>
          <w:rFonts w:ascii="Times New Roman" w:hAnsi="Times New Roman" w:cs="Times New Roman" w:eastAsia="Times New Roman" w:hint="default"/>
        </w:rPr>
        <w:t>(23).</w:t>
        <w:tab/>
      </w:r>
      <w:r>
        <w:rPr/>
        <w:t>所得税费用较去年下降</w:t>
      </w:r>
      <w:r>
        <w:rPr>
          <w:rFonts w:ascii="Times New Roman" w:hAnsi="Times New Roman" w:cs="Times New Roman" w:eastAsia="Times New Roman" w:hint="default"/>
        </w:rPr>
        <w:t>31%</w:t>
      </w:r>
      <w:r>
        <w:rPr/>
        <w:t>，</w:t>
      </w:r>
      <w:r>
        <w:rPr>
          <w:spacing w:val="-3"/>
        </w:rPr>
        <w:t> </w:t>
      </w:r>
      <w:r>
        <w:rPr/>
        <w:t>主要是由于本年度利润总额下降所致。</w:t>
      </w:r>
    </w:p>
    <w:p>
      <w:pPr>
        <w:spacing w:after="0" w:line="240" w:lineRule="auto"/>
        <w:jc w:val="left"/>
        <w:sectPr>
          <w:pgSz w:w="11910" w:h="16840"/>
          <w:pgMar w:header="850" w:footer="1186" w:top="1440" w:bottom="138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1"/>
        <w:spacing w:line="240" w:lineRule="auto"/>
        <w:ind w:left="3285" w:right="0"/>
        <w:jc w:val="left"/>
        <w:rPr>
          <w:b w:val="0"/>
          <w:bCs w:val="0"/>
        </w:rPr>
      </w:pPr>
      <w:bookmarkStart w:name="_bookmark10" w:id="11"/>
      <w:bookmarkEnd w:id="11"/>
      <w:r>
        <w:rPr>
          <w:b w:val="0"/>
          <w:bCs w:val="0"/>
        </w:rPr>
      </w:r>
      <w:r>
        <w:rPr/>
        <w:t>第十一节</w:t>
      </w:r>
      <w:r>
        <w:rPr>
          <w:spacing w:val="-6"/>
        </w:rPr>
        <w:t> </w:t>
      </w:r>
      <w:r>
        <w:rPr/>
        <w:t>备查文件目录</w:t>
      </w:r>
      <w:r>
        <w:rPr>
          <w:b w:val="0"/>
          <w:bCs w:val="0"/>
        </w:rPr>
      </w:r>
    </w:p>
    <w:p>
      <w:pPr>
        <w:spacing w:line="240" w:lineRule="auto" w:before="13"/>
        <w:rPr>
          <w:rFonts w:ascii="宋体" w:hAnsi="宋体" w:cs="宋体" w:eastAsia="宋体" w:hint="default"/>
          <w:b/>
          <w:bCs/>
          <w:sz w:val="46"/>
          <w:szCs w:val="46"/>
        </w:rPr>
      </w:pPr>
    </w:p>
    <w:p>
      <w:pPr>
        <w:pStyle w:val="Heading5"/>
        <w:spacing w:line="240" w:lineRule="auto"/>
        <w:ind w:left="330" w:right="0"/>
        <w:jc w:val="left"/>
      </w:pPr>
      <w:r>
        <w:rPr/>
        <w:t>（一）载有法定代表人、财务负责人、会计机构负责人签名并盖章的会计报表。</w:t>
      </w:r>
    </w:p>
    <w:p>
      <w:pPr>
        <w:spacing w:line="240" w:lineRule="auto" w:before="10"/>
        <w:rPr>
          <w:rFonts w:ascii="宋体" w:hAnsi="宋体" w:cs="宋体" w:eastAsia="宋体" w:hint="default"/>
          <w:sz w:val="14"/>
          <w:szCs w:val="14"/>
        </w:rPr>
      </w:pPr>
    </w:p>
    <w:p>
      <w:pPr>
        <w:pStyle w:val="Heading5"/>
        <w:spacing w:line="240" w:lineRule="auto"/>
        <w:ind w:left="330" w:right="0"/>
        <w:jc w:val="left"/>
      </w:pPr>
      <w:r>
        <w:rPr/>
        <w:t>（二）载有会计师事务所盖章、注册会计师签名并盖章的审计报告原件。</w:t>
      </w:r>
    </w:p>
    <w:p>
      <w:pPr>
        <w:spacing w:line="240" w:lineRule="auto" w:before="1"/>
        <w:rPr>
          <w:rFonts w:ascii="宋体" w:hAnsi="宋体" w:cs="宋体" w:eastAsia="宋体" w:hint="default"/>
          <w:sz w:val="22"/>
          <w:szCs w:val="22"/>
        </w:rPr>
      </w:pPr>
    </w:p>
    <w:p>
      <w:pPr>
        <w:pStyle w:val="Heading5"/>
        <w:spacing w:line="408" w:lineRule="auto"/>
        <w:ind w:right="0" w:firstLine="177"/>
        <w:jc w:val="left"/>
      </w:pPr>
      <w:r>
        <w:rPr>
          <w:spacing w:val="-2"/>
        </w:rPr>
        <w:t>（三）报告期内在《证券时报》、《上海证券报》及《中国证券报》公开披露过的所有公司文件的正本</w:t>
      </w:r>
      <w:r>
        <w:rPr>
          <w:w w:val="100"/>
        </w:rPr>
        <w:t> </w:t>
      </w:r>
      <w:r>
        <w:rPr/>
        <w:t>及公告的原稿。</w:t>
      </w:r>
    </w:p>
    <w:p>
      <w:pPr>
        <w:pStyle w:val="Heading5"/>
        <w:spacing w:line="240" w:lineRule="auto" w:before="46"/>
        <w:ind w:left="330" w:right="0"/>
        <w:jc w:val="left"/>
      </w:pPr>
      <w:r>
        <w:rPr/>
        <w:t>（四）载有董事长签名的</w:t>
      </w:r>
      <w:r>
        <w:rPr>
          <w:rFonts w:ascii="Times New Roman" w:hAnsi="Times New Roman" w:cs="Times New Roman" w:eastAsia="Times New Roman" w:hint="default"/>
        </w:rPr>
        <w:t>2012</w:t>
      </w:r>
      <w:r>
        <w:rPr/>
        <w:t>年年度报告文本原件。</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0"/>
          <w:szCs w:val="30"/>
        </w:rPr>
      </w:pPr>
    </w:p>
    <w:p>
      <w:pPr>
        <w:pStyle w:val="Heading3"/>
        <w:spacing w:line="240" w:lineRule="auto"/>
        <w:ind w:right="151"/>
        <w:jc w:val="right"/>
      </w:pPr>
      <w:r>
        <w:rPr/>
        <w:t>上海美特斯邦威服饰股份有限公司</w:t>
      </w:r>
    </w:p>
    <w:p>
      <w:pPr>
        <w:pStyle w:val="Heading3"/>
        <w:spacing w:line="240" w:lineRule="auto" w:before="154"/>
        <w:ind w:right="151"/>
        <w:jc w:val="right"/>
      </w:pPr>
      <w:r>
        <w:rPr/>
        <w:t>董事长：周成建</w:t>
      </w:r>
    </w:p>
    <w:p>
      <w:pPr>
        <w:spacing w:before="154"/>
        <w:ind w:left="0" w:right="151" w:firstLine="0"/>
        <w:jc w:val="right"/>
        <w:rPr>
          <w:rFonts w:ascii="宋体" w:hAnsi="宋体" w:cs="宋体" w:eastAsia="宋体" w:hint="default"/>
          <w:sz w:val="24"/>
          <w:szCs w:val="24"/>
        </w:rPr>
      </w:pPr>
      <w:r>
        <w:rPr>
          <w:rFonts w:ascii="Times New Roman" w:hAnsi="Times New Roman" w:cs="Times New Roman" w:eastAsia="Times New Roman" w:hint="default"/>
          <w:b/>
          <w:bCs/>
          <w:sz w:val="24"/>
          <w:szCs w:val="24"/>
        </w:rPr>
        <w:t>2013</w:t>
      </w:r>
      <w:r>
        <w:rPr>
          <w:rFonts w:ascii="宋体" w:hAnsi="宋体" w:cs="宋体" w:eastAsia="宋体" w:hint="default"/>
          <w:sz w:val="24"/>
          <w:szCs w:val="24"/>
        </w:rPr>
        <w:t>年</w:t>
      </w:r>
      <w:r>
        <w:rPr>
          <w:rFonts w:ascii="Times New Roman" w:hAnsi="Times New Roman" w:cs="Times New Roman" w:eastAsia="Times New Roman" w:hint="default"/>
          <w:b/>
          <w:bCs/>
          <w:sz w:val="24"/>
          <w:szCs w:val="24"/>
        </w:rPr>
        <w:t>2</w:t>
      </w:r>
      <w:r>
        <w:rPr>
          <w:rFonts w:ascii="宋体" w:hAnsi="宋体" w:cs="宋体" w:eastAsia="宋体" w:hint="default"/>
          <w:sz w:val="24"/>
          <w:szCs w:val="24"/>
        </w:rPr>
        <w:t>月</w:t>
      </w:r>
      <w:r>
        <w:rPr>
          <w:rFonts w:ascii="Times New Roman" w:hAnsi="Times New Roman" w:cs="Times New Roman" w:eastAsia="Times New Roman" w:hint="default"/>
          <w:b/>
          <w:bCs/>
          <w:sz w:val="24"/>
          <w:szCs w:val="24"/>
        </w:rPr>
        <w:t>28</w:t>
      </w:r>
      <w:r>
        <w:rPr>
          <w:rFonts w:ascii="宋体" w:hAnsi="宋体" w:cs="宋体" w:eastAsia="宋体" w:hint="default"/>
          <w:sz w:val="24"/>
          <w:szCs w:val="24"/>
        </w:rPr>
        <w:t>日</w:t>
      </w:r>
    </w:p>
    <w:sectPr>
      <w:pgSz w:w="11910" w:h="16840"/>
      <w:pgMar w:header="850" w:footer="1186" w:top="1440" w:bottom="13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71.613892pt;width:13.15pt;height:11pt;mso-position-horizontal-relative:page;mso-position-vertical-relative:page;z-index:-752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13892pt;width:17.7pt;height:11pt;mso-position-horizontal-relative:page;mso-position-vertical-relative:page;z-index:-752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109</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71.613892pt;width:17.3pt;height:11pt;mso-position-horizontal-relative:page;mso-position-vertical-relative:page;z-index:-751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13892pt;width:17.7pt;height:11pt;mso-position-horizontal-relative:page;mso-position-vertical-relative:page;z-index:-751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71.613892pt;width:13.15pt;height:11pt;mso-position-horizontal-relative:page;mso-position-vertical-relative:page;z-index:-752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25.013916pt;width:13.15pt;height:11pt;mso-position-horizontal-relative:page;mso-position-vertical-relative:page;z-index:-752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56</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71.613892pt;width:13.15pt;height:11pt;mso-position-horizontal-relative:page;mso-position-vertical-relative:page;z-index:-7522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64</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71.613892pt;width:13.15pt;height:11pt;mso-position-horizontal-relative:page;mso-position-vertical-relative:page;z-index:-752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79</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25.013916pt;width:13.15pt;height:11pt;mso-position-horizontal-relative:page;mso-position-vertical-relative:page;z-index:-752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81</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71.613892pt;width:13.15pt;height:11pt;mso-position-horizontal-relative:page;mso-position-vertical-relative:page;z-index:-752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89</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71.613892pt;width:15.7pt;height:11pt;mso-position-horizontal-relative:page;mso-position-vertical-relative:page;z-index:-7520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71.613892pt;width:17.7pt;height:11pt;mso-position-horizontal-relative:page;mso-position-vertical-relative:page;z-index:-752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50002pt;margin-top:42.499985pt;width:101.4pt;height:27.95pt;mso-position-horizontal-relative:page;mso-position-vertical-relative:page;z-index:-752488" type="#_x0000_t75" stroked="false">
          <v:imagedata r:id="rId1" o:title=""/>
        </v:shape>
      </w:pict>
    </w:r>
    <w:r>
      <w:rPr/>
      <w:pict>
        <v:group style="position:absolute;margin-left:55.200001pt;margin-top:74.399986pt;width:484.9pt;height:.1pt;mso-position-horizontal-relative:page;mso-position-vertical-relative:page;z-index:-752464" coordorigin="1104,1488" coordsize="9698,2">
          <v:shape style="position:absolute;left:1104;top:1488;width:9698;height:2" coordorigin="1104,1488" coordsize="9698,0" path="m1104,1488l10802,1488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32.049988pt;margin-top:61.705608pt;width:204.5pt;height:11.5pt;mso-position-horizontal-relative:page;mso-position-vertical-relative:page;z-index:-752440" type="#_x0000_t202" filled="false" stroked="false">
          <v:textbox inset="0,0,0,0">
            <w:txbxContent>
              <w:p>
                <w:pPr>
                  <w:pStyle w:val="BodyText"/>
                  <w:spacing w:line="214" w:lineRule="exact"/>
                  <w:ind w:left="20" w:right="0"/>
                  <w:jc w:val="left"/>
                </w:pPr>
                <w:r>
                  <w:rPr/>
                  <w:t>上海美特斯邦威服饰股份有限公司</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500008pt;width:101.4pt;height:27.95pt;mso-position-horizontal-relative:page;mso-position-vertical-relative:page;z-index:-752368" type="#_x0000_t75" stroked="false">
          <v:imagedata r:id="rId1" o:title=""/>
        </v:shape>
      </w:pict>
    </w:r>
    <w:r>
      <w:rPr/>
      <w:pict>
        <v:shape style="position:absolute;margin-left:562.710022pt;margin-top:61.725632pt;width:204.6pt;height:11.5pt;mso-position-horizontal-relative:page;mso-position-vertical-relative:page;z-index:-752344" type="#_x0000_t202" filled="false" stroked="false">
          <v:textbox inset="0,0,0,0">
            <w:txbxContent>
              <w:p>
                <w:pPr>
                  <w:pStyle w:val="BodyText"/>
                  <w:spacing w:line="214" w:lineRule="exact"/>
                  <w:ind w:left="20" w:right="0"/>
                  <w:jc w:val="left"/>
                </w:pPr>
                <w:r>
                  <w:rPr/>
                  <w:t>上海美特斯邦威服饰股份有限公司</w:t>
                </w:r>
                <w:r>
                  <w:rPr>
                    <w:spacing w:val="-46"/>
                  </w:rPr>
                  <w:t> </w:t>
                </w:r>
                <w:r>
                  <w:rPr>
                    <w:rFonts w:ascii="Times New Roman" w:hAnsi="Times New Roman" w:cs="Times New Roman" w:eastAsia="Times New Roman" w:hint="default"/>
                  </w:rPr>
                  <w:t>2012 </w:t>
                </w:r>
                <w:r>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50002pt;margin-top:42.499985pt;width:101.4pt;height:27.95pt;mso-position-horizontal-relative:page;mso-position-vertical-relative:page;z-index:-752296" type="#_x0000_t75" stroked="false">
          <v:imagedata r:id="rId1" o:title=""/>
        </v:shape>
      </w:pict>
    </w:r>
    <w:r>
      <w:rPr/>
      <w:pict>
        <v:shape style="position:absolute;margin-left:332.049988pt;margin-top:61.705608pt;width:204.5pt;height:11.5pt;mso-position-horizontal-relative:page;mso-position-vertical-relative:page;z-index:-752272" type="#_x0000_t202" filled="false" stroked="false">
          <v:textbox inset="0,0,0,0">
            <w:txbxContent>
              <w:p>
                <w:pPr>
                  <w:pStyle w:val="BodyText"/>
                  <w:spacing w:line="214" w:lineRule="exact"/>
                  <w:ind w:left="20" w:right="0"/>
                  <w:jc w:val="left"/>
                </w:pPr>
                <w:r>
                  <w:rPr/>
                  <w:t>上海美特斯邦威服饰股份有限公司</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500008pt;width:101.4pt;height:27.95pt;mso-position-horizontal-relative:page;mso-position-vertical-relative:page;z-index:-752200" type="#_x0000_t75" stroked="false">
          <v:imagedata r:id="rId1" o:title=""/>
        </v:shape>
      </w:pict>
    </w:r>
    <w:r>
      <w:rPr/>
      <w:pict>
        <v:shape style="position:absolute;margin-left:562.710022pt;margin-top:61.725632pt;width:204.6pt;height:11.5pt;mso-position-horizontal-relative:page;mso-position-vertical-relative:page;z-index:-752176" type="#_x0000_t202" filled="false" stroked="false">
          <v:textbox inset="0,0,0,0">
            <w:txbxContent>
              <w:p>
                <w:pPr>
                  <w:pStyle w:val="BodyText"/>
                  <w:spacing w:line="214" w:lineRule="exact"/>
                  <w:ind w:left="20" w:right="0"/>
                  <w:jc w:val="left"/>
                </w:pPr>
                <w:r>
                  <w:rPr/>
                  <w:t>上海美特斯邦威服饰股份有限公司</w:t>
                </w:r>
                <w:r>
                  <w:rPr>
                    <w:spacing w:val="-46"/>
                  </w:rPr>
                  <w:t> </w:t>
                </w:r>
                <w:r>
                  <w:rPr>
                    <w:rFonts w:ascii="Times New Roman" w:hAnsi="Times New Roman" w:cs="Times New Roman" w:eastAsia="Times New Roman" w:hint="default"/>
                  </w:rPr>
                  <w:t>2012 </w:t>
                </w:r>
                <w:r>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50002pt;margin-top:42.499985pt;width:101.4pt;height:27.95pt;mso-position-horizontal-relative:page;mso-position-vertical-relative:page;z-index:-752128" type="#_x0000_t75" stroked="false">
          <v:imagedata r:id="rId1" o:title=""/>
        </v:shape>
      </w:pict>
    </w:r>
    <w:r>
      <w:rPr/>
      <w:pict>
        <v:shape style="position:absolute;margin-left:332.049988pt;margin-top:61.705608pt;width:204.5pt;height:11.5pt;mso-position-horizontal-relative:page;mso-position-vertical-relative:page;z-index:-752104" type="#_x0000_t202" filled="false" stroked="false">
          <v:textbox inset="0,0,0,0">
            <w:txbxContent>
              <w:p>
                <w:pPr>
                  <w:pStyle w:val="BodyText"/>
                  <w:spacing w:line="214" w:lineRule="exact"/>
                  <w:ind w:left="20" w:right="0"/>
                  <w:jc w:val="left"/>
                </w:pPr>
                <w:r>
                  <w:rPr/>
                  <w:t>上海美特斯邦威服饰股份有限公司</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74"/>
      <w:ind w:left="152"/>
    </w:pPr>
    <w:rPr>
      <w:rFonts w:ascii="宋体" w:hAnsi="宋体" w:eastAsia="宋体"/>
      <w:sz w:val="21"/>
      <w:szCs w:val="21"/>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135"/>
      <w:outlineLvl w:val="1"/>
    </w:pPr>
    <w:rPr>
      <w:rFonts w:ascii="宋体" w:hAnsi="宋体" w:eastAsia="宋体"/>
      <w:b/>
      <w:bCs/>
      <w:sz w:val="32"/>
      <w:szCs w:val="32"/>
    </w:rPr>
  </w:style>
  <w:style w:styleId="Heading2" w:type="paragraph">
    <w:name w:val="Heading 2"/>
    <w:basedOn w:val="Normal"/>
    <w:uiPriority w:val="1"/>
    <w:qFormat/>
    <w:pPr>
      <w:spacing w:before="26"/>
      <w:ind w:left="152"/>
      <w:outlineLvl w:val="2"/>
    </w:pPr>
    <w:rPr>
      <w:rFonts w:ascii="宋体" w:hAnsi="宋体" w:eastAsia="宋体"/>
      <w:b/>
      <w:bCs/>
      <w:sz w:val="24"/>
      <w:szCs w:val="24"/>
    </w:rPr>
  </w:style>
  <w:style w:styleId="Heading3" w:type="paragraph">
    <w:name w:val="Heading 3"/>
    <w:basedOn w:val="Normal"/>
    <w:uiPriority w:val="1"/>
    <w:qFormat/>
    <w:pPr>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ind w:left="152"/>
      <w:outlineLvl w:val="5"/>
    </w:pPr>
    <w:rPr>
      <w:rFonts w:ascii="宋体" w:hAnsi="宋体" w:eastAsia="宋体"/>
      <w:sz w:val="21"/>
      <w:szCs w:val="21"/>
    </w:rPr>
  </w:style>
  <w:style w:styleId="Heading6" w:type="paragraph">
    <w:name w:val="Heading 6"/>
    <w:basedOn w:val="Normal"/>
    <w:uiPriority w:val="1"/>
    <w:qFormat/>
    <w:pPr>
      <w:ind w:left="152"/>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metersbonwe.com/" TargetMode="External"/><Relationship Id="rId9" Type="http://schemas.openxmlformats.org/officeDocument/2006/relationships/hyperlink" Target="mailto:Corporate@metersbonwe.com" TargetMode="External"/><Relationship Id="rId10" Type="http://schemas.openxmlformats.org/officeDocument/2006/relationships/hyperlink" Target="http://www.cninfo.com.cn/" TargetMode="External"/><Relationship Id="rId11" Type="http://schemas.openxmlformats.org/officeDocument/2006/relationships/hyperlink" Target="http://corp.metersbonwe.com/" TargetMode="External"/><Relationship Id="rId12" Type="http://schemas.openxmlformats.org/officeDocument/2006/relationships/hyperlink" Target="http://www.me-city.com/" TargetMode="External"/><Relationship Id="rId13" Type="http://schemas.openxmlformats.org/officeDocument/2006/relationships/hyperlink" Target="http://www.banggo.com&#21450;&#26102;&#21002;&#30331;&#26412;&#20225;&#19994;&#26368;&#26032;&#33829;&#38144;&#27963;&#21160;/" TargetMode="External"/><Relationship Id="rId14" Type="http://schemas.openxmlformats.org/officeDocument/2006/relationships/image" Target="media/image2.png"/><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header" Target="header4.xml"/><Relationship Id="rId22" Type="http://schemas.openxmlformats.org/officeDocument/2006/relationships/footer" Target="footer6.xml"/><Relationship Id="rId23" Type="http://schemas.openxmlformats.org/officeDocument/2006/relationships/header" Target="header5.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footer" Target="footer1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上海美特斯邦威服饰股份有限公司</dc:creator>
  <dc:title>上海美特斯邦威服饰股份有限公司2012年度报告全文</dc:title>
  <dcterms:created xsi:type="dcterms:W3CDTF">2020-05-04T00:37:14Z</dcterms:created>
  <dcterms:modified xsi:type="dcterms:W3CDTF">2020-05-04T00:37:14Z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2013-02-27T00:00:00Z</vt:filetime>
  </property>
  <property fmtid="{D5CDD505-2E9C-101B-9397-08002B2CF9AE}" pid="3" name="Creator">
    <vt:lpwstr>Microsoft® Word 2010</vt:lpwstr>
  </property>
  <property fmtid="{D5CDD505-2E9C-101B-9397-08002B2CF9AE}" pid="4" name="LastSaved">
    <vt:filetime>2020-05-03T00:00:00Z</vt:filetime>
  </property>
</Properties>
</file>