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224" w:lineRule="exact"/>
        <w:ind w:left="16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336444" cy="7772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336444" cy="77724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620" w:lineRule="exact" w:before="0"/>
        <w:ind w:left="338" w:right="2016" w:firstLine="0"/>
        <w:jc w:val="center"/>
        <w:rPr>
          <w:rFonts w:ascii="宋体" w:hAnsi="宋体" w:cs="宋体" w:eastAsia="宋体" w:hint="default"/>
          <w:sz w:val="52"/>
          <w:szCs w:val="52"/>
        </w:rPr>
      </w:pPr>
      <w:r>
        <w:rPr>
          <w:rFonts w:ascii="宋体" w:hAnsi="宋体" w:cs="宋体" w:eastAsia="宋体" w:hint="default"/>
          <w:b/>
          <w:bCs/>
          <w:sz w:val="52"/>
          <w:szCs w:val="52"/>
        </w:rPr>
        <w:t>上海美特斯邦威服饰股份有限公司</w:t>
      </w:r>
      <w:r>
        <w:rPr>
          <w:rFonts w:ascii="宋体" w:hAnsi="宋体" w:cs="宋体" w:eastAsia="宋体" w:hint="default"/>
          <w:sz w:val="52"/>
          <w:szCs w:val="52"/>
        </w:rPr>
      </w:r>
    </w:p>
    <w:p>
      <w:pPr>
        <w:spacing w:before="393"/>
        <w:ind w:left="338" w:right="2014" w:firstLine="0"/>
        <w:jc w:val="center"/>
        <w:rPr>
          <w:rFonts w:ascii="宋体" w:hAnsi="宋体" w:cs="宋体" w:eastAsia="宋体" w:hint="default"/>
          <w:sz w:val="52"/>
          <w:szCs w:val="52"/>
        </w:rPr>
      </w:pPr>
      <w:r>
        <w:rPr>
          <w:rFonts w:ascii="宋体" w:hAnsi="宋体" w:cs="宋体" w:eastAsia="宋体" w:hint="default"/>
          <w:b/>
          <w:bCs/>
          <w:sz w:val="52"/>
          <w:szCs w:val="52"/>
        </w:rPr>
        <w:t>2014</w:t>
      </w:r>
      <w:r>
        <w:rPr>
          <w:rFonts w:ascii="宋体" w:hAnsi="宋体" w:cs="宋体" w:eastAsia="宋体" w:hint="default"/>
          <w:b/>
          <w:bCs/>
          <w:spacing w:val="-136"/>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7"/>
        <w:rPr>
          <w:rFonts w:ascii="宋体" w:hAnsi="宋体" w:cs="宋体" w:eastAsia="宋体" w:hint="default"/>
          <w:b/>
          <w:bCs/>
          <w:sz w:val="44"/>
          <w:szCs w:val="44"/>
        </w:rPr>
      </w:pPr>
    </w:p>
    <w:p>
      <w:pPr>
        <w:spacing w:before="0"/>
        <w:ind w:left="338" w:right="20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979" w:top="1580" w:bottom="1160" w:left="16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1"/>
        <w:spacing w:line="240" w:lineRule="auto"/>
        <w:ind w:left="2885" w:right="10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472" w:lineRule="auto" w:before="162"/>
        <w:ind w:left="716" w:right="1033"/>
        <w:jc w:val="left"/>
        <w:rPr>
          <w:b w:val="0"/>
          <w:bCs w:val="0"/>
        </w:rPr>
      </w:pPr>
      <w:r>
        <w:rPr/>
        <w:t>所有董事均已出席了审议本报告的董事会会议。</w:t>
      </w:r>
      <w:r>
        <w:rPr>
          <w:w w:val="99"/>
        </w:rPr>
        <w:t> </w:t>
      </w:r>
      <w:r>
        <w:rPr/>
        <w:t>公司经本次董事会审议通过的利润分配预案为：以</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月末公司总</w:t>
      </w:r>
      <w:r>
        <w:rPr>
          <w:b w:val="0"/>
          <w:bCs w:val="0"/>
        </w:rPr>
      </w:r>
    </w:p>
    <w:p>
      <w:pPr>
        <w:pStyle w:val="Heading2"/>
        <w:spacing w:line="323" w:lineRule="exact"/>
        <w:ind w:right="1033"/>
        <w:jc w:val="left"/>
        <w:rPr>
          <w:b w:val="0"/>
          <w:bCs w:val="0"/>
        </w:rPr>
      </w:pPr>
      <w:r>
        <w:rPr>
          <w:spacing w:val="1"/>
          <w:w w:val="99"/>
        </w:rPr>
        <w:t>股</w:t>
      </w:r>
      <w:r>
        <w:rPr>
          <w:w w:val="99"/>
        </w:rPr>
        <w:t>本</w:t>
      </w:r>
      <w:r>
        <w:rPr>
          <w:spacing w:val="-6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7"/>
          <w:w w:val="99"/>
        </w:rPr>
        <w:t>1</w:t>
      </w:r>
      <w:r>
        <w:rPr>
          <w:rFonts w:ascii="Times New Roman" w:hAnsi="Times New Roman" w:cs="Times New Roman" w:eastAsia="Times New Roman" w:hint="default"/>
          <w:w w:val="99"/>
        </w:rPr>
        <w:t>1,000,000</w:t>
      </w:r>
      <w:r>
        <w:rPr>
          <w:rFonts w:ascii="Times New Roman" w:hAnsi="Times New Roman" w:cs="Times New Roman" w:eastAsia="Times New Roman" w:hint="default"/>
        </w:rPr>
        <w:t> </w:t>
      </w:r>
      <w:r>
        <w:rPr>
          <w:w w:val="99"/>
        </w:rPr>
        <w:t>股为基</w:t>
      </w:r>
      <w:r>
        <w:rPr>
          <w:spacing w:val="2"/>
          <w:w w:val="99"/>
        </w:rPr>
        <w:t>数</w:t>
      </w:r>
      <w:r>
        <w:rPr>
          <w:spacing w:val="-129"/>
          <w:w w:val="99"/>
        </w:rPr>
        <w:t>，</w:t>
      </w:r>
      <w:r>
        <w:rPr>
          <w:w w:val="99"/>
        </w:rPr>
        <w:t>向全</w:t>
      </w:r>
      <w:r>
        <w:rPr>
          <w:spacing w:val="2"/>
          <w:w w:val="99"/>
        </w:rPr>
        <w:t>体</w:t>
      </w:r>
      <w:r>
        <w:rPr>
          <w:w w:val="99"/>
        </w:rPr>
        <w:t>股东每</w:t>
      </w:r>
      <w:r>
        <w:rPr>
          <w:spacing w:val="-66"/>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股送红</w:t>
      </w:r>
      <w:r>
        <w:rPr>
          <w:w w:val="99"/>
        </w:rPr>
        <w:t>股</w:t>
      </w:r>
      <w:r>
        <w:rPr>
          <w:spacing w:val="-70"/>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1"/>
          <w:w w:val="99"/>
        </w:rPr>
        <w:t>股</w:t>
      </w:r>
      <w:r>
        <w:rPr>
          <w:spacing w:val="-129"/>
          <w:w w:val="99"/>
        </w:rPr>
        <w:t>，</w:t>
      </w:r>
      <w:r>
        <w:rPr>
          <w:spacing w:val="1"/>
          <w:w w:val="99"/>
        </w:rPr>
        <w:t>派发现</w:t>
      </w:r>
      <w:r>
        <w:rPr>
          <w:w w:val="99"/>
        </w:rPr>
        <w:t>金</w:t>
      </w:r>
      <w:r>
        <w:rPr>
          <w:spacing w:val="-68"/>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129"/>
          <w:w w:val="99"/>
        </w:rPr>
        <w:t>元</w:t>
      </w:r>
      <w:r>
        <w:rPr>
          <w:w w:val="99"/>
        </w:rPr>
        <w:t>（含</w:t>
      </w:r>
      <w:r>
        <w:rPr>
          <w:b w:val="0"/>
          <w:bCs w:val="0"/>
        </w:rPr>
      </w:r>
    </w:p>
    <w:p>
      <w:pPr>
        <w:pStyle w:val="Heading2"/>
        <w:spacing w:line="240" w:lineRule="auto" w:before="236"/>
        <w:ind w:right="1033"/>
        <w:jc w:val="left"/>
        <w:rPr>
          <w:b w:val="0"/>
          <w:bCs w:val="0"/>
        </w:rPr>
      </w:pPr>
      <w:r>
        <w:rPr>
          <w:spacing w:val="1"/>
          <w:w w:val="99"/>
        </w:rPr>
        <w:t>税</w:t>
      </w:r>
      <w:r>
        <w:rPr>
          <w:spacing w:val="-140"/>
          <w:w w:val="99"/>
        </w:rPr>
        <w:t>）</w:t>
      </w:r>
      <w:r>
        <w:rPr>
          <w:w w:val="99"/>
        </w:rPr>
        <w:t>；</w:t>
      </w:r>
      <w:r>
        <w:rPr>
          <w:spacing w:val="2"/>
          <w:w w:val="99"/>
        </w:rPr>
        <w:t>同</w:t>
      </w:r>
      <w:r>
        <w:rPr>
          <w:w w:val="99"/>
        </w:rPr>
        <w:t>时以资</w:t>
      </w:r>
      <w:r>
        <w:rPr>
          <w:spacing w:val="2"/>
          <w:w w:val="99"/>
        </w:rPr>
        <w:t>本</w:t>
      </w:r>
      <w:r>
        <w:rPr>
          <w:w w:val="99"/>
        </w:rPr>
        <w:t>公积向</w:t>
      </w:r>
      <w:r>
        <w:rPr>
          <w:spacing w:val="2"/>
          <w:w w:val="99"/>
        </w:rPr>
        <w:t>全</w:t>
      </w:r>
      <w:r>
        <w:rPr>
          <w:w w:val="99"/>
        </w:rPr>
        <w:t>体股东每</w:t>
      </w:r>
      <w:r>
        <w:rPr>
          <w:spacing w:val="-43"/>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21"/>
        </w:rPr>
        <w:t> </w:t>
      </w:r>
      <w:r>
        <w:rPr>
          <w:spacing w:val="1"/>
          <w:w w:val="99"/>
        </w:rPr>
        <w:t>股转</w:t>
      </w:r>
      <w:r>
        <w:rPr>
          <w:w w:val="99"/>
        </w:rPr>
        <w:t>增</w:t>
      </w:r>
      <w:r>
        <w:rPr>
          <w:spacing w:val="-4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21"/>
        </w:rPr>
        <w:t> </w:t>
      </w:r>
      <w:r>
        <w:rPr>
          <w:w w:val="99"/>
        </w:rPr>
        <w:t>股，以盈余</w:t>
      </w:r>
      <w:r>
        <w:rPr>
          <w:spacing w:val="2"/>
          <w:w w:val="99"/>
        </w:rPr>
        <w:t>公</w:t>
      </w:r>
      <w:r>
        <w:rPr>
          <w:w w:val="99"/>
        </w:rPr>
        <w:t>积向全</w:t>
      </w:r>
      <w:r>
        <w:rPr>
          <w:spacing w:val="2"/>
          <w:w w:val="99"/>
        </w:rPr>
        <w:t>体</w:t>
      </w:r>
      <w:r>
        <w:rPr>
          <w:w w:val="99"/>
        </w:rPr>
        <w:t>股东每</w:t>
      </w:r>
      <w:r>
        <w:rPr>
          <w:b w:val="0"/>
          <w:bCs w:val="0"/>
        </w:rPr>
      </w:r>
    </w:p>
    <w:p>
      <w:pPr>
        <w:pStyle w:val="Heading2"/>
        <w:spacing w:line="446" w:lineRule="auto" w:before="237"/>
        <w:ind w:left="716" w:right="1033" w:hanging="562"/>
        <w:jc w:val="left"/>
        <w:rPr>
          <w:b w:val="0"/>
          <w:bCs w:val="0"/>
        </w:rPr>
      </w:pPr>
      <w:r>
        <w:rPr>
          <w:rFonts w:ascii="Times New Roman" w:hAnsi="Times New Roman" w:cs="Times New Roman" w:eastAsia="Times New Roman" w:hint="default"/>
        </w:rPr>
        <w:t>10 </w:t>
      </w:r>
      <w:r>
        <w:rPr/>
        <w:t>股转增</w:t>
      </w:r>
      <w:r>
        <w:rPr>
          <w:spacing w:val="-70"/>
        </w:rPr>
        <w:t> </w:t>
      </w:r>
      <w:r>
        <w:rPr>
          <w:rFonts w:ascii="Times New Roman" w:hAnsi="Times New Roman" w:cs="Times New Roman" w:eastAsia="Times New Roman" w:hint="default"/>
        </w:rPr>
        <w:t>1 </w:t>
      </w:r>
      <w:r>
        <w:rPr/>
        <w:t>股。</w:t>
      </w:r>
      <w:r>
        <w:rPr>
          <w:spacing w:val="1"/>
          <w:w w:val="99"/>
        </w:rPr>
        <w:t> </w:t>
      </w:r>
      <w:r>
        <w:rPr>
          <w:w w:val="95"/>
        </w:rPr>
        <w:t>公司负责人周成建、主管会计工作负责人涂珂及会计机构负责人</w:t>
      </w:r>
      <w:r>
        <w:rPr>
          <w:rFonts w:ascii="Times New Roman" w:hAnsi="Times New Roman" w:cs="Times New Roman" w:eastAsia="Times New Roman" w:hint="default"/>
          <w:w w:val="95"/>
        </w:rPr>
        <w:t>(</w:t>
      </w:r>
      <w:r>
        <w:rPr>
          <w:w w:val="95"/>
        </w:rPr>
        <w:t>会计主管</w:t>
      </w:r>
      <w:r>
        <w:rPr>
          <w:b w:val="0"/>
          <w:bCs w:val="0"/>
        </w:rPr>
      </w:r>
    </w:p>
    <w:p>
      <w:pPr>
        <w:pStyle w:val="Heading2"/>
        <w:spacing w:line="359" w:lineRule="exact"/>
        <w:ind w:right="1033"/>
        <w:jc w:val="left"/>
        <w:rPr>
          <w:b w:val="0"/>
          <w:bCs w:val="0"/>
        </w:rPr>
      </w:pPr>
      <w:r>
        <w:rPr/>
        <w:t>人员</w:t>
      </w:r>
      <w:r>
        <w:rPr>
          <w:rFonts w:ascii="Times New Roman" w:hAnsi="Times New Roman" w:cs="Times New Roman" w:eastAsia="Times New Roman" w:hint="default"/>
        </w:rPr>
        <w:t>)</w:t>
      </w:r>
      <w:r>
        <w:rPr/>
        <w:t>董祝秀声明：保证年度报告中财务报告的真实、准确、完整。</w:t>
      </w:r>
      <w:r>
        <w:rPr>
          <w:b w:val="0"/>
          <w:bCs w:val="0"/>
        </w:rPr>
      </w:r>
    </w:p>
    <w:p>
      <w:pPr>
        <w:spacing w:after="0" w:line="359" w:lineRule="exact"/>
        <w:jc w:val="left"/>
        <w:sectPr>
          <w:headerReference w:type="default" r:id="rId7"/>
          <w:footerReference w:type="default" r:id="rId8"/>
          <w:pgSz w:w="11910" w:h="16840"/>
          <w:pgMar w:header="851" w:footer="979" w:top="1320" w:bottom="1160" w:left="980" w:right="0"/>
          <w:pgNumType w:start="2"/>
        </w:sectPr>
      </w:pPr>
    </w:p>
    <w:p>
      <w:pPr>
        <w:spacing w:line="240" w:lineRule="auto" w:before="0"/>
        <w:rPr>
          <w:rFonts w:ascii="宋体" w:hAnsi="宋体" w:cs="宋体" w:eastAsia="宋体" w:hint="default"/>
          <w:b/>
          <w:bCs/>
          <w:sz w:val="20"/>
          <w:szCs w:val="20"/>
        </w:rPr>
      </w:pPr>
    </w:p>
    <w:p>
      <w:pPr>
        <w:spacing w:before="147"/>
        <w:ind w:left="3659" w:right="4647" w:firstLine="0"/>
        <w:jc w:val="center"/>
        <w:rPr>
          <w:rFonts w:ascii="宋体" w:hAnsi="宋体" w:cs="宋体" w:eastAsia="宋体" w:hint="default"/>
          <w:sz w:val="32"/>
          <w:szCs w:val="32"/>
        </w:rPr>
      </w:pPr>
      <w:bookmarkStart w:name="目录" w:id="3"/>
      <w:bookmarkEnd w:id="3"/>
      <w:r>
        <w:rPr/>
      </w: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631"/>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w:t>
            </w:r>
            <w:r>
              <w:rPr>
                <w:rFonts w:ascii="Times New Roman" w:hAnsi="Times New Roman" w:cs="Times New Roman" w:eastAsia="Times New Roman" w:hint="default"/>
              </w:rPr>
              <w:tab/>
              <w:t>6</w:t>
            </w:r>
          </w:hyperlink>
        </w:p>
        <w:p>
          <w:pPr>
            <w:pStyle w:val="TOC1"/>
            <w:tabs>
              <w:tab w:pos="9782" w:val="right" w:leader="dot"/>
            </w:tabs>
            <w:spacing w:line="240" w:lineRule="auto" w:before="277"/>
            <w:ind w:right="0"/>
            <w:jc w:val="left"/>
            <w:rPr>
              <w:rFonts w:ascii="Times New Roman" w:hAnsi="Times New Roman" w:cs="Times New Roman" w:eastAsia="Times New Roman" w:hint="default"/>
            </w:rPr>
          </w:pPr>
          <w:hyperlink w:history="true" w:anchor="_bookmark2">
            <w:r>
              <w:rPr/>
              <w:t>第三节会计数据和财务指标摘要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27</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34</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39</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7">
            <w:r>
              <w:rPr/>
              <w:t>第八节董事、监事、高级管理人员和员工情况</w:t>
            </w:r>
            <w:r>
              <w:rPr>
                <w:rFonts w:ascii="Times New Roman" w:hAnsi="Times New Roman" w:cs="Times New Roman" w:eastAsia="Times New Roman" w:hint="default"/>
              </w:rPr>
              <w:tab/>
              <w:t>40</w:t>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rPr>
          </w:pPr>
          <w:hyperlink w:history="true" w:anchor="_bookmark8">
            <w:r>
              <w:rPr/>
              <w:t>第九节公司治理</w:t>
            </w:r>
            <w:r>
              <w:rPr>
                <w:rFonts w:ascii="Times New Roman" w:hAnsi="Times New Roman" w:cs="Times New Roman" w:eastAsia="Times New Roman" w:hint="default"/>
              </w:rPr>
              <w:tab/>
              <w:t>45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第十节内部控制</w:t>
            </w:r>
            <w:r>
              <w:rPr>
                <w:rFonts w:ascii="Times New Roman" w:hAnsi="Times New Roman" w:cs="Times New Roman" w:eastAsia="Times New Roman" w:hint="default"/>
              </w:rPr>
              <w:tab/>
              <w:t>50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第十一节财务报告</w:t>
            </w:r>
            <w:r>
              <w:rPr>
                <w:rFonts w:ascii="Times New Roman" w:hAnsi="Times New Roman" w:cs="Times New Roman" w:eastAsia="Times New Roman" w:hint="default"/>
              </w:rPr>
              <w:tab/>
              <w:t>52</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11">
            <w:r>
              <w:rPr/>
              <w:t>第十二节备查文件目录</w:t>
            </w:r>
            <w:r>
              <w:rPr>
                <w:rFonts w:ascii="Times New Roman" w:hAnsi="Times New Roman" w:cs="Times New Roman" w:eastAsia="Times New Roman" w:hint="default"/>
              </w:rPr>
              <w:tab/>
              <w:t>141</w:t>
            </w:r>
          </w:hyperlink>
        </w:p>
        <w:p>
          <w:pPr/>
          <w:r>
            <w:fldChar w:fldCharType="end"/>
          </w:r>
        </w:p>
      </w:sdtContent>
    </w:sdt>
    <w:p>
      <w:pPr>
        <w:spacing w:after="0"/>
        <w:sectPr>
          <w:pgSz w:w="11910" w:h="16840"/>
          <w:pgMar w:header="851" w:footer="979" w:top="1380" w:bottom="1160" w:left="980" w:right="0"/>
        </w:sectPr>
      </w:pPr>
    </w:p>
    <w:p>
      <w:pPr>
        <w:spacing w:before="328"/>
        <w:ind w:left="3668" w:right="4644" w:firstLine="0"/>
        <w:jc w:val="center"/>
        <w:rPr>
          <w:rFonts w:ascii="宋体" w:hAnsi="宋体" w:cs="宋体" w:eastAsia="宋体" w:hint="default"/>
          <w:sz w:val="32"/>
          <w:szCs w:val="32"/>
        </w:rPr>
      </w:pPr>
      <w:bookmarkStart w:name="释义" w:id="4"/>
      <w:bookmarkEnd w:id="4"/>
      <w:r>
        <w:rPr/>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上海爱裳邦购信息科技有限公司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温州美特斯邦威集团有限公司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长安基金管理有限公司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华营实业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上海华营实业有限公司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r>
    </w:tbl>
    <w:p>
      <w:pPr>
        <w:spacing w:after="0" w:line="240" w:lineRule="auto"/>
        <w:jc w:val="left"/>
        <w:rPr>
          <w:rFonts w:ascii="宋体" w:hAnsi="宋体" w:cs="宋体" w:eastAsia="宋体" w:hint="default"/>
          <w:sz w:val="18"/>
          <w:szCs w:val="18"/>
        </w:rPr>
        <w:sectPr>
          <w:pgSz w:w="11910" w:h="16840"/>
          <w:pgMar w:header="851" w:footer="979" w:top="138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1"/>
        <w:ind w:left="3668" w:right="464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398" w:lineRule="auto"/>
        <w:ind w:right="1123" w:firstLine="562"/>
        <w:jc w:val="both"/>
        <w:rPr>
          <w:b w:val="0"/>
          <w:bCs w:val="0"/>
        </w:rPr>
      </w:pPr>
      <w:r>
        <w:rPr>
          <w:rFonts w:ascii="Times New Roman" w:hAnsi="Times New Roman" w:cs="Times New Roman" w:eastAsia="Times New Roman" w:hint="default"/>
        </w:rPr>
        <w:t>1</w:t>
      </w:r>
      <w:r>
        <w:rPr/>
        <w:t>、</w:t>
      </w:r>
      <w:r>
        <w:rPr>
          <w:spacing w:val="95"/>
        </w:rPr>
        <w:t> </w:t>
      </w:r>
      <w:r>
        <w:rPr>
          <w:spacing w:val="9"/>
        </w:rPr>
        <w:t>宏观经济波动风险本公司所在的休闲服饰行业受宏观经济影响较显</w:t>
      </w:r>
      <w:r>
        <w:rPr>
          <w:spacing w:val="9"/>
          <w:w w:val="99"/>
        </w:rPr>
        <w:t> </w:t>
      </w:r>
      <w:r>
        <w:rPr/>
        <w:t>著。自 </w:t>
      </w:r>
      <w:r>
        <w:rPr>
          <w:rFonts w:ascii="Times New Roman" w:hAnsi="Times New Roman" w:cs="Times New Roman" w:eastAsia="Times New Roman" w:hint="default"/>
        </w:rPr>
        <w:t>2001 </w:t>
      </w:r>
      <w:r>
        <w:rPr/>
        <w:t>年以来，我国国民经济持续稳定增长，</w:t>
      </w:r>
      <w:r>
        <w:rPr>
          <w:rFonts w:ascii="Times New Roman" w:hAnsi="Times New Roman" w:cs="Times New Roman" w:eastAsia="Times New Roman" w:hint="default"/>
        </w:rPr>
        <w:t>GDP</w:t>
      </w:r>
      <w:r>
        <w:rPr>
          <w:rFonts w:ascii="Times New Roman" w:hAnsi="Times New Roman" w:cs="Times New Roman" w:eastAsia="Times New Roman" w:hint="default"/>
          <w:spacing w:val="32"/>
        </w:rPr>
        <w:t> </w:t>
      </w:r>
      <w:r>
        <w:rPr/>
        <w:t>总量和增长率均保持</w:t>
      </w:r>
      <w:r>
        <w:rPr>
          <w:w w:val="99"/>
        </w:rPr>
        <w:t> </w:t>
      </w:r>
      <w:r>
        <w:rPr>
          <w:spacing w:val="3"/>
          <w:w w:val="95"/>
        </w:rPr>
        <w:t>平稳快速增长，居民收入和消费水平的提高，从而服装消费总量也随之提高；</w:t>
      </w:r>
      <w:r>
        <w:rPr>
          <w:spacing w:val="23"/>
          <w:w w:val="95"/>
        </w:rPr>
        <w:t> </w:t>
      </w:r>
      <w:r>
        <w:rPr>
          <w:spacing w:val="23"/>
          <w:w w:val="95"/>
        </w:rPr>
      </w:r>
      <w:r>
        <w:rPr>
          <w:spacing w:val="3"/>
          <w:w w:val="95"/>
        </w:rPr>
        <w:t>然而国内经济近年来增长有所放缓，我国经济短期持续增长的压力较大，公司</w:t>
      </w:r>
      <w:r>
        <w:rPr>
          <w:spacing w:val="23"/>
          <w:w w:val="95"/>
        </w:rPr>
        <w:t> </w:t>
      </w:r>
      <w:r>
        <w:rPr>
          <w:spacing w:val="23"/>
          <w:w w:val="95"/>
        </w:rPr>
      </w:r>
      <w:r>
        <w:rPr/>
        <w:t>的主营业务发展和盈利能力面临因宏观经济调整所带来的周期性波动风险。</w:t>
      </w:r>
      <w:r>
        <w:rPr>
          <w:b w:val="0"/>
          <w:bCs w:val="0"/>
        </w:rPr>
      </w:r>
    </w:p>
    <w:p>
      <w:pPr>
        <w:pStyle w:val="Heading2"/>
        <w:spacing w:line="405" w:lineRule="auto" w:before="172"/>
        <w:ind w:right="1142" w:firstLine="562"/>
        <w:jc w:val="both"/>
        <w:rPr>
          <w:b w:val="0"/>
          <w:bCs w:val="0"/>
        </w:rPr>
      </w:pPr>
      <w:r>
        <w:rPr>
          <w:rFonts w:ascii="Times New Roman" w:hAnsi="Times New Roman" w:cs="Times New Roman" w:eastAsia="Times New Roman" w:hint="default"/>
        </w:rPr>
        <w:t>2</w:t>
      </w:r>
      <w:r>
        <w:rPr/>
        <w:t>、</w:t>
      </w:r>
      <w:r>
        <w:rPr>
          <w:spacing w:val="58"/>
        </w:rPr>
        <w:t> </w:t>
      </w:r>
      <w:r>
        <w:rPr/>
        <w:t>行业竞争的风险本公司所在的休闲服行业竞争激烈，虽然本公司目前</w:t>
      </w:r>
      <w:r>
        <w:rPr>
          <w:w w:val="99"/>
        </w:rPr>
        <w:t> </w:t>
      </w:r>
      <w:r>
        <w:rPr>
          <w:spacing w:val="3"/>
          <w:w w:val="95"/>
        </w:rPr>
        <w:t>在国内休闲服零售业内拥有较强的市场地位，但随着市场的不断细分，来自国</w:t>
      </w:r>
      <w:r>
        <w:rPr>
          <w:spacing w:val="23"/>
          <w:w w:val="95"/>
        </w:rPr>
        <w:t> </w:t>
      </w:r>
      <w:r>
        <w:rPr>
          <w:spacing w:val="23"/>
          <w:w w:val="95"/>
        </w:rPr>
      </w:r>
      <w:r>
        <w:rPr>
          <w:spacing w:val="3"/>
          <w:w w:val="95"/>
        </w:rPr>
        <w:t>内外竞争品牌的竞争压力仍将持续甚至加大，可能导致本公司的产品售价降低</w:t>
      </w:r>
      <w:r>
        <w:rPr>
          <w:spacing w:val="23"/>
          <w:w w:val="95"/>
        </w:rPr>
        <w:t> </w:t>
      </w:r>
      <w:r>
        <w:rPr>
          <w:spacing w:val="23"/>
          <w:w w:val="95"/>
        </w:rPr>
      </w:r>
      <w:r>
        <w:rPr>
          <w:spacing w:val="3"/>
          <w:w w:val="95"/>
        </w:rPr>
        <w:t>或销量减少，从而影响本公司的财务状况和经营业绩。另外，伴随电子商务的</w:t>
      </w:r>
      <w:r>
        <w:rPr>
          <w:spacing w:val="23"/>
          <w:w w:val="95"/>
        </w:rPr>
        <w:t> </w:t>
      </w:r>
      <w:r>
        <w:rPr>
          <w:spacing w:val="23"/>
          <w:w w:val="95"/>
        </w:rPr>
      </w:r>
      <w:r>
        <w:rPr>
          <w:spacing w:val="3"/>
          <w:w w:val="95"/>
        </w:rPr>
        <w:t>发展、网络终端的普及，人们服装消费的习惯也在逐渐改变，网上销售成为服</w:t>
      </w:r>
      <w:r>
        <w:rPr>
          <w:spacing w:val="23"/>
          <w:w w:val="95"/>
        </w:rPr>
        <w:t> </w:t>
      </w:r>
      <w:r>
        <w:rPr>
          <w:spacing w:val="23"/>
          <w:w w:val="95"/>
        </w:rPr>
      </w:r>
      <w:r>
        <w:rPr>
          <w:spacing w:val="3"/>
          <w:w w:val="95"/>
        </w:rPr>
        <w:t>装业一大趋势。公司也在探索利用电子商务进行销售，但目前仍然处于起步阶</w:t>
      </w:r>
      <w:r>
        <w:rPr>
          <w:spacing w:val="23"/>
          <w:w w:val="95"/>
        </w:rPr>
        <w:t> </w:t>
      </w:r>
      <w:r>
        <w:rPr>
          <w:spacing w:val="23"/>
          <w:w w:val="95"/>
        </w:rPr>
      </w:r>
      <w:r>
        <w:rPr>
          <w:spacing w:val="3"/>
          <w:w w:val="95"/>
        </w:rPr>
        <w:t>段。电子商务销售模式的发展将可能对公司利用实体门店进行销售的传统模式</w:t>
      </w:r>
      <w:r>
        <w:rPr>
          <w:spacing w:val="23"/>
          <w:w w:val="95"/>
        </w:rPr>
        <w:t> </w:t>
      </w:r>
      <w:r>
        <w:rPr>
          <w:spacing w:val="23"/>
          <w:w w:val="95"/>
        </w:rPr>
      </w:r>
      <w:r>
        <w:rPr/>
        <w:t>产生冲击并带来一定的风险。</w:t>
      </w:r>
      <w:r>
        <w:rPr>
          <w:b w:val="0"/>
          <w:bCs w:val="0"/>
        </w:rPr>
      </w:r>
    </w:p>
    <w:p>
      <w:pPr>
        <w:spacing w:after="0" w:line="405" w:lineRule="auto"/>
        <w:jc w:val="both"/>
        <w:sectPr>
          <w:pgSz w:w="11910" w:h="16840"/>
          <w:pgMar w:header="851" w:footer="979" w:top="138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89.879974pt;width:361.5pt;height:19.6pt;mso-position-horizontal-relative:page;mso-position-vertical-relative:page;z-index:-781720" coordorigin="3447,5798" coordsize="7230,392">
            <v:shape style="position:absolute;left:3447;top:5798;width:7230;height:392" coordorigin="3447,5798" coordsize="7230,392" path="m3447,6189l10676,6189,10676,5798,3447,5798,3447,6189xe" filled="true" fillcolor="#ffffff" stroked="false">
              <v:path arrowok="t"/>
              <v:fill type="solid"/>
            </v:shape>
            <w10:wrap type="none"/>
          </v:group>
        </w:pict>
      </w:r>
    </w:p>
    <w:p>
      <w:pPr>
        <w:pStyle w:val="Heading1"/>
        <w:spacing w:line="240" w:lineRule="auto" w:before="147"/>
        <w:ind w:right="4647"/>
        <w:jc w:val="center"/>
        <w:rPr>
          <w:b w:val="0"/>
          <w:bCs w:val="0"/>
        </w:rPr>
      </w:pPr>
      <w:bookmarkStart w:name="第二节公司简介" w:id="5"/>
      <w:bookmarkEnd w:id="5"/>
      <w:r>
        <w:rPr>
          <w:b w:val="0"/>
          <w:bCs w:val="0"/>
        </w:rPr>
      </w:r>
      <w:bookmarkStart w:name="_bookmark1" w:id="6"/>
      <w:bookmarkEnd w:id="6"/>
      <w:r>
        <w:rPr>
          <w:b w:val="0"/>
          <w:bCs w:val="0"/>
        </w:rPr>
      </w:r>
      <w:r>
        <w:rPr/>
        <w:t>第二节公司简介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公司信息" w:id="7"/>
      <w:bookmarkEnd w:id="7"/>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Metersbonwe Fashion&amp;Accessories</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Metersbonwe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周成建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http://www.metersbonwe.com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二、联系人和联系方式" w:id="8"/>
      <w:bookmarkEnd w:id="8"/>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三、信息披露及备置地点" w:id="9"/>
      <w:bookmarkEnd w:id="9"/>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40"/>
          <w:pgMar w:header="851" w:footer="979" w:top="138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四、注册变更情况" w:id="10"/>
      <w:bookmarkEnd w:id="10"/>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310225000206755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310115132178740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13217874-0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310225000206755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310115132178740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13217874-0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五、其他有关资料" w:id="11"/>
      <w:bookmarkEnd w:id="11"/>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张炯、张祎</w:t>
            </w:r>
          </w:p>
        </w:tc>
      </w:tr>
    </w:tbl>
    <w:p>
      <w:pPr>
        <w:pStyle w:val="BodyText"/>
        <w:spacing w:line="240" w:lineRule="auto" w:before="51"/>
        <w:ind w:left="154" w:right="1033"/>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724" w:right="1033"/>
        <w:jc w:val="left"/>
        <w:rPr>
          <w:b w:val="0"/>
          <w:bCs w:val="0"/>
        </w:rPr>
      </w:pPr>
      <w:bookmarkStart w:name="第三节会计数据和财务指标摘要" w:id="12"/>
      <w:bookmarkEnd w:id="12"/>
      <w:r>
        <w:rPr>
          <w:b w:val="0"/>
          <w:bCs w:val="0"/>
        </w:rPr>
      </w:r>
      <w:bookmarkStart w:name="_bookmark2" w:id="13"/>
      <w:bookmarkEnd w:id="13"/>
      <w:r>
        <w:rPr>
          <w:b w:val="0"/>
          <w:bCs w:val="0"/>
        </w:rPr>
      </w:r>
      <w:r>
        <w:rPr/>
        <w:t>第三节会计数据和财务指标摘要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4" w:right="1033"/>
        <w:jc w:val="left"/>
        <w:rPr>
          <w:b w:val="0"/>
          <w:bCs w:val="0"/>
        </w:rPr>
      </w:pPr>
      <w:bookmarkStart w:name="一、主要会计数据和财务指标" w:id="14"/>
      <w:bookmarkEnd w:id="14"/>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公司是否因会计政策变更及会计差错更正等追溯调整或重述以前年度会计数据</w:t>
      </w:r>
    </w:p>
    <w:p>
      <w:pPr>
        <w:pStyle w:val="BodyText"/>
        <w:spacing w:line="240" w:lineRule="auto" w:before="117"/>
        <w:ind w:left="15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6,620,767,477.00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7,889,618,084.00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9,509,550,614.00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405,476,364.00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849,582,393.00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94,036,405.00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428,211,584.00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692,665,138.00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1,322,173,963.00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984,200,067.00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2,856,480,865.00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6,986,742,728.00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6,707,304,038.00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7,006,340,154.00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3,636,531,792.00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3,773,971,279.00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4,131,881,524.00</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二、境内外会计准则下会计数据差异" w:id="15"/>
      <w:bookmarkEnd w:id="15"/>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同时按照国际会计准则与按照中国会计准则披露的财务报告中净利润和净资产差异情况" w:id="16"/>
      <w:bookmarkEnd w:id="16"/>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2、同时按照境外会计准则与按照中国会计准则披露的财务报告中净利润和净资产差异情况" w:id="17"/>
      <w:bookmarkEnd w:id="17"/>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851" w:footer="979" w:top="1320" w:bottom="1160" w:left="980" w:right="0"/>
        </w:sectPr>
      </w:pPr>
    </w:p>
    <w:p>
      <w:pPr>
        <w:spacing w:line="240" w:lineRule="auto" w:before="13"/>
        <w:rPr>
          <w:rFonts w:ascii="宋体" w:hAnsi="宋体" w:cs="宋体" w:eastAsia="宋体" w:hint="default"/>
          <w:sz w:val="22"/>
          <w:szCs w:val="22"/>
        </w:rPr>
      </w:pPr>
    </w:p>
    <w:p>
      <w:pPr>
        <w:pStyle w:val="Heading3"/>
        <w:spacing w:line="240" w:lineRule="auto" w:before="26"/>
        <w:ind w:left="154" w:right="1033"/>
        <w:jc w:val="left"/>
        <w:rPr>
          <w:b w:val="0"/>
          <w:bCs w:val="0"/>
        </w:rPr>
      </w:pPr>
      <w:bookmarkStart w:name="三、非经常性损益项目及金额" w:id="18"/>
      <w:bookmarkEnd w:id="18"/>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-19,207,938.00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-74,609,144.00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-13,503,482.00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38,805,217.00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13,229,497.00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189,840,746.00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25,432,558.00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31,077,961.00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32,885,743.00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处置长安基金取得的投资收益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23,964,857.00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17,390,586.00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-7,566,466.00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52,305,752.00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51,604,108.00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-22,735,220.00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156,917,255.00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51" w:footer="979" w:top="132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right="4647"/>
        <w:jc w:val="center"/>
        <w:rPr>
          <w:b w:val="0"/>
          <w:bCs w:val="0"/>
        </w:rPr>
      </w:pPr>
      <w:bookmarkStart w:name="第四节董事会报告" w:id="19"/>
      <w:bookmarkEnd w:id="19"/>
      <w:r>
        <w:rPr>
          <w:b w:val="0"/>
          <w:bCs w:val="0"/>
        </w:rPr>
      </w:r>
      <w:bookmarkStart w:name="_bookmark3" w:id="20"/>
      <w:bookmarkEnd w:id="20"/>
      <w:r>
        <w:rPr>
          <w:b w:val="0"/>
          <w:bCs w:val="0"/>
        </w:rPr>
      </w:r>
      <w:r>
        <w:rPr/>
        <w:t>第四节董事会报告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概述" w:id="21"/>
      <w:bookmarkEnd w:id="21"/>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pPr>
      <w:r>
        <w:rPr>
          <w:rFonts w:ascii="宋体" w:hAnsi="宋体" w:cs="宋体" w:eastAsia="宋体" w:hint="default"/>
          <w:spacing w:val="-2"/>
        </w:rPr>
        <w:t>2014</w:t>
      </w:r>
      <w:r>
        <w:rPr>
          <w:spacing w:val="-2"/>
        </w:rPr>
        <w:t>年度传统服装行业终端消费增速放缓，同时随着移动信息技术的推广和国内消费需求的升级，服装消费个性化、场</w:t>
      </w:r>
      <w:r>
        <w:rPr/>
        <w:t> </w:t>
      </w:r>
      <w:r>
        <w:rPr>
          <w:spacing w:val="-5"/>
        </w:rPr>
        <w:t>景化、国际化和移动互联网化的趋势日益明显，服装行业进入了转型升级的新常态。面对经营环境的变化和消费需求的升级，</w:t>
      </w:r>
      <w:r>
        <w:rPr>
          <w:spacing w:val="-79"/>
        </w:rPr>
        <w:t> </w:t>
      </w:r>
      <w:r>
        <w:rPr>
          <w:spacing w:val="-79"/>
        </w:rPr>
      </w:r>
      <w:r>
        <w:rPr/>
        <w:t>一方面公司继续深入推动传统经营模式向互联网化经营模式转型，努力开展线上线下深度融合，同时积极探索新型个性化、</w:t>
      </w:r>
      <w:r>
        <w:rPr>
          <w:spacing w:val="-85"/>
        </w:rPr>
        <w:t> </w:t>
      </w:r>
      <w:r>
        <w:rPr>
          <w:spacing w:val="-85"/>
        </w:rPr>
      </w:r>
      <w:r>
        <w:rPr>
          <w:spacing w:val="-5"/>
        </w:rPr>
        <w:t>网络化的品牌营销模式，有效的提升品牌的消费体验和消费者关注度。另一方面，本报告期内公司大力推动组织和绩效变革，</w:t>
      </w:r>
      <w:r>
        <w:rPr>
          <w:spacing w:val="-81"/>
        </w:rPr>
        <w:t> </w:t>
      </w:r>
      <w:r>
        <w:rPr>
          <w:spacing w:val="-81"/>
        </w:rPr>
      </w:r>
      <w:r>
        <w:rPr>
          <w:spacing w:val="-2"/>
        </w:rPr>
        <w:t>初步形成快速灵活、更具效率的产品开发、运营机制，及责权利清晰、透明可量化的绩效机制；通过店铺硬件及管理升级进</w:t>
      </w:r>
      <w:r>
        <w:rPr>
          <w:spacing w:val="-66"/>
        </w:rPr>
        <w:t> </w:t>
      </w:r>
      <w:r>
        <w:rPr>
          <w:spacing w:val="-66"/>
        </w:rPr>
      </w:r>
      <w:r>
        <w:rPr>
          <w:spacing w:val="-2"/>
        </w:rPr>
        <w:t>一步提升店铺消费体验，满足消费者场景化的购物需求；着力提升经营质量，通过优化店铺渠道布局，关闭了一批盈利能力</w:t>
      </w:r>
      <w:r>
        <w:rPr>
          <w:spacing w:val="-67"/>
        </w:rPr>
        <w:t> </w:t>
      </w:r>
      <w:r>
        <w:rPr>
          <w:spacing w:val="-67"/>
        </w:rPr>
      </w:r>
      <w:r>
        <w:rPr>
          <w:spacing w:val="-2"/>
        </w:rPr>
        <w:t>较差的店铺；同时加大对存货、应收账款等项目的管理，继续实行稳健的销售政策，截至期末存货、应收账款平稳下降，本</w:t>
      </w:r>
      <w:r>
        <w:rPr>
          <w:spacing w:val="-66"/>
        </w:rPr>
        <w:t> </w:t>
      </w:r>
      <w:r>
        <w:rPr>
          <w:spacing w:val="-66"/>
        </w:rPr>
      </w:r>
      <w:r>
        <w:rPr/>
        <w:t>年度内经营性净现金流较上期增长</w:t>
      </w:r>
      <w:r>
        <w:rPr>
          <w:rFonts w:ascii="宋体" w:hAnsi="宋体" w:cs="宋体" w:eastAsia="宋体" w:hint="default"/>
        </w:rPr>
        <w:t>34%</w:t>
      </w:r>
      <w:r>
        <w:rPr/>
        <w:t>，公司经营质量稳步提升。</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二、主营业务分析" w:id="22"/>
      <w:bookmarkEnd w:id="22"/>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概述" w:id="23"/>
      <w:bookmarkEnd w:id="23"/>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本年度公司实现营业收入</w:t>
      </w:r>
      <w:r>
        <w:rPr>
          <w:rFonts w:ascii="宋体" w:hAnsi="宋体" w:cs="宋体" w:eastAsia="宋体" w:hint="default"/>
          <w:spacing w:val="-2"/>
        </w:rPr>
        <w:t>662</w:t>
      </w:r>
      <w:r>
        <w:rPr>
          <w:spacing w:val="-2"/>
        </w:rPr>
        <w:t>，</w:t>
      </w:r>
      <w:r>
        <w:rPr>
          <w:rFonts w:ascii="宋体" w:hAnsi="宋体" w:cs="宋体" w:eastAsia="宋体" w:hint="default"/>
          <w:spacing w:val="-2"/>
        </w:rPr>
        <w:t>076.75</w:t>
      </w:r>
      <w:r>
        <w:rPr>
          <w:spacing w:val="-2"/>
        </w:rPr>
        <w:t>万元，较上年下降</w:t>
      </w:r>
      <w:r>
        <w:rPr>
          <w:rFonts w:ascii="宋体" w:hAnsi="宋体" w:cs="宋体" w:eastAsia="宋体" w:hint="default"/>
          <w:spacing w:val="-2"/>
        </w:rPr>
        <w:t>16%</w:t>
      </w:r>
      <w:r>
        <w:rPr>
          <w:spacing w:val="-2"/>
        </w:rPr>
        <w:t>；营业利润</w:t>
      </w:r>
      <w:r>
        <w:rPr>
          <w:rFonts w:ascii="宋体" w:hAnsi="宋体" w:cs="宋体" w:eastAsia="宋体" w:hint="default"/>
          <w:spacing w:val="-2"/>
        </w:rPr>
        <w:t>17,825.02</w:t>
      </w:r>
      <w:r>
        <w:rPr>
          <w:spacing w:val="-2"/>
        </w:rPr>
        <w:t>万元，较上年下降</w:t>
      </w:r>
      <w:r>
        <w:rPr>
          <w:rFonts w:ascii="宋体" w:hAnsi="宋体" w:cs="宋体" w:eastAsia="宋体" w:hint="default"/>
          <w:spacing w:val="-2"/>
        </w:rPr>
        <w:t>66%</w:t>
      </w:r>
      <w:r>
        <w:rPr>
          <w:spacing w:val="-2"/>
        </w:rPr>
        <w:t>；归属于上市公</w:t>
      </w:r>
      <w:r>
        <w:rPr/>
        <w:t> 司股东的净利润</w:t>
      </w:r>
      <w:r>
        <w:rPr>
          <w:rFonts w:ascii="宋体" w:hAnsi="宋体" w:cs="宋体" w:eastAsia="宋体" w:hint="default"/>
        </w:rPr>
        <w:t>14,564.05</w:t>
      </w:r>
      <w:r>
        <w:rPr/>
        <w:t>万元，较上年下降</w:t>
      </w:r>
      <w:r>
        <w:rPr>
          <w:rFonts w:ascii="宋体" w:hAnsi="宋体" w:cs="宋体" w:eastAsia="宋体" w:hint="default"/>
        </w:rPr>
        <w:t>64%</w:t>
      </w:r>
      <w:r>
        <w:rPr/>
        <w:t>。</w:t>
      </w:r>
    </w:p>
    <w:p>
      <w:pPr>
        <w:spacing w:line="240" w:lineRule="auto" w:before="4"/>
        <w:rPr>
          <w:rFonts w:ascii="宋体" w:hAnsi="宋体" w:cs="宋体" w:eastAsia="宋体" w:hint="default"/>
          <w:sz w:val="25"/>
          <w:szCs w:val="25"/>
        </w:rPr>
      </w:pPr>
    </w:p>
    <w:p>
      <w:pPr>
        <w:pStyle w:val="BodyText"/>
        <w:spacing w:line="316" w:lineRule="auto"/>
        <w:ind w:right="1131"/>
        <w:jc w:val="both"/>
      </w:pPr>
      <w:r>
        <w:rPr/>
        <w:t>（</w:t>
      </w:r>
      <w:r>
        <w:rPr>
          <w:rFonts w:ascii="宋体" w:hAnsi="宋体" w:cs="宋体" w:eastAsia="宋体" w:hint="default"/>
        </w:rPr>
        <w:t>1</w:t>
      </w:r>
      <w:r>
        <w:rPr/>
        <w:t>）报告期内公司进一步聚焦产品和店铺，不断梳理和完善供应链流程，推动产品经理、设计经理双轨运营机制，为消费 </w:t>
      </w:r>
      <w:r>
        <w:rPr>
          <w:spacing w:val="-2"/>
        </w:rPr>
        <w:t>者提供更加时尚、丰富、高性价比的产品；对终端店铺渠道持续优化升级，同时推动终端激励机制创新，营造充满品牌内涵</w:t>
      </w:r>
      <w:r>
        <w:rPr>
          <w:spacing w:val="-67"/>
        </w:rPr>
        <w:t> </w:t>
      </w:r>
      <w:r>
        <w:rPr>
          <w:spacing w:val="-67"/>
        </w:rPr>
      </w:r>
      <w:r>
        <w:rPr>
          <w:spacing w:val="-2"/>
        </w:rPr>
        <w:t>和艺术人文的店铺环境，全面提升消费者的购物体验；品牌营销方面公司与爱奇艺进行深度合作，《奇葩说》以新颖的内容</w:t>
      </w:r>
      <w:r>
        <w:rPr>
          <w:spacing w:val="-68"/>
        </w:rPr>
        <w:t> </w:t>
      </w:r>
      <w:r>
        <w:rPr>
          <w:spacing w:val="-68"/>
        </w:rPr>
      </w:r>
      <w:r>
        <w:rPr/>
        <w:t>营销深受广大年轻消费者的喜爱，</w:t>
      </w:r>
      <w:r>
        <w:rPr>
          <w:rFonts w:ascii="宋体" w:hAnsi="宋体" w:cs="宋体" w:eastAsia="宋体" w:hint="default"/>
        </w:rPr>
        <w:t>Metersbonwe</w:t>
      </w:r>
      <w:r>
        <w:rPr/>
        <w:t>品牌年轻时尚有范的品牌形象和品牌文化深入人心。</w:t>
      </w:r>
    </w:p>
    <w:p>
      <w:pPr>
        <w:spacing w:line="240" w:lineRule="auto" w:before="4"/>
        <w:rPr>
          <w:rFonts w:ascii="宋体" w:hAnsi="宋体" w:cs="宋体" w:eastAsia="宋体" w:hint="default"/>
          <w:sz w:val="25"/>
          <w:szCs w:val="25"/>
        </w:rPr>
      </w:pPr>
    </w:p>
    <w:p>
      <w:pPr>
        <w:pStyle w:val="BodyText"/>
        <w:spacing w:line="316" w:lineRule="auto"/>
        <w:ind w:right="1129"/>
        <w:jc w:val="both"/>
      </w:pPr>
      <w:r>
        <w:rPr>
          <w:spacing w:val="-2"/>
        </w:rPr>
        <w:t>（</w:t>
      </w:r>
      <w:r>
        <w:rPr>
          <w:rFonts w:ascii="宋体" w:hAnsi="宋体" w:cs="宋体" w:eastAsia="宋体" w:hint="default"/>
          <w:spacing w:val="-2"/>
        </w:rPr>
        <w:t>2</w:t>
      </w:r>
      <w:r>
        <w:rPr>
          <w:spacing w:val="-2"/>
        </w:rPr>
        <w:t>）报告期内公司继续深入推动互联网转型及</w:t>
      </w:r>
      <w:r>
        <w:rPr>
          <w:rFonts w:ascii="宋体" w:hAnsi="宋体" w:cs="宋体" w:eastAsia="宋体" w:hint="default"/>
          <w:spacing w:val="-2"/>
        </w:rPr>
        <w:t>O2O</w:t>
      </w:r>
      <w:r>
        <w:rPr>
          <w:spacing w:val="-2"/>
        </w:rPr>
        <w:t>战略，借助邦购网平台全面打通线上线下资源，通过云货架、商品全流通</w:t>
      </w:r>
      <w:r>
        <w:rPr>
          <w:spacing w:val="-62"/>
        </w:rPr>
        <w:t> </w:t>
      </w:r>
      <w:r>
        <w:rPr>
          <w:spacing w:val="-62"/>
        </w:rPr>
      </w:r>
      <w:r>
        <w:rPr>
          <w:spacing w:val="-2"/>
        </w:rPr>
        <w:t>打通货品资源，实现了服务和售后的全面支持；建立基于会员、商品、物流、门店运营的大数据平台，以门店做为消费者与</w:t>
      </w:r>
      <w:r>
        <w:rPr>
          <w:spacing w:val="-66"/>
        </w:rPr>
        <w:t> </w:t>
      </w:r>
      <w:r>
        <w:rPr>
          <w:spacing w:val="-66"/>
        </w:rPr>
      </w:r>
      <w:r>
        <w:rPr>
          <w:spacing w:val="-2"/>
        </w:rPr>
        <w:t>产品、品牌体验互动的载体，打造全渠道经营模式。同时，随着移动信息技术的推广和国内消费需求的升级，积极开展移动</w:t>
      </w:r>
      <w:r>
        <w:rPr>
          <w:spacing w:val="-65"/>
        </w:rPr>
        <w:t> </w:t>
      </w:r>
      <w:r>
        <w:rPr>
          <w:spacing w:val="-65"/>
        </w:rPr>
      </w:r>
      <w:r>
        <w:rPr/>
        <w:t>电子商务新业务的探索和布局。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left="154" w:right="0"/>
        <w:jc w:val="both"/>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2、收入" w:id="24"/>
      <w:bookmarkEnd w:id="24"/>
      <w:r>
        <w:rPr>
          <w:b w:val="0"/>
          <w:bCs w:val="0"/>
        </w:rPr>
      </w: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t>说明</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055"/>
        <w:gridCol w:w="2622"/>
        <w:gridCol w:w="2622"/>
        <w:gridCol w:w="2244"/>
      </w:tblGrid>
      <w:tr>
        <w:trPr>
          <w:trHeight w:val="331" w:hRule="exact"/>
        </w:trPr>
        <w:tc>
          <w:tcPr>
            <w:tcW w:w="2055"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262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262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22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655,961.72</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782,788.98</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-16.20%</w:t>
            </w:r>
          </w:p>
        </w:tc>
      </w:tr>
      <w:tr>
        <w:trPr>
          <w:trHeight w:val="331"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直营</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316,023.74</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384,588.86</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-17.83%</w:t>
            </w:r>
          </w:p>
        </w:tc>
      </w:tr>
    </w:tbl>
    <w:p>
      <w:pPr>
        <w:spacing w:after="0" w:line="240" w:lineRule="auto"/>
        <w:jc w:val="right"/>
        <w:rPr>
          <w:rFonts w:ascii="Times New Roman" w:hAnsi="Times New Roman" w:cs="Times New Roman" w:eastAsia="Times New Roman" w:hint="default"/>
          <w:sz w:val="20"/>
          <w:szCs w:val="20"/>
        </w:rPr>
        <w:sectPr>
          <w:pgSz w:w="11910" w:h="16840"/>
          <w:pgMar w:header="851" w:footer="979" w:top="1320" w:bottom="1160" w:left="980" w:right="0"/>
        </w:sectPr>
      </w:pPr>
    </w:p>
    <w:p>
      <w:pPr>
        <w:spacing w:line="240" w:lineRule="auto" w:before="3"/>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2055"/>
        <w:gridCol w:w="2622"/>
        <w:gridCol w:w="2622"/>
        <w:gridCol w:w="2244"/>
      </w:tblGrid>
      <w:tr>
        <w:trPr>
          <w:trHeight w:val="322" w:hRule="exact"/>
        </w:trPr>
        <w:tc>
          <w:tcPr>
            <w:tcW w:w="205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加盟</w:t>
            </w:r>
          </w:p>
        </w:tc>
        <w:tc>
          <w:tcPr>
            <w:tcW w:w="262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339,937.98</w:t>
            </w:r>
          </w:p>
        </w:tc>
        <w:tc>
          <w:tcPr>
            <w:tcW w:w="262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398,200.12</w:t>
            </w:r>
          </w:p>
        </w:tc>
        <w:tc>
          <w:tcPr>
            <w:tcW w:w="22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0"/>
              <w:ind w:right="94"/>
              <w:jc w:val="right"/>
              <w:rPr>
                <w:rFonts w:ascii="Times New Roman" w:hAnsi="Times New Roman" w:cs="Times New Roman" w:eastAsia="Times New Roman" w:hint="default"/>
                <w:sz w:val="20"/>
                <w:szCs w:val="20"/>
              </w:rPr>
            </w:pPr>
            <w:r>
              <w:rPr>
                <w:rFonts w:ascii="Times New Roman"/>
                <w:spacing w:val="-1"/>
                <w:sz w:val="20"/>
              </w:rPr>
              <w:t>-14.63%</w:t>
            </w: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358,765.48</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431,817.51</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-16.92%</w:t>
            </w:r>
          </w:p>
        </w:tc>
      </w:tr>
      <w:tr>
        <w:trPr>
          <w:trHeight w:val="331"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直营</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152,489.05</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186,884.00</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4"/>
              <w:jc w:val="right"/>
              <w:rPr>
                <w:rFonts w:ascii="Times New Roman" w:hAnsi="Times New Roman" w:cs="Times New Roman" w:eastAsia="Times New Roman" w:hint="default"/>
                <w:sz w:val="20"/>
                <w:szCs w:val="20"/>
              </w:rPr>
            </w:pPr>
            <w:r>
              <w:rPr>
                <w:rFonts w:ascii="Times New Roman"/>
                <w:spacing w:val="-1"/>
                <w:sz w:val="20"/>
              </w:rPr>
              <w:t>-18.40%</w:t>
            </w: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加盟</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206,276.43</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244,933.51</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-15.78%</w:t>
            </w:r>
          </w:p>
        </w:tc>
      </w:tr>
      <w:tr>
        <w:trPr>
          <w:trHeight w:val="333"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297,196.25</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350,971.47</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-15.32%</w:t>
            </w:r>
          </w:p>
        </w:tc>
      </w:tr>
      <w:tr>
        <w:trPr>
          <w:trHeight w:val="331"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直营</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163,534.69</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197,704.86</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4"/>
              <w:jc w:val="right"/>
              <w:rPr>
                <w:rFonts w:ascii="Times New Roman" w:hAnsi="Times New Roman" w:cs="Times New Roman" w:eastAsia="Times New Roman" w:hint="default"/>
                <w:sz w:val="20"/>
                <w:szCs w:val="20"/>
              </w:rPr>
            </w:pPr>
            <w:r>
              <w:rPr>
                <w:rFonts w:ascii="Times New Roman"/>
                <w:spacing w:val="-1"/>
                <w:sz w:val="20"/>
              </w:rPr>
              <w:t>-17.28%</w:t>
            </w: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加盟</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133,661.55</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pacing w:val="-1"/>
                <w:sz w:val="20"/>
              </w:rPr>
              <w:t>153,266.61</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-12.79%</w:t>
            </w: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主营业务毛利率</w:t>
            </w:r>
            <w:r>
              <w:rPr>
                <w:rFonts w:ascii="宋体" w:hAnsi="宋体" w:cs="宋体" w:eastAsia="宋体" w:hint="default"/>
                <w:sz w:val="18"/>
                <w:szCs w:val="18"/>
              </w:rPr>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45%</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45%</w:t>
            </w:r>
          </w:p>
        </w:tc>
        <w:tc>
          <w:tcPr>
            <w:tcW w:w="2244"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直营</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z w:val="20"/>
              </w:rPr>
              <w:t>52%</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z w:val="20"/>
              </w:rPr>
              <w:t>51%</w:t>
            </w:r>
          </w:p>
        </w:tc>
        <w:tc>
          <w:tcPr>
            <w:tcW w:w="2244"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加盟</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39%</w:t>
            </w:r>
          </w:p>
        </w:tc>
        <w:tc>
          <w:tcPr>
            <w:tcW w:w="2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38%</w:t>
            </w:r>
          </w:p>
        </w:tc>
        <w:tc>
          <w:tcPr>
            <w:tcW w:w="224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12" w:lineRule="auto" w:before="52"/>
        <w:ind w:right="1043"/>
        <w:jc w:val="both"/>
      </w:pPr>
      <w:r>
        <w:rPr>
          <w:spacing w:val="-2"/>
        </w:rPr>
        <w:t>报告期内，公司通过供应链优化提升产品竞争力，并借助网络营销手段提升品牌知名度和关注度，直营零售在第四季度实现</w:t>
      </w:r>
      <w:r>
        <w:rPr>
          <w:spacing w:val="-66"/>
        </w:rPr>
        <w:t> </w:t>
      </w:r>
      <w:r>
        <w:rPr>
          <w:spacing w:val="-66"/>
        </w:rPr>
      </w:r>
      <w:r>
        <w:rPr/>
        <w:t>正增长；</w:t>
      </w:r>
      <w:r>
        <w:rPr>
          <w:rFonts w:ascii="Times New Roman" w:hAnsi="Times New Roman" w:cs="Times New Roman" w:eastAsia="Times New Roman" w:hint="default"/>
        </w:rPr>
        <w:t>ME&amp;CITY</w:t>
      </w:r>
      <w:r>
        <w:rPr>
          <w:rFonts w:ascii="Times New Roman" w:hAnsi="Times New Roman" w:cs="Times New Roman" w:eastAsia="Times New Roman" w:hint="default"/>
          <w:spacing w:val="-20"/>
        </w:rPr>
        <w:t> </w:t>
      </w:r>
      <w:r>
        <w:rPr/>
        <w:t>在率先进行组织及产品开发模式变革后，正逐步走出经营低谷，第四季度该品牌总体销售收入及同店实 </w:t>
      </w:r>
      <w:r>
        <w:rPr>
          <w:spacing w:val="-2"/>
        </w:rPr>
        <w:t>现正增长，过去较弱的女装产品线亦取得两位数以上的的增长。加盟渠道由于受服装终端消费需求不旺和消费者消费模式变</w:t>
      </w:r>
      <w:r>
        <w:rPr>
          <w:spacing w:val="-64"/>
        </w:rPr>
        <w:t> </w:t>
      </w:r>
      <w:r>
        <w:rPr>
          <w:spacing w:val="-64"/>
        </w:rPr>
      </w:r>
      <w:r>
        <w:rPr/>
        <w:t>化的影响，其经营管理模式未能完全适应新的市场环境，经营管理水平提升滞后于直营体系，因而批发收入仍然同比下滑。</w:t>
      </w:r>
    </w:p>
    <w:p>
      <w:pPr>
        <w:pStyle w:val="BodyText"/>
        <w:spacing w:line="240" w:lineRule="auto" w:before="62"/>
        <w:ind w:left="154" w:right="0"/>
        <w:jc w:val="both"/>
      </w:pPr>
      <w:r>
        <w:rPr/>
        <w:t>公司实物销售收入是否大于劳务收入</w:t>
      </w:r>
    </w:p>
    <w:p>
      <w:pPr>
        <w:pStyle w:val="BodyText"/>
        <w:spacing w:line="240" w:lineRule="auto" w:before="117"/>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服装批发零售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71,582,686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83,835,479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74,044,648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76,590,346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31,424,717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28,962,755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r>
    </w:tbl>
    <w:p>
      <w:pPr>
        <w:pStyle w:val="BodyText"/>
        <w:spacing w:line="240" w:lineRule="auto" w:before="51"/>
        <w:ind w:left="154" w:right="103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249,842,805.00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67,118,890.00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53,634,391.00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49,936,253.00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45,530,397.00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33,622,874.00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249,842,805.00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成本" w:id="25"/>
      <w:bookmarkEnd w:id="25"/>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3,587,654,782.00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4,318,175,080.00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-17.00%</w:t>
            </w:r>
          </w:p>
        </w:tc>
      </w:tr>
    </w:tbl>
    <w:p>
      <w:pPr>
        <w:pStyle w:val="BodyText"/>
        <w:spacing w:line="240" w:lineRule="auto" w:before="51"/>
        <w:ind w:left="154" w:right="1033"/>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2,352,768,393.00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2,630,487,108.00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921,545,689.00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1,078,924,956.00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313,340,700.00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608,763,016.00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r>
    </w:tbl>
    <w:p>
      <w:pPr>
        <w:pStyle w:val="BodyText"/>
        <w:spacing w:line="338" w:lineRule="auto" w:before="51"/>
        <w:ind w:right="1131"/>
        <w:jc w:val="left"/>
      </w:pPr>
      <w:r>
        <w:rPr/>
        <w:t>说明 </w:t>
      </w:r>
      <w:r>
        <w:rPr>
          <w:spacing w:val="-2"/>
        </w:rPr>
        <w:t>公司采用自主设计、外包生产的经营模式，所有产品均外包给生产供应商进行生产，公司采购的商品均为产成品，本公司不</w:t>
      </w:r>
      <w:r>
        <w:rPr>
          <w:spacing w:val="-66"/>
        </w:rPr>
        <w:t> </w:t>
      </w:r>
      <w:r>
        <w:rPr>
          <w:spacing w:val="-66"/>
        </w:rPr>
      </w:r>
      <w:r>
        <w:rPr>
          <w:spacing w:val="-2"/>
        </w:rPr>
        <w:t>对产成品的具体成本构成进行财务核算。根据生产供应商提供的产品成本资料，公司产品成本中原材料成本占比约</w:t>
      </w:r>
      <w:r>
        <w:rPr>
          <w:rFonts w:ascii="Times New Roman" w:hAnsi="Times New Roman" w:cs="Times New Roman" w:eastAsia="Times New Roman" w:hint="default"/>
          <w:spacing w:val="-2"/>
        </w:rPr>
        <w:t>60-70%</w:t>
      </w:r>
      <w:r>
        <w:rPr>
          <w:spacing w:val="-2"/>
        </w:rPr>
        <w:t>，</w:t>
      </w:r>
    </w:p>
    <w:p>
      <w:pPr>
        <w:pStyle w:val="BodyText"/>
        <w:spacing w:line="230" w:lineRule="exact"/>
        <w:ind w:right="1033"/>
        <w:jc w:val="left"/>
      </w:pPr>
      <w:r>
        <w:rPr/>
        <w:t>人工成本占比约</w:t>
      </w:r>
      <w:r>
        <w:rPr>
          <w:rFonts w:ascii="Times New Roman" w:hAnsi="Times New Roman" w:cs="Times New Roman" w:eastAsia="Times New Roman" w:hint="default"/>
        </w:rPr>
        <w:t>30-40%</w:t>
      </w:r>
      <w:r>
        <w:rPr/>
        <w:t>。</w:t>
      </w:r>
    </w:p>
    <w:p>
      <w:pPr>
        <w:pStyle w:val="BodyText"/>
        <w:spacing w:line="240" w:lineRule="auto" w:before="103"/>
        <w:ind w:left="154" w:right="1033"/>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532,515,735.00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138,914,321.00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108,213,525.00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97,994,173.00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97,340,769.00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90,052,947.00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532,515,735.00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费用" w:id="26"/>
      <w:bookmarkEnd w:id="26"/>
      <w:r>
        <w:rPr>
          <w:b w:val="0"/>
          <w:bCs w:val="0"/>
        </w:rPr>
      </w: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66"/>
        <w:gridCol w:w="1561"/>
        <w:gridCol w:w="1406"/>
        <w:gridCol w:w="1562"/>
        <w:gridCol w:w="1406"/>
        <w:gridCol w:w="1685"/>
      </w:tblGrid>
      <w:tr>
        <w:trPr>
          <w:trHeight w:val="349" w:hRule="exact"/>
        </w:trPr>
        <w:tc>
          <w:tcPr>
            <w:tcW w:w="196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6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296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8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同比变动</w:t>
            </w:r>
          </w:p>
        </w:tc>
      </w:tr>
      <w:tr>
        <w:trPr>
          <w:trHeight w:val="349" w:hRule="exact"/>
        </w:trPr>
        <w:tc>
          <w:tcPr>
            <w:tcW w:w="1966" w:type="dxa"/>
            <w:vMerge/>
            <w:tcBorders>
              <w:left w:val="single" w:sz="6" w:space="0" w:color="000000"/>
              <w:bottom w:val="single" w:sz="6" w:space="0" w:color="000000"/>
              <w:right w:val="single" w:sz="6" w:space="0" w:color="000000"/>
            </w:tcBorders>
            <w:shd w:val="clear" w:color="auto" w:fill="BEBEBE"/>
          </w:tcPr>
          <w:p>
            <w:pP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36" w:right="0"/>
              <w:jc w:val="left"/>
              <w:rPr>
                <w:rFonts w:ascii="宋体" w:hAnsi="宋体" w:cs="宋体" w:eastAsia="宋体" w:hint="default"/>
                <w:sz w:val="18"/>
                <w:szCs w:val="18"/>
              </w:rPr>
            </w:pPr>
            <w:r>
              <w:rPr>
                <w:rFonts w:ascii="宋体" w:hAnsi="宋体" w:cs="宋体" w:eastAsia="宋体" w:hint="default"/>
                <w:sz w:val="18"/>
                <w:szCs w:val="18"/>
              </w:rPr>
              <w:t>占收入比</w:t>
            </w:r>
          </w:p>
        </w:tc>
        <w:tc>
          <w:tcPr>
            <w:tcW w:w="1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34" w:right="0"/>
              <w:jc w:val="left"/>
              <w:rPr>
                <w:rFonts w:ascii="宋体" w:hAnsi="宋体" w:cs="宋体" w:eastAsia="宋体" w:hint="default"/>
                <w:sz w:val="18"/>
                <w:szCs w:val="18"/>
              </w:rPr>
            </w:pPr>
            <w:r>
              <w:rPr>
                <w:rFonts w:ascii="宋体" w:hAnsi="宋体" w:cs="宋体" w:eastAsia="宋体" w:hint="default"/>
                <w:sz w:val="18"/>
                <w:szCs w:val="18"/>
              </w:rPr>
              <w:t>占收入比</w:t>
            </w:r>
          </w:p>
        </w:tc>
        <w:tc>
          <w:tcPr>
            <w:tcW w:w="1685" w:type="dxa"/>
            <w:vMerge/>
            <w:tcBorders>
              <w:left w:val="single" w:sz="6" w:space="0" w:color="000000"/>
              <w:bottom w:val="single" w:sz="6" w:space="0" w:color="000000"/>
              <w:right w:val="single" w:sz="6" w:space="0" w:color="000000"/>
            </w:tcBorders>
            <w:shd w:val="clear" w:color="auto" w:fill="BEBEBE"/>
          </w:tcPr>
          <w:p>
            <w:pPr/>
          </w:p>
        </w:tc>
      </w:tr>
      <w:tr>
        <w:trPr>
          <w:trHeight w:val="349"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期间费用合计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4" w:right="0"/>
              <w:jc w:val="left"/>
              <w:rPr>
                <w:rFonts w:ascii="Times New Roman" w:hAnsi="Times New Roman" w:cs="Times New Roman" w:eastAsia="Times New Roman" w:hint="default"/>
                <w:sz w:val="18"/>
                <w:szCs w:val="18"/>
              </w:rPr>
            </w:pPr>
            <w:r>
              <w:rPr>
                <w:rFonts w:ascii="Times New Roman"/>
                <w:sz w:val="18"/>
              </w:rPr>
              <w:t>252,245.12</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34" w:right="0"/>
              <w:jc w:val="left"/>
              <w:rPr>
                <w:rFonts w:ascii="Times New Roman" w:hAnsi="Times New Roman" w:cs="Times New Roman" w:eastAsia="Times New Roman" w:hint="default"/>
                <w:sz w:val="18"/>
                <w:szCs w:val="18"/>
              </w:rPr>
            </w:pPr>
            <w:r>
              <w:rPr>
                <w:rFonts w:ascii="Times New Roman"/>
                <w:sz w:val="18"/>
              </w:rPr>
              <w:t>38.10%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4" w:right="0"/>
              <w:jc w:val="left"/>
              <w:rPr>
                <w:rFonts w:ascii="Times New Roman" w:hAnsi="Times New Roman" w:cs="Times New Roman" w:eastAsia="Times New Roman" w:hint="default"/>
                <w:sz w:val="18"/>
                <w:szCs w:val="18"/>
              </w:rPr>
            </w:pPr>
            <w:r>
              <w:rPr>
                <w:rFonts w:ascii="Times New Roman"/>
                <w:sz w:val="18"/>
              </w:rPr>
              <w:t>285,483.21</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33" w:right="0"/>
              <w:jc w:val="left"/>
              <w:rPr>
                <w:rFonts w:ascii="Times New Roman" w:hAnsi="Times New Roman" w:cs="Times New Roman" w:eastAsia="Times New Roman" w:hint="default"/>
                <w:sz w:val="18"/>
                <w:szCs w:val="18"/>
              </w:rPr>
            </w:pPr>
            <w:r>
              <w:rPr>
                <w:rFonts w:ascii="Times New Roman"/>
                <w:sz w:val="18"/>
              </w:rPr>
              <w:t>36.18%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53" w:right="0"/>
              <w:jc w:val="left"/>
              <w:rPr>
                <w:rFonts w:ascii="Times New Roman" w:hAnsi="Times New Roman" w:cs="Times New Roman" w:eastAsia="Times New Roman" w:hint="default"/>
                <w:sz w:val="18"/>
                <w:szCs w:val="18"/>
              </w:rPr>
            </w:pPr>
            <w:r>
              <w:rPr>
                <w:rFonts w:ascii="Times New Roman"/>
                <w:sz w:val="18"/>
              </w:rPr>
              <w:t>-11.64%</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966"/>
        <w:gridCol w:w="1561"/>
        <w:gridCol w:w="1406"/>
        <w:gridCol w:w="1562"/>
        <w:gridCol w:w="1406"/>
        <w:gridCol w:w="1685"/>
      </w:tblGrid>
      <w:tr>
        <w:trPr>
          <w:trHeight w:val="349"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216,613.36</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32.72%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248,122.89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31.45%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-12.70%</w:t>
            </w:r>
          </w:p>
        </w:tc>
      </w:tr>
      <w:tr>
        <w:trPr>
          <w:trHeight w:val="349"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22,715.17</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26,108.73</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-13.00%</w:t>
            </w:r>
          </w:p>
        </w:tc>
      </w:tr>
      <w:tr>
        <w:trPr>
          <w:trHeight w:val="349"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12,916.59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11,251.59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1.43%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1033"/>
        <w:jc w:val="left"/>
        <w:rPr>
          <w:b w:val="0"/>
          <w:bCs w:val="0"/>
        </w:rPr>
      </w:pPr>
      <w:bookmarkStart w:name="5、研发支出" w:id="27"/>
      <w:bookmarkEnd w:id="27"/>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0" w:firstLine="360"/>
        <w:jc w:val="both"/>
      </w:pPr>
      <w:r>
        <w:rPr>
          <w:spacing w:val="-3"/>
        </w:rPr>
        <w:t>公司的研发支出主要用于信息技术研发和产品设计研发，本报告期内公司两项研发支出金额分别为</w:t>
      </w:r>
      <w:r>
        <w:rPr>
          <w:rFonts w:ascii="Times New Roman" w:hAnsi="Times New Roman" w:cs="Times New Roman" w:eastAsia="Times New Roman" w:hint="default"/>
          <w:spacing w:val="-3"/>
        </w:rPr>
        <w:t>4756.16</w:t>
      </w:r>
      <w:r>
        <w:rPr>
          <w:spacing w:val="-3"/>
        </w:rPr>
        <w:t>万元、</w:t>
      </w:r>
      <w:r>
        <w:rPr>
          <w:rFonts w:ascii="Times New Roman" w:hAnsi="Times New Roman" w:cs="Times New Roman" w:eastAsia="Times New Roman" w:hint="default"/>
          <w:spacing w:val="-3"/>
        </w:rPr>
        <w:t>4971.77</w:t>
      </w:r>
      <w:r>
        <w:rPr>
          <w:rFonts w:ascii="Times New Roman" w:hAnsi="Times New Roman" w:cs="Times New Roman" w:eastAsia="Times New Roman" w:hint="default"/>
        </w:rPr>
        <w:t> </w:t>
      </w:r>
      <w:r>
        <w:rPr>
          <w:spacing w:val="-1"/>
        </w:rPr>
        <w:t>万元，总计约</w:t>
      </w:r>
      <w:r>
        <w:rPr>
          <w:rFonts w:ascii="Times New Roman" w:hAnsi="Times New Roman" w:cs="Times New Roman" w:eastAsia="Times New Roman" w:hint="default"/>
          <w:spacing w:val="-1"/>
        </w:rPr>
        <w:t>9727.93</w:t>
      </w:r>
      <w:r>
        <w:rPr>
          <w:spacing w:val="-1"/>
        </w:rPr>
        <w:t>万元，较去年有所上升。本年度研发支出总额占本期净资产的比例为</w:t>
      </w:r>
      <w:r>
        <w:rPr>
          <w:rFonts w:ascii="Times New Roman" w:hAnsi="Times New Roman" w:cs="Times New Roman" w:eastAsia="Times New Roman" w:hint="default"/>
          <w:spacing w:val="-1"/>
        </w:rPr>
        <w:t>2.68%</w:t>
      </w:r>
      <w:r>
        <w:rPr>
          <w:spacing w:val="-1"/>
        </w:rPr>
        <w:t>，占全年营业收入的比例为</w:t>
      </w:r>
      <w:r>
        <w:rPr>
          <w:spacing w:val="-86"/>
        </w:rPr>
        <w:t> </w:t>
      </w:r>
      <w:r>
        <w:rPr>
          <w:spacing w:val="-86"/>
        </w:rPr>
      </w:r>
      <w:r>
        <w:rPr>
          <w:rFonts w:ascii="Times New Roman" w:hAnsi="Times New Roman" w:cs="Times New Roman" w:eastAsia="Times New Roman" w:hint="default"/>
        </w:rPr>
        <w:t>1.47%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1033"/>
        <w:jc w:val="left"/>
        <w:rPr>
          <w:b w:val="0"/>
          <w:bCs w:val="0"/>
        </w:rPr>
      </w:pPr>
      <w:bookmarkStart w:name="6、现金流" w:id="28"/>
      <w:bookmarkEnd w:id="28"/>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8,035,773,424.00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9,561,713,041.00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6,713,599,461.00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8,577,512,974.00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1,322,173,963.00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984,200,067.00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99,289,822.00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6,343,994.00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1,465.10%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594,230,308.00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181,851,424.00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226.77%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-494,940,486.00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-175,507,430.00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2,059,513,780.00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3,207,196,250.00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2,560,365,310.00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3,561,672,935.00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-28.11%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-500,851,530.00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-354,476,685.00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326,381,947.00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454,215,952.00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-28.14%</w:t>
            </w:r>
          </w:p>
        </w:tc>
      </w:tr>
    </w:tbl>
    <w:p>
      <w:pPr>
        <w:pStyle w:val="BodyText"/>
        <w:spacing w:line="240" w:lineRule="auto" w:before="51"/>
        <w:ind w:left="154" w:right="103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3"/>
        <w:jc w:val="left"/>
      </w:pPr>
      <w:r>
        <w:rPr>
          <w:rFonts w:ascii="Times New Roman" w:hAnsi="Times New Roman" w:cs="Times New Roman" w:eastAsia="Times New Roman" w:hint="default"/>
        </w:rPr>
        <w:t>1</w:t>
      </w:r>
      <w:r>
        <w:rPr/>
        <w:t>、经营活动产生的现金流量净额较上年度增加</w:t>
      </w:r>
      <w:r>
        <w:rPr>
          <w:rFonts w:ascii="Times New Roman" w:hAnsi="Times New Roman" w:cs="Times New Roman" w:eastAsia="Times New Roman" w:hint="default"/>
        </w:rPr>
        <w:t>34%</w:t>
      </w:r>
      <w:r>
        <w:rPr/>
        <w:t>，主要是由于生产采购规模下降，因而支付的货款减少。</w:t>
      </w:r>
    </w:p>
    <w:p>
      <w:pPr>
        <w:pStyle w:val="BodyText"/>
        <w:spacing w:line="240" w:lineRule="auto" w:before="63"/>
        <w:ind w:right="1033"/>
        <w:jc w:val="left"/>
      </w:pPr>
      <w:r>
        <w:rPr>
          <w:rFonts w:ascii="Times New Roman" w:hAnsi="Times New Roman" w:cs="Times New Roman" w:eastAsia="Times New Roman" w:hint="default"/>
        </w:rPr>
        <w:t>2</w:t>
      </w:r>
      <w:r>
        <w:rPr/>
        <w:t>、投资活动现金流入金额较上年度增加</w:t>
      </w:r>
      <w:r>
        <w:rPr>
          <w:rFonts w:ascii="Times New Roman" w:hAnsi="Times New Roman" w:cs="Times New Roman" w:eastAsia="Times New Roman" w:hint="default"/>
        </w:rPr>
        <w:t>1465%</w:t>
      </w:r>
      <w:r>
        <w:rPr/>
        <w:t>，主要是由于公司转让了长安基金股权所致。</w:t>
      </w:r>
    </w:p>
    <w:p>
      <w:pPr>
        <w:pStyle w:val="BodyText"/>
        <w:spacing w:line="240" w:lineRule="auto" w:before="63"/>
        <w:ind w:right="1033"/>
        <w:jc w:val="left"/>
      </w:pPr>
      <w:r>
        <w:rPr>
          <w:rFonts w:ascii="Times New Roman" w:hAnsi="Times New Roman" w:cs="Times New Roman" w:eastAsia="Times New Roman" w:hint="default"/>
        </w:rPr>
        <w:t>3</w:t>
      </w:r>
      <w:r>
        <w:rPr/>
        <w:t>、投资活动现金流出金额较上年度增加</w:t>
      </w:r>
      <w:r>
        <w:rPr>
          <w:rFonts w:ascii="Times New Roman" w:hAnsi="Times New Roman" w:cs="Times New Roman" w:eastAsia="Times New Roman" w:hint="default"/>
        </w:rPr>
        <w:t>227%</w:t>
      </w:r>
      <w:r>
        <w:rPr/>
        <w:t>，主要是由于公司参与发起设立华瑞银行而支付了投资款所致。</w:t>
      </w:r>
    </w:p>
    <w:p>
      <w:pPr>
        <w:pStyle w:val="BodyText"/>
        <w:spacing w:line="300" w:lineRule="auto" w:before="63"/>
        <w:ind w:left="154" w:right="1152"/>
        <w:jc w:val="left"/>
      </w:pPr>
      <w:r>
        <w:rPr>
          <w:rFonts w:ascii="Times New Roman" w:hAnsi="Times New Roman" w:cs="Times New Roman" w:eastAsia="Times New Roman" w:hint="default"/>
        </w:rPr>
        <w:t>4</w:t>
      </w:r>
      <w:r>
        <w:rPr/>
        <w:t>、筹资活动现金流入金额较上年度下降</w:t>
      </w:r>
      <w:r>
        <w:rPr>
          <w:rFonts w:ascii="Times New Roman" w:hAnsi="Times New Roman" w:cs="Times New Roman" w:eastAsia="Times New Roman" w:hint="default"/>
        </w:rPr>
        <w:t>36%</w:t>
      </w:r>
      <w:r>
        <w:rPr/>
        <w:t>，主要是由于本年度经营性现金流较为充裕，因而取得借款所收到的现金大幅 下降。</w:t>
      </w:r>
    </w:p>
    <w:p>
      <w:pPr>
        <w:pStyle w:val="BodyText"/>
        <w:spacing w:line="240" w:lineRule="auto" w:before="72"/>
        <w:ind w:left="154" w:right="1033"/>
        <w:jc w:val="left"/>
      </w:pPr>
      <w:r>
        <w:rPr/>
        <w:t>报告期内公司经营活动的现金流量与本年度净利润存在重大差异的原因说明</w:t>
      </w:r>
    </w:p>
    <w:p>
      <w:pPr>
        <w:pStyle w:val="BodyText"/>
        <w:spacing w:line="328"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本年度经营活动的现金流量与净利润的差异，主要原因一是净利润中包含资产减值准备和财务费用，减少了净利润，但不影</w:t>
      </w:r>
      <w:r>
        <w:rPr>
          <w:spacing w:val="-66"/>
        </w:rPr>
        <w:t> </w:t>
      </w:r>
      <w:r>
        <w:rPr>
          <w:spacing w:val="-66"/>
        </w:rPr>
      </w:r>
      <w:r>
        <w:rPr/>
        <w:t>响经营活动的现金流量；二是经营性应收项目减少，经营性应付项目增加，不影响净利润，但增加了经营活动的现金流量。</w:t>
      </w:r>
    </w:p>
    <w:p>
      <w:pPr>
        <w:spacing w:after="0" w:line="328"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三、主营业务构成情况" w:id="29"/>
      <w:bookmarkEnd w:id="29"/>
      <w:r>
        <w:rPr>
          <w:b w:val="0"/>
          <w:bCs w:val="0"/>
        </w:rPr>
      </w:r>
      <w:r>
        <w:rPr/>
        <w:t>三、主营业务构成情况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6,559,617,235.00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3,587,654,782.00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4,274,160,852.00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2,352,768,393.00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1,712,032,560.00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921,545,689.00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573,423,823.00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313,340,700.00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6,468,468,271.00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4,744,735,918.00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701,351,149.00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419,162,041.00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1,031,520,061.00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555,436,633.00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1,066,853,874.00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575,658,580.00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-2,708,576,120.0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-2,707,338,390.0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四、资产、负债状况分析" w:id="30"/>
      <w:bookmarkEnd w:id="30"/>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资产项目重大变动情况" w:id="31"/>
      <w:bookmarkEnd w:id="31"/>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1,407,459,236.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1,074,598,869.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16.02%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4.12%</w:t>
            </w:r>
          </w:p>
        </w:tc>
        <w:tc>
          <w:tcPr>
            <w:tcW w:w="2786"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货币资金较年初余额增加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，主 要是由于本年度公司经营活动现金 流量充裕所致。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234,536,158.0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319,804,786.00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4.77%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-1.41%</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1,435,635,551.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1,579,748,225.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23.55%</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-3.00%</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131,625,337.0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129,381,736.00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-0.05%</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1,864,534,886.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1,949,157,900.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14,397,796.00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19,734,107.00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328,610,000.0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应收票据余额较年初增加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2650%</w:t>
            </w:r>
            <w:r>
              <w:rPr>
                <w:rFonts w:ascii="宋体" w:hAnsi="宋体" w:cs="宋体" w:eastAsia="宋体" w:hint="default"/>
                <w:sz w:val="18"/>
                <w:szCs w:val="18"/>
              </w:rPr>
              <w:t>， 主要是由于本年度以票据方式支付 货款的加盟客户增多所致。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183,146,015.0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349,907,038.00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预付账款余额较年初下降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，主 要是由于年末公司预付供应商货款 和店铺租金减少所致。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80,812,986.00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131,841,217.00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其他应收款余额较年初下降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 主要原因是年初应收的地方财政补 贴在本年度收回。</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15,287,722.00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151,218,735.00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其他流动资产余额较年初下降 </w:t>
            </w:r>
            <w:r>
              <w:rPr>
                <w:rFonts w:ascii="Times New Roman" w:hAnsi="Times New Roman" w:cs="Times New Roman" w:eastAsia="Times New Roman" w:hint="default"/>
                <w:sz w:val="18"/>
                <w:szCs w:val="18"/>
              </w:rPr>
              <w:t>90%</w:t>
            </w:r>
            <w:r>
              <w:rPr>
                <w:rFonts w:ascii="宋体" w:hAnsi="宋体" w:cs="宋体" w:eastAsia="宋体" w:hint="default"/>
                <w:sz w:val="18"/>
                <w:szCs w:val="18"/>
              </w:rPr>
              <w:t>，主要是年末留抵的增值税进 项税较年初减少所致。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124,714,158.0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183,260,419.00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长期待摊费用余额较年初下降 </w:t>
            </w:r>
            <w:r>
              <w:rPr>
                <w:rFonts w:ascii="Times New Roman" w:hAnsi="Times New Roman" w:cs="Times New Roman" w:eastAsia="Times New Roman" w:hint="default"/>
                <w:sz w:val="18"/>
                <w:szCs w:val="18"/>
              </w:rPr>
              <w:t>32%</w:t>
            </w:r>
            <w:r>
              <w:rPr>
                <w:rFonts w:ascii="宋体" w:hAnsi="宋体" w:cs="宋体" w:eastAsia="宋体" w:hint="default"/>
                <w:sz w:val="18"/>
                <w:szCs w:val="18"/>
              </w:rPr>
              <w:t>，主要原因是本年度内公司关 闭的亏损店铺长期待摊费用余额一 次性摊销及计提了长期待摊费用减 值准备所致。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457,835,724.0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主要由于本年度增加了对上海华瑞 银行股份有限公司的投资。截至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日，上海华瑞银行 股份有限公司尚未正式注册成立， 本集团将该投资款作为其他非流动 资产核算。</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负债项目重大变动情况" w:id="32"/>
      <w:bookmarkEnd w:id="32"/>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778,630,418.00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11.14%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499,678,458.00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7.45%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3.69%</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短期借款余额较年初增加</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56%</w:t>
            </w:r>
            <w:r>
              <w:rPr>
                <w:rFonts w:ascii="宋体" w:hAnsi="宋体" w:cs="宋体" w:eastAsia="宋体" w:hint="default"/>
                <w:spacing w:val="-6"/>
                <w:sz w:val="18"/>
                <w:szCs w:val="18"/>
              </w:rPr>
              <w:t>，主要</w:t>
            </w:r>
            <w:r>
              <w:rPr>
                <w:rFonts w:ascii="宋体" w:hAnsi="宋体" w:cs="宋体" w:eastAsia="宋体" w:hint="default"/>
                <w:sz w:val="18"/>
                <w:szCs w:val="18"/>
              </w:rPr>
              <w:t> 是由于年末部分短期借款尚未到期 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348,840,798.00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208,756,845.00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应付账款较年初增加</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67%</w:t>
            </w:r>
            <w:r>
              <w:rPr>
                <w:rFonts w:ascii="宋体" w:hAnsi="宋体" w:cs="宋体" w:eastAsia="宋体" w:hint="default"/>
                <w:spacing w:val="-5"/>
                <w:sz w:val="18"/>
                <w:szCs w:val="18"/>
              </w:rPr>
              <w:t>，主要是由</w:t>
            </w:r>
            <w:r>
              <w:rPr>
                <w:rFonts w:ascii="宋体" w:hAnsi="宋体" w:cs="宋体" w:eastAsia="宋体" w:hint="default"/>
                <w:sz w:val="18"/>
                <w:szCs w:val="18"/>
              </w:rPr>
              <w:t> 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春新品在年末集中入库</w:t>
            </w:r>
          </w:p>
        </w:tc>
      </w:tr>
    </w:tbl>
    <w:p>
      <w:pPr>
        <w:spacing w:after="0" w:line="300"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272,663,736.00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205,091,112.00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其他应付款较年初增加</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，主要是</w:t>
            </w:r>
            <w:r>
              <w:rPr>
                <w:rFonts w:ascii="宋体" w:hAnsi="宋体" w:cs="宋体" w:eastAsia="宋体" w:hint="default"/>
                <w:sz w:val="18"/>
                <w:szCs w:val="18"/>
              </w:rPr>
              <w:t> 由于预提的广告费用增加以及因本 </w:t>
            </w:r>
            <w:r>
              <w:rPr>
                <w:rFonts w:ascii="宋体" w:hAnsi="宋体" w:cs="宋体" w:eastAsia="宋体" w:hint="default"/>
                <w:spacing w:val="-2"/>
                <w:sz w:val="18"/>
                <w:szCs w:val="18"/>
              </w:rPr>
              <w:t>年度电商业务转入上市公司，年末计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提运费等相关费用增加所致。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其他非流动负债较年初增加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主要是由于本年度将附回购义务的 限制性股票确认为或有负债所致。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以公允价值计量的资产和负债" w:id="33"/>
      <w:bookmarkEnd w:id="33"/>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五、核心竞争力分析" w:id="34"/>
      <w:bookmarkEnd w:id="34"/>
      <w:r>
        <w:rPr>
          <w:b w:val="0"/>
          <w:bCs w:val="0"/>
        </w:rPr>
      </w: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1153" w:firstLine="122"/>
        <w:jc w:val="left"/>
      </w:pPr>
      <w:r>
        <w:rPr>
          <w:rFonts w:ascii="Times New Roman" w:hAnsi="Times New Roman" w:cs="Times New Roman" w:eastAsia="Times New Roman" w:hint="default"/>
          <w:b/>
          <w:bCs/>
        </w:rPr>
        <w:t>1</w:t>
      </w:r>
      <w:r>
        <w:rPr>
          <w:rFonts w:ascii="宋体" w:hAnsi="宋体" w:cs="宋体" w:eastAsia="宋体" w:hint="default"/>
          <w:b/>
          <w:bCs/>
        </w:rPr>
        <w:t>、品牌优势</w:t>
      </w:r>
      <w:r>
        <w:rPr>
          <w:rFonts w:ascii="宋体" w:hAnsi="宋体" w:cs="宋体" w:eastAsia="宋体" w:hint="default"/>
          <w:b/>
          <w:bCs/>
          <w:w w:val="99"/>
        </w:rPr>
        <w:t> </w:t>
      </w:r>
      <w:r>
        <w:rPr/>
        <w:t>本公司紧密地围绕</w:t>
      </w:r>
      <w:r>
        <w:rPr>
          <w:rFonts w:ascii="Times New Roman" w:hAnsi="Times New Roman" w:cs="Times New Roman" w:eastAsia="Times New Roman" w:hint="default"/>
        </w:rPr>
        <w:t>Meters/bonwe</w:t>
      </w:r>
      <w:r>
        <w:rPr/>
        <w:t>以及</w:t>
      </w:r>
      <w:r>
        <w:rPr>
          <w:rFonts w:ascii="Times New Roman" w:hAnsi="Times New Roman" w:cs="Times New Roman" w:eastAsia="Times New Roman" w:hint="default"/>
        </w:rPr>
        <w:t>ME&amp;CITY</w:t>
      </w:r>
      <w:r>
        <w:rPr/>
        <w:t>品牌的定位、价值与个性，通过产品设计、产品陈列、店铺设计、广告</w:t>
      </w:r>
    </w:p>
    <w:p>
      <w:pPr>
        <w:pStyle w:val="BodyText"/>
        <w:spacing w:line="213" w:lineRule="exact"/>
        <w:ind w:left="154" w:right="0"/>
        <w:jc w:val="both"/>
      </w:pPr>
      <w:r>
        <w:rPr/>
        <w:t>投放、签约代言和各类营销活动，借助目标消费群体所关注的国内外各类公众、时尚事件，进行高频率、多层次的整合营销</w:t>
      </w:r>
    </w:p>
    <w:p>
      <w:pPr>
        <w:pStyle w:val="BodyText"/>
        <w:spacing w:line="300" w:lineRule="auto" w:before="76"/>
        <w:ind w:right="1158"/>
        <w:jc w:val="both"/>
      </w:pPr>
      <w:r>
        <w:rPr/>
        <w:t>活动，不断提升</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两大品牌以及下属子品牌的品牌形象，</w:t>
      </w:r>
      <w:r>
        <w:rPr>
          <w:rFonts w:ascii="Times New Roman" w:hAnsi="Times New Roman" w:cs="Times New Roman" w:eastAsia="Times New Roman" w:hint="default"/>
        </w:rPr>
        <w:t>Meters/bonwe</w:t>
      </w:r>
      <w:r>
        <w:rPr/>
        <w:t>品牌不仅在市场调研结果中</w:t>
      </w:r>
      <w:r>
        <w:rPr>
          <w:w w:val="99"/>
        </w:rPr>
        <w:t> </w:t>
      </w:r>
      <w:r>
        <w:rPr/>
        <w:t>名列前茅，也同时获得了国家及国际国内各类权威机构的认可，并于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月获得了国家商标局颁发的</w:t>
      </w:r>
      <w:r>
        <w:rPr>
          <w:rFonts w:ascii="Times New Roman" w:hAnsi="Times New Roman" w:cs="Times New Roman" w:eastAsia="Times New Roman" w:hint="default"/>
        </w:rPr>
        <w:t>“</w:t>
      </w:r>
      <w:r>
        <w:rPr/>
        <w:t>中国驰名商标</w:t>
      </w:r>
      <w:r>
        <w:rPr>
          <w:rFonts w:ascii="Times New Roman" w:hAnsi="Times New Roman" w:cs="Times New Roman" w:eastAsia="Times New Roman" w:hint="default"/>
        </w:rPr>
        <w:t>”</w:t>
      </w:r>
      <w:r>
        <w:rPr/>
        <w:t>称 号。</w:t>
      </w:r>
    </w:p>
    <w:p>
      <w:pPr>
        <w:pStyle w:val="Heading6"/>
        <w:spacing w:line="240" w:lineRule="auto" w:before="71"/>
        <w:ind w:left="636" w:right="1033"/>
        <w:jc w:val="left"/>
        <w:rPr>
          <w:b w:val="0"/>
          <w:bCs w:val="0"/>
        </w:rPr>
      </w:pPr>
      <w:r>
        <w:rPr>
          <w:rFonts w:ascii="Times New Roman" w:hAnsi="Times New Roman" w:cs="Times New Roman" w:eastAsia="Times New Roman" w:hint="default"/>
        </w:rPr>
        <w:t>2</w:t>
      </w:r>
      <w:r>
        <w:rPr/>
        <w:t>、营销网络优势</w:t>
      </w:r>
      <w:r>
        <w:rPr>
          <w:b w:val="0"/>
          <w:bCs w:val="0"/>
        </w:rPr>
      </w:r>
    </w:p>
    <w:p>
      <w:pPr>
        <w:pStyle w:val="BodyText"/>
        <w:spacing w:line="338" w:lineRule="auto" w:before="103"/>
        <w:ind w:left="514" w:right="1033"/>
        <w:jc w:val="left"/>
      </w:pPr>
      <w:r>
        <w:rPr/>
        <w:t>（</w:t>
      </w:r>
      <w:r>
        <w:rPr>
          <w:rFonts w:ascii="Times New Roman" w:hAnsi="Times New Roman" w:cs="Times New Roman" w:eastAsia="Times New Roman" w:hint="default"/>
        </w:rPr>
        <w:t>1</w:t>
      </w:r>
      <w:r>
        <w:rPr/>
        <w:t>）营销网络规模及布局优势 </w:t>
      </w:r>
      <w:r>
        <w:rPr>
          <w:spacing w:val="-2"/>
        </w:rPr>
        <w:t>本公司在全国拥有直营店和加盟店</w:t>
      </w:r>
      <w:r>
        <w:rPr>
          <w:rFonts w:ascii="Times New Roman" w:hAnsi="Times New Roman" w:cs="Times New Roman" w:eastAsia="Times New Roman" w:hint="default"/>
          <w:spacing w:val="-2"/>
        </w:rPr>
        <w:t>4000</w:t>
      </w:r>
      <w:r>
        <w:rPr>
          <w:spacing w:val="-2"/>
        </w:rPr>
        <w:t>多家，营销网络遍布全国，其中直营店在公司营销网络布局战略中发挥着重要的</w:t>
      </w:r>
    </w:p>
    <w:p>
      <w:pPr>
        <w:pStyle w:val="BodyText"/>
        <w:spacing w:line="217" w:lineRule="exact"/>
        <w:ind w:right="0"/>
        <w:jc w:val="left"/>
      </w:pPr>
      <w:r>
        <w:rPr/>
        <w:t>作用。公司通过在重点一线城市建立销售子公司并开设直营店的方式，有效地提升品牌的影响力和知名度，并能够更加深入</w:t>
      </w:r>
    </w:p>
    <w:p>
      <w:pPr>
        <w:pStyle w:val="BodyText"/>
        <w:spacing w:line="319" w:lineRule="auto" w:before="76"/>
        <w:ind w:right="1033"/>
        <w:jc w:val="left"/>
      </w:pPr>
      <w:r>
        <w:rPr>
          <w:spacing w:val="-2"/>
        </w:rPr>
        <w:t>的推动管理创新和品牌升级，从而对一线城市周边和二、三线市场产生有力的辐射作用。公司品牌和产品形象的提升吸引了</w:t>
      </w:r>
      <w:r>
        <w:rPr>
          <w:spacing w:val="-66"/>
        </w:rPr>
        <w:t> </w:t>
      </w:r>
      <w:r>
        <w:rPr>
          <w:spacing w:val="-66"/>
        </w:rPr>
      </w:r>
      <w:r>
        <w:rPr>
          <w:spacing w:val="-2"/>
        </w:rPr>
        <w:t>更多优质加盟商的加入，使得公司可以借助加盟商的人力、物力和财力进行迅速地市场拓展与渗透。通过在直营店和加盟店</w:t>
      </w:r>
      <w:r>
        <w:rPr>
          <w:spacing w:val="-66"/>
        </w:rPr>
        <w:t> </w:t>
      </w:r>
      <w:r>
        <w:rPr>
          <w:spacing w:val="-66"/>
        </w:rPr>
      </w:r>
      <w:r>
        <w:rPr>
          <w:spacing w:val="-2"/>
        </w:rPr>
        <w:t>数量和销售面积上的合理配比，满足市场消费者的差异化的需求的同时达到了提升销售业绩与拓展销售渠道的有效平衡；通</w:t>
      </w:r>
      <w:r>
        <w:rPr>
          <w:spacing w:val="-64"/>
        </w:rPr>
        <w:t> </w:t>
      </w:r>
      <w:r>
        <w:rPr>
          <w:spacing w:val="-64"/>
        </w:rPr>
      </w:r>
      <w:r>
        <w:rPr>
          <w:spacing w:val="-4"/>
        </w:rPr>
        <w:t>过直营店和加盟店在时间和空间上的战略性布局，短时间内覆盖了全国大部分重点省市，并在某些地区占据了市场主导地位，</w:t>
      </w:r>
      <w:r>
        <w:rPr>
          <w:spacing w:val="-44"/>
        </w:rPr>
        <w:t> </w:t>
      </w:r>
      <w:r>
        <w:rPr>
          <w:spacing w:val="-44"/>
        </w:rPr>
      </w:r>
      <w:r>
        <w:rPr/>
        <w:t>为未来进一步扩大市场份额打下了坚实的基础。</w:t>
      </w:r>
    </w:p>
    <w:p>
      <w:pPr>
        <w:pStyle w:val="BodyText"/>
        <w:spacing w:line="300" w:lineRule="auto" w:before="56"/>
        <w:ind w:left="634" w:right="1033"/>
        <w:jc w:val="left"/>
      </w:pPr>
      <w:r>
        <w:rPr/>
        <w:t>（</w:t>
      </w:r>
      <w:r>
        <w:rPr>
          <w:rFonts w:ascii="Times New Roman" w:hAnsi="Times New Roman" w:cs="Times New Roman" w:eastAsia="Times New Roman" w:hint="default"/>
        </w:rPr>
        <w:t>2</w:t>
      </w:r>
      <w:r>
        <w:rPr/>
        <w:t>）营销网络管理能力优势 </w:t>
      </w:r>
      <w:r>
        <w:rPr>
          <w:spacing w:val="-1"/>
        </w:rPr>
        <w:t>借助多年来营销网络建设和管理经验，公司已发展出一套针对由直营店和加盟店所组成的混合营销网络的成熟管理方</w:t>
      </w:r>
    </w:p>
    <w:p>
      <w:pPr>
        <w:pStyle w:val="BodyText"/>
        <w:spacing w:line="316" w:lineRule="auto" w:before="31"/>
        <w:ind w:left="154" w:right="1129"/>
        <w:jc w:val="both"/>
      </w:pPr>
      <w:r>
        <w:rPr>
          <w:spacing w:val="-2"/>
        </w:rPr>
        <w:t>法，有力地支持了公司营销网络的拓展与维护。在终端管理方面，直营和加盟渠道开始全面实施的终端形象升级、店铺管理</w:t>
      </w:r>
      <w:r>
        <w:rPr>
          <w:spacing w:val="-66"/>
        </w:rPr>
        <w:t> </w:t>
      </w:r>
      <w:r>
        <w:rPr>
          <w:spacing w:val="-66"/>
        </w:rPr>
      </w:r>
      <w:r>
        <w:rPr>
          <w:spacing w:val="-2"/>
        </w:rPr>
        <w:t>标准化、精细化、促销管理精细化已经取得了显著成效。通过店铺形象升级、新渠道的开发、标准店铺模块化管理、周新品</w:t>
      </w:r>
      <w:r>
        <w:rPr>
          <w:spacing w:val="-68"/>
        </w:rPr>
        <w:t> </w:t>
      </w:r>
      <w:r>
        <w:rPr>
          <w:spacing w:val="-68"/>
        </w:rPr>
      </w:r>
      <w:r>
        <w:rPr>
          <w:spacing w:val="-2"/>
        </w:rPr>
        <w:t>上市、授权店经理负责制等举措，店铺更时尚精致，店铺运作逐渐与国际品牌全面接轨。在加盟商管理方面，公司在店铺开</w:t>
      </w:r>
      <w:r>
        <w:rPr>
          <w:spacing w:val="-66"/>
        </w:rPr>
        <w:t> </w:t>
      </w:r>
      <w:r>
        <w:rPr>
          <w:spacing w:val="-66"/>
        </w:rPr>
      </w:r>
      <w:r>
        <w:rPr>
          <w:spacing w:val="-5"/>
        </w:rPr>
        <w:t>设、日常运营、信息系统运用、销售培训、信用支持、物流运输等方面给予加盟商全方位的支持，着力培育有潜力的加盟商，</w:t>
      </w:r>
      <w:r>
        <w:rPr>
          <w:spacing w:val="-79"/>
        </w:rPr>
        <w:t> </w:t>
      </w:r>
      <w:r>
        <w:rPr>
          <w:spacing w:val="-79"/>
        </w:rPr>
      </w:r>
      <w:r>
        <w:rPr>
          <w:spacing w:val="-2"/>
        </w:rPr>
        <w:t>全力激发加盟商的网络拓展热情，注重长期战略伙伴关系的建立。店铺发展中心通过覆盖所有直营和加盟店铺的信息管理系</w:t>
      </w:r>
      <w:r>
        <w:rPr>
          <w:spacing w:val="-64"/>
        </w:rPr>
        <w:t> </w:t>
      </w:r>
      <w:r>
        <w:rPr>
          <w:spacing w:val="-64"/>
        </w:rPr>
      </w:r>
      <w:r>
        <w:rPr/>
        <w:t>统及时获取并分析销售终端的情况，最终形成了公司优秀的营销网络管理能力。</w:t>
      </w:r>
    </w:p>
    <w:p>
      <w:pPr>
        <w:spacing w:line="240" w:lineRule="auto" w:before="4"/>
        <w:rPr>
          <w:rFonts w:ascii="宋体" w:hAnsi="宋体" w:cs="宋体" w:eastAsia="宋体" w:hint="default"/>
          <w:sz w:val="25"/>
          <w:szCs w:val="25"/>
        </w:rPr>
      </w:pPr>
    </w:p>
    <w:p>
      <w:pPr>
        <w:pStyle w:val="BodyText"/>
        <w:spacing w:line="300" w:lineRule="auto"/>
        <w:ind w:left="633" w:right="1033" w:firstLine="2"/>
        <w:jc w:val="left"/>
      </w:pPr>
      <w:r>
        <w:rPr>
          <w:rFonts w:ascii="Times New Roman" w:hAnsi="Times New Roman" w:cs="Times New Roman" w:eastAsia="Times New Roman" w:hint="default"/>
          <w:b/>
          <w:bCs/>
        </w:rPr>
        <w:t>3</w:t>
      </w:r>
      <w:r>
        <w:rPr>
          <w:rFonts w:ascii="宋体" w:hAnsi="宋体" w:cs="宋体" w:eastAsia="宋体" w:hint="default"/>
          <w:b/>
          <w:bCs/>
        </w:rPr>
        <w:t>、产品设计开发优势</w:t>
      </w:r>
      <w:r>
        <w:rPr>
          <w:rFonts w:ascii="宋体" w:hAnsi="宋体" w:cs="宋体" w:eastAsia="宋体" w:hint="default"/>
          <w:b/>
          <w:bCs/>
          <w:w w:val="99"/>
        </w:rPr>
        <w:t> </w:t>
      </w:r>
      <w:r>
        <w:rPr>
          <w:spacing w:val="-1"/>
        </w:rPr>
        <w:t>公司的设计团队多年来始终坚持国际化与本土化相结合，以自主培养设计师为主的原则组建设计团队。设计团队自建</w:t>
      </w:r>
    </w:p>
    <w:p>
      <w:pPr>
        <w:pStyle w:val="BodyText"/>
        <w:spacing w:line="316" w:lineRule="auto" w:before="31"/>
        <w:ind w:right="1033"/>
        <w:jc w:val="left"/>
      </w:pPr>
      <w:r>
        <w:rPr>
          <w:spacing w:val="-2"/>
        </w:rPr>
        <w:t>设伊始一直保持了很好的稳定性，设计人员年龄结构分布均匀，使得设计团队在保持年轻活力的同时也令国际化资深设计师</w:t>
      </w:r>
      <w:r>
        <w:rPr>
          <w:spacing w:val="-64"/>
        </w:rPr>
        <w:t> </w:t>
      </w:r>
      <w:r>
        <w:rPr>
          <w:spacing w:val="-64"/>
        </w:rPr>
      </w:r>
      <w:r>
        <w:rPr/>
        <w:t>经验得到了有效传承。</w:t>
      </w:r>
    </w:p>
    <w:p>
      <w:pPr>
        <w:spacing w:after="0" w:line="316" w:lineRule="auto"/>
        <w:jc w:val="left"/>
        <w:sectPr>
          <w:pgSz w:w="11910" w:h="16840"/>
          <w:pgMar w:header="851" w:footer="979" w:top="1320" w:bottom="1160" w:left="980" w:right="0"/>
        </w:sectPr>
      </w:pPr>
    </w:p>
    <w:p>
      <w:pPr>
        <w:pStyle w:val="BodyText"/>
        <w:spacing w:line="316" w:lineRule="auto" w:before="114"/>
        <w:ind w:left="154" w:right="1132" w:firstLine="480"/>
        <w:jc w:val="both"/>
      </w:pPr>
      <w:r>
        <w:rPr>
          <w:spacing w:val="-1"/>
        </w:rPr>
        <w:t>公司产品设计的最大特点在于保持了感性与理性的平衡，不仅从国际、国内的流行时尚情况、对自有品牌定位、国内</w:t>
      </w:r>
      <w:r>
        <w:rPr/>
        <w:t> </w:t>
      </w:r>
      <w:r>
        <w:rPr>
          <w:spacing w:val="-2"/>
        </w:rPr>
        <w:t>不同区域消费者对服装款式的不同需求、竞争对手的产品设计和过往公司各类产品的销售情况出发，也综合考虑了供应链下</w:t>
      </w:r>
      <w:r>
        <w:rPr>
          <w:spacing w:val="-64"/>
        </w:rPr>
        <w:t> </w:t>
      </w:r>
      <w:r>
        <w:rPr>
          <w:spacing w:val="-64"/>
        </w:rPr>
      </w:r>
      <w:r>
        <w:rPr/>
        <w:t>游各加盟商所处的各地市场和其店铺情况的独特性，对供应链上游供应商的生产成本控制要求。</w:t>
      </w:r>
    </w:p>
    <w:p>
      <w:pPr>
        <w:spacing w:line="240" w:lineRule="auto" w:before="4"/>
        <w:rPr>
          <w:rFonts w:ascii="宋体" w:hAnsi="宋体" w:cs="宋体" w:eastAsia="宋体" w:hint="default"/>
          <w:sz w:val="25"/>
          <w:szCs w:val="25"/>
        </w:rPr>
      </w:pPr>
    </w:p>
    <w:p>
      <w:pPr>
        <w:pStyle w:val="BodyText"/>
        <w:spacing w:line="300" w:lineRule="auto"/>
        <w:ind w:left="633" w:right="1033" w:firstLine="2"/>
        <w:jc w:val="left"/>
      </w:pPr>
      <w:r>
        <w:rPr>
          <w:rFonts w:ascii="Times New Roman" w:hAnsi="Times New Roman" w:cs="Times New Roman" w:eastAsia="Times New Roman" w:hint="default"/>
          <w:b/>
          <w:bCs/>
        </w:rPr>
        <w:t>4</w:t>
      </w:r>
      <w:r>
        <w:rPr>
          <w:rFonts w:ascii="宋体" w:hAnsi="宋体" w:cs="宋体" w:eastAsia="宋体" w:hint="default"/>
          <w:b/>
          <w:bCs/>
        </w:rPr>
        <w:t>、供应链管理能力优势</w:t>
      </w:r>
      <w:r>
        <w:rPr>
          <w:rFonts w:ascii="宋体" w:hAnsi="宋体" w:cs="宋体" w:eastAsia="宋体" w:hint="default"/>
          <w:b/>
          <w:bCs/>
          <w:w w:val="99"/>
        </w:rPr>
        <w:t> </w:t>
      </w:r>
      <w:r>
        <w:rPr>
          <w:spacing w:val="-1"/>
        </w:rPr>
        <w:t>经过近年努力，公司始终不断探索并建立一条能充分适应国内休闲服装业情况以及公司业务现状与未来发展方向的供</w:t>
      </w:r>
    </w:p>
    <w:p>
      <w:pPr>
        <w:pStyle w:val="BodyText"/>
        <w:spacing w:line="316" w:lineRule="auto" w:before="31"/>
        <w:ind w:left="634" w:right="1033" w:hanging="480"/>
        <w:jc w:val="left"/>
      </w:pPr>
      <w:r>
        <w:rPr/>
        <w:t>应链和相应的供应链管理方法，构筑起强大的供应链管理能力。 </w:t>
      </w:r>
      <w:r>
        <w:rPr>
          <w:spacing w:val="-1"/>
        </w:rPr>
        <w:t>公司的供应链基本实现了商务流、信息流、物流和资金流的结合与同步，不断把国际化管理的标准引入到我们供应链</w:t>
      </w:r>
    </w:p>
    <w:p>
      <w:pPr>
        <w:pStyle w:val="BodyText"/>
        <w:spacing w:line="316" w:lineRule="auto" w:before="19"/>
        <w:ind w:left="154" w:right="1043"/>
        <w:jc w:val="both"/>
      </w:pPr>
      <w:r>
        <w:rPr>
          <w:spacing w:val="-2"/>
        </w:rPr>
        <w:t>管理中去，加快整合供应链资源，建立从源头到终端一致性、标准化的管理体系。通过对直营和加盟店的差异化管理，以及</w:t>
      </w:r>
      <w:r>
        <w:rPr>
          <w:spacing w:val="-66"/>
        </w:rPr>
        <w:t> </w:t>
      </w:r>
      <w:r>
        <w:rPr>
          <w:spacing w:val="-66"/>
        </w:rPr>
      </w:r>
      <w:r>
        <w:rPr/>
        <w:t>各方在硬件和软件上的标准化，正逐步构建起一条能适应休闲服零售业特征的，具备对客户需求快速反应的敏捷型供应链。</w:t>
      </w:r>
    </w:p>
    <w:p>
      <w:pPr>
        <w:spacing w:line="240" w:lineRule="auto" w:before="4"/>
        <w:rPr>
          <w:rFonts w:ascii="宋体" w:hAnsi="宋体" w:cs="宋体" w:eastAsia="宋体" w:hint="default"/>
          <w:sz w:val="25"/>
          <w:szCs w:val="25"/>
        </w:rPr>
      </w:pPr>
    </w:p>
    <w:p>
      <w:pPr>
        <w:pStyle w:val="BodyText"/>
        <w:spacing w:line="300" w:lineRule="auto"/>
        <w:ind w:left="634" w:right="1033" w:firstLine="2"/>
        <w:jc w:val="left"/>
      </w:pPr>
      <w:r>
        <w:rPr>
          <w:rFonts w:ascii="Times New Roman" w:hAnsi="Times New Roman" w:cs="Times New Roman" w:eastAsia="Times New Roman" w:hint="default"/>
          <w:b/>
          <w:bCs/>
        </w:rPr>
        <w:t>5</w:t>
      </w:r>
      <w:r>
        <w:rPr>
          <w:rFonts w:ascii="宋体" w:hAnsi="宋体" w:cs="宋体" w:eastAsia="宋体" w:hint="default"/>
          <w:b/>
          <w:bCs/>
        </w:rPr>
        <w:t>、信息管理系统优势</w:t>
      </w:r>
      <w:r>
        <w:rPr>
          <w:rFonts w:ascii="宋体" w:hAnsi="宋体" w:cs="宋体" w:eastAsia="宋体" w:hint="default"/>
          <w:b/>
          <w:bCs/>
          <w:w w:val="99"/>
        </w:rPr>
        <w:t> </w:t>
      </w:r>
      <w:r>
        <w:rPr>
          <w:spacing w:val="-1"/>
        </w:rPr>
        <w:t>一直以来，本公司的信息化战略与企业的发展保持着高度的融合，信息技术的运用以及信息化战略的制定与执行均与</w:t>
      </w:r>
    </w:p>
    <w:p>
      <w:pPr>
        <w:pStyle w:val="BodyText"/>
        <w:spacing w:line="316" w:lineRule="auto" w:before="31"/>
        <w:ind w:left="154" w:right="1131"/>
        <w:jc w:val="both"/>
      </w:pPr>
      <w:r>
        <w:rPr>
          <w:spacing w:val="-2"/>
        </w:rPr>
        <w:t>公司的业务深度结合。利用部分上市募集资金对信息系统进行改进，紧密围绕公司核心业务，优化和完善公司在全国的营销</w:t>
      </w:r>
      <w:r>
        <w:rPr>
          <w:spacing w:val="-65"/>
        </w:rPr>
        <w:t> </w:t>
      </w:r>
      <w:r>
        <w:rPr>
          <w:spacing w:val="-65"/>
        </w:rPr>
      </w:r>
      <w:r>
        <w:rPr/>
        <w:t>网络；同时改进公司信息管理系统，对日益增长的业务起到有效支持和推进作用。</w:t>
      </w:r>
    </w:p>
    <w:p>
      <w:pPr>
        <w:pStyle w:val="BodyText"/>
        <w:spacing w:line="316" w:lineRule="auto" w:before="19"/>
        <w:ind w:left="154" w:right="1131" w:firstLine="480"/>
        <w:jc w:val="both"/>
      </w:pPr>
      <w:r>
        <w:rPr>
          <w:spacing w:val="-1"/>
        </w:rPr>
        <w:t>公司目前使用的同时具备标准化和针对供应链各方差异化的第二代信息管理系统，建立在休闲服装零售业整条供应链</w:t>
      </w:r>
      <w:r>
        <w:rPr/>
        <w:t> </w:t>
      </w:r>
      <w:r>
        <w:rPr>
          <w:spacing w:val="-2"/>
        </w:rPr>
        <w:t>的基础之上，在数据库和软件应用底层完全整合；大幅度提升了公司的运营效率，增强了持续发展能力，核心竞争力亦获得</w:t>
      </w:r>
      <w:r>
        <w:rPr>
          <w:spacing w:val="-66"/>
        </w:rPr>
        <w:t> </w:t>
      </w:r>
      <w:r>
        <w:rPr>
          <w:spacing w:val="-66"/>
        </w:rPr>
      </w:r>
      <w:r>
        <w:rPr/>
        <w:t>到进一步提高。</w:t>
      </w:r>
    </w:p>
    <w:p>
      <w:pPr>
        <w:spacing w:line="240" w:lineRule="auto" w:before="4"/>
        <w:rPr>
          <w:rFonts w:ascii="宋体" w:hAnsi="宋体" w:cs="宋体" w:eastAsia="宋体" w:hint="default"/>
          <w:sz w:val="25"/>
          <w:szCs w:val="25"/>
        </w:rPr>
      </w:pPr>
    </w:p>
    <w:p>
      <w:pPr>
        <w:pStyle w:val="BodyText"/>
        <w:spacing w:line="300" w:lineRule="auto"/>
        <w:ind w:left="634" w:right="1033" w:firstLine="2"/>
        <w:jc w:val="left"/>
      </w:pPr>
      <w:r>
        <w:rPr>
          <w:rFonts w:ascii="Times New Roman" w:hAnsi="Times New Roman" w:cs="Times New Roman" w:eastAsia="Times New Roman" w:hint="default"/>
          <w:b/>
          <w:bCs/>
        </w:rPr>
        <w:t>6</w:t>
      </w:r>
      <w:r>
        <w:rPr>
          <w:rFonts w:ascii="宋体" w:hAnsi="宋体" w:cs="宋体" w:eastAsia="宋体" w:hint="default"/>
          <w:b/>
          <w:bCs/>
        </w:rPr>
        <w:t>、物流系统优势</w:t>
      </w:r>
      <w:r>
        <w:rPr>
          <w:rFonts w:ascii="宋体" w:hAnsi="宋体" w:cs="宋体" w:eastAsia="宋体" w:hint="default"/>
          <w:b/>
          <w:bCs/>
          <w:w w:val="99"/>
        </w:rPr>
        <w:t> </w:t>
      </w:r>
      <w:r>
        <w:rPr/>
        <w:t>公司目前拥有</w:t>
      </w:r>
      <w:r>
        <w:rPr>
          <w:rFonts w:ascii="Times New Roman" w:hAnsi="Times New Roman" w:cs="Times New Roman" w:eastAsia="Times New Roman" w:hint="default"/>
        </w:rPr>
        <w:t>7</w:t>
      </w:r>
      <w:r>
        <w:rPr/>
        <w:t>大区域物流中心：上海、温州、沈阳、东莞、西安、成都、天津，主要负责所辖区域内货物的存放和</w:t>
      </w:r>
    </w:p>
    <w:p>
      <w:pPr>
        <w:pStyle w:val="BodyText"/>
        <w:spacing w:line="309" w:lineRule="auto" w:before="13"/>
        <w:ind w:right="1131"/>
        <w:jc w:val="both"/>
      </w:pPr>
      <w:r>
        <w:rPr>
          <w:spacing w:val="-2"/>
        </w:rPr>
        <w:t>配送。形成运行高效的三级配送体系：从工厂运送至区域物流中心，然后分拣配送至分公司仓库，最后配送至各店铺。上海</w:t>
      </w:r>
      <w:r>
        <w:rPr>
          <w:spacing w:val="-66"/>
        </w:rPr>
        <w:t> </w:t>
      </w:r>
      <w:r>
        <w:rPr>
          <w:spacing w:val="-66"/>
        </w:rPr>
      </w:r>
      <w:r>
        <w:rPr>
          <w:spacing w:val="-2"/>
        </w:rPr>
        <w:t>六灶物流中心日均物流产可达到</w:t>
      </w:r>
      <w:r>
        <w:rPr>
          <w:rFonts w:ascii="Times New Roman" w:hAnsi="Times New Roman" w:cs="Times New Roman" w:eastAsia="Times New Roman" w:hint="default"/>
          <w:spacing w:val="-2"/>
        </w:rPr>
        <w:t>50</w:t>
      </w:r>
      <w:r>
        <w:rPr>
          <w:spacing w:val="-2"/>
        </w:rPr>
        <w:t>万件服饰产品的营运能力，大大提高了交叉转运的运作能力，实摘果拣选模式和播种拣选</w:t>
      </w:r>
      <w:r>
        <w:rPr>
          <w:spacing w:val="-62"/>
        </w:rPr>
        <w:t> </w:t>
      </w:r>
      <w:r>
        <w:rPr>
          <w:spacing w:val="-62"/>
        </w:rPr>
      </w:r>
      <w:r>
        <w:rPr/>
        <w:t>模式的兼容转换，大幅度的提升了供应链物流的快速流通能力和效率，有效支持了企业的战略发展。</w:t>
      </w:r>
    </w:p>
    <w:p>
      <w:pPr>
        <w:spacing w:line="240" w:lineRule="auto" w:before="9"/>
        <w:rPr>
          <w:rFonts w:ascii="宋体" w:hAnsi="宋体" w:cs="宋体" w:eastAsia="宋体" w:hint="default"/>
          <w:sz w:val="25"/>
          <w:szCs w:val="25"/>
        </w:rPr>
      </w:pPr>
    </w:p>
    <w:p>
      <w:pPr>
        <w:pStyle w:val="BodyText"/>
        <w:spacing w:line="300" w:lineRule="auto"/>
        <w:ind w:left="633" w:right="1033" w:firstLine="2"/>
        <w:jc w:val="left"/>
      </w:pPr>
      <w:r>
        <w:rPr>
          <w:rFonts w:ascii="Times New Roman" w:hAnsi="Times New Roman" w:cs="Times New Roman" w:eastAsia="Times New Roman" w:hint="default"/>
          <w:b/>
          <w:bCs/>
        </w:rPr>
        <w:t>7</w:t>
      </w:r>
      <w:r>
        <w:rPr>
          <w:rFonts w:ascii="宋体" w:hAnsi="宋体" w:cs="宋体" w:eastAsia="宋体" w:hint="default"/>
          <w:b/>
          <w:bCs/>
        </w:rPr>
        <w:t>、较强的风险管控能力</w:t>
      </w:r>
      <w:r>
        <w:rPr>
          <w:rFonts w:ascii="宋体" w:hAnsi="宋体" w:cs="宋体" w:eastAsia="宋体" w:hint="default"/>
          <w:b/>
          <w:bCs/>
          <w:w w:val="99"/>
        </w:rPr>
        <w:t> </w:t>
      </w:r>
      <w:r>
        <w:rPr/>
        <w:t>公司深刻认识到风险管控对于企业长远发展的重要意义，并能针对经营过程中面临的各种风险采取相应的应对措施，</w:t>
      </w:r>
    </w:p>
    <w:p>
      <w:pPr>
        <w:pStyle w:val="BodyText"/>
        <w:spacing w:line="316" w:lineRule="auto" w:before="31"/>
        <w:ind w:left="633" w:right="1033" w:hanging="480"/>
        <w:jc w:val="left"/>
      </w:pPr>
      <w:r>
        <w:rPr/>
        <w:t>体现了较强的风险管控能力。 </w:t>
      </w:r>
      <w:r>
        <w:rPr>
          <w:spacing w:val="-1"/>
        </w:rPr>
        <w:t>公司针对可能的财务风险，一直保持稳健谨慎的财务策略，本年度存货继续下降，经营性现金流保持健康，资产质量</w:t>
      </w:r>
    </w:p>
    <w:p>
      <w:pPr>
        <w:pStyle w:val="BodyText"/>
        <w:spacing w:line="316" w:lineRule="auto" w:before="19"/>
        <w:ind w:left="633" w:right="1033" w:hanging="480"/>
        <w:jc w:val="left"/>
      </w:pPr>
      <w:r>
        <w:rPr/>
        <w:t>有所提升，融资渠道不断丰富，在银行间市场及合作的商业银行均建立良好的信誉。 </w:t>
      </w:r>
      <w:r>
        <w:rPr>
          <w:spacing w:val="6"/>
        </w:rPr>
        <w:t>经营风险方面，公司针对注重时尚活力的年轻消费者群体以大众化的价格不断挖掘该细分市场的不同需求。目前</w:t>
      </w:r>
    </w:p>
    <w:p>
      <w:pPr>
        <w:pStyle w:val="BodyText"/>
        <w:spacing w:line="312" w:lineRule="auto" w:before="19"/>
        <w:ind w:left="154" w:right="1131"/>
        <w:jc w:val="both"/>
      </w:pPr>
      <w:r>
        <w:rPr>
          <w:rFonts w:ascii="Times New Roman" w:hAnsi="Times New Roman" w:cs="Times New Roman" w:eastAsia="Times New Roman" w:hint="default"/>
        </w:rPr>
        <w:t>Meters/bonwe</w:t>
      </w:r>
      <w:r>
        <w:rPr/>
        <w:t>品牌、</w:t>
      </w:r>
      <w:r>
        <w:rPr>
          <w:rFonts w:ascii="Times New Roman" w:hAnsi="Times New Roman" w:cs="Times New Roman" w:eastAsia="Times New Roman" w:hint="default"/>
        </w:rPr>
        <w:t>ME&amp;CITY</w:t>
      </w:r>
      <w:r>
        <w:rPr/>
        <w:t>品牌及下属子品牌清晰的市场定位使公司从产品开发、设计到生产、销售都紧紧围绕目标消</w:t>
      </w:r>
      <w:r>
        <w:rPr>
          <w:spacing w:val="-61"/>
        </w:rPr>
        <w:t> </w:t>
      </w:r>
      <w:r>
        <w:rPr>
          <w:spacing w:val="-61"/>
        </w:rPr>
      </w:r>
      <w:r>
        <w:rPr>
          <w:spacing w:val="-2"/>
        </w:rPr>
        <w:t>费群的需求。同时，针对服装行业经营业绩季节性波动的风险，公司主动采取了稳健经营的策略，增加季中补单的比重，严</w:t>
      </w:r>
      <w:r>
        <w:rPr>
          <w:spacing w:val="-66"/>
        </w:rPr>
        <w:t> </w:t>
      </w:r>
      <w:r>
        <w:rPr>
          <w:spacing w:val="-66"/>
        </w:rPr>
      </w:r>
      <w:r>
        <w:rPr>
          <w:spacing w:val="-2"/>
        </w:rPr>
        <w:t>格控制新品生产规模，采取丰富服饰品种、颜色、款式以及有效降低服饰成本等方式降低经营风险，并根据南北方温差情况</w:t>
      </w:r>
      <w:r>
        <w:rPr>
          <w:spacing w:val="-66"/>
        </w:rPr>
        <w:t> </w:t>
      </w:r>
      <w:r>
        <w:rPr>
          <w:spacing w:val="-66"/>
        </w:rPr>
      </w:r>
      <w:r>
        <w:rPr/>
        <w:t>适度调配货品的方式来平抑波动。</w:t>
      </w:r>
    </w:p>
    <w:p>
      <w:pPr>
        <w:pStyle w:val="BodyText"/>
        <w:spacing w:line="316" w:lineRule="auto" w:before="22"/>
        <w:ind w:left="154" w:right="1133" w:firstLine="480"/>
        <w:jc w:val="both"/>
      </w:pPr>
      <w:r>
        <w:rPr>
          <w:spacing w:val="-1"/>
        </w:rPr>
        <w:t>管理风险方面，对于直营体系，由各自分属的销售子公司负责管理。为充分发挥直营店在提升公司形象和支持市场拓</w:t>
      </w:r>
      <w:r>
        <w:rPr/>
        <w:t> </w:t>
      </w:r>
      <w:r>
        <w:rPr>
          <w:spacing w:val="-2"/>
        </w:rPr>
        <w:t>展战略方面的作用，公司总部管理中心针对直营店制定了全方位的管理体系；对于加盟渠道，针对加盟建立与直营一样的垂</w:t>
      </w:r>
      <w:r>
        <w:rPr>
          <w:spacing w:val="-66"/>
        </w:rPr>
        <w:t> </w:t>
      </w:r>
      <w:r>
        <w:rPr>
          <w:spacing w:val="-66"/>
        </w:rPr>
      </w:r>
      <w:r>
        <w:rPr/>
        <w:t>直化的管理团队，在充分借鉴直营管理经验的基础上，帮助加盟商与直营一样持续提高管理能力，实现可持续的发展。</w:t>
      </w:r>
    </w:p>
    <w:p>
      <w:pPr>
        <w:spacing w:after="0" w:line="316"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六、投资状况分析" w:id="35"/>
      <w:bookmarkEnd w:id="35"/>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对外股权投资情况" w:id="36"/>
      <w:bookmarkEnd w:id="36"/>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对外投资情况" w:id="37"/>
      <w:bookmarkEnd w:id="37"/>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2</w:t>
            </w:r>
            <w:r>
              <w:rPr>
                <w:rFonts w:ascii="宋体" w:hAnsi="宋体" w:cs="宋体" w:eastAsia="宋体" w:hint="default"/>
                <w:sz w:val="18"/>
                <w:szCs w:val="18"/>
              </w:rPr>
              <w:t>）持有金融企业股权情况</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持有金融企业股权情况" w:id="38"/>
      <w:bookmarkEnd w:id="38"/>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上海华瑞 银行</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95" w:right="23" w:hanging="180"/>
              <w:jc w:val="left"/>
              <w:rPr>
                <w:rFonts w:ascii="宋体" w:hAnsi="宋体" w:cs="宋体" w:eastAsia="宋体" w:hint="default"/>
                <w:sz w:val="18"/>
                <w:szCs w:val="18"/>
              </w:rPr>
            </w:pPr>
            <w:r>
              <w:rPr>
                <w:rFonts w:ascii="宋体" w:hAnsi="宋体" w:cs="宋体" w:eastAsia="宋体" w:hint="default"/>
                <w:sz w:val="18"/>
                <w:szCs w:val="18"/>
              </w:rPr>
              <w:t>其他非流 动资产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长安基金</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23,964,857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其他流动 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516,000,00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23,964,857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证券投资情况" w:id="39"/>
      <w:bookmarkEnd w:id="39"/>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
        <w:rPr>
          <w:rFonts w:ascii="宋体" w:hAnsi="宋体" w:cs="宋体" w:eastAsia="宋体" w:hint="default"/>
          <w:sz w:val="21"/>
          <w:szCs w:val="21"/>
        </w:rPr>
      </w:pPr>
    </w:p>
    <w:p>
      <w:pPr>
        <w:pStyle w:val="Heading4"/>
        <w:spacing w:line="240" w:lineRule="auto"/>
        <w:ind w:left="153" w:right="1033"/>
        <w:jc w:val="left"/>
        <w:rPr>
          <w:b w:val="0"/>
          <w:bCs w:val="0"/>
        </w:rPr>
      </w:pPr>
      <w:bookmarkStart w:name="（4）持有其他上市公司股权情况的说明" w:id="40"/>
      <w:bookmarkEnd w:id="40"/>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2、委托理财、衍生品投资和委托贷款情况" w:id="41"/>
      <w:bookmarkEnd w:id="41"/>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委托理财情况" w:id="42"/>
      <w:bookmarkEnd w:id="4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7"/>
        <w:ind w:left="154" w:right="1033"/>
        <w:jc w:val="left"/>
      </w:pPr>
      <w:r>
        <w:rPr/>
        <w:t>公司报告期不存在委托理财。</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衍生品投资情况" w:id="43"/>
      <w:bookmarkEnd w:id="43"/>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3）委托贷款情况" w:id="44"/>
      <w:bookmarkEnd w:id="44"/>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3、募集资金使用情况" w:id="45"/>
      <w:bookmarkEnd w:id="45"/>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4、主要子公司、参股公司分析" w:id="46"/>
      <w:bookmarkEnd w:id="46"/>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431,683,492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353,189,645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110,457,784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72,824,717.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61,529,133.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183,562,132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-37,785,078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344,352,392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26,545,875.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24,593,239.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133,850,224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-68,065,787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197,247,952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-20,444,622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-18,760,688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63,325,537.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-58,193,035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143,262,833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32,212,738.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18,639,416.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40,371,914.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-61,226,239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27,886,816.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-6,659,266.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-4,696,293.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94,112,885.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-67,532,712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132,897,097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-19,903,962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-17,615,156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杭州邦威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48,459,719.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z w:val="18"/>
              </w:rPr>
              <w:t>-133,075,06</w:t>
            </w:r>
          </w:p>
          <w:p>
            <w:pPr>
              <w:pStyle w:val="TableParagraph"/>
              <w:spacing w:line="240" w:lineRule="auto" w:before="105"/>
              <w:ind w:left="609" w:right="0"/>
              <w:jc w:val="left"/>
              <w:rPr>
                <w:rFonts w:ascii="Times New Roman" w:hAnsi="Times New Roman" w:cs="Times New Roman" w:eastAsia="Times New Roman" w:hint="default"/>
                <w:sz w:val="18"/>
                <w:szCs w:val="18"/>
              </w:rPr>
            </w:pPr>
            <w:r>
              <w:rPr>
                <w:rFonts w:ascii="Times New Roman"/>
                <w:sz w:val="18"/>
              </w:rPr>
              <w:t>1.00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135,807,144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-8,257,203.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-13,918,773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189,590,390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z w:val="18"/>
              </w:rPr>
              <w:t>-188,810,86</w:t>
            </w:r>
          </w:p>
          <w:p>
            <w:pPr>
              <w:pStyle w:val="TableParagraph"/>
              <w:spacing w:line="240" w:lineRule="auto" w:before="105"/>
              <w:ind w:left="609" w:right="0"/>
              <w:jc w:val="left"/>
              <w:rPr>
                <w:rFonts w:ascii="Times New Roman" w:hAnsi="Times New Roman" w:cs="Times New Roman" w:eastAsia="Times New Roman" w:hint="default"/>
                <w:sz w:val="18"/>
                <w:szCs w:val="18"/>
              </w:rPr>
            </w:pPr>
            <w:r>
              <w:rPr>
                <w:rFonts w:ascii="Times New Roman"/>
                <w:sz w:val="18"/>
              </w:rPr>
              <w:t>1.00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312,699,527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42,558,053.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32,553,580.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7"/>
              <w:jc w:val="right"/>
              <w:rPr>
                <w:rFonts w:ascii="Times New Roman" w:hAnsi="Times New Roman" w:cs="Times New Roman" w:eastAsia="Times New Roman" w:hint="default"/>
                <w:sz w:val="18"/>
                <w:szCs w:val="18"/>
              </w:rPr>
            </w:pPr>
            <w:r>
              <w:rPr>
                <w:rFonts w:ascii="Times New Roman"/>
                <w:spacing w:val="-1"/>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 w:right="0"/>
              <w:jc w:val="center"/>
              <w:rPr>
                <w:rFonts w:ascii="Times New Roman" w:hAnsi="Times New Roman" w:cs="Times New Roman" w:eastAsia="Times New Roman" w:hint="default"/>
                <w:sz w:val="18"/>
                <w:szCs w:val="18"/>
              </w:rPr>
            </w:pPr>
            <w:r>
              <w:rPr>
                <w:rFonts w:ascii="Times New Roman"/>
                <w:sz w:val="18"/>
              </w:rPr>
              <w:t>115,760,852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center"/>
              <w:rPr>
                <w:rFonts w:ascii="Times New Roman" w:hAnsi="Times New Roman" w:cs="Times New Roman" w:eastAsia="Times New Roman" w:hint="default"/>
                <w:sz w:val="18"/>
                <w:szCs w:val="18"/>
              </w:rPr>
            </w:pPr>
            <w:r>
              <w:rPr>
                <w:rFonts w:ascii="Times New Roman"/>
                <w:sz w:val="18"/>
              </w:rPr>
              <w:t>-77,566,832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231,384,453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z w:val="18"/>
              </w:rPr>
              <w:t>-35,488,563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 w:right="0"/>
              <w:jc w:val="center"/>
              <w:rPr>
                <w:rFonts w:ascii="Times New Roman" w:hAnsi="Times New Roman" w:cs="Times New Roman" w:eastAsia="Times New Roman" w:hint="default"/>
                <w:sz w:val="18"/>
                <w:szCs w:val="18"/>
              </w:rPr>
            </w:pPr>
            <w:r>
              <w:rPr>
                <w:rFonts w:ascii="Times New Roman"/>
                <w:sz w:val="18"/>
              </w:rPr>
              <w:t>-29,908,114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106,331,699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-96,219,300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218,212,742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251,560,009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296,462,538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378,035,157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11,390,791.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8,616,947.0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59,420,417.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-53,815,381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126,311,934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13,844,044.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99,630,811.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-94,416,625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215,087,792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9,902,753.0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7,491,990.0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61,040,446.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112,965,763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2,685,052.0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1,401,979.0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65,679,529.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-18,170,013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101,003,947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12,545,623.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19,314,794.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-15,155,912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55,404,118.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10,680,007.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55,945,841.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-44,680,895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111,017,745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11,628,905.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上海米安斯 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103,555,704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53,519,159.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310,873,770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897,305.00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1,477,558.0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86,837,850.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-81,490,125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145,923,142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9,325,596.0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14,140,926.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453,197,260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606,248,394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38,234,398.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24,819,178.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32,536,534.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75,460,071.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-46,314,078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124,575,160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9,967,697.0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6,240,968.0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12,686,884.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-22,917,064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28,973,832.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3,978,728.0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3,997,407.0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22,526,624.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133,878,180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51,315,950.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42,449,821.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郑州米安斯 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6,453,563.0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-11,565,581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20,621,036.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620,735.00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575,961.00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石家庄米安 思迪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48,101,315.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-19,802,630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65,383,645.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15,756,145.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25,899,063.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乌鲁木齐美 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36,671,536.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-18,881,503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61,245,524.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上海华邦科 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350,367,224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277,278,748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62,154,572.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32,954,410.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48,732,542.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2,388,195.0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4,871,406.0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-2,406.00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41,005.00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35,946.00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-1,966,202.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-265,223.00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-323,890.00</w:t>
            </w:r>
            <w:r>
              <w:rPr>
                <w:rFonts w:ascii="Times New Roman"/>
                <w:sz w:val="18"/>
              </w:rPr>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873,297.00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60,274,926.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19,075.00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14,306.00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6,170,738.0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-1,765,527.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22,663,609.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14,671,026.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5,646,804.0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26,211,268.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1,495,259.0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891,308.00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批发零售业 非营利性组 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服饰展览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862,393.00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862,393.00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-4,059.00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-4,059.00</w:t>
            </w:r>
            <w:r>
              <w:rPr>
                <w:rFonts w:ascii="Times New Roman"/>
                <w:sz w:val="18"/>
              </w:rPr>
            </w:r>
          </w:p>
        </w:tc>
      </w:tr>
    </w:tbl>
    <w:p>
      <w:pPr>
        <w:pStyle w:val="BodyText"/>
        <w:spacing w:line="357" w:lineRule="auto" w:before="51"/>
        <w:ind w:left="154" w:right="8232"/>
        <w:jc w:val="left"/>
      </w:pPr>
      <w:r>
        <w:rPr/>
        <w:t>主要子公司、参股公司情况说明 无</w:t>
      </w:r>
    </w:p>
    <w:p>
      <w:pPr>
        <w:pStyle w:val="BodyText"/>
        <w:spacing w:line="240" w:lineRule="auto" w:before="29"/>
        <w:ind w:left="154" w:right="1033"/>
        <w:jc w:val="left"/>
      </w:pPr>
      <w:r>
        <w:rPr/>
        <w:t>报告期内取得和处置子公司的情况</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美邦邦购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电子商务业务开展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5、非募集资金投资的重大项目情况" w:id="47"/>
      <w:bookmarkEnd w:id="47"/>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七、公司控制的特殊目的主体情况" w:id="48"/>
      <w:bookmarkEnd w:id="48"/>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八、公司未来发展的展望" w:id="49"/>
      <w:bookmarkEnd w:id="49"/>
      <w:r>
        <w:rPr>
          <w:b w:val="0"/>
          <w:bCs w:val="0"/>
        </w:rPr>
      </w:r>
      <w:r>
        <w:rPr/>
        <w:t>八、公司未来发展的展望</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1</w:t>
      </w:r>
      <w:r>
        <w:rPr/>
        <w:t>、组织绩效变革</w:t>
      </w:r>
      <w:r>
        <w:rPr>
          <w:b w:val="0"/>
          <w:bCs w:val="0"/>
        </w:rPr>
      </w:r>
    </w:p>
    <w:p>
      <w:pPr>
        <w:pStyle w:val="BodyText"/>
        <w:spacing w:line="309" w:lineRule="auto" w:before="101"/>
        <w:ind w:right="1131" w:firstLine="27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spacing w:val="-1"/>
        </w:rPr>
        <w:t>年，公司将进一步推动组织变革和绩效激励机制创新，通过产品经理加设计经理双轨营运机制的持续深化，实现组</w:t>
      </w:r>
      <w:r>
        <w:rPr/>
        <w:t> </w:t>
      </w:r>
      <w:r>
        <w:rPr>
          <w:spacing w:val="-2"/>
        </w:rPr>
        <w:t>织扁平化，岗位精简化，不断提升人效水平。同时持续推动绩效激励模式创新，初步建立利润分享机制、合伙人经营机制等</w:t>
      </w:r>
      <w:r>
        <w:rPr>
          <w:spacing w:val="-66"/>
        </w:rPr>
        <w:t> </w:t>
      </w:r>
      <w:r>
        <w:rPr>
          <w:spacing w:val="-66"/>
        </w:rPr>
      </w:r>
      <w:r>
        <w:rPr/>
        <w:t>创新绩效模式，激发员工创业激情，与企业长期共同发展。</w:t>
      </w:r>
    </w:p>
    <w:p>
      <w:pPr>
        <w:pStyle w:val="BodyText"/>
        <w:spacing w:line="338" w:lineRule="auto" w:before="65"/>
        <w:ind w:left="514" w:right="1033" w:hanging="360"/>
        <w:jc w:val="left"/>
      </w:pPr>
      <w:r>
        <w:rPr>
          <w:rFonts w:ascii="Times New Roman" w:hAnsi="Times New Roman" w:cs="Times New Roman" w:eastAsia="Times New Roman" w:hint="default"/>
          <w:b/>
          <w:bCs/>
        </w:rPr>
        <w:t>2</w:t>
      </w:r>
      <w:r>
        <w:rPr>
          <w:rFonts w:ascii="宋体" w:hAnsi="宋体" w:cs="宋体" w:eastAsia="宋体" w:hint="default"/>
          <w:b/>
          <w:bCs/>
        </w:rPr>
        <w:t>、互联网化转型</w:t>
      </w:r>
      <w:r>
        <w:rPr>
          <w:rFonts w:ascii="宋体" w:hAnsi="宋体" w:cs="宋体" w:eastAsia="宋体" w:hint="default"/>
          <w:b/>
          <w:bCs/>
          <w:w w:val="99"/>
        </w:rPr>
        <w:t> </w:t>
      </w:r>
      <w:r>
        <w:rPr>
          <w:spacing w:val="-2"/>
        </w:rPr>
        <w:t>互联网商业模式正处于高速发展和不断创新变化中，企业的经营模式、产品开发、供应链管理、零售能力都将充分借用</w:t>
      </w:r>
    </w:p>
    <w:p>
      <w:pPr>
        <w:pStyle w:val="BodyText"/>
        <w:spacing w:line="309" w:lineRule="auto" w:before="2"/>
        <w:ind w:right="1131"/>
        <w:jc w:val="both"/>
      </w:pPr>
      <w:r>
        <w:rPr/>
        <w:t>互联网工具，不断创新提升、迭代发展。建立企业内部创新机制和鼓励创新、支持创新的企业文化，不断完善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年下半 </w:t>
      </w:r>
      <w:r>
        <w:rPr>
          <w:spacing w:val="-2"/>
        </w:rPr>
        <w:t>年以来建立的“金点子”计划，鼓励基层员工自下而上提出创新建议并实时奖励，鼓励基层管理者根据快速变化的市场和情</w:t>
      </w:r>
      <w:r>
        <w:rPr>
          <w:spacing w:val="-66"/>
        </w:rPr>
        <w:t> </w:t>
      </w:r>
      <w:r>
        <w:rPr>
          <w:spacing w:val="-66"/>
        </w:rPr>
      </w:r>
      <w:r>
        <w:rPr/>
        <w:t>况实时决策，提升组织对创新试错的包容度，有效减少管理层级，提升运营效率。同时</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年将通过运用互联网技术不断 </w:t>
      </w:r>
      <w:r>
        <w:rPr>
          <w:spacing w:val="-2"/>
        </w:rPr>
        <w:t>升级企业信息系统，加速构建内外部信息对称的平台化运作机制，充分整合社会产业资源和终端消费需求，为未来构建移动</w:t>
      </w:r>
      <w:r>
        <w:rPr>
          <w:spacing w:val="-66"/>
        </w:rPr>
        <w:t> </w:t>
      </w:r>
      <w:r>
        <w:rPr>
          <w:spacing w:val="-66"/>
        </w:rPr>
      </w:r>
      <w:r>
        <w:rPr/>
        <w:t>互联商业运营能力夯实基础；加快开发并适时推出新一代移动互联商业工具，满足“互联网</w:t>
      </w:r>
      <w:r>
        <w:rPr>
          <w:rFonts w:ascii="Times New Roman" w:hAnsi="Times New Roman" w:cs="Times New Roman" w:eastAsia="Times New Roman" w:hint="default"/>
        </w:rPr>
        <w:t>+</w:t>
      </w:r>
      <w:r>
        <w:rPr/>
        <w:t>”模式下的新型消费需求。</w:t>
      </w:r>
    </w:p>
    <w:p>
      <w:pPr>
        <w:spacing w:after="0" w:line="309" w:lineRule="auto"/>
        <w:jc w:val="both"/>
        <w:sectPr>
          <w:pgSz w:w="11910" w:h="16840"/>
          <w:pgMar w:header="851" w:footer="979" w:top="1320" w:bottom="1160" w:left="980" w:right="0"/>
        </w:sectPr>
      </w:pPr>
    </w:p>
    <w:p>
      <w:pPr>
        <w:pStyle w:val="BodyText"/>
        <w:spacing w:line="338" w:lineRule="auto" w:before="116"/>
        <w:ind w:left="514" w:right="1033" w:hanging="360"/>
        <w:jc w:val="left"/>
      </w:pPr>
      <w:r>
        <w:rPr>
          <w:rFonts w:ascii="Times New Roman" w:hAnsi="Times New Roman" w:cs="Times New Roman" w:eastAsia="Times New Roman" w:hint="default"/>
          <w:b/>
          <w:bCs/>
        </w:rPr>
        <w:t>3</w:t>
      </w:r>
      <w:r>
        <w:rPr>
          <w:rFonts w:ascii="宋体" w:hAnsi="宋体" w:cs="宋体" w:eastAsia="宋体" w:hint="default"/>
          <w:b/>
          <w:bCs/>
        </w:rPr>
        <w:t>、传统业务升级</w:t>
      </w:r>
      <w:r>
        <w:rPr>
          <w:rFonts w:ascii="宋体" w:hAnsi="宋体" w:cs="宋体" w:eastAsia="宋体" w:hint="default"/>
          <w:b/>
          <w:bCs/>
          <w:w w:val="99"/>
        </w:rPr>
        <w:t> </w:t>
      </w:r>
      <w:r>
        <w:rPr>
          <w:spacing w:val="-2"/>
        </w:rPr>
        <w:t>通过产品组织创新缩短产品开发周期，提升产品创新能力，为消费者提供更加时尚、多元、高性价比的产品体验。持续</w:t>
      </w:r>
    </w:p>
    <w:p>
      <w:pPr>
        <w:pStyle w:val="BodyText"/>
        <w:spacing w:line="314" w:lineRule="auto" w:before="2"/>
        <w:ind w:left="154" w:right="1128"/>
        <w:jc w:val="both"/>
      </w:pPr>
      <w:r>
        <w:rPr>
          <w:spacing w:val="-2"/>
        </w:rPr>
        <w:t>提升直营店铺精细化管理水平，在终端店铺大力推动“合伙人”机制，通过将店铺经营管理的核心人员升级为“合伙人”充</w:t>
      </w:r>
      <w:r>
        <w:rPr>
          <w:spacing w:val="-65"/>
        </w:rPr>
        <w:t> </w:t>
      </w:r>
      <w:r>
        <w:rPr>
          <w:spacing w:val="-65"/>
        </w:rPr>
      </w:r>
      <w:r>
        <w:rPr>
          <w:spacing w:val="-2"/>
        </w:rPr>
        <w:t>分激发店铺终端人员的积极性，并使其成为店铺经营的核心力量。推动新型的加盟管理模式，通过更加合理的利益机制驱动</w:t>
      </w:r>
      <w:r>
        <w:rPr>
          <w:spacing w:val="-66"/>
        </w:rPr>
        <w:t> </w:t>
      </w:r>
      <w:r>
        <w:rPr>
          <w:spacing w:val="-66"/>
        </w:rPr>
      </w:r>
      <w:r>
        <w:rPr>
          <w:spacing w:val="-2"/>
        </w:rPr>
        <w:t>加盟渠道转型升级，更好实现加盟商与公司的共同发展。进一步构建会员管理和服务机制，利用大数据提升会员个性化服务</w:t>
      </w:r>
      <w:r>
        <w:rPr>
          <w:spacing w:val="-65"/>
        </w:rPr>
        <w:t> </w:t>
      </w:r>
      <w:r>
        <w:rPr>
          <w:spacing w:val="-65"/>
        </w:rPr>
      </w:r>
      <w:r>
        <w:rPr/>
        <w:t>水平和消费黏性，使会员复购率和忠诚度不断提升。借助互联网工具，探索传统线下门店向</w:t>
      </w:r>
      <w:r>
        <w:rPr>
          <w:spacing w:val="-46"/>
        </w:rPr>
        <w:t> </w:t>
      </w:r>
      <w:r>
        <w:rPr>
          <w:rFonts w:ascii="Times New Roman" w:hAnsi="Times New Roman" w:cs="Times New Roman" w:eastAsia="Times New Roman" w:hint="default"/>
        </w:rPr>
        <w:t>O2O </w:t>
      </w:r>
      <w:r>
        <w:rPr/>
        <w:t>新商业模式转型方式，进 一步提升线上线下全面融合的管理机制及经营业绩。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left="154" w:right="1033"/>
        <w:jc w:val="left"/>
        <w:rPr>
          <w:b w:val="0"/>
          <w:bCs w:val="0"/>
        </w:rPr>
      </w:pPr>
      <w:bookmarkStart w:name="九、董事会、监事会对会计师事务所本报告期“非标准审计报告”的说明" w:id="50"/>
      <w:bookmarkEnd w:id="50"/>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十、与上年度财务报告相比，会计政策、会计估计和核算方法发生变化的情况说明" w:id="51"/>
      <w:bookmarkEnd w:id="51"/>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left="154" w:right="1033"/>
        <w:jc w:val="left"/>
        <w:rPr>
          <w:b w:val="0"/>
          <w:bCs w:val="0"/>
        </w:rPr>
      </w:pPr>
      <w:bookmarkStart w:name="十一、报告期内发生重大会计差错更正需追溯重述的情况说明" w:id="52"/>
      <w:bookmarkEnd w:id="52"/>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3"/>
        <w:spacing w:line="240" w:lineRule="auto"/>
        <w:ind w:left="154" w:right="1033"/>
        <w:jc w:val="left"/>
        <w:rPr>
          <w:b w:val="0"/>
          <w:bCs w:val="0"/>
        </w:rPr>
      </w:pPr>
      <w:bookmarkStart w:name="十二、与上年度财务报告相比，合并报表范围发生变化的情况说明" w:id="53"/>
      <w:bookmarkEnd w:id="53"/>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本公司本年度设立法人独资有限责任公司上海美邦邦购网络科技有限公司，注册资本为人民币</w:t>
      </w:r>
      <w:r>
        <w:rPr>
          <w:rFonts w:ascii="Times New Roman" w:hAnsi="Times New Roman" w:cs="Times New Roman" w:eastAsia="Times New Roman" w:hint="default"/>
          <w:spacing w:val="-2"/>
        </w:rPr>
        <w:t>5,000,000</w:t>
      </w:r>
      <w:r>
        <w:rPr>
          <w:spacing w:val="-2"/>
        </w:rPr>
        <w:t>元，该公司自设立后</w:t>
      </w:r>
      <w:r>
        <w:rPr>
          <w:spacing w:val="-54"/>
        </w:rPr>
        <w:t> </w:t>
      </w:r>
      <w:r>
        <w:rPr>
          <w:spacing w:val="-54"/>
        </w:rPr>
      </w:r>
      <w:r>
        <w:rPr/>
        <w:t>纳入本公司合并财务报表的合并范围。除此之外，合并财务报表范围与上年度一致。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3"/>
        <w:spacing w:line="240" w:lineRule="auto"/>
        <w:ind w:right="1033"/>
        <w:jc w:val="left"/>
        <w:rPr>
          <w:b w:val="0"/>
          <w:bCs w:val="0"/>
        </w:rPr>
      </w:pPr>
      <w:bookmarkStart w:name="十三、公司利润分配及分红派息情况" w:id="54"/>
      <w:bookmarkEnd w:id="54"/>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报告期内利润分配政策的制定、执行或调整情况</w:t>
      </w:r>
    </w:p>
    <w:p>
      <w:pPr>
        <w:pStyle w:val="BodyText"/>
        <w:spacing w:line="314" w:lineRule="auto" w:before="11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报告期内利润分配政策特别是现金分红政策的制定、执行或调整情况上市几年来，公司的分红政策一直较为稳定，每年的股</w:t>
      </w:r>
      <w:r>
        <w:rPr>
          <w:spacing w:val="-66"/>
        </w:rPr>
        <w:t> </w:t>
      </w:r>
      <w:r>
        <w:rPr>
          <w:spacing w:val="-66"/>
        </w:rPr>
      </w:r>
      <w:r>
        <w:rPr>
          <w:spacing w:val="-1"/>
        </w:rPr>
        <w:t>利支付率基本维持在当年每股利润</w:t>
      </w:r>
      <w:r>
        <w:rPr>
          <w:rFonts w:ascii="Times New Roman" w:hAnsi="Times New Roman" w:cs="Times New Roman" w:eastAsia="Times New Roman" w:hint="default"/>
          <w:spacing w:val="-1"/>
        </w:rPr>
        <w:t>70%</w:t>
      </w:r>
      <w:r>
        <w:rPr>
          <w:spacing w:val="-1"/>
        </w:rPr>
        <w:t>的水平。公司制定当年利润分配政策须经董事会讨论审议，在审议之前独立董事针对</w:t>
      </w:r>
      <w:r>
        <w:rPr/>
        <w:t> </w:t>
      </w:r>
      <w:r>
        <w:rPr>
          <w:spacing w:val="-2"/>
        </w:rPr>
        <w:t>当年经营业绩实现情况、公司整体现金流情况对具体利润分配方案进行了认真思考并在董事会上审慎的发表意见；在年度股</w:t>
      </w:r>
      <w:r>
        <w:rPr>
          <w:spacing w:val="-64"/>
        </w:rPr>
        <w:t> </w:t>
      </w:r>
      <w:r>
        <w:rPr>
          <w:spacing w:val="-64"/>
        </w:rPr>
      </w:r>
      <w:r>
        <w:rPr>
          <w:spacing w:val="-2"/>
        </w:rPr>
        <w:t>东大会上，公司广大中小股东能够针对此项议案充分发表意见，维护自身合法权益。为进一步保障广大股东权益，根据中国</w:t>
      </w:r>
      <w:r>
        <w:rPr>
          <w:spacing w:val="-65"/>
        </w:rPr>
        <w:t> </w:t>
      </w:r>
      <w:r>
        <w:rPr>
          <w:spacing w:val="-65"/>
        </w:rPr>
      </w:r>
      <w:r>
        <w:rPr/>
        <w:t>证监会《关于进一步落实上市公司现金分红有关事项的通知》的要求，公司于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月份召开董事会对现行《公司章程》 </w:t>
      </w:r>
      <w:r>
        <w:rPr>
          <w:spacing w:val="-2"/>
        </w:rPr>
        <w:t>中有关利润分配政策的相关条款进行修改，包括利润分配形式、现金分红的具体条件和比例、未分配利润的使用原则等具体</w:t>
      </w:r>
      <w:r>
        <w:rPr>
          <w:spacing w:val="-66"/>
        </w:rPr>
        <w:t> </w:t>
      </w:r>
      <w:r>
        <w:rPr>
          <w:spacing w:val="-66"/>
        </w:rPr>
      </w:r>
      <w:r>
        <w:rPr>
          <w:spacing w:val="-2"/>
        </w:rPr>
        <w:t>政策。《公司章程》明确规定公司应每年原则上进行一次利润分配。公司董事会可以根据公司盈利情况及资金需求状况提议</w:t>
      </w:r>
      <w:r>
        <w:rPr>
          <w:spacing w:val="-65"/>
        </w:rPr>
        <w:t> </w:t>
      </w:r>
      <w:r>
        <w:rPr>
          <w:spacing w:val="-65"/>
        </w:rPr>
      </w:r>
      <w:r>
        <w:rPr>
          <w:spacing w:val="-2"/>
        </w:rPr>
        <w:t>公司进行中期分红并提交公司股东大会批准。在公司盈利且现金能满足持续经营和长期发展的情况下，公司应保持权益分派</w:t>
      </w:r>
      <w:r>
        <w:rPr>
          <w:spacing w:val="-63"/>
        </w:rPr>
        <w:t> </w:t>
      </w:r>
      <w:r>
        <w:rPr>
          <w:spacing w:val="-63"/>
        </w:rPr>
      </w:r>
      <w:r>
        <w:rPr>
          <w:spacing w:val="-1"/>
        </w:rPr>
        <w:t>政策的连续性与稳定性，原则上每年以现金方式分配的利润应不低于当年实现的可分配利润的</w:t>
      </w:r>
      <w:r>
        <w:rPr>
          <w:rFonts w:ascii="Times New Roman" w:hAnsi="Times New Roman" w:cs="Times New Roman" w:eastAsia="Times New Roman" w:hint="default"/>
          <w:spacing w:val="-1"/>
        </w:rPr>
        <w:t>20%</w:t>
      </w:r>
      <w:r>
        <w:rPr>
          <w:spacing w:val="-1"/>
        </w:rPr>
        <w:t>，近三年公司以现金方式</w:t>
      </w:r>
      <w:r>
        <w:rPr>
          <w:spacing w:val="-88"/>
        </w:rPr>
        <w:t> </w:t>
      </w:r>
      <w:r>
        <w:rPr>
          <w:spacing w:val="-88"/>
        </w:rPr>
      </w:r>
      <w:r>
        <w:rPr/>
        <w:t>累计分配的利润不少于该三年实现的年均可分配的利润的</w:t>
      </w:r>
      <w:r>
        <w:rPr>
          <w:rFonts w:ascii="Times New Roman" w:hAnsi="Times New Roman" w:cs="Times New Roman" w:eastAsia="Times New Roman" w:hint="default"/>
        </w:rPr>
        <w:t>30%</w:t>
      </w:r>
      <w:r>
        <w:rPr/>
        <w:t>。</w:t>
      </w:r>
    </w:p>
    <w:p>
      <w:pPr>
        <w:spacing w:after="0" w:line="314" w:lineRule="auto"/>
        <w:jc w:val="lef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left="578" w:right="1033" w:hanging="42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公司第二届董事会第十五次会议审议通过</w:t>
      </w:r>
      <w:r>
        <w:rPr>
          <w:rFonts w:ascii="Times New Roman" w:hAnsi="Times New Roman" w:cs="Times New Roman" w:eastAsia="Times New Roman" w:hint="default"/>
        </w:rPr>
        <w:t>2012</w:t>
      </w:r>
      <w:r>
        <w:rPr/>
        <w:t>年度利润分配方案：以</w:t>
      </w:r>
      <w:r>
        <w:rPr>
          <w:rFonts w:ascii="Times New Roman" w:hAnsi="Times New Roman" w:cs="Times New Roman" w:eastAsia="Times New Roman" w:hint="default"/>
        </w:rPr>
        <w:t>2012</w:t>
      </w:r>
      <w:r>
        <w:rPr/>
        <w:t>年末公司总股本</w:t>
      </w:r>
      <w:r>
        <w:rPr>
          <w:rFonts w:ascii="Times New Roman" w:hAnsi="Times New Roman" w:cs="Times New Roman" w:eastAsia="Times New Roman" w:hint="default"/>
        </w:rPr>
        <w:t>1,005,000,000</w:t>
      </w:r>
      <w:r>
        <w:rPr/>
        <w:t>股为基数，向</w:t>
      </w:r>
    </w:p>
    <w:p>
      <w:pPr>
        <w:pStyle w:val="BodyText"/>
        <w:spacing w:line="231" w:lineRule="exact"/>
        <w:ind w:right="1033"/>
        <w:jc w:val="left"/>
      </w:pPr>
      <w:r>
        <w:rPr/>
        <w:t>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7.5</w:t>
      </w:r>
      <w:r>
        <w:rPr/>
        <w:t>元（含税），本次利润分配</w:t>
      </w:r>
      <w:r>
        <w:rPr>
          <w:rFonts w:ascii="Times New Roman" w:hAnsi="Times New Roman" w:cs="Times New Roman" w:eastAsia="Times New Roman" w:hint="default"/>
        </w:rPr>
        <w:t>753,750,000</w:t>
      </w:r>
      <w:r>
        <w:rPr/>
        <w:t>元，利润分配后，剩余未分配利润转入下一年度。</w:t>
      </w:r>
    </w:p>
    <w:p>
      <w:pPr>
        <w:pStyle w:val="BodyText"/>
        <w:spacing w:line="319" w:lineRule="auto" w:before="101"/>
        <w:ind w:right="1033" w:firstLine="424"/>
        <w:jc w:val="left"/>
      </w:pPr>
      <w:r>
        <w:rPr/>
        <w:t>公司第三届董事会第二次会议审议通过</w:t>
      </w:r>
      <w:r>
        <w:rPr>
          <w:rFonts w:ascii="宋体" w:hAnsi="宋体" w:cs="宋体" w:eastAsia="宋体" w:hint="default"/>
        </w:rPr>
        <w:t>2013</w:t>
      </w:r>
      <w:r>
        <w:rPr/>
        <w:t>年度利润分配方案：以</w:t>
      </w:r>
      <w:r>
        <w:rPr>
          <w:rFonts w:ascii="宋体" w:hAnsi="宋体" w:cs="宋体" w:eastAsia="宋体" w:hint="default"/>
        </w:rPr>
        <w:t>2014</w:t>
      </w:r>
      <w:r>
        <w:rPr/>
        <w:t>年</w:t>
      </w:r>
      <w:r>
        <w:rPr>
          <w:rFonts w:ascii="宋体" w:hAnsi="宋体" w:cs="宋体" w:eastAsia="宋体" w:hint="default"/>
        </w:rPr>
        <w:t>3</w:t>
      </w:r>
      <w:r>
        <w:rPr/>
        <w:t>月末公司总股本</w:t>
      </w:r>
      <w:r>
        <w:rPr>
          <w:rFonts w:ascii="宋体" w:hAnsi="宋体" w:cs="宋体" w:eastAsia="宋体" w:hint="default"/>
        </w:rPr>
        <w:t>1,011,000,000</w:t>
      </w:r>
      <w:r>
        <w:rPr/>
        <w:t>股为基数， 向全体股东每</w:t>
      </w:r>
      <w:r>
        <w:rPr>
          <w:rFonts w:ascii="宋体" w:hAnsi="宋体" w:cs="宋体" w:eastAsia="宋体" w:hint="default"/>
        </w:rPr>
        <w:t>10</w:t>
      </w:r>
      <w:r>
        <w:rPr/>
        <w:t>股派发现金</w:t>
      </w:r>
      <w:r>
        <w:rPr>
          <w:rFonts w:ascii="宋体" w:hAnsi="宋体" w:cs="宋体" w:eastAsia="宋体" w:hint="default"/>
        </w:rPr>
        <w:t>2.8</w:t>
      </w:r>
      <w:r>
        <w:rPr/>
        <w:t>元（含税），本次利润分配</w:t>
      </w:r>
      <w:r>
        <w:rPr>
          <w:rFonts w:ascii="宋体" w:hAnsi="宋体" w:cs="宋体" w:eastAsia="宋体" w:hint="default"/>
        </w:rPr>
        <w:t>283,080,000</w:t>
      </w:r>
      <w:r>
        <w:rPr/>
        <w:t>元，利润分配后，剩余未分配利润转入下一年度。</w:t>
      </w:r>
    </w:p>
    <w:p>
      <w:pPr>
        <w:pStyle w:val="BodyText"/>
        <w:spacing w:line="319" w:lineRule="auto" w:before="56"/>
        <w:ind w:right="1033" w:firstLine="424"/>
        <w:jc w:val="left"/>
      </w:pPr>
      <w:r>
        <w:rPr/>
        <w:t>公司第三届董事会第八次会议审议通过</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月末公司总股本</w:t>
      </w:r>
      <w:r>
        <w:rPr>
          <w:rFonts w:ascii="宋体" w:hAnsi="宋体" w:cs="宋体" w:eastAsia="宋体" w:hint="default"/>
        </w:rPr>
        <w:t>1,011,000,000</w:t>
      </w:r>
      <w:r>
        <w:rPr/>
        <w:t>股为基数， 向全体股东每</w:t>
      </w:r>
      <w:r>
        <w:rPr>
          <w:rFonts w:ascii="宋体" w:hAnsi="宋体" w:cs="宋体" w:eastAsia="宋体" w:hint="default"/>
        </w:rPr>
        <w:t>10</w:t>
      </w:r>
      <w:r>
        <w:rPr/>
        <w:t>股送红股</w:t>
      </w:r>
      <w:r>
        <w:rPr>
          <w:rFonts w:ascii="宋体" w:hAnsi="宋体" w:cs="宋体" w:eastAsia="宋体" w:hint="default"/>
        </w:rPr>
        <w:t>5</w:t>
      </w:r>
      <w:r>
        <w:rPr/>
        <w:t>股，派发现金</w:t>
      </w:r>
      <w:r>
        <w:rPr>
          <w:rFonts w:ascii="宋体" w:hAnsi="宋体" w:cs="宋体" w:eastAsia="宋体" w:hint="default"/>
        </w:rPr>
        <w:t>1</w:t>
      </w:r>
      <w:r>
        <w:rPr/>
        <w:t>元（含税），本次利润分配</w:t>
      </w:r>
      <w:r>
        <w:rPr>
          <w:rFonts w:ascii="宋体" w:hAnsi="宋体" w:cs="宋体" w:eastAsia="宋体" w:hint="default"/>
        </w:rPr>
        <w:t>606,600,000</w:t>
      </w:r>
      <w:r>
        <w:rPr/>
        <w:t>元，利润分配后，剩余未分配利润转入下</w:t>
      </w:r>
      <w:r>
        <w:rPr>
          <w:spacing w:val="-85"/>
        </w:rPr>
        <w:t> </w:t>
      </w:r>
      <w:r>
        <w:rPr>
          <w:spacing w:val="-85"/>
        </w:rPr>
      </w:r>
      <w:r>
        <w:rPr/>
        <w:t>一年度；同时以资本公积向全体股东每</w:t>
      </w:r>
      <w:r>
        <w:rPr>
          <w:rFonts w:ascii="宋体" w:hAnsi="宋体" w:cs="宋体" w:eastAsia="宋体" w:hint="default"/>
        </w:rPr>
        <w:t>10</w:t>
      </w:r>
      <w:r>
        <w:rPr/>
        <w:t>股转增</w:t>
      </w:r>
      <w:r>
        <w:rPr>
          <w:rFonts w:ascii="宋体" w:hAnsi="宋体" w:cs="宋体" w:eastAsia="宋体" w:hint="default"/>
        </w:rPr>
        <w:t>9</w:t>
      </w:r>
      <w:r>
        <w:rPr/>
        <w:t>股，以盈余公积向全体股东每</w:t>
      </w:r>
      <w:r>
        <w:rPr>
          <w:rFonts w:ascii="宋体" w:hAnsi="宋体" w:cs="宋体" w:eastAsia="宋体" w:hint="default"/>
        </w:rPr>
        <w:t>10</w:t>
      </w:r>
      <w:r>
        <w:rPr/>
        <w:t>股转增</w:t>
      </w:r>
      <w:r>
        <w:rPr>
          <w:rFonts w:ascii="宋体" w:hAnsi="宋体" w:cs="宋体" w:eastAsia="宋体" w:hint="default"/>
        </w:rPr>
        <w:t>1</w:t>
      </w:r>
      <w:r>
        <w:rPr/>
        <w:t>股。转增后，公司资本公积减少</w:t>
      </w:r>
      <w:r>
        <w:rPr>
          <w:spacing w:val="-5"/>
        </w:rPr>
        <w:t> </w:t>
      </w:r>
      <w:r>
        <w:rPr>
          <w:spacing w:val="-5"/>
        </w:rPr>
      </w:r>
      <w:r>
        <w:rPr>
          <w:rFonts w:ascii="宋体" w:hAnsi="宋体" w:cs="宋体" w:eastAsia="宋体" w:hint="default"/>
        </w:rPr>
        <w:t>909,900</w:t>
      </w:r>
      <w:r>
        <w:rPr/>
        <w:t>，</w:t>
      </w:r>
      <w:r>
        <w:rPr>
          <w:rFonts w:ascii="宋体" w:hAnsi="宋体" w:cs="宋体" w:eastAsia="宋体" w:hint="default"/>
        </w:rPr>
        <w:t>000</w:t>
      </w:r>
      <w:r>
        <w:rPr/>
        <w:t>元，盈余公积减少</w:t>
      </w:r>
      <w:r>
        <w:rPr>
          <w:rFonts w:ascii="宋体" w:hAnsi="宋体" w:cs="宋体" w:eastAsia="宋体" w:hint="default"/>
        </w:rPr>
        <w:t>101,100,000</w:t>
      </w:r>
      <w:r>
        <w:rPr/>
        <w:t>元。</w:t>
      </w:r>
    </w:p>
    <w:p>
      <w:pPr>
        <w:spacing w:line="240" w:lineRule="auto" w:before="11"/>
        <w:rPr>
          <w:rFonts w:ascii="宋体" w:hAnsi="宋体" w:cs="宋体" w:eastAsia="宋体" w:hint="default"/>
          <w:sz w:val="27"/>
          <w:szCs w:val="27"/>
        </w:rPr>
      </w:pPr>
    </w:p>
    <w:p>
      <w:pPr>
        <w:pStyle w:val="BodyText"/>
        <w:spacing w:line="240" w:lineRule="auto" w:before="44"/>
        <w:ind w:left="154" w:right="1033"/>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145,640,513.00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849,582,393.00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公司报告期内盈利且母公司未分配利润为正但未提出现金红利分配预案</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十四、本报告期利润分配及资本公积金转增股本预案" w:id="55"/>
      <w:bookmarkEnd w:id="55"/>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left="154" w:right="1033"/>
        <w:jc w:val="left"/>
        <w:rPr>
          <w:b w:val="0"/>
          <w:bCs w:val="0"/>
        </w:rPr>
      </w:pPr>
      <w:bookmarkStart w:name="十五、社会责任情况" w:id="56"/>
      <w:bookmarkEnd w:id="56"/>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57" w:lineRule="auto"/>
        <w:ind w:left="578" w:right="7988"/>
        <w:jc w:val="left"/>
      </w:pPr>
      <w:r>
        <w:rPr>
          <w:rFonts w:ascii="宋体" w:hAnsi="宋体" w:cs="宋体" w:eastAsia="宋体" w:hint="default"/>
        </w:rPr>
        <w:t>1</w:t>
      </w:r>
      <w:r>
        <w:rPr/>
        <w:t>、股东和债权人权益保护 积极回报股东，坚持现金分红</w:t>
      </w:r>
    </w:p>
    <w:p>
      <w:pPr>
        <w:pStyle w:val="BodyText"/>
        <w:spacing w:line="319" w:lineRule="auto" w:before="28"/>
        <w:ind w:right="1129" w:firstLine="424"/>
        <w:jc w:val="both"/>
      </w:pPr>
      <w:r>
        <w:rPr>
          <w:spacing w:val="-4"/>
        </w:rPr>
        <w:t>上市以来公司实现年年利润分红，分别在</w:t>
      </w:r>
      <w:r>
        <w:rPr>
          <w:rFonts w:ascii="宋体" w:hAnsi="宋体" w:cs="宋体" w:eastAsia="宋体" w:hint="default"/>
          <w:spacing w:val="-4"/>
        </w:rPr>
        <w:t>2008</w:t>
      </w:r>
      <w:r>
        <w:rPr>
          <w:spacing w:val="-4"/>
        </w:rPr>
        <w:t>年实施每</w:t>
      </w:r>
      <w:r>
        <w:rPr>
          <w:rFonts w:ascii="宋体" w:hAnsi="宋体" w:cs="宋体" w:eastAsia="宋体" w:hint="default"/>
          <w:spacing w:val="-4"/>
        </w:rPr>
        <w:t>10</w:t>
      </w:r>
      <w:r>
        <w:rPr>
          <w:spacing w:val="-4"/>
        </w:rPr>
        <w:t>股转增</w:t>
      </w:r>
      <w:r>
        <w:rPr>
          <w:rFonts w:ascii="宋体" w:hAnsi="宋体" w:cs="宋体" w:eastAsia="宋体" w:hint="default"/>
          <w:spacing w:val="-4"/>
        </w:rPr>
        <w:t>5</w:t>
      </w:r>
      <w:r>
        <w:rPr>
          <w:spacing w:val="-4"/>
        </w:rPr>
        <w:t>股派</w:t>
      </w:r>
      <w:r>
        <w:rPr>
          <w:rFonts w:ascii="宋体" w:hAnsi="宋体" w:cs="宋体" w:eastAsia="宋体" w:hint="default"/>
          <w:spacing w:val="-4"/>
        </w:rPr>
        <w:t>3</w:t>
      </w:r>
      <w:r>
        <w:rPr>
          <w:spacing w:val="-4"/>
        </w:rPr>
        <w:t>元现金、</w:t>
      </w:r>
      <w:r>
        <w:rPr>
          <w:rFonts w:ascii="宋体" w:hAnsi="宋体" w:cs="宋体" w:eastAsia="宋体" w:hint="default"/>
          <w:spacing w:val="-4"/>
        </w:rPr>
        <w:t>2009</w:t>
      </w:r>
      <w:r>
        <w:rPr>
          <w:spacing w:val="-4"/>
        </w:rPr>
        <w:t>年实施每</w:t>
      </w:r>
      <w:r>
        <w:rPr>
          <w:rFonts w:ascii="宋体" w:hAnsi="宋体" w:cs="宋体" w:eastAsia="宋体" w:hint="default"/>
          <w:spacing w:val="-4"/>
        </w:rPr>
        <w:t>10</w:t>
      </w:r>
      <w:r>
        <w:rPr>
          <w:spacing w:val="-4"/>
        </w:rPr>
        <w:t>股派发现金</w:t>
      </w:r>
      <w:r>
        <w:rPr>
          <w:rFonts w:ascii="宋体" w:hAnsi="宋体" w:cs="宋体" w:eastAsia="宋体" w:hint="default"/>
          <w:spacing w:val="-4"/>
        </w:rPr>
        <w:t>4.2</w:t>
      </w:r>
      <w:r>
        <w:rPr>
          <w:spacing w:val="-4"/>
        </w:rPr>
        <w:t>元、</w:t>
      </w:r>
      <w:r>
        <w:rPr>
          <w:rFonts w:ascii="宋体" w:hAnsi="宋体" w:cs="宋体" w:eastAsia="宋体" w:hint="default"/>
          <w:spacing w:val="-4"/>
        </w:rPr>
        <w:t>2010</w:t>
      </w:r>
      <w:r>
        <w:rPr>
          <w:rFonts w:ascii="宋体" w:hAnsi="宋体" w:cs="宋体" w:eastAsia="宋体" w:hint="default"/>
        </w:rPr>
        <w:t> </w:t>
      </w:r>
      <w:r>
        <w:rPr/>
        <w:t>年实施每</w:t>
      </w:r>
      <w:r>
        <w:rPr>
          <w:rFonts w:ascii="宋体" w:hAnsi="宋体" w:cs="宋体" w:eastAsia="宋体" w:hint="default"/>
        </w:rPr>
        <w:t>10</w:t>
      </w:r>
      <w:r>
        <w:rPr/>
        <w:t>股派发现金</w:t>
      </w:r>
      <w:r>
        <w:rPr>
          <w:rFonts w:ascii="宋体" w:hAnsi="宋体" w:cs="宋体" w:eastAsia="宋体" w:hint="default"/>
        </w:rPr>
        <w:t>5.3</w:t>
      </w:r>
      <w:r>
        <w:rPr/>
        <w:t>元、</w:t>
      </w:r>
      <w:r>
        <w:rPr>
          <w:rFonts w:ascii="宋体" w:hAnsi="宋体" w:cs="宋体" w:eastAsia="宋体" w:hint="default"/>
        </w:rPr>
        <w:t>2011</w:t>
      </w:r>
      <w:r>
        <w:rPr/>
        <w:t>年实施每</w:t>
      </w:r>
      <w:r>
        <w:rPr>
          <w:rFonts w:ascii="宋体" w:hAnsi="宋体" w:cs="宋体" w:eastAsia="宋体" w:hint="default"/>
        </w:rPr>
        <w:t>10</w:t>
      </w:r>
      <w:r>
        <w:rPr/>
        <w:t>股派发现金</w:t>
      </w:r>
      <w:r>
        <w:rPr>
          <w:rFonts w:ascii="宋体" w:hAnsi="宋体" w:cs="宋体" w:eastAsia="宋体" w:hint="default"/>
        </w:rPr>
        <w:t>8.4</w:t>
      </w:r>
      <w:r>
        <w:rPr/>
        <w:t>元、</w:t>
      </w:r>
      <w:r>
        <w:rPr>
          <w:rFonts w:ascii="宋体" w:hAnsi="宋体" w:cs="宋体" w:eastAsia="宋体" w:hint="default"/>
        </w:rPr>
        <w:t>2012</w:t>
      </w:r>
      <w:r>
        <w:rPr/>
        <w:t>年实施每</w:t>
      </w:r>
      <w:r>
        <w:rPr>
          <w:rFonts w:ascii="宋体" w:hAnsi="宋体" w:cs="宋体" w:eastAsia="宋体" w:hint="default"/>
        </w:rPr>
        <w:t>10</w:t>
      </w:r>
      <w:r>
        <w:rPr/>
        <w:t>股派发现金</w:t>
      </w:r>
      <w:r>
        <w:rPr>
          <w:rFonts w:ascii="宋体" w:hAnsi="宋体" w:cs="宋体" w:eastAsia="宋体" w:hint="default"/>
        </w:rPr>
        <w:t>7.5</w:t>
      </w:r>
      <w:r>
        <w:rPr/>
        <w:t>元，</w:t>
      </w:r>
      <w:r>
        <w:rPr>
          <w:rFonts w:ascii="宋体" w:hAnsi="宋体" w:cs="宋体" w:eastAsia="宋体" w:hint="default"/>
        </w:rPr>
        <w:t>2013</w:t>
      </w:r>
      <w:r>
        <w:rPr/>
        <w:t>年实施每</w:t>
      </w:r>
      <w:r>
        <w:rPr>
          <w:rFonts w:ascii="宋体" w:hAnsi="宋体" w:cs="宋体" w:eastAsia="宋体" w:hint="default"/>
        </w:rPr>
        <w:t>10</w:t>
      </w:r>
      <w:r>
        <w:rPr/>
        <w:t>股派</w:t>
      </w:r>
      <w:r>
        <w:rPr>
          <w:spacing w:val="-83"/>
        </w:rPr>
        <w:t> </w:t>
      </w:r>
      <w:r>
        <w:rPr/>
        <w:t>发现金</w:t>
      </w:r>
      <w:r>
        <w:rPr>
          <w:rFonts w:ascii="宋体" w:hAnsi="宋体" w:cs="宋体" w:eastAsia="宋体" w:hint="default"/>
        </w:rPr>
        <w:t>2.8</w:t>
      </w:r>
      <w:r>
        <w:rPr/>
        <w:t>元、</w:t>
      </w:r>
      <w:r>
        <w:rPr>
          <w:rFonts w:ascii="宋体" w:hAnsi="宋体" w:cs="宋体" w:eastAsia="宋体" w:hint="default"/>
        </w:rPr>
        <w:t>2014</w:t>
      </w:r>
      <w:r>
        <w:rPr/>
        <w:t>年实施每</w:t>
      </w:r>
      <w:r>
        <w:rPr>
          <w:rFonts w:ascii="宋体" w:hAnsi="宋体" w:cs="宋体" w:eastAsia="宋体" w:hint="default"/>
        </w:rPr>
        <w:t>10</w:t>
      </w:r>
      <w:r>
        <w:rPr/>
        <w:t>股转增</w:t>
      </w:r>
      <w:r>
        <w:rPr>
          <w:rFonts w:ascii="宋体" w:hAnsi="宋体" w:cs="宋体" w:eastAsia="宋体" w:hint="default"/>
        </w:rPr>
        <w:t>10</w:t>
      </w:r>
      <w:r>
        <w:rPr/>
        <w:t>股送</w:t>
      </w:r>
      <w:r>
        <w:rPr>
          <w:rFonts w:ascii="宋体" w:hAnsi="宋体" w:cs="宋体" w:eastAsia="宋体" w:hint="default"/>
        </w:rPr>
        <w:t>5</w:t>
      </w:r>
      <w:r>
        <w:rPr/>
        <w:t>股派</w:t>
      </w:r>
      <w:r>
        <w:rPr>
          <w:rFonts w:ascii="宋体" w:hAnsi="宋体" w:cs="宋体" w:eastAsia="宋体" w:hint="default"/>
        </w:rPr>
        <w:t>1</w:t>
      </w:r>
      <w:r>
        <w:rPr/>
        <w:t>元现金累计现金分红超过</w:t>
      </w:r>
      <w:r>
        <w:rPr>
          <w:rFonts w:ascii="宋体" w:hAnsi="宋体" w:cs="宋体" w:eastAsia="宋体" w:hint="default"/>
        </w:rPr>
        <w:t>30</w:t>
      </w:r>
      <w:r>
        <w:rPr/>
        <w:t>亿元，给投资者带来丰厚的现金回报。</w:t>
      </w:r>
    </w:p>
    <w:p>
      <w:pPr>
        <w:pStyle w:val="BodyText"/>
        <w:spacing w:line="357" w:lineRule="auto" w:before="56"/>
        <w:ind w:left="578" w:right="1033"/>
        <w:jc w:val="left"/>
      </w:pPr>
      <w:r>
        <w:rPr/>
        <w:t>加强信息披露管理，维护投资者合法权益 公司严格遵守各项法律法规，认真履行信息披露的责任和义务，依法按时完成各项信息的披露，整个信息披露过程严</w:t>
      </w:r>
    </w:p>
    <w:p>
      <w:pPr>
        <w:pStyle w:val="BodyText"/>
        <w:spacing w:line="224" w:lineRule="exact"/>
        <w:ind w:left="154" w:right="0"/>
        <w:jc w:val="left"/>
      </w:pPr>
      <w:r>
        <w:rPr/>
        <w:t>格遵循信息披露的公平、公正、真实、准确的原则，保证了投资者对公司重大事项和经营情况的知情权，极大的维护了投资</w:t>
      </w:r>
    </w:p>
    <w:p>
      <w:pPr>
        <w:pStyle w:val="BodyText"/>
        <w:spacing w:line="319" w:lineRule="auto" w:before="77"/>
        <w:ind w:left="154" w:right="1033"/>
        <w:jc w:val="left"/>
      </w:pPr>
      <w:r>
        <w:rPr>
          <w:spacing w:val="-2"/>
        </w:rPr>
        <w:t>者的合法权益。</w:t>
      </w:r>
      <w:r>
        <w:rPr>
          <w:rFonts w:ascii="宋体" w:hAnsi="宋体" w:cs="宋体" w:eastAsia="宋体" w:hint="default"/>
          <w:spacing w:val="-2"/>
        </w:rPr>
        <w:t>2014</w:t>
      </w:r>
      <w:r>
        <w:rPr>
          <w:spacing w:val="-2"/>
        </w:rPr>
        <w:t>年未发生内幕信息泄露事件，也未受到证券监管部门的处罚，在深圳证券交易所年度信息披露考评中获</w:t>
      </w:r>
      <w:r>
        <w:rPr>
          <w:spacing w:val="-62"/>
        </w:rPr>
        <w:t> </w:t>
      </w:r>
      <w:r>
        <w:rPr>
          <w:spacing w:val="-62"/>
        </w:rPr>
      </w:r>
      <w:r>
        <w:rPr/>
        <w:t>得“良”。</w:t>
      </w:r>
    </w:p>
    <w:p>
      <w:pPr>
        <w:pStyle w:val="BodyText"/>
        <w:spacing w:line="357" w:lineRule="auto" w:before="58"/>
        <w:ind w:left="578" w:right="1033"/>
        <w:jc w:val="left"/>
      </w:pPr>
      <w:r>
        <w:rPr/>
        <w:t>建立良好的投资者关系，架起沟通的互通桥梁 在投资者关系工作中公司将秉承尊重与坦诚的态度接待每一位投资者。并做好与证券监管机构、股东及实际控制人、</w:t>
      </w:r>
    </w:p>
    <w:p>
      <w:pPr>
        <w:pStyle w:val="BodyText"/>
        <w:spacing w:line="224" w:lineRule="exact"/>
        <w:ind w:left="154" w:right="0"/>
        <w:jc w:val="left"/>
      </w:pPr>
      <w:r>
        <w:rPr/>
        <w:t>投资者、中介机构、媒体等之间的关系，严格按照交易所的指导文件开展信息披露和投资者关系管理工作，密切关注公司股</w:t>
      </w:r>
    </w:p>
    <w:p>
      <w:pPr>
        <w:pStyle w:val="BodyText"/>
        <w:spacing w:line="319" w:lineRule="auto" w:before="76"/>
        <w:ind w:right="1033"/>
        <w:jc w:val="left"/>
      </w:pPr>
      <w:r>
        <w:rPr>
          <w:spacing w:val="-2"/>
        </w:rPr>
        <w:t>票的市场走势，对投资者和媒体关心的问题及时向相关各方进行沟通，并在第一时间做出回复。公司设有专人维护“投资者</w:t>
      </w:r>
      <w:r>
        <w:rPr>
          <w:spacing w:val="-66"/>
        </w:rPr>
        <w:t> </w:t>
      </w:r>
      <w:r>
        <w:rPr>
          <w:spacing w:val="-66"/>
        </w:rPr>
      </w:r>
      <w:r>
        <w:rPr/>
        <w:t>互动平台”、回复网上提问、接听投资者关系热线电话。</w:t>
      </w:r>
    </w:p>
    <w:p>
      <w:pPr>
        <w:pStyle w:val="BodyText"/>
        <w:spacing w:line="357" w:lineRule="auto" w:before="56"/>
        <w:ind w:left="578" w:right="1033"/>
        <w:jc w:val="left"/>
      </w:pPr>
      <w:r>
        <w:rPr/>
        <w:t>坚持诚信经营，重视债权人权益保护 公司充分利用资本市场平台，助力业务发展的同时降低公司财务成本，通过短期融资券和公司债进行资金募集。公司</w:t>
      </w:r>
    </w:p>
    <w:p>
      <w:pPr>
        <w:pStyle w:val="BodyText"/>
        <w:spacing w:line="225" w:lineRule="exact"/>
        <w:ind w:left="154" w:right="1033"/>
        <w:jc w:val="left"/>
      </w:pPr>
      <w:r>
        <w:rPr/>
        <w:t>高度重视债权人权益保护，严格按照与债权人签订的合同履行义务，债权人权益得到充分保护。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78" w:right="1033"/>
        <w:jc w:val="left"/>
      </w:pPr>
      <w:r>
        <w:rPr/>
        <w:t>二、以人为本关爱员工 公司以“为员工创造更加幸福的生活”为企业使命，公司长期以来一直把维护全体员工的利益放在工作的首位，着实</w:t>
      </w:r>
    </w:p>
    <w:p>
      <w:pPr>
        <w:pStyle w:val="BodyText"/>
        <w:spacing w:line="357" w:lineRule="auto"/>
        <w:ind w:left="578" w:right="1124" w:hanging="425"/>
        <w:jc w:val="left"/>
      </w:pPr>
      <w:r>
        <w:rPr/>
        <w:t>提升员工的自身价值和培养员工的凝聚力，使员工的使命感和企业的愿景达到有机统一。 </w:t>
      </w:r>
      <w:r>
        <w:rPr>
          <w:spacing w:val="-3"/>
        </w:rPr>
        <w:t>公司严格遵守《劳动法》，实行全员劳动合同制，与所有员工签订劳动合同；严格执行社会保障制度，参加养老保险、</w:t>
      </w:r>
    </w:p>
    <w:p>
      <w:pPr>
        <w:pStyle w:val="BodyText"/>
        <w:spacing w:line="224" w:lineRule="exact"/>
        <w:ind w:left="154" w:right="0"/>
        <w:jc w:val="left"/>
      </w:pPr>
      <w:r>
        <w:rPr/>
        <w:t>基本医疗保险、失业保险、工伤保险、生育保险和住房公积金等，同时为员工购买商业补充医疗及意外伤害保险，进一步保</w:t>
      </w:r>
    </w:p>
    <w:p>
      <w:pPr>
        <w:pStyle w:val="BodyText"/>
        <w:spacing w:line="319" w:lineRule="auto" w:before="76"/>
        <w:ind w:right="1033"/>
        <w:jc w:val="left"/>
      </w:pPr>
      <w:r>
        <w:rPr>
          <w:spacing w:val="-2"/>
        </w:rPr>
        <w:t>障了员工的切身利益。公司还重视对员工的福利建设，如“三八节”，“端午节”、“中秋节”、“春节”等传统节日为职</w:t>
      </w:r>
      <w:r>
        <w:rPr>
          <w:spacing w:val="-69"/>
        </w:rPr>
        <w:t> </w:t>
      </w:r>
      <w:r>
        <w:rPr>
          <w:spacing w:val="-69"/>
        </w:rPr>
      </w:r>
      <w:r>
        <w:rPr/>
        <w:t>工及员工家属送上传统佳节礼品等。</w:t>
      </w:r>
      <w:r>
        <w:rPr>
          <w:rFonts w:ascii="宋体" w:hAnsi="宋体" w:cs="宋体" w:eastAsia="宋体" w:hint="default"/>
        </w:rPr>
        <w:t>2014</w:t>
      </w:r>
      <w:r>
        <w:rPr/>
        <w:t>年公司继续发放长期服务奖，对长期为公司服务的员工给予假期旅行和奖金激励，</w:t>
      </w:r>
      <w:r>
        <w:rPr>
          <w:spacing w:val="-85"/>
        </w:rPr>
        <w:t> </w:t>
      </w:r>
      <w:r>
        <w:rPr>
          <w:spacing w:val="-85"/>
        </w:rPr>
      </w:r>
      <w:r>
        <w:rPr/>
        <w:t>让员工得到身心的放松。</w:t>
      </w:r>
    </w:p>
    <w:p>
      <w:pPr>
        <w:pStyle w:val="BodyText"/>
        <w:spacing w:line="316" w:lineRule="auto" w:before="55"/>
        <w:ind w:right="1131" w:firstLine="424"/>
        <w:jc w:val="both"/>
      </w:pPr>
      <w:r>
        <w:rPr/>
        <w:t>公司设有美特斯邦威大学为员工提供在职教育培训。</w:t>
      </w:r>
      <w:r>
        <w:rPr>
          <w:rFonts w:ascii="宋体" w:hAnsi="宋体" w:cs="宋体" w:eastAsia="宋体" w:hint="default"/>
        </w:rPr>
        <w:t>2014</w:t>
      </w:r>
      <w:r>
        <w:rPr/>
        <w:t>年美特斯邦威大学共完成新员工入职培训（包括实习生）数 </w:t>
      </w:r>
      <w:r>
        <w:rPr>
          <w:spacing w:val="-2"/>
        </w:rPr>
        <w:t>千人，通用素质类培训数十次，经理级培训百余人。每位员工从入职进行新员工培训到在岗实践中的业务培训，每个阶段都</w:t>
      </w:r>
    </w:p>
    <w:p>
      <w:pPr>
        <w:spacing w:after="0" w:line="316" w:lineRule="auto"/>
        <w:jc w:val="both"/>
        <w:sectPr>
          <w:pgSz w:w="11910" w:h="16840"/>
          <w:pgMar w:header="851" w:footer="979" w:top="1320" w:bottom="1160" w:left="980" w:right="0"/>
        </w:sectPr>
      </w:pPr>
    </w:p>
    <w:p>
      <w:pPr>
        <w:pStyle w:val="BodyText"/>
        <w:spacing w:line="357" w:lineRule="auto" w:before="116"/>
        <w:ind w:left="578" w:right="1033" w:hanging="425"/>
        <w:jc w:val="left"/>
      </w:pPr>
      <w:r>
        <w:rPr/>
        <w:t>有针对性的课程设置。 公司长期以来按照《公司法》和公司章程的规定，保障职工的各项合法权利，积极开展各项工会活动。公司通过组织</w:t>
      </w:r>
    </w:p>
    <w:p>
      <w:pPr>
        <w:pStyle w:val="BodyText"/>
        <w:spacing w:line="224" w:lineRule="exact"/>
        <w:ind w:left="154" w:right="0"/>
        <w:jc w:val="left"/>
      </w:pPr>
      <w:r>
        <w:rPr/>
        <w:t>各形式的社团活动，不断提升员工的综合素质；目前工会社团组织各种活动包括：户外拓展、兵乓比赛、篮球联赛、足球联</w:t>
      </w:r>
    </w:p>
    <w:p>
      <w:pPr>
        <w:pStyle w:val="BodyText"/>
        <w:spacing w:line="319" w:lineRule="auto" w:before="76"/>
        <w:ind w:left="154" w:right="1033"/>
        <w:jc w:val="left"/>
      </w:pPr>
      <w:r>
        <w:rPr>
          <w:spacing w:val="-2"/>
        </w:rPr>
        <w:t>赛、羽毛球赛等。公司通过组织员工交流活动，了解员工的工作、生活情况，极大的丰富了职工的精神文化生活，提升了员</w:t>
      </w:r>
      <w:r>
        <w:rPr>
          <w:spacing w:val="-68"/>
        </w:rPr>
        <w:t> </w:t>
      </w:r>
      <w:r>
        <w:rPr>
          <w:spacing w:val="-68"/>
        </w:rPr>
      </w:r>
      <w:r>
        <w:rPr/>
        <w:t>工的综合素质，增强了员工的凝聚力和团队协作能力。</w:t>
      </w:r>
    </w:p>
    <w:p>
      <w:pPr>
        <w:pStyle w:val="BodyText"/>
        <w:spacing w:line="319" w:lineRule="auto" w:before="56"/>
        <w:ind w:left="154" w:right="1130" w:firstLine="424"/>
        <w:jc w:val="both"/>
      </w:pPr>
      <w:r>
        <w:rPr/>
        <w:t>公司每年组织公司全体员工进行常规体检，切实关心员工身体健康，确保员工的身心健康。针对员工的身体状况给予 </w:t>
      </w:r>
      <w:r>
        <w:rPr>
          <w:spacing w:val="-2"/>
        </w:rPr>
        <w:t>调整合适的工作岗位；夏天做好防暑降温措施落实，户外劳作的员工发放高温费；生日祝贺、伤病必访、帮助困难员工，处</w:t>
      </w:r>
      <w:r>
        <w:rPr>
          <w:spacing w:val="-67"/>
        </w:rPr>
        <w:t> </w:t>
      </w:r>
      <w:r>
        <w:rPr>
          <w:spacing w:val="-67"/>
        </w:rPr>
      </w:r>
      <w:r>
        <w:rPr/>
        <w:t>处给员工以家的温馨，体现公司对员工的关心和人性化管理。</w:t>
      </w:r>
    </w:p>
    <w:p>
      <w:pPr>
        <w:pStyle w:val="BodyText"/>
        <w:spacing w:line="319" w:lineRule="auto" w:before="55"/>
        <w:ind w:right="1043" w:firstLine="424"/>
        <w:jc w:val="both"/>
      </w:pPr>
      <w:r>
        <w:rPr/>
        <w:t>公司成立了“美邦情缘”基金会，为员工及员工家属提供困难补助，使公司员工感受到大家庭的温暖。</w:t>
      </w:r>
      <w:r>
        <w:rPr>
          <w:rFonts w:ascii="宋体" w:hAnsi="宋体" w:cs="宋体" w:eastAsia="宋体" w:hint="default"/>
        </w:rPr>
        <w:t>2014</w:t>
      </w:r>
      <w:r>
        <w:rPr/>
        <w:t>年末情缘 基金向</w:t>
      </w:r>
      <w:r>
        <w:rPr>
          <w:rFonts w:ascii="宋体" w:hAnsi="宋体" w:cs="宋体" w:eastAsia="宋体" w:hint="default"/>
        </w:rPr>
        <w:t>30</w:t>
      </w:r>
      <w:r>
        <w:rPr/>
        <w:t>个困难家庭发放了春节慰问金。在不忘关心员工的同时也切实的关心员工家属，始终将员工视为公司的巨大财富。</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57" w:lineRule="auto"/>
        <w:ind w:left="578" w:right="1033"/>
        <w:jc w:val="left"/>
      </w:pPr>
      <w:r>
        <w:rPr/>
        <w:t>三、诚信经营善待客户 公司努力实现与供应商、客户和谐共生，共同创造价值、分享成果。注重与各相关方的沟通与协调，共同构筑信任与</w:t>
      </w:r>
    </w:p>
    <w:p>
      <w:pPr>
        <w:pStyle w:val="BodyText"/>
        <w:spacing w:line="225" w:lineRule="exact"/>
        <w:ind w:right="1033"/>
        <w:jc w:val="left"/>
      </w:pPr>
      <w:r>
        <w:rPr/>
        <w:t>合作的平台。</w:t>
      </w:r>
    </w:p>
    <w:p>
      <w:pPr>
        <w:pStyle w:val="BodyText"/>
        <w:spacing w:line="319" w:lineRule="auto" w:before="115"/>
        <w:ind w:right="1131" w:firstLine="424"/>
        <w:jc w:val="both"/>
      </w:pPr>
      <w:r>
        <w:rPr/>
        <w:t>高度重视产品的质量，积极落实质量管理体系建设。美特斯邦威作为国内知名品牌，一直追求质量是品牌的核心竞争 </w:t>
      </w:r>
      <w:r>
        <w:rPr>
          <w:spacing w:val="-2"/>
        </w:rPr>
        <w:t>力的质量管理方针，建立完善的质量管理体系，并通过</w:t>
      </w:r>
      <w:r>
        <w:rPr>
          <w:rFonts w:ascii="宋体" w:hAnsi="宋体" w:cs="宋体" w:eastAsia="宋体" w:hint="default"/>
          <w:spacing w:val="-2"/>
        </w:rPr>
        <w:t>ISO9001</w:t>
      </w:r>
      <w:r>
        <w:rPr>
          <w:spacing w:val="-2"/>
        </w:rPr>
        <w:t>体系认证。美特斯邦威一直与各国家</w:t>
      </w:r>
      <w:r>
        <w:rPr>
          <w:rFonts w:ascii="宋体" w:hAnsi="宋体" w:cs="宋体" w:eastAsia="宋体" w:hint="default"/>
          <w:spacing w:val="-2"/>
        </w:rPr>
        <w:t>/</w:t>
      </w:r>
      <w:r>
        <w:rPr>
          <w:spacing w:val="-2"/>
        </w:rPr>
        <w:t>省级权威纺织品检测机</w:t>
      </w:r>
      <w:r>
        <w:rPr>
          <w:spacing w:val="-58"/>
        </w:rPr>
        <w:t> </w:t>
      </w:r>
      <w:r>
        <w:rPr>
          <w:spacing w:val="-2"/>
        </w:rPr>
        <w:t>构以及国际第三方公正行合作，为公司产品符合性评定提供重要证据，同时建立较完善、科学的测试管理流程和规范。在产</w:t>
      </w:r>
      <w:r>
        <w:rPr>
          <w:spacing w:val="-66"/>
        </w:rPr>
        <w:t> </w:t>
      </w:r>
      <w:r>
        <w:rPr>
          <w:spacing w:val="-66"/>
        </w:rPr>
      </w:r>
      <w:r>
        <w:rPr>
          <w:spacing w:val="-2"/>
        </w:rPr>
        <w:t>品执行标准选用及安全技术规范方面有严格的评审批核程序。产品前期评审、生产阶段的验货和最终产品的入库、出库都设</w:t>
      </w:r>
      <w:r>
        <w:rPr>
          <w:spacing w:val="-66"/>
        </w:rPr>
        <w:t> </w:t>
      </w:r>
      <w:r>
        <w:rPr>
          <w:spacing w:val="-66"/>
        </w:rPr>
      </w:r>
      <w:r>
        <w:rPr/>
        <w:t>有质量检验点，以保证合格产品进入市场。</w:t>
      </w:r>
    </w:p>
    <w:p>
      <w:pPr>
        <w:pStyle w:val="BodyText"/>
        <w:spacing w:line="319" w:lineRule="auto" w:before="56"/>
        <w:ind w:right="1130" w:firstLine="424"/>
        <w:jc w:val="both"/>
      </w:pPr>
      <w:r>
        <w:rPr/>
        <w:t>建立和完善客户管理体系，打通与消费者沟通平台。一方面定期进行消费者调研，贴近消费者需求，切实提供新时尚 </w:t>
      </w:r>
      <w:r>
        <w:rPr>
          <w:spacing w:val="-2"/>
        </w:rPr>
        <w:t>的生活体验。另一方面建立“客户沟通渠道保障”系统。公司通过企业网站</w:t>
      </w:r>
      <w:hyperlink r:id="rId12">
        <w:r>
          <w:rPr>
            <w:rFonts w:ascii="宋体" w:hAnsi="宋体" w:cs="宋体" w:eastAsia="宋体" w:hint="default"/>
            <w:spacing w:val="-2"/>
          </w:rPr>
          <w:t>http://corp.metersbonwe.com/</w:t>
        </w:r>
      </w:hyperlink>
      <w:r>
        <w:rPr>
          <w:spacing w:val="-2"/>
        </w:rPr>
        <w:t>以及品牌官方网</w:t>
      </w:r>
      <w:r>
        <w:rPr>
          <w:spacing w:val="-37"/>
        </w:rPr>
        <w:t> </w:t>
      </w:r>
      <w:r>
        <w:rPr/>
        <w:t>站</w:t>
      </w:r>
      <w:hyperlink r:id="rId9">
        <w:r>
          <w:rPr>
            <w:rFonts w:ascii="宋体" w:hAnsi="宋体" w:cs="宋体" w:eastAsia="宋体" w:hint="default"/>
          </w:rPr>
          <w:t>www.metersbonwe.com</w:t>
        </w:r>
      </w:hyperlink>
      <w:r>
        <w:rPr/>
        <w:t>、</w:t>
      </w:r>
      <w:hyperlink r:id="rId13">
        <w:r>
          <w:rPr>
            <w:rFonts w:ascii="宋体" w:hAnsi="宋体" w:cs="宋体" w:eastAsia="宋体" w:hint="default"/>
          </w:rPr>
          <w:t>www.banggo.com</w:t>
        </w:r>
        <w:r>
          <w:rPr/>
          <w:t>及时刊登本企业最新营销活动</w:t>
        </w:r>
      </w:hyperlink>
      <w:r>
        <w:rPr/>
        <w:t>。另外，公司高度重视客户投诉处理。公司开设了</w:t>
      </w:r>
      <w:r>
        <w:rPr>
          <w:spacing w:val="-85"/>
        </w:rPr>
        <w:t> </w:t>
      </w:r>
      <w:r>
        <w:rPr>
          <w:spacing w:val="-85"/>
        </w:rPr>
      </w:r>
      <w:r>
        <w:rPr>
          <w:rFonts w:ascii="宋体" w:hAnsi="宋体" w:cs="宋体" w:eastAsia="宋体" w:hint="default"/>
        </w:rPr>
        <w:t>800</w:t>
      </w:r>
      <w:r>
        <w:rPr/>
        <w:t>热线服务电话安排专门人员按规程处理客户投诉，以及业务咨询等问题。</w:t>
      </w:r>
    </w:p>
    <w:p>
      <w:pPr>
        <w:pStyle w:val="BodyText"/>
        <w:spacing w:line="319" w:lineRule="auto" w:before="55"/>
        <w:ind w:left="154" w:right="1133" w:firstLine="424"/>
        <w:jc w:val="both"/>
      </w:pPr>
      <w:r>
        <w:rPr/>
        <w:t>公司与供应商保持互惠互利合作共赢的良性关系。为保证公司集中采购统一配送工作的实施，公司制定了供应商准入 </w:t>
      </w:r>
      <w:r>
        <w:rPr>
          <w:spacing w:val="-2"/>
        </w:rPr>
        <w:t>制度。对主要采购商品实施公开招标，使供应商间形成公平竞争、优胜劣汰的机制。同时，公司逐步与信誉良好的上游产品</w:t>
      </w:r>
      <w:r>
        <w:rPr>
          <w:spacing w:val="-66"/>
        </w:rPr>
        <w:t> </w:t>
      </w:r>
      <w:r>
        <w:rPr>
          <w:spacing w:val="-66"/>
        </w:rPr>
      </w:r>
      <w:r>
        <w:rPr/>
        <w:t>供应商建立战略合作关系。</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57" w:lineRule="auto"/>
        <w:ind w:left="578" w:right="3668"/>
        <w:jc w:val="left"/>
      </w:pPr>
      <w:r>
        <w:rPr/>
        <w:t>四、保护环境节约资源 公司长期倡导绿色环保，积极践行环境责任，提高资源利用效率，强化废弃物管理。</w:t>
      </w:r>
    </w:p>
    <w:p>
      <w:pPr>
        <w:pStyle w:val="BodyText"/>
        <w:spacing w:line="319" w:lineRule="auto" w:before="26"/>
        <w:ind w:left="154" w:right="1135" w:firstLine="424"/>
        <w:jc w:val="both"/>
      </w:pPr>
      <w:r>
        <w:rPr/>
        <w:t>公司不仅自身积极履行环保责任，还关注上下游企业的环保情况，从上游供应商公司严格对供应商的筛选进行把控， 选择设备先进管理体系到位并获得相关国家认证的单位进行合作。</w:t>
      </w:r>
    </w:p>
    <w:p>
      <w:pPr>
        <w:pStyle w:val="BodyText"/>
        <w:spacing w:line="319" w:lineRule="auto" w:before="56"/>
        <w:ind w:left="154" w:right="1135" w:firstLine="424"/>
        <w:jc w:val="both"/>
      </w:pPr>
      <w:r>
        <w:rPr/>
        <w:t>积极倡导节能环保，充分利用网络电子工具，积极推行无纸化办公，在各项办公设备的选用中坚持选用能耗低的节能 设备，减少固体废弃物排放，降低办公环境辐射。</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57" w:lineRule="auto"/>
        <w:ind w:left="578" w:right="1033"/>
        <w:jc w:val="left"/>
      </w:pPr>
      <w:r>
        <w:rPr/>
        <w:t>五、勇担责任服务社会 回报社会是企业应尽的社会责任，公司长期以来一贯注重履行自身的社会责任，以自身的发展来带动当地经济和社会</w:t>
      </w:r>
    </w:p>
    <w:p>
      <w:pPr>
        <w:pStyle w:val="BodyText"/>
        <w:spacing w:line="224" w:lineRule="exact"/>
        <w:ind w:right="0"/>
        <w:jc w:val="left"/>
      </w:pPr>
      <w:r>
        <w:rPr/>
        <w:t>的发展，把促进社会和谐和经济繁荣作为企业应尽的社会义务和企业对社会的承诺。公司热心社会公益事业，</w:t>
      </w:r>
      <w:r>
        <w:rPr>
          <w:rFonts w:ascii="宋体" w:hAnsi="宋体" w:cs="宋体" w:eastAsia="宋体" w:hint="default"/>
        </w:rPr>
        <w:t>2014</w:t>
      </w:r>
      <w:r>
        <w:rPr/>
        <w:t>年对外捐</w:t>
      </w:r>
    </w:p>
    <w:p>
      <w:pPr>
        <w:pStyle w:val="BodyText"/>
        <w:spacing w:line="240" w:lineRule="auto" w:before="77"/>
        <w:ind w:right="1033"/>
        <w:jc w:val="left"/>
      </w:pPr>
      <w:r>
        <w:rPr/>
        <w:t>赠合计达</w:t>
      </w:r>
      <w:r>
        <w:rPr>
          <w:rFonts w:ascii="宋体" w:hAnsi="宋体" w:cs="宋体" w:eastAsia="宋体" w:hint="default"/>
        </w:rPr>
        <w:t>244</w:t>
      </w:r>
      <w:r>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316" w:lineRule="auto"/>
        <w:ind w:right="1131" w:firstLine="424"/>
        <w:jc w:val="both"/>
      </w:pPr>
      <w:r>
        <w:rPr>
          <w:rFonts w:ascii="宋体" w:hAnsi="宋体" w:cs="宋体" w:eastAsia="宋体" w:hint="default"/>
        </w:rPr>
        <w:t>2015</w:t>
      </w:r>
      <w:r>
        <w:rPr/>
        <w:t>年公司将继续把公司的发展战略和企业的社会责任相结合，将社会责任的发展规划和实践同公司自身的发展目标 </w:t>
      </w:r>
      <w:r>
        <w:rPr>
          <w:spacing w:val="-2"/>
        </w:rPr>
        <w:t>相结合。深入贯彻科学发展观，积极带动当地经济和社会的发展，继续倡导节能减排、绿色环保，致力于维护公司全体员工</w:t>
      </w:r>
      <w:r>
        <w:rPr>
          <w:spacing w:val="-66"/>
        </w:rPr>
        <w:t> </w:t>
      </w:r>
      <w:r>
        <w:rPr>
          <w:spacing w:val="-66"/>
        </w:rPr>
      </w:r>
      <w:r>
        <w:rPr>
          <w:spacing w:val="-2"/>
        </w:rPr>
        <w:t>的利益，继续加强与利益相关方进行沟通合作，奋力推进公司可持续发展，大力发展循环经济，为建设环境友好型和资源节</w:t>
      </w:r>
    </w:p>
    <w:p>
      <w:pPr>
        <w:spacing w:after="0" w:line="316" w:lineRule="auto"/>
        <w:jc w:val="both"/>
        <w:sectPr>
          <w:pgSz w:w="11910" w:h="16840"/>
          <w:pgMar w:header="851" w:footer="979" w:top="1320" w:bottom="1160" w:left="980" w:right="0"/>
        </w:sectPr>
      </w:pPr>
    </w:p>
    <w:p>
      <w:pPr>
        <w:pStyle w:val="BodyText"/>
        <w:spacing w:line="240" w:lineRule="auto" w:before="116"/>
        <w:ind w:left="154" w:right="1033"/>
        <w:jc w:val="left"/>
      </w:pPr>
      <w:r>
        <w:rPr/>
        <w:t>约型社会做出应有的贡献，努力实现企业的社会价值和自身价值的有机统一。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54" w:right="1033"/>
        <w:jc w:val="left"/>
      </w:pPr>
      <w:r>
        <w:rPr/>
        <w:t>上市公司及其子公司是否属于国家环境保护部门规定的重污染行业</w:t>
      </w:r>
    </w:p>
    <w:p>
      <w:pPr>
        <w:pStyle w:val="BodyText"/>
        <w:spacing w:line="338" w:lineRule="auto" w:before="116"/>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left="15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3"/>
        <w:spacing w:line="240" w:lineRule="auto"/>
        <w:ind w:left="154" w:right="1033"/>
        <w:jc w:val="left"/>
        <w:rPr>
          <w:b w:val="0"/>
          <w:bCs w:val="0"/>
        </w:rPr>
      </w:pPr>
      <w:bookmarkStart w:name="十六、报告期内接待调研、沟通、采访等活动登记表" w:id="57"/>
      <w:bookmarkEnd w:id="57"/>
      <w:r>
        <w:rPr>
          <w:b w:val="0"/>
          <w:bCs w:val="0"/>
        </w:rPr>
      </w: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182"/>
        <w:gridCol w:w="1812"/>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申银万国证券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大成基金、华夏基金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野村证券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right="4647"/>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重大诉讼仲裁事项" w:id="60"/>
      <w:bookmarkEnd w:id="6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二、媒体质疑情况" w:id="61"/>
      <w:bookmarkEnd w:id="61"/>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3"/>
        <w:spacing w:line="240" w:lineRule="auto"/>
        <w:ind w:right="1033"/>
        <w:jc w:val="left"/>
        <w:rPr>
          <w:b w:val="0"/>
          <w:bCs w:val="0"/>
        </w:rPr>
      </w:pPr>
      <w:bookmarkStart w:name="三、控股股东及其关联方对上市公司的非经营性占用资金情况" w:id="62"/>
      <w:bookmarkEnd w:id="6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四、破产重整相关事项" w:id="63"/>
      <w:bookmarkEnd w:id="63"/>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五、资产交易事项" w:id="64"/>
      <w:bookmarkEnd w:id="64"/>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收购资产情况" w:id="65"/>
      <w:bookmarkEnd w:id="6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2、出售资产情况" w:id="66"/>
      <w:bookmarkEnd w:id="6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165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上海恒 嘉美联 资产管 理有限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9"/>
              <w:jc w:val="both"/>
              <w:rPr>
                <w:rFonts w:ascii="宋体" w:hAnsi="宋体" w:cs="宋体" w:eastAsia="宋体" w:hint="default"/>
                <w:sz w:val="18"/>
                <w:szCs w:val="18"/>
              </w:rPr>
            </w:pPr>
            <w:r>
              <w:rPr>
                <w:rFonts w:ascii="宋体" w:hAnsi="宋体" w:cs="宋体" w:eastAsia="宋体" w:hint="default"/>
                <w:sz w:val="18"/>
                <w:szCs w:val="18"/>
              </w:rPr>
              <w:t>长安基 金管理 有限公 司股权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6,600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无重大 影响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16.45%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企业合并情况" w:id="67"/>
      <w:bookmarkEnd w:id="6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六、公司股权激励的实施情况及其影响" w:id="68"/>
      <w:bookmarkEnd w:id="68"/>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033" w:hanging="360"/>
        <w:jc w:val="left"/>
      </w:pPr>
      <w:r>
        <w:rPr>
          <w:rFonts w:ascii="Times New Roman" w:hAnsi="Times New Roman" w:cs="Times New Roman" w:eastAsia="Times New Roman" w:hint="default"/>
        </w:rPr>
        <w:t>1</w:t>
      </w:r>
      <w:r>
        <w:rPr/>
        <w:t>、股票期权激励计划 </w:t>
      </w:r>
      <w:r>
        <w:rPr>
          <w:spacing w:val="-2"/>
        </w:rPr>
        <w:t>公司于</w:t>
      </w:r>
      <w:r>
        <w:rPr>
          <w:rFonts w:ascii="Times New Roman" w:hAnsi="Times New Roman" w:cs="Times New Roman" w:eastAsia="Times New Roman" w:hint="default"/>
          <w:spacing w:val="-2"/>
        </w:rPr>
        <w:t>2010</w:t>
      </w:r>
      <w:r>
        <w:rPr>
          <w:spacing w:val="-2"/>
        </w:rPr>
        <w:t>年正式推出了股权激励计划，此次激励计划覆盖了部门经理及以上中高层管理团队和核心技术人员。首期授</w:t>
      </w:r>
    </w:p>
    <w:p>
      <w:pPr>
        <w:pStyle w:val="BodyText"/>
        <w:spacing w:line="300" w:lineRule="auto" w:before="13"/>
        <w:ind w:left="513" w:right="1033" w:hanging="360"/>
        <w:jc w:val="left"/>
      </w:pPr>
      <w:r>
        <w:rPr/>
        <w:t>予期权</w:t>
      </w:r>
      <w:r>
        <w:rPr>
          <w:rFonts w:ascii="Times New Roman" w:hAnsi="Times New Roman" w:cs="Times New Roman" w:eastAsia="Times New Roman" w:hint="default"/>
        </w:rPr>
        <w:t>581.4</w:t>
      </w:r>
      <w:r>
        <w:rPr/>
        <w:t>万份，其中预留</w:t>
      </w:r>
      <w:r>
        <w:rPr>
          <w:rFonts w:ascii="Times New Roman" w:hAnsi="Times New Roman" w:cs="Times New Roman" w:eastAsia="Times New Roman" w:hint="default"/>
        </w:rPr>
        <w:t>57.5</w:t>
      </w:r>
      <w:r>
        <w:rPr/>
        <w:t>万份。上述情况，公司已经在巨潮资讯网（</w:t>
      </w:r>
      <w:hyperlink r:id="rId11">
        <w:r>
          <w:rPr>
            <w:rFonts w:ascii="Times New Roman" w:hAnsi="Times New Roman" w:cs="Times New Roman" w:eastAsia="Times New Roman" w:hint="default"/>
          </w:rPr>
          <w:t>http://www.cninfo.com.cn</w:t>
        </w:r>
      </w:hyperlink>
      <w:r>
        <w:rPr/>
        <w:t>）进行了披露。</w:t>
      </w:r>
      <w:r>
        <w:rPr>
          <w:w w:val="99"/>
        </w:rPr>
        <w:t> </w:t>
      </w:r>
      <w:r>
        <w:rPr>
          <w:spacing w:val="-6"/>
        </w:rPr>
        <w:t>由于二级市场股价低于行权价格，截至第一个行权期届满、第二个行权期届满，无激励对象在第一、第二个行权期行权。</w:t>
      </w:r>
    </w:p>
    <w:p>
      <w:pPr>
        <w:pStyle w:val="BodyText"/>
        <w:spacing w:line="300" w:lineRule="auto" w:before="31"/>
        <w:ind w:right="1132"/>
        <w:jc w:val="both"/>
      </w:pPr>
      <w:r>
        <w:rPr/>
        <w:t>根据公司《股权激励计划（草案修订稿）》：</w:t>
      </w:r>
      <w:r>
        <w:rPr>
          <w:rFonts w:ascii="Times New Roman" w:hAnsi="Times New Roman" w:cs="Times New Roman" w:eastAsia="Times New Roman" w:hint="default"/>
        </w:rPr>
        <w:t>“</w:t>
      </w:r>
      <w:r>
        <w:rPr/>
        <w:t>计划有效期结束后，已获授但尚未行权的股票期权不得行权，未行权的该部</w:t>
      </w:r>
      <w:r>
        <w:rPr>
          <w:spacing w:val="-76"/>
        </w:rPr>
        <w:t> </w:t>
      </w:r>
      <w:r>
        <w:rPr>
          <w:spacing w:val="-76"/>
        </w:rPr>
      </w:r>
      <w:r>
        <w:rPr/>
        <w:t>分期权由公司注销</w:t>
      </w:r>
      <w:r>
        <w:rPr>
          <w:rFonts w:ascii="Times New Roman" w:hAnsi="Times New Roman" w:cs="Times New Roman" w:eastAsia="Times New Roman" w:hint="default"/>
        </w:rPr>
        <w:t>”</w:t>
      </w:r>
      <w:r>
        <w:rPr/>
        <w:t>。基于上述，公司将对未在第一、第二个行权期内行权的该部分期权进行注销。</w:t>
      </w:r>
    </w:p>
    <w:p>
      <w:pPr>
        <w:pStyle w:val="BodyText"/>
        <w:spacing w:line="240" w:lineRule="auto" w:before="13"/>
        <w:ind w:left="513" w:right="0"/>
        <w:jc w:val="left"/>
      </w:pPr>
      <w:r>
        <w:rPr/>
        <w:t>因</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年业绩未达到第三、第四个行权期财务业绩考核目标，根据《股权激励计划（草案修订稿）》的规定：</w:t>
      </w:r>
    </w:p>
    <w:p>
      <w:pPr>
        <w:pStyle w:val="BodyText"/>
        <w:spacing w:line="240" w:lineRule="auto" w:before="63"/>
        <w:ind w:left="154"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如公司业绩考核达不到上述条件，则激励对象相对应行权期所获授的可行权数量由公司注销。</w:t>
      </w:r>
      <w:r>
        <w:rPr>
          <w:rFonts w:ascii="Times New Roman" w:hAnsi="Times New Roman" w:cs="Times New Roman" w:eastAsia="Times New Roman" w:hint="default"/>
        </w:rPr>
        <w:t>”</w:t>
      </w:r>
    </w:p>
    <w:p>
      <w:pPr>
        <w:pStyle w:val="BodyText"/>
        <w:spacing w:line="309" w:lineRule="auto" w:before="63"/>
        <w:ind w:right="1123" w:firstLine="360"/>
        <w:jc w:val="left"/>
      </w:pPr>
      <w:r>
        <w:rPr/>
        <w:t>上述注销股票期权的事宜公司将会经第三届董事会第二次会议审议通过，并于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月完成注销股票期权激励计划的 全部股票期权，本次注销完成后，公司上述股票期权激励计划已执行完毕。 上述情况的详细内容，请见公司在深圳证券交易所网站及巨潮资讯网（</w:t>
      </w:r>
      <w:hyperlink r:id="rId11">
        <w:r>
          <w:rPr>
            <w:rFonts w:ascii="Times New Roman" w:hAnsi="Times New Roman" w:cs="Times New Roman" w:eastAsia="Times New Roman" w:hint="default"/>
          </w:rPr>
          <w:t>http://www.cninfo.com.cn</w:t>
        </w:r>
      </w:hyperlink>
      <w:r>
        <w:rPr/>
        <w:t>）上发布的相关公告。</w:t>
      </w:r>
    </w:p>
    <w:p>
      <w:pPr>
        <w:spacing w:line="240" w:lineRule="auto" w:before="3"/>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w:t>
      </w:r>
      <w:r>
        <w:rPr/>
        <w:t>、限制性股票激励计划</w:t>
      </w:r>
    </w:p>
    <w:p>
      <w:pPr>
        <w:pStyle w:val="BodyText"/>
        <w:spacing w:line="300" w:lineRule="auto" w:before="63"/>
        <w:ind w:left="154" w:right="1131"/>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日分别召开第二届董事会第十九次会议和第二届监事会第十七次会议，审议通过了《﹤限制性</w:t>
      </w:r>
      <w:r>
        <w:rPr>
          <w:spacing w:val="-83"/>
        </w:rPr>
        <w:t> </w:t>
      </w:r>
      <w:r>
        <w:rPr>
          <w:spacing w:val="-83"/>
        </w:rPr>
      </w:r>
      <w:r>
        <w:rPr/>
        <w:t>股票激励计划（草案）﹥及其摘要》，公司独立董事对此发表了独立意见。其后公司向中国证监会上报了申请备案材料。</w:t>
      </w:r>
    </w:p>
    <w:p>
      <w:pPr>
        <w:pStyle w:val="BodyText"/>
        <w:spacing w:line="309" w:lineRule="auto" w:before="31"/>
        <w:ind w:left="154" w:right="1132"/>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日，公司召开第二届董事会第二十次会议和第二届监事会第十八次会议，根据中国证监会的反馈意见，</w:t>
      </w:r>
      <w:r>
        <w:rPr>
          <w:spacing w:val="-88"/>
        </w:rPr>
        <w:t> </w:t>
      </w:r>
      <w:r>
        <w:rPr>
          <w:spacing w:val="-88"/>
        </w:rPr>
      </w:r>
      <w:r>
        <w:rPr>
          <w:spacing w:val="-2"/>
        </w:rPr>
        <w:t>公司对《限制性股票激励计划（草案）》进行了修订，本次会议审议通过了《﹤限制性股票激励计划（草案修订稿）﹥及其</w:t>
      </w:r>
      <w:r>
        <w:rPr>
          <w:spacing w:val="-67"/>
        </w:rPr>
        <w:t> </w:t>
      </w:r>
      <w:r>
        <w:rPr>
          <w:spacing w:val="-67"/>
        </w:rPr>
      </w:r>
      <w:r>
        <w:rPr/>
        <w:t>摘要》，公司独立董事对此发表了独立意见。</w:t>
      </w:r>
    </w:p>
    <w:p>
      <w:pPr>
        <w:pStyle w:val="BodyText"/>
        <w:spacing w:line="312" w:lineRule="auto" w:before="24"/>
        <w:ind w:right="1132"/>
        <w:jc w:val="both"/>
      </w:pPr>
      <w:r>
        <w:rPr>
          <w:spacing w:val="-2"/>
        </w:rPr>
        <w:t>（</w:t>
      </w:r>
      <w:r>
        <w:rPr>
          <w:rFonts w:ascii="Times New Roman" w:hAnsi="Times New Roman" w:cs="Times New Roman" w:eastAsia="Times New Roman" w:hint="default"/>
          <w:spacing w:val="-2"/>
        </w:rPr>
        <w:t>3</w:t>
      </w:r>
      <w:r>
        <w:rPr>
          <w:spacing w:val="-2"/>
        </w:rPr>
        <w:t>）、激励计划经中国证监会备案无异议后，公司于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日，公司召开了</w:t>
      </w:r>
      <w:r>
        <w:rPr>
          <w:rFonts w:ascii="Times New Roman" w:hAnsi="Times New Roman" w:cs="Times New Roman" w:eastAsia="Times New Roman" w:hint="default"/>
          <w:spacing w:val="-2"/>
        </w:rPr>
        <w:t>2014</w:t>
      </w:r>
      <w:r>
        <w:rPr>
          <w:spacing w:val="-2"/>
        </w:rPr>
        <w:t>年第一次临时股东大会，会议审议通</w:t>
      </w:r>
      <w:r>
        <w:rPr>
          <w:spacing w:val="-55"/>
        </w:rPr>
        <w:t> </w:t>
      </w:r>
      <w:r>
        <w:rPr>
          <w:spacing w:val="-55"/>
        </w:rPr>
      </w:r>
      <w:r>
        <w:rPr>
          <w:spacing w:val="-2"/>
        </w:rPr>
        <w:t>过了《限制性股票激励计划（草案修订稿）及其摘要的议案》、《限制性股票激励计划实施考核管理办法的议案》、《关于</w:t>
      </w:r>
      <w:r>
        <w:rPr>
          <w:spacing w:val="-69"/>
        </w:rPr>
        <w:t> </w:t>
      </w:r>
      <w:r>
        <w:rPr>
          <w:spacing w:val="-69"/>
        </w:rPr>
      </w:r>
      <w:r>
        <w:rPr>
          <w:spacing w:val="-2"/>
        </w:rPr>
        <w:t>提请股东大会授权董事会办理公司限制性股票激励计划相关事宜的议案》。董事会被授权确定限制性股票授予日、在激励对</w:t>
      </w:r>
      <w:r>
        <w:rPr>
          <w:spacing w:val="-66"/>
        </w:rPr>
        <w:t> </w:t>
      </w:r>
      <w:r>
        <w:rPr>
          <w:spacing w:val="-66"/>
        </w:rPr>
      </w:r>
      <w:r>
        <w:rPr/>
        <w:t>象符合条件时向激励对象授予限制性股票并办理授予限制性股票所必须的全部事宜。</w:t>
      </w:r>
    </w:p>
    <w:p>
      <w:pPr>
        <w:pStyle w:val="BodyText"/>
        <w:spacing w:line="307" w:lineRule="auto" w:before="22"/>
        <w:ind w:left="154" w:right="1131"/>
        <w:jc w:val="both"/>
      </w:pPr>
      <w:r>
        <w:rPr>
          <w:spacing w:val="-2"/>
        </w:rPr>
        <w:t>（</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日分别召开第三届董事会第一次会议和第三届监事会第一次会议，审议通过了《关于公司限制性</w:t>
      </w:r>
      <w:r>
        <w:rPr>
          <w:spacing w:val="-58"/>
        </w:rPr>
        <w:t> </w:t>
      </w:r>
      <w:r>
        <w:rPr>
          <w:spacing w:val="-58"/>
        </w:rPr>
      </w:r>
      <w:r>
        <w:rPr>
          <w:spacing w:val="-2"/>
        </w:rPr>
        <w:t>股票授予相关事项的议案》，确定本次激励计划的限制性股票授予日为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日；独立董事对本次限制性股票激励计划</w:t>
      </w:r>
      <w:r>
        <w:rPr>
          <w:spacing w:val="-60"/>
        </w:rPr>
        <w:t> </w:t>
      </w:r>
      <w:r>
        <w:rPr>
          <w:spacing w:val="-60"/>
        </w:rPr>
      </w:r>
      <w:r>
        <w:rPr>
          <w:spacing w:val="-2"/>
        </w:rPr>
        <w:t>授予相关事项发表独立意见，认为激励对象主体资格确认办法合法有效，确定的授予日符合相关规定，同意本次限制性股票</w:t>
      </w:r>
      <w:r>
        <w:rPr>
          <w:spacing w:val="-66"/>
        </w:rPr>
        <w:t> </w:t>
      </w:r>
      <w:r>
        <w:rPr>
          <w:spacing w:val="-66"/>
        </w:rPr>
      </w:r>
      <w:r>
        <w:rPr/>
        <w:t>激励的授予日为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日，并同意向符合授予条件的</w:t>
      </w:r>
      <w:r>
        <w:rPr>
          <w:rFonts w:ascii="Times New Roman" w:hAnsi="Times New Roman" w:cs="Times New Roman" w:eastAsia="Times New Roman" w:hint="default"/>
        </w:rPr>
        <w:t>2</w:t>
      </w:r>
      <w:r>
        <w:rPr/>
        <w:t>名激励对象授予</w:t>
      </w:r>
      <w:r>
        <w:rPr>
          <w:rFonts w:ascii="Times New Roman" w:hAnsi="Times New Roman" w:cs="Times New Roman" w:eastAsia="Times New Roman" w:hint="default"/>
        </w:rPr>
        <w:t>600</w:t>
      </w:r>
      <w:r>
        <w:rPr/>
        <w:t>万股限制性股票。</w:t>
      </w:r>
    </w:p>
    <w:p>
      <w:pPr>
        <w:pStyle w:val="BodyText"/>
        <w:spacing w:line="240" w:lineRule="auto" w:before="7"/>
        <w:ind w:right="0"/>
        <w:jc w:val="both"/>
      </w:pPr>
      <w:r>
        <w:rPr/>
        <w:t>（</w:t>
      </w: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日完成了激励计划所涉限制性股票的授予登记工作。</w:t>
      </w:r>
    </w:p>
    <w:p>
      <w:pPr>
        <w:pStyle w:val="BodyText"/>
        <w:spacing w:line="316" w:lineRule="auto" w:before="63"/>
        <w:ind w:right="1129"/>
        <w:jc w:val="both"/>
      </w:pPr>
      <w:r>
        <w:rPr>
          <w:spacing w:val="-2"/>
        </w:rPr>
        <w:t>（</w:t>
      </w:r>
      <w:r>
        <w:rPr>
          <w:rFonts w:ascii="宋体" w:hAnsi="宋体" w:cs="宋体" w:eastAsia="宋体" w:hint="default"/>
          <w:spacing w:val="-2"/>
        </w:rPr>
        <w:t>6</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日召开第三届董事会第八次会议，审议通过了《限制性股票激励计划部分激励股份回购注销的议</w:t>
      </w:r>
      <w:r>
        <w:rPr>
          <w:spacing w:val="-58"/>
        </w:rPr>
        <w:t> </w:t>
      </w:r>
      <w:r>
        <w:rPr>
          <w:spacing w:val="-58"/>
        </w:rPr>
      </w:r>
      <w:r>
        <w:rPr/>
        <w:t>案》。因公司</w:t>
      </w:r>
      <w:r>
        <w:rPr>
          <w:rFonts w:ascii="宋体" w:hAnsi="宋体" w:cs="宋体" w:eastAsia="宋体" w:hint="default"/>
        </w:rPr>
        <w:t>2014</w:t>
      </w:r>
      <w:r>
        <w:rPr/>
        <w:t>年业绩未达到公司限制性股票激励计划第一个解锁期解锁条件，同意回购并注销</w:t>
      </w:r>
      <w:r>
        <w:rPr>
          <w:rFonts w:ascii="宋体" w:hAnsi="宋体" w:cs="宋体" w:eastAsia="宋体" w:hint="default"/>
        </w:rPr>
        <w:t>2</w:t>
      </w:r>
      <w:r>
        <w:rPr/>
        <w:t>名激励对象第一个解锁</w:t>
      </w:r>
      <w:r>
        <w:rPr>
          <w:spacing w:val="-83"/>
        </w:rPr>
        <w:t> </w:t>
      </w:r>
      <w:r>
        <w:rPr>
          <w:spacing w:val="-83"/>
        </w:rPr>
      </w:r>
      <w:r>
        <w:rPr>
          <w:spacing w:val="-2"/>
        </w:rPr>
        <w:t>期所涉及的已授予但未满足解锁条件的共计</w:t>
      </w:r>
      <w:r>
        <w:rPr>
          <w:rFonts w:ascii="宋体" w:hAnsi="宋体" w:cs="宋体" w:eastAsia="宋体" w:hint="default"/>
          <w:spacing w:val="-2"/>
        </w:rPr>
        <w:t>60</w:t>
      </w:r>
      <w:r>
        <w:rPr>
          <w:spacing w:val="-2"/>
        </w:rPr>
        <w:t>万股限制性股票。根据公司《限制性股票激励计划（草案修订稿）》的相关规</w:t>
      </w:r>
    </w:p>
    <w:p>
      <w:pPr>
        <w:spacing w:after="0" w:line="316" w:lineRule="auto"/>
        <w:jc w:val="both"/>
        <w:sectPr>
          <w:pgSz w:w="11910" w:h="16840"/>
          <w:pgMar w:header="851" w:footer="979" w:top="1320" w:bottom="1160" w:left="980" w:right="0"/>
        </w:sectPr>
      </w:pPr>
    </w:p>
    <w:p>
      <w:pPr>
        <w:pStyle w:val="BodyText"/>
        <w:spacing w:line="316" w:lineRule="auto" w:before="114"/>
        <w:ind w:right="1033"/>
        <w:jc w:val="left"/>
      </w:pPr>
      <w:r>
        <w:rPr>
          <w:spacing w:val="-2"/>
        </w:rPr>
        <w:t>定，若解锁条件未达成，公司将以激励对象购买价格回购限制性股票并注销，本次回购激励股份的价格为激励对象的购买价</w:t>
      </w:r>
      <w:r>
        <w:rPr>
          <w:spacing w:val="-66"/>
        </w:rPr>
        <w:t> </w:t>
      </w:r>
      <w:r>
        <w:rPr>
          <w:spacing w:val="-66"/>
        </w:rPr>
      </w:r>
      <w:r>
        <w:rPr/>
        <w:t>格即每股</w:t>
      </w:r>
      <w:r>
        <w:rPr>
          <w:rFonts w:ascii="宋体" w:hAnsi="宋体" w:cs="宋体" w:eastAsia="宋体" w:hint="default"/>
        </w:rPr>
        <w:t>11.63</w:t>
      </w:r>
      <w:r>
        <w:rPr/>
        <w:t>元。本次回购注销完成后，公司限制性股票激励计划将继续按照法规要求执行。 上述情况的详细内容，请见公司在深圳证券交易所网站及巨潮资讯网（</w:t>
      </w:r>
      <w:hyperlink r:id="rId11">
        <w:r>
          <w:rPr>
            <w:rFonts w:ascii="Times New Roman" w:hAnsi="Times New Roman" w:cs="Times New Roman" w:eastAsia="Times New Roman" w:hint="default"/>
          </w:rPr>
          <w:t>http://www.cninfo.com.cn</w:t>
        </w:r>
      </w:hyperlink>
      <w:r>
        <w:rPr/>
        <w:t>）上发布的相关公告。</w:t>
      </w:r>
    </w:p>
    <w:p>
      <w:pPr>
        <w:spacing w:line="240" w:lineRule="auto" w:before="4"/>
        <w:rPr>
          <w:rFonts w:ascii="宋体" w:hAnsi="宋体" w:cs="宋体" w:eastAsia="宋体" w:hint="default"/>
          <w:sz w:val="19"/>
          <w:szCs w:val="19"/>
        </w:rPr>
      </w:pPr>
    </w:p>
    <w:p>
      <w:pPr>
        <w:pStyle w:val="Heading3"/>
        <w:spacing w:line="240" w:lineRule="auto"/>
        <w:ind w:right="1033"/>
        <w:jc w:val="left"/>
        <w:rPr>
          <w:b w:val="0"/>
          <w:bCs w:val="0"/>
        </w:rPr>
      </w:pPr>
      <w:bookmarkStart w:name="七、重大关联交易" w:id="69"/>
      <w:bookmarkEnd w:id="69"/>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与日常经营相关的关联交易" w:id="70"/>
      <w:bookmarkEnd w:id="7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关联自然 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销售服饰 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67,118,89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6,711.89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67,118,89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关联自然 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销售服饰 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29,427,68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2,942.77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29,427,68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关联自然 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销售服饰 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20,227,73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2,022.77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20,227,73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向关联方 承租房屋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承租营业 房屋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14,075,13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1,407.51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14,075,13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13,084.94</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 w:right="39"/>
              <w:jc w:val="left"/>
              <w:rPr>
                <w:rFonts w:ascii="宋体" w:hAnsi="宋体" w:cs="宋体" w:eastAsia="宋体" w:hint="default"/>
                <w:sz w:val="18"/>
                <w:szCs w:val="18"/>
              </w:rPr>
            </w:pPr>
            <w:r>
              <w:rPr>
                <w:rFonts w:ascii="宋体" w:hAnsi="宋体" w:cs="宋体" w:eastAsia="宋体" w:hint="default"/>
                <w:sz w:val="18"/>
                <w:szCs w:val="18"/>
              </w:rPr>
              <w:t>上述关联自然人均为本公司加盟商。公司与上述关联方的日常交易均属于正常的 商品购销及房产租赁活动，上述关联交易的开展具有充分的必要性和持续性。</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6" w:lineRule="auto" w:before="52"/>
              <w:ind w:left="11" w:right="39"/>
              <w:jc w:val="left"/>
              <w:rPr>
                <w:rFonts w:ascii="宋体" w:hAnsi="宋体" w:cs="宋体" w:eastAsia="宋体" w:hint="default"/>
                <w:sz w:val="18"/>
                <w:szCs w:val="18"/>
              </w:rPr>
            </w:pPr>
            <w:r>
              <w:rPr>
                <w:rFonts w:ascii="宋体" w:hAnsi="宋体" w:cs="宋体" w:eastAsia="宋体" w:hint="default"/>
                <w:sz w:val="18"/>
                <w:szCs w:val="18"/>
              </w:rPr>
              <w:t>本公司为品牌运营商和产品提供方，上述关联方对本公司依赖程度较高，本公司 对上述关联方不存在依赖关系。</w:t>
            </w:r>
          </w:p>
        </w:tc>
      </w:tr>
      <w:tr>
        <w:trPr>
          <w:trHeight w:val="1026"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上述关联交易金额均符合年度股东大会预计的本年度关联交易。</w:t>
            </w:r>
          </w:p>
        </w:tc>
      </w:tr>
      <w:tr>
        <w:trPr>
          <w:trHeight w:val="716"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上述关联交易均采用市场价格，不存在较大差异的情况。</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资产收购、出售发生的关联交易" w:id="71"/>
      <w:bookmarkEnd w:id="71"/>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pStyle w:val="BodyText"/>
        <w:spacing w:line="240" w:lineRule="auto" w:before="116"/>
        <w:ind w:left="154" w:right="1033"/>
        <w:jc w:val="left"/>
      </w:pPr>
      <w:r>
        <w:rPr/>
        <w:t>公司报告期未发生资产收购、出售的关联交易。</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共同对外投资的关联交易" w:id="72"/>
      <w:bookmarkEnd w:id="7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4、关联债权债务往来" w:id="73"/>
      <w:bookmarkEnd w:id="7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5、其他关联交易" w:id="74"/>
      <w:bookmarkEnd w:id="74"/>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八、重大合同及其履行情况" w:id="75"/>
      <w:bookmarkEnd w:id="75"/>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托管、承包、租赁事项情况" w:id="76"/>
      <w:bookmarkEnd w:id="7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托管情况" w:id="77"/>
      <w:bookmarkEnd w:id="7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2）承包情况" w:id="78"/>
      <w:bookmarkEnd w:id="7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3）租赁情况" w:id="79"/>
      <w:bookmarkEnd w:id="7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2、担保情况" w:id="80"/>
      <w:bookmarkEnd w:id="80"/>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3、其他重大合同" w:id="81"/>
      <w:bookmarkEnd w:id="81"/>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pStyle w:val="BodyText"/>
        <w:spacing w:line="240" w:lineRule="auto" w:before="116"/>
        <w:ind w:left="154" w:right="1033"/>
        <w:jc w:val="left"/>
      </w:pPr>
      <w:r>
        <w:rPr/>
        <w:t>公司报告期不存在其他重大合同。</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其他重大交易" w:id="82"/>
      <w:bookmarkEnd w:id="82"/>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九、承诺事项履行情况" w:id="83"/>
      <w:bookmarkEnd w:id="83"/>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公司或持股5%以上股东在报告期内发生或以前期间发生但持续到报告期内的承诺事项" w:id="84"/>
      <w:bookmarkEnd w:id="8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828"/>
        <w:gridCol w:w="1004"/>
        <w:gridCol w:w="4536"/>
        <w:gridCol w:w="1134"/>
        <w:gridCol w:w="794"/>
        <w:gridCol w:w="1260"/>
      </w:tblGrid>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98"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7" w:right="59"/>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4536"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公司控股股东华服投资、股东胡佳佳及实际控制人周成建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6"/>
                <w:sz w:val="18"/>
                <w:szCs w:val="18"/>
              </w:rPr>
              <w:t>日分别签署《避免同业竞争承诺函》，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承诺其自身、以及其参与投资的企业截至承诺函签署日没</w:t>
            </w:r>
            <w:r>
              <w:rPr>
                <w:rFonts w:ascii="宋体" w:hAnsi="宋体" w:cs="宋体" w:eastAsia="宋体" w:hint="default"/>
                <w:sz w:val="18"/>
                <w:szCs w:val="18"/>
              </w:rPr>
              <w:t> 有以任何形式从事与本公司及本公司的控股企业的主营 业务构成或可能构成直接或间接竞争关系的业务或活动； 未来也不以任何形式直接或间接从事任何与本公司或本 公司的控股企业主营业务构成或可能构成直接或间接竞 争关系的业务或活动，或于该等业务中持有权益或利益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9"/>
                <w:sz w:val="18"/>
                <w:szCs w:val="18"/>
              </w:rPr>
              <w:t>期末，该承诺事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项仍在严格履 行中。</w:t>
            </w:r>
          </w:p>
        </w:tc>
      </w:tr>
      <w:tr>
        <w:trPr>
          <w:trHeight w:val="1288"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004" w:type="dxa"/>
            <w:vMerge/>
            <w:tcBorders>
              <w:left w:val="single" w:sz="9" w:space="0" w:color="D2D2D2"/>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338"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 w:right="59"/>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pacing w:val="-1"/>
                <w:sz w:val="18"/>
                <w:szCs w:val="18"/>
              </w:rPr>
              <w:t>若发生税收优惠被追缴的情况，华服投资及周成建将承担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被追缴的税款和因此所产生的所有相关费用。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9"/>
                <w:sz w:val="18"/>
                <w:szCs w:val="18"/>
              </w:rPr>
              <w:t>期末，该承诺事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项仍在严格履 行中。</w:t>
            </w:r>
          </w:p>
        </w:tc>
      </w:tr>
      <w:tr>
        <w:trPr>
          <w:trHeight w:val="362"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59"/>
              <w:jc w:val="left"/>
              <w:rPr>
                <w:rFonts w:ascii="宋体" w:hAnsi="宋体" w:cs="宋体" w:eastAsia="宋体" w:hint="default"/>
                <w:sz w:val="18"/>
                <w:szCs w:val="18"/>
              </w:rPr>
            </w:pPr>
            <w:r>
              <w:rPr>
                <w:rFonts w:ascii="宋体" w:hAnsi="宋体" w:cs="宋体" w:eastAsia="宋体" w:hint="default"/>
                <w:sz w:val="18"/>
                <w:szCs w:val="18"/>
              </w:rPr>
              <w:t>华服投资、 胡佳佳</w:t>
            </w:r>
          </w:p>
        </w:tc>
        <w:tc>
          <w:tcPr>
            <w:tcW w:w="45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日起的六个月内不减持公司股份。</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2" w:hRule="exact"/>
        </w:trPr>
        <w:tc>
          <w:tcPr>
            <w:tcW w:w="8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004" w:type="dxa"/>
            <w:vMerge/>
            <w:tcBorders>
              <w:left w:val="single" w:sz="9" w:space="0" w:color="D2D2D2"/>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976"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45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如上海爱裳邦购信息科技有限公司实现稳定经营并具备 持续盈利能力，在同等价格及条件下，上海美特斯邦威服 饰股份有限公司享有与爱裳邦购进行并购重组的优先权。</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26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履行完毕，上海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爱裳邦购信息 科技有限公司 已注销。</w:t>
            </w:r>
          </w:p>
        </w:tc>
      </w:tr>
      <w:tr>
        <w:trPr>
          <w:trHeight w:val="362"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714"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5"/>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72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未完成履 行的具体 原因及下 一步计划</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72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59" w:lineRule="auto" w:before="32"/>
        <w:ind w:right="1033"/>
        <w:jc w:val="left"/>
        <w:rPr>
          <w:b w:val="0"/>
          <w:bCs w:val="0"/>
        </w:rPr>
      </w:pPr>
      <w:bookmarkStart w:name="2、公司资产或项目存在盈利预测，且报告期仍处在盈利预测期间，公司就资产或项目达到" w:id="85"/>
      <w:bookmarkEnd w:id="8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十、聘任、解聘会计师事务所情况" w:id="86"/>
      <w:bookmarkEnd w:id="86"/>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张炯、张祎</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033"/>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1033"/>
        <w:jc w:val="left"/>
        <w:rPr>
          <w:b w:val="0"/>
          <w:bCs w:val="0"/>
        </w:rPr>
      </w:pPr>
      <w:bookmarkStart w:name="十一、监事会、独立董事（如适用）对会计师事务所本报告期“非标准审计报告”的说明" w:id="87"/>
      <w:bookmarkEnd w:id="87"/>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十二、处罚及整改情况" w:id="88"/>
      <w:bookmarkEnd w:id="88"/>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十三、年度报告披露后面临暂停上市和终止上市情况" w:id="89"/>
      <w:bookmarkEnd w:id="89"/>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0"/>
        <w:jc w:val="both"/>
        <w:rPr>
          <w:b w:val="0"/>
          <w:bCs w:val="0"/>
        </w:rPr>
      </w:pPr>
      <w:bookmarkStart w:name="十四、其他重大事项的说明" w:id="90"/>
      <w:bookmarkEnd w:id="90"/>
      <w:r>
        <w:rPr>
          <w:b w:val="0"/>
          <w:bCs w:val="0"/>
        </w:rPr>
      </w:r>
      <w:r>
        <w:rPr/>
        <w:t>十四、其他重大事项的说明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报告期内，公司第三届董事会召开第五次会议，审议通过了《关于拟参与发起设立华瑞银行的议案》。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w:t>
      </w:r>
    </w:p>
    <w:p>
      <w:pPr>
        <w:pStyle w:val="BodyText"/>
        <w:spacing w:line="231" w:lineRule="exact"/>
        <w:ind w:right="0"/>
        <w:jc w:val="both"/>
      </w:pPr>
      <w:r>
        <w:rPr>
          <w:spacing w:val="-3"/>
        </w:rPr>
        <w:t>中国银行业监督管理委员会网站公布《中国银监会关于筹建上海华瑞银行股份有限公司的批复》（银监复【</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662</w:t>
      </w:r>
      <w:r>
        <w:rPr>
          <w:spacing w:val="-3"/>
        </w:rPr>
        <w:t>号），</w:t>
      </w:r>
    </w:p>
    <w:p>
      <w:pPr>
        <w:pStyle w:val="BodyText"/>
        <w:spacing w:line="319" w:lineRule="auto" w:before="63"/>
        <w:ind w:right="1132"/>
        <w:jc w:val="both"/>
      </w:pPr>
      <w:r>
        <w:rPr>
          <w:spacing w:val="-5"/>
        </w:rPr>
        <w:t>批复同意在上海市筹建上海华瑞银行。上述事项公司均已在《证券时报》、《上海证券报》、《中国证券报》、《证券日报》</w:t>
      </w:r>
      <w:r>
        <w:rPr>
          <w:spacing w:val="-81"/>
        </w:rPr>
        <w:t> </w:t>
      </w:r>
      <w:r>
        <w:rPr>
          <w:spacing w:val="-81"/>
        </w:rPr>
      </w:r>
      <w:r>
        <w:rPr>
          <w:spacing w:val="-2"/>
        </w:rPr>
        <w:t>及巨潮资讯网进行了披露。报告期内公司按照有关规定提交董事会或和东大会审议，根据该投资事项的进展情况及时履行了</w:t>
      </w:r>
      <w:r>
        <w:rPr>
          <w:spacing w:val="-64"/>
        </w:rPr>
        <w:t> </w:t>
      </w:r>
      <w:r>
        <w:rPr>
          <w:spacing w:val="-64"/>
        </w:rPr>
      </w:r>
      <w:r>
        <w:rPr/>
        <w:t>信息披露义务。</w:t>
      </w:r>
    </w:p>
    <w:p>
      <w:pPr>
        <w:spacing w:line="240" w:lineRule="auto" w:before="6"/>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236"/>
        <w:gridCol w:w="3237"/>
        <w:gridCol w:w="3096"/>
      </w:tblGrid>
      <w:tr>
        <w:trPr>
          <w:trHeight w:val="414" w:hRule="exact"/>
        </w:trPr>
        <w:tc>
          <w:tcPr>
            <w:tcW w:w="32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069"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2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3236"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关于参与发起设立华瑞银行的事项</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3236" w:type="dxa"/>
            <w:vMerge/>
            <w:tcBorders>
              <w:left w:val="single" w:sz="6" w:space="0" w:color="000000"/>
              <w:right w:val="single" w:sz="6" w:space="0" w:color="000000"/>
            </w:tcBorders>
          </w:tcPr>
          <w:p>
            <w:pP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3236" w:type="dxa"/>
            <w:vMerge/>
            <w:tcBorders>
              <w:left w:val="single" w:sz="6" w:space="0" w:color="000000"/>
              <w:right w:val="single" w:sz="6" w:space="0" w:color="000000"/>
            </w:tcBorders>
          </w:tcPr>
          <w:p>
            <w:pP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3236" w:type="dxa"/>
            <w:vMerge/>
            <w:tcBorders>
              <w:left w:val="single" w:sz="6" w:space="0" w:color="000000"/>
              <w:right w:val="single" w:sz="6" w:space="0" w:color="000000"/>
            </w:tcBorders>
          </w:tcPr>
          <w:p>
            <w:pP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3236" w:type="dxa"/>
            <w:vMerge/>
            <w:tcBorders>
              <w:left w:val="single" w:sz="6" w:space="0" w:color="000000"/>
              <w:bottom w:val="single" w:sz="6" w:space="0" w:color="000000"/>
              <w:right w:val="single" w:sz="6" w:space="0" w:color="000000"/>
            </w:tcBorders>
          </w:tcPr>
          <w:p>
            <w:pP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left="154" w:right="1033"/>
        <w:jc w:val="left"/>
        <w:rPr>
          <w:b w:val="0"/>
          <w:bCs w:val="0"/>
        </w:rPr>
      </w:pPr>
      <w:bookmarkStart w:name="十五、公司子公司重要事项" w:id="91"/>
      <w:bookmarkEnd w:id="91"/>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十六、公司发行公司债券的情况" w:id="92"/>
      <w:bookmarkEnd w:id="92"/>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日公开发行了</w:t>
      </w:r>
      <w:r>
        <w:rPr>
          <w:rFonts w:ascii="Times New Roman" w:hAnsi="Times New Roman" w:cs="Times New Roman" w:eastAsia="Times New Roman" w:hint="default"/>
        </w:rPr>
        <w:t>8,000,000</w:t>
      </w:r>
      <w:r>
        <w:rPr/>
        <w:t>份公司债券，每份面值人民币</w:t>
      </w:r>
      <w:r>
        <w:rPr>
          <w:rFonts w:ascii="Times New Roman" w:hAnsi="Times New Roman" w:cs="Times New Roman" w:eastAsia="Times New Roman" w:hint="default"/>
        </w:rPr>
        <w:t>100</w:t>
      </w:r>
      <w:r>
        <w:rPr/>
        <w:t>元，发行总额为人民币</w:t>
      </w:r>
      <w:r>
        <w:rPr>
          <w:rFonts w:ascii="Times New Roman" w:hAnsi="Times New Roman" w:cs="Times New Roman" w:eastAsia="Times New Roman" w:hint="default"/>
        </w:rPr>
        <w:t>8</w:t>
      </w:r>
      <w:r>
        <w:rPr/>
        <w:t>亿元，期限为</w:t>
      </w:r>
      <w:r>
        <w:rPr>
          <w:rFonts w:ascii="Times New Roman" w:hAnsi="Times New Roman" w:cs="Times New Roman" w:eastAsia="Times New Roman" w:hint="default"/>
        </w:rPr>
        <w:t>5</w:t>
      </w:r>
      <w:r>
        <w:rPr/>
        <w:t>年期， </w:t>
      </w:r>
      <w:r>
        <w:rPr>
          <w:spacing w:val="-2"/>
        </w:rPr>
        <w:t>附第</w:t>
      </w:r>
      <w:r>
        <w:rPr>
          <w:rFonts w:ascii="Times New Roman" w:hAnsi="Times New Roman" w:cs="Times New Roman" w:eastAsia="Times New Roman" w:hint="default"/>
          <w:spacing w:val="-2"/>
        </w:rPr>
        <w:t>3</w:t>
      </w:r>
      <w:r>
        <w:rPr>
          <w:spacing w:val="-2"/>
        </w:rPr>
        <w:t>年末发行人上调票面利率选择权及投资者回售选择权。年利率为</w:t>
      </w:r>
      <w:r>
        <w:rPr>
          <w:rFonts w:ascii="Times New Roman" w:hAnsi="Times New Roman" w:cs="Times New Roman" w:eastAsia="Times New Roman" w:hint="default"/>
          <w:spacing w:val="-2"/>
        </w:rPr>
        <w:t>7.20%</w:t>
      </w:r>
      <w:r>
        <w:rPr>
          <w:spacing w:val="-2"/>
        </w:rPr>
        <w:t>，该债券按年付息到期一次还本。本报告期内，</w:t>
      </w:r>
    </w:p>
    <w:p>
      <w:pPr>
        <w:pStyle w:val="BodyText"/>
        <w:spacing w:line="233" w:lineRule="exact"/>
        <w:ind w:right="1033"/>
        <w:jc w:val="left"/>
      </w:pPr>
      <w:r>
        <w:rPr/>
        <w:t>公司按期偿付了相关利息。</w:t>
      </w:r>
    </w:p>
    <w:p>
      <w:pPr>
        <w:spacing w:after="0" w:line="233" w:lineRule="exact"/>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046" w:right="1033"/>
        <w:jc w:val="left"/>
        <w:rPr>
          <w:b w:val="0"/>
          <w:bCs w:val="0"/>
        </w:rPr>
      </w:pPr>
      <w:bookmarkStart w:name="第六节股份变动及股东情况" w:id="93"/>
      <w:bookmarkEnd w:id="93"/>
      <w:r>
        <w:rPr>
          <w:b w:val="0"/>
          <w:bCs w:val="0"/>
        </w:rPr>
      </w:r>
      <w:bookmarkStart w:name="_bookmark5" w:id="94"/>
      <w:bookmarkEnd w:id="94"/>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股份变动情况" w:id="95"/>
      <w:bookmarkEnd w:id="95"/>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6,000,000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6,000,000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6,000,000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1,005,000,</w:t>
            </w:r>
          </w:p>
          <w:p>
            <w:pPr>
              <w:pStyle w:val="TableParagraph"/>
              <w:spacing w:line="240" w:lineRule="auto" w:before="106"/>
              <w:ind w:left="532" w:right="0"/>
              <w:jc w:val="left"/>
              <w:rPr>
                <w:rFonts w:ascii="Times New Roman" w:hAnsi="Times New Roman" w:cs="Times New Roman" w:eastAsia="Times New Roman" w:hint="default"/>
                <w:sz w:val="18"/>
                <w:szCs w:val="18"/>
              </w:rPr>
            </w:pPr>
            <w:r>
              <w:rPr>
                <w:rFonts w:ascii="Times New Roman"/>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1,005,000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99.41%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1,005,000,</w:t>
            </w:r>
          </w:p>
          <w:p>
            <w:pPr>
              <w:pStyle w:val="TableParagraph"/>
              <w:spacing w:line="240" w:lineRule="auto" w:before="106"/>
              <w:ind w:left="532" w:right="0"/>
              <w:jc w:val="left"/>
              <w:rPr>
                <w:rFonts w:ascii="Times New Roman" w:hAnsi="Times New Roman" w:cs="Times New Roman" w:eastAsia="Times New Roman" w:hint="default"/>
                <w:sz w:val="18"/>
                <w:szCs w:val="18"/>
              </w:rPr>
            </w:pPr>
            <w:r>
              <w:rPr>
                <w:rFonts w:ascii="Times New Roman"/>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1,005,000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99.41%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1,005,000,</w:t>
            </w:r>
          </w:p>
          <w:p>
            <w:pPr>
              <w:pStyle w:val="TableParagraph"/>
              <w:spacing w:line="240" w:lineRule="auto" w:before="106"/>
              <w:ind w:left="532" w:right="0"/>
              <w:jc w:val="left"/>
              <w:rPr>
                <w:rFonts w:ascii="Times New Roman" w:hAnsi="Times New Roman" w:cs="Times New Roman" w:eastAsia="Times New Roman" w:hint="default"/>
                <w:sz w:val="18"/>
                <w:szCs w:val="18"/>
              </w:rPr>
            </w:pPr>
            <w:r>
              <w:rPr>
                <w:rFonts w:ascii="Times New Roman"/>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6,000,000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6,000,000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1,011,000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股份变动的原因</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报告期内公司依据限制性股票激励计划向林海舟、刘毅两位激励对象授予</w:t>
      </w:r>
      <w:r>
        <w:rPr>
          <w:rFonts w:ascii="Times New Roman" w:hAnsi="Times New Roman" w:cs="Times New Roman" w:eastAsia="Times New Roman" w:hint="default"/>
        </w:rPr>
        <w:t>600</w:t>
      </w:r>
      <w:r>
        <w:rPr/>
        <w:t>万股限制性股票，本次激励计划所涉标的股票 来源为公司定向增发的股票，授予日为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w:t>
      </w:r>
    </w:p>
    <w:p>
      <w:pPr>
        <w:pStyle w:val="BodyText"/>
        <w:spacing w:line="240" w:lineRule="auto" w:before="38"/>
        <w:ind w:left="154" w:right="1033"/>
        <w:jc w:val="left"/>
      </w:pPr>
      <w:r>
        <w:rPr/>
        <w:t>股份变动的批准情况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报告期内，公司推出限制性股票激励计划并向中国证监会申请备案。经中国证监会备案无异议后，公司于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日召 开</w:t>
      </w:r>
      <w:r>
        <w:rPr>
          <w:rFonts w:ascii="Times New Roman" w:hAnsi="Times New Roman" w:cs="Times New Roman" w:eastAsia="Times New Roman" w:hint="default"/>
        </w:rPr>
        <w:t>2014</w:t>
      </w:r>
      <w:r>
        <w:rPr/>
        <w:t>年第一次临时股东大会，审议批准该限制性股票激励计划。</w:t>
      </w:r>
    </w:p>
    <w:p>
      <w:pPr>
        <w:pStyle w:val="BodyText"/>
        <w:spacing w:line="240" w:lineRule="auto" w:before="38"/>
        <w:ind w:right="1033"/>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二、证券发行与上市情况" w:id="96"/>
      <w:bookmarkEnd w:id="9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报告期末近三年历次证券发行情况" w:id="97"/>
      <w:bookmarkEnd w:id="97"/>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800,000,000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1"/>
        <w:ind w:left="154" w:right="8232"/>
        <w:jc w:val="left"/>
      </w:pPr>
      <w:r>
        <w:rPr/>
        <w:t>前三年历次证券发行情况的说明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公司股份总数及股东结构的变动、公司资产和负债结构的变动情况说明" w:id="98"/>
      <w:bookmarkEnd w:id="9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报告期内公司依据限制性股票激励计划向两位激励对象授予</w:t>
      </w:r>
      <w:r>
        <w:rPr>
          <w:spacing w:val="-43"/>
        </w:rPr>
        <w:t> </w:t>
      </w:r>
      <w:r>
        <w:rPr>
          <w:rFonts w:ascii="Times New Roman" w:hAnsi="Times New Roman" w:cs="Times New Roman" w:eastAsia="Times New Roman" w:hint="default"/>
        </w:rPr>
        <w:t>600</w:t>
      </w:r>
      <w:r>
        <w:rPr>
          <w:rFonts w:ascii="Times New Roman" w:hAnsi="Times New Roman" w:cs="Times New Roman" w:eastAsia="Times New Roman" w:hint="default"/>
          <w:spacing w:val="-7"/>
        </w:rPr>
        <w:t> </w:t>
      </w:r>
      <w:r>
        <w:rPr>
          <w:spacing w:val="-3"/>
        </w:rPr>
        <w:t>万股限制性股票，本次激励计划所涉标的股票来源为公司定</w:t>
      </w:r>
      <w:r>
        <w:rPr/>
        <w:t> 向增发的股票。</w:t>
      </w:r>
    </w:p>
    <w:p>
      <w:pPr>
        <w:spacing w:line="240" w:lineRule="auto" w:before="3"/>
        <w:rPr>
          <w:rFonts w:ascii="宋体" w:hAnsi="宋体" w:cs="宋体" w:eastAsia="宋体" w:hint="default"/>
          <w:sz w:val="23"/>
          <w:szCs w:val="23"/>
        </w:rPr>
      </w:pPr>
    </w:p>
    <w:p>
      <w:pPr>
        <w:pStyle w:val="Heading4"/>
        <w:spacing w:line="240" w:lineRule="auto"/>
        <w:ind w:left="153" w:right="1033"/>
        <w:jc w:val="left"/>
        <w:rPr>
          <w:b w:val="0"/>
          <w:bCs w:val="0"/>
        </w:rPr>
      </w:pPr>
      <w:bookmarkStart w:name="3、现存的内部职工股情况" w:id="99"/>
      <w:bookmarkEnd w:id="9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1033"/>
        <w:jc w:val="left"/>
        <w:rPr>
          <w:b w:val="0"/>
          <w:bCs w:val="0"/>
        </w:rPr>
      </w:pPr>
      <w:bookmarkStart w:name="三、股东和实际控制人情况" w:id="100"/>
      <w:bookmarkEnd w:id="10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公司股东数量及持股情况" w:id="101"/>
      <w:bookmarkEnd w:id="10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673"/>
        <w:gridCol w:w="892"/>
        <w:gridCol w:w="951"/>
        <w:gridCol w:w="661"/>
        <w:gridCol w:w="473"/>
        <w:gridCol w:w="992"/>
        <w:gridCol w:w="152"/>
        <w:gridCol w:w="699"/>
        <w:gridCol w:w="873"/>
        <w:gridCol w:w="118"/>
        <w:gridCol w:w="426"/>
        <w:gridCol w:w="1063"/>
      </w:tblGrid>
      <w:tr>
        <w:trPr>
          <w:trHeight w:val="161" w:hRule="exact"/>
        </w:trPr>
        <w:tc>
          <w:tcPr>
            <w:tcW w:w="1595" w:type="dxa"/>
            <w:vMerge w:val="restart"/>
            <w:tcBorders>
              <w:top w:val="single" w:sz="4" w:space="0" w:color="000000"/>
              <w:left w:val="single" w:sz="4" w:space="0" w:color="000000"/>
              <w:right w:val="single" w:sz="4" w:space="0" w:color="000000"/>
            </w:tcBorders>
            <w:shd w:val="clear" w:color="auto" w:fill="D2D2D2"/>
          </w:tcPr>
          <w:p>
            <w:pPr/>
          </w:p>
        </w:tc>
        <w:tc>
          <w:tcPr>
            <w:tcW w:w="156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25,765</w:t>
            </w:r>
          </w:p>
        </w:tc>
        <w:tc>
          <w:tcPr>
            <w:tcW w:w="16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19,126</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vMerge/>
            <w:tcBorders>
              <w:left w:val="single" w:sz="4" w:space="0" w:color="000000"/>
              <w:bottom w:val="nil" w:sz="6" w:space="0" w:color="auto"/>
              <w:right w:val="single" w:sz="4" w:space="0" w:color="000000"/>
            </w:tcBorders>
            <w:shd w:val="clear" w:color="auto" w:fill="D2D2D2"/>
          </w:tcPr>
          <w:p>
            <w:pPr/>
          </w:p>
        </w:tc>
        <w:tc>
          <w:tcPr>
            <w:tcW w:w="1566" w:type="dxa"/>
            <w:gridSpan w:val="2"/>
            <w:vMerge/>
            <w:tcBorders>
              <w:left w:val="single" w:sz="9" w:space="0" w:color="D2D2D2"/>
              <w:right w:val="single" w:sz="9" w:space="0" w:color="D2D2D2"/>
            </w:tcBorders>
          </w:tcPr>
          <w:p>
            <w:pPr/>
          </w:p>
        </w:tc>
        <w:tc>
          <w:tcPr>
            <w:tcW w:w="16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53"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704" w:hRule="exact"/>
        </w:trPr>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66" w:type="dxa"/>
            <w:gridSpan w:val="2"/>
            <w:vMerge/>
            <w:tcBorders>
              <w:left w:val="single" w:sz="9" w:space="0" w:color="D2D2D2"/>
              <w:right w:val="single" w:sz="9" w:space="0" w:color="D2D2D2"/>
            </w:tcBorders>
          </w:tcPr>
          <w:p>
            <w:pPr/>
          </w:p>
        </w:tc>
        <w:tc>
          <w:tcPr>
            <w:tcW w:w="1612" w:type="dxa"/>
            <w:gridSpan w:val="2"/>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156" w:hRule="exact"/>
        </w:trPr>
        <w:tc>
          <w:tcPr>
            <w:tcW w:w="1595" w:type="dxa"/>
            <w:vMerge w:val="restart"/>
            <w:tcBorders>
              <w:top w:val="nil" w:sz="6" w:space="0" w:color="auto"/>
              <w:left w:val="single" w:sz="4" w:space="0" w:color="000000"/>
              <w:right w:val="single" w:sz="4" w:space="0" w:color="000000"/>
            </w:tcBorders>
            <w:shd w:val="clear" w:color="auto" w:fill="D2D2D2"/>
          </w:tcPr>
          <w:p>
            <w:pPr/>
          </w:p>
        </w:tc>
        <w:tc>
          <w:tcPr>
            <w:tcW w:w="1566" w:type="dxa"/>
            <w:gridSpan w:val="2"/>
            <w:vMerge/>
            <w:tcBorders>
              <w:left w:val="single" w:sz="9" w:space="0" w:color="D2D2D2"/>
              <w:right w:val="single" w:sz="9" w:space="0" w:color="D2D2D2"/>
            </w:tcBorders>
          </w:tcPr>
          <w:p>
            <w:pPr/>
          </w:p>
        </w:tc>
        <w:tc>
          <w:tcPr>
            <w:tcW w:w="1612" w:type="dxa"/>
            <w:gridSpan w:val="2"/>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16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66" w:type="dxa"/>
            <w:gridSpan w:val="2"/>
            <w:vMerge/>
            <w:tcBorders>
              <w:left w:val="single" w:sz="9" w:space="0" w:color="D2D2D2"/>
              <w:bottom w:val="single" w:sz="4" w:space="0" w:color="000000"/>
              <w:right w:val="single" w:sz="9" w:space="0" w:color="D2D2D2"/>
            </w:tcBorders>
          </w:tcPr>
          <w:p>
            <w:pPr/>
          </w:p>
        </w:tc>
        <w:tc>
          <w:tcPr>
            <w:tcW w:w="16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3"/>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2268" w:type="dxa"/>
            <w:gridSpan w:val="2"/>
            <w:vMerge w:val="restart"/>
            <w:tcBorders>
              <w:top w:val="single" w:sz="4" w:space="0" w:color="000000"/>
              <w:left w:val="single" w:sz="4" w:space="0" w:color="000000"/>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
        </w:tc>
        <w:tc>
          <w:tcPr>
            <w:tcW w:w="951"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60"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489" w:type="dxa"/>
            <w:gridSpan w:val="2"/>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7" w:right="2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
        </w:tc>
        <w:tc>
          <w:tcPr>
            <w:tcW w:w="951"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951"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608,300,000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-156200000</w:t>
            </w:r>
          </w:p>
        </w:tc>
        <w:tc>
          <w:tcPr>
            <w:tcW w:w="85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608,300,000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547,830,000</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华润深国投信托有限公司－ 泽熙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期单一资金信托计划</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50550000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50,550,000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境内自然</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4,771,361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4771361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4,771,361</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r>
        <w:rPr/>
        <w:pict>
          <v:group style="position:absolute;margin-left:212.899994pt;margin-top:312.049988pt;width:322.1pt;height:28pt;mso-position-horizontal-relative:page;mso-position-vertical-relative:page;z-index:-781432" coordorigin="4258,6241" coordsize="6442,560">
            <v:group style="position:absolute;left:4269;top:6252;width:2;height:393" coordorigin="4269,6252" coordsize="2,393">
              <v:shape style="position:absolute;left:4269;top:6252;width:2;height:393" coordorigin="4269,6252" coordsize="0,393" path="m4269,6252l4269,6645e" filled="false" stroked="true" strokeweight="1.140pt" strokecolor="#ffffff">
                <v:path arrowok="t"/>
              </v:shape>
            </v:group>
            <v:group style="position:absolute;left:4258;top:6645;width:6442;height:156" coordorigin="4258,6645" coordsize="6442,156">
              <v:shape style="position:absolute;left:4258;top:6645;width:6442;height:156" coordorigin="4258,6645" coordsize="6442,156" path="m4258,6801l10699,6801,10699,6645,4258,6645,4258,6801xe" filled="true" fillcolor="#ffffff" stroked="false">
                <v:path arrowok="t"/>
                <v:fill type="solid"/>
              </v:shape>
            </v:group>
            <v:group style="position:absolute;left:4281;top:6252;width:6396;height:393" coordorigin="4281,6252" coordsize="6396,393">
              <v:shape style="position:absolute;left:4281;top:6252;width:6396;height:393" coordorigin="4281,6252" coordsize="6396,393" path="m4281,6645l10676,6645,10676,6252,4281,6252,4281,664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268"/>
        <w:gridCol w:w="851"/>
        <w:gridCol w:w="283"/>
        <w:gridCol w:w="710"/>
        <w:gridCol w:w="1134"/>
        <w:gridCol w:w="992"/>
        <w:gridCol w:w="596"/>
        <w:gridCol w:w="255"/>
        <w:gridCol w:w="991"/>
        <w:gridCol w:w="122"/>
        <w:gridCol w:w="304"/>
        <w:gridCol w:w="1063"/>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长安基金－光大银行－长安 丰利</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号分级资产管理计划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2,290,251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2290251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2,290,251</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中国农业银行－长盛同德主 题增长股票型证券投资基金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1,988,676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1988676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1,988,676</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乜爱卫</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1,782,213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1782213</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1,782,213</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1,396,827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1396827</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1,396,827</w:t>
            </w:r>
          </w:p>
        </w:tc>
        <w:tc>
          <w:tcPr>
            <w:tcW w:w="42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283"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596" w:type="dxa"/>
            <w:tcBorders>
              <w:top w:val="single" w:sz="4" w:space="0" w:color="000000"/>
              <w:left w:val="nil" w:sz="6" w:space="0" w:color="auto"/>
              <w:bottom w:val="single" w:sz="4" w:space="0" w:color="000000"/>
              <w:right w:val="nil" w:sz="6" w:space="0" w:color="auto"/>
            </w:tcBorders>
          </w:tcPr>
          <w:p>
            <w:pPr/>
          </w:p>
        </w:tc>
        <w:tc>
          <w:tcPr>
            <w:tcW w:w="255" w:type="dxa"/>
            <w:tcBorders>
              <w:top w:val="single" w:sz="4" w:space="0" w:color="000000"/>
              <w:left w:val="nil" w:sz="6" w:space="0" w:color="auto"/>
              <w:bottom w:val="single" w:sz="4" w:space="0" w:color="000000"/>
              <w:right w:val="nil" w:sz="6" w:space="0" w:color="auto"/>
            </w:tcBorders>
          </w:tcPr>
          <w:p>
            <w:pPr/>
          </w:p>
        </w:tc>
        <w:tc>
          <w:tcPr>
            <w:tcW w:w="991" w:type="dxa"/>
            <w:tcBorders>
              <w:top w:val="single" w:sz="4" w:space="0" w:color="000000"/>
              <w:left w:val="nil" w:sz="6" w:space="0" w:color="auto"/>
              <w:bottom w:val="single" w:sz="4" w:space="0" w:color="000000"/>
              <w:right w:val="nil" w:sz="6" w:space="0" w:color="auto"/>
            </w:tcBorders>
          </w:tcPr>
          <w:p>
            <w:pPr/>
          </w:p>
        </w:tc>
        <w:tc>
          <w:tcPr>
            <w:tcW w:w="122" w:type="dxa"/>
            <w:tcBorders>
              <w:top w:val="single" w:sz="4" w:space="0" w:color="000000"/>
              <w:left w:val="nil" w:sz="6" w:space="0" w:color="auto"/>
              <w:bottom w:val="single" w:sz="4" w:space="0" w:color="000000"/>
              <w:right w:val="nil" w:sz="6" w:space="0" w:color="auto"/>
            </w:tcBorders>
          </w:tcPr>
          <w:p>
            <w:pPr/>
          </w:p>
        </w:tc>
        <w:tc>
          <w:tcPr>
            <w:tcW w:w="30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single" w:sz="4" w:space="0" w:color="000000"/>
            </w:tcBorders>
          </w:tcPr>
          <w:p>
            <w:pPr/>
          </w:p>
        </w:tc>
      </w:tr>
      <w:tr>
        <w:trPr>
          <w:trHeight w:val="473" w:hRule="exact"/>
        </w:trPr>
        <w:tc>
          <w:tcPr>
            <w:tcW w:w="31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51"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 </w:t>
            </w:r>
            <w:r>
              <w:rPr>
                <w:rFonts w:ascii="宋体" w:hAnsi="宋体" w:cs="宋体" w:eastAsia="宋体" w:hint="default"/>
                <w:spacing w:val="-3"/>
                <w:sz w:val="18"/>
                <w:szCs w:val="18"/>
              </w:rPr>
              <w:t>佳佳小姐系父女关系。除前述关联关系外，未知公司前十名主要股东之间是否存在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其他关联关系，也未知是否存在《上市公司收购管理办法》中规定的一致行动人的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情况。</w:t>
            </w:r>
          </w:p>
        </w:tc>
      </w:tr>
      <w:tr>
        <w:trPr>
          <w:trHeight w:val="392" w:hRule="exact"/>
        </w:trPr>
        <w:tc>
          <w:tcPr>
            <w:tcW w:w="31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1" w:type="dxa"/>
            <w:gridSpan w:val="10"/>
            <w:vMerge/>
            <w:tcBorders>
              <w:left w:val="single" w:sz="9" w:space="0" w:color="D2D2D2"/>
              <w:right w:val="single" w:sz="4" w:space="0" w:color="000000"/>
            </w:tcBorders>
          </w:tcPr>
          <w:p>
            <w:pPr/>
          </w:p>
        </w:tc>
      </w:tr>
      <w:tr>
        <w:trPr>
          <w:trHeight w:val="473" w:hRule="exact"/>
        </w:trPr>
        <w:tc>
          <w:tcPr>
            <w:tcW w:w="31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451" w:type="dxa"/>
            <w:gridSpan w:val="10"/>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40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43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40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43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402" w:type="dxa"/>
            <w:gridSpan w:val="3"/>
            <w:vMerge/>
            <w:tcBorders>
              <w:left w:val="single" w:sz="4" w:space="0" w:color="000000"/>
              <w:bottom w:val="nil" w:sz="6" w:space="0" w:color="auto"/>
              <w:right w:val="single" w:sz="4" w:space="0" w:color="000000"/>
            </w:tcBorders>
            <w:shd w:val="clear" w:color="auto" w:fill="D2D2D2"/>
          </w:tcPr>
          <w:p>
            <w:pPr/>
          </w:p>
        </w:tc>
        <w:tc>
          <w:tcPr>
            <w:tcW w:w="3432" w:type="dxa"/>
            <w:gridSpan w:val="4"/>
            <w:vMerge/>
            <w:tcBorders>
              <w:left w:val="single" w:sz="4" w:space="0" w:color="000000"/>
              <w:bottom w:val="nil" w:sz="6" w:space="0" w:color="auto"/>
              <w:right w:val="single" w:sz="4" w:space="0" w:color="000000"/>
            </w:tcBorders>
            <w:shd w:val="clear" w:color="auto" w:fill="D2D2D2"/>
          </w:tcPr>
          <w:p>
            <w:pPr/>
          </w:p>
        </w:tc>
        <w:tc>
          <w:tcPr>
            <w:tcW w:w="13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40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43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3"/>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608,300,000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608,300,000</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90,000,000</w:t>
            </w:r>
          </w:p>
        </w:tc>
      </w:tr>
      <w:tr>
        <w:trPr>
          <w:trHeight w:val="714"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华润深国投信托有限公司－泽熙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 资金信托计划</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50,550,000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50,550,000</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4,771,361</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4,771,361</w:t>
            </w:r>
          </w:p>
        </w:tc>
      </w:tr>
      <w:tr>
        <w:trPr>
          <w:trHeight w:val="714"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长安基金－光大银行－长安丰利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 资产管理计划</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2,290,251</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2,290,251</w:t>
            </w:r>
          </w:p>
        </w:tc>
      </w:tr>
      <w:tr>
        <w:trPr>
          <w:trHeight w:val="714"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中国农业银行－长盛同德主题增长股票型 证券投资基金</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1,988,676</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1,988,676</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乜爱卫</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1,782,213</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1,782,213</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1,396,827</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1,396,827</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杨培菊</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1,230,930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1,230,930</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马邦洲</w:t>
            </w:r>
          </w:p>
        </w:tc>
        <w:tc>
          <w:tcPr>
            <w:tcW w:w="3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1,212,300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1,212,300</w:t>
            </w:r>
          </w:p>
        </w:tc>
      </w:tr>
      <w:tr>
        <w:trPr>
          <w:trHeight w:val="1026"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302"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6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 </w:t>
            </w:r>
            <w:r>
              <w:rPr>
                <w:rFonts w:ascii="宋体" w:hAnsi="宋体" w:cs="宋体" w:eastAsia="宋体" w:hint="default"/>
                <w:spacing w:val="-1"/>
                <w:sz w:val="18"/>
                <w:szCs w:val="18"/>
              </w:rPr>
              <w:t>东胡佳佳小姐系父女关系。除前述关联关系外，未知公司前十名主要股东之间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是否存在其他关联关系，也未知是否存在《上市公司收购管理办法》中规定的</w:t>
            </w:r>
          </w:p>
        </w:tc>
      </w:tr>
    </w:tbl>
    <w:p>
      <w:pPr>
        <w:spacing w:after="0" w:line="316"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402"/>
        <w:gridCol w:w="6168"/>
      </w:tblGrid>
      <w:tr>
        <w:trPr>
          <w:trHeight w:val="36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一致行动人的情况。</w:t>
            </w:r>
          </w:p>
        </w:tc>
      </w:tr>
      <w:tr>
        <w:trPr>
          <w:trHeight w:val="37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6"/>
              <w:ind w:left="22" w:right="3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名普通股股东参与融资融券业务股东 </w:t>
            </w:r>
            <w:r>
              <w:rPr>
                <w:rFonts w:ascii="宋体" w:hAnsi="宋体" w:cs="宋体" w:eastAsia="宋体" w:hint="default"/>
                <w:spacing w:val="-8"/>
                <w:sz w:val="18"/>
                <w:szCs w:val="18"/>
              </w:rPr>
              <w:t>情况说明（如有）（参见注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、股东孙红丽通过信用账户持股数量为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4771361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股，期初通过信用账户持股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、股东乜爱卫通过信用账户持股数量为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1729100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股，期初通过信用账户持股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、股东张建生通过信用账户持股数量为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1378602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股，期初通过信用账户持股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、股东杨培菊通过信用账户持股数量为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股，期初通过信用账户持股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、股东马邦洲通过信用账户持股数量为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股，期初通过信用账户持股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公司控股股东情况" w:id="102"/>
      <w:bookmarkEnd w:id="10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66604978-3</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Times New Roman" w:hAnsi="Times New Roman" w:cs="Times New Roman" w:eastAsia="Times New Roman" w:hint="default"/>
                <w:sz w:val="18"/>
                <w:szCs w:val="18"/>
              </w:rPr>
              <w:t>335,285,714 </w:t>
            </w:r>
            <w:r>
              <w:rPr>
                <w:rFonts w:ascii="宋体" w:hAnsi="宋体" w:cs="宋体" w:eastAsia="宋体" w:hint="default"/>
                <w:sz w:val="18"/>
                <w:szCs w:val="18"/>
              </w:rPr>
              <w:t>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继续开展实业投资和金融投资，同时全力推动美邦服饰战略发展和产业链整合，为其业务开展进行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相关的投资。</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日，华服投资总资产 </w:t>
            </w:r>
            <w:r>
              <w:rPr>
                <w:rFonts w:ascii="Times New Roman" w:hAnsi="Times New Roman" w:cs="Times New Roman" w:eastAsia="Times New Roman" w:hint="default"/>
                <w:sz w:val="18"/>
                <w:szCs w:val="18"/>
              </w:rPr>
              <w:t>514821.53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万元，净资产 </w:t>
            </w:r>
            <w:r>
              <w:rPr>
                <w:rFonts w:ascii="Times New Roman" w:hAnsi="Times New Roman" w:cs="Times New Roman" w:eastAsia="Times New Roman" w:hint="default"/>
                <w:sz w:val="18"/>
                <w:szCs w:val="18"/>
              </w:rPr>
              <w:t>271765.88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53571.85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pStyle w:val="BodyText"/>
        <w:spacing w:line="240" w:lineRule="auto" w:before="51"/>
        <w:ind w:left="154" w:right="103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公司实际控制人情况" w:id="103"/>
      <w:bookmarkEnd w:id="10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上海美特斯邦威服饰股份有限公司董事长、总裁</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033"/>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3915" w:lineRule="exact"/>
        <w:ind w:left="135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1050" cy="24860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5" cstate="print"/>
                    <a:stretch>
                      <a:fillRect/>
                    </a:stretch>
                  </pic:blipFill>
                  <pic:spPr>
                    <a:xfrm>
                      <a:off x="0" y="0"/>
                      <a:ext cx="4591050"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4"/>
        <w:rPr>
          <w:rFonts w:ascii="宋体" w:hAnsi="宋体" w:cs="宋体" w:eastAsia="宋体" w:hint="default"/>
          <w:sz w:val="18"/>
          <w:szCs w:val="18"/>
        </w:rPr>
      </w:pPr>
    </w:p>
    <w:p>
      <w:pPr>
        <w:spacing w:before="0"/>
        <w:ind w:left="153" w:right="10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4、其他持股在10%以上的法人股东" w:id="104"/>
      <w:bookmarkEnd w:id="10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四、公司股东及其一致行动人在报告期提出或实施股份增持计划的情况" w:id="105"/>
      <w:bookmarkEnd w:id="105"/>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366" w:right="1033"/>
        <w:jc w:val="left"/>
        <w:rPr>
          <w:b w:val="0"/>
          <w:bCs w:val="0"/>
        </w:rPr>
      </w:pPr>
      <w:bookmarkStart w:name="第七节优先股相关情况" w:id="106"/>
      <w:bookmarkEnd w:id="106"/>
      <w:r>
        <w:rPr>
          <w:b w:val="0"/>
          <w:bCs w:val="0"/>
        </w:rPr>
      </w:r>
      <w:bookmarkStart w:name="_bookmark6" w:id="107"/>
      <w:bookmarkEnd w:id="10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51" w:footer="979" w:top="132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left="1761" w:right="1033"/>
        <w:jc w:val="left"/>
        <w:rPr>
          <w:b w:val="0"/>
          <w:bCs w:val="0"/>
        </w:rPr>
      </w:pPr>
      <w:bookmarkStart w:name="第八节董事、监事、高级管理人员和员工情况" w:id="108"/>
      <w:bookmarkEnd w:id="108"/>
      <w:r>
        <w:rPr>
          <w:b w:val="0"/>
          <w:bCs w:val="0"/>
        </w:rPr>
      </w:r>
      <w:bookmarkStart w:name="_bookmark7" w:id="109"/>
      <w:bookmarkEnd w:id="109"/>
      <w:r>
        <w:rPr>
          <w:b w:val="0"/>
          <w:bCs w:val="0"/>
        </w:rPr>
      </w:r>
      <w:r>
        <w:rPr/>
        <w:t>第八节董事、监事、高级管理人员和员工情况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4" w:right="1033"/>
        <w:jc w:val="left"/>
        <w:rPr>
          <w:b w:val="0"/>
          <w:bCs w:val="0"/>
        </w:rPr>
      </w:pPr>
      <w:bookmarkStart w:name="一、董事、监事和高级管理人员持股变动" w:id="110"/>
      <w:bookmarkEnd w:id="11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830"/>
        <w:gridCol w:w="850"/>
        <w:gridCol w:w="426"/>
        <w:gridCol w:w="374"/>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年 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董事会秘书、财务总监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归梅萍</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原任首席人力资源官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叶伟斌</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原任监事长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二、任职情况" w:id="111"/>
      <w:bookmarkEnd w:id="111"/>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851" w:footer="979" w:top="1320" w:bottom="1160" w:left="980" w:right="0"/>
        </w:sectPr>
      </w:pPr>
    </w:p>
    <w:p>
      <w:pPr>
        <w:pStyle w:val="BodyText"/>
        <w:spacing w:line="309" w:lineRule="auto" w:before="114"/>
        <w:ind w:right="1131" w:firstLine="436"/>
        <w:jc w:val="both"/>
      </w:pPr>
      <w:r>
        <w:rPr/>
        <w:t>周成建，男，</w:t>
      </w:r>
      <w:r>
        <w:rPr>
          <w:rFonts w:ascii="Times New Roman" w:hAnsi="Times New Roman" w:cs="Times New Roman" w:eastAsia="Times New Roman" w:hint="default"/>
        </w:rPr>
        <w:t>50</w:t>
      </w:r>
      <w:r>
        <w:rPr/>
        <w:t>岁，中国国籍，浙江大学</w:t>
      </w:r>
      <w:r>
        <w:rPr>
          <w:rFonts w:ascii="Times New Roman" w:hAnsi="Times New Roman" w:cs="Times New Roman" w:eastAsia="Times New Roman" w:hint="default"/>
        </w:rPr>
        <w:t>EMBA</w:t>
      </w:r>
      <w:r>
        <w:rPr/>
        <w:t>，全国政协委员、上海市人大代表、上海市浙江商会会长、中国服装 </w:t>
      </w:r>
      <w:r>
        <w:rPr>
          <w:spacing w:val="-1"/>
        </w:rPr>
        <w:t>协会副会长。于</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5</w:t>
      </w:r>
      <w:r>
        <w:rPr>
          <w:spacing w:val="-1"/>
        </w:rPr>
        <w:t>月开始个体经商，</w:t>
      </w:r>
      <w:r>
        <w:rPr>
          <w:rFonts w:ascii="Times New Roman" w:hAnsi="Times New Roman" w:cs="Times New Roman" w:eastAsia="Times New Roman" w:hint="default"/>
          <w:spacing w:val="-1"/>
        </w:rPr>
        <w:t>1995</w:t>
      </w:r>
      <w:r>
        <w:rPr>
          <w:spacing w:val="-1"/>
        </w:rPr>
        <w:t>年在温州开设第一家美特斯</w:t>
      </w:r>
      <w:r>
        <w:rPr>
          <w:rFonts w:ascii="Times New Roman" w:hAnsi="Times New Roman" w:cs="Times New Roman" w:eastAsia="Times New Roman" w:hint="default"/>
          <w:spacing w:val="-1"/>
        </w:rPr>
        <w:t>·</w:t>
      </w:r>
      <w:r>
        <w:rPr>
          <w:spacing w:val="-1"/>
        </w:rPr>
        <w:t>邦威专卖店，实行品牌连锁经营；曾任温州市凯</w:t>
      </w:r>
      <w:r>
        <w:rPr>
          <w:spacing w:val="-88"/>
        </w:rPr>
        <w:t> </w:t>
      </w:r>
      <w:r>
        <w:rPr>
          <w:spacing w:val="-88"/>
        </w:rPr>
      </w:r>
      <w:r>
        <w:rPr>
          <w:spacing w:val="-2"/>
        </w:rPr>
        <w:t>莉莎服装厂总经理、温州市美特斯制衣有限公司董事长、温州美特斯邦威有限公司董事长、美特斯邦威集团有限公司董事长</w:t>
      </w:r>
      <w:r>
        <w:rPr>
          <w:spacing w:val="-66"/>
        </w:rPr>
        <w:t> </w:t>
      </w:r>
      <w:r>
        <w:rPr>
          <w:spacing w:val="-66"/>
        </w:rPr>
      </w:r>
      <w:r>
        <w:rPr>
          <w:spacing w:val="-2"/>
        </w:rPr>
        <w:t>兼总裁，本公司第一、二届董事会董事长。周成建先生为本公司的控股股东上海华服投资有限公司的实际控制人、本公司的</w:t>
      </w:r>
      <w:r>
        <w:rPr>
          <w:spacing w:val="-66"/>
        </w:rPr>
        <w:t> </w:t>
      </w:r>
      <w:r>
        <w:rPr>
          <w:spacing w:val="-66"/>
        </w:rPr>
      </w:r>
      <w:r>
        <w:rPr/>
        <w:t>实际控制人。</w:t>
      </w:r>
    </w:p>
    <w:p>
      <w:pPr>
        <w:pStyle w:val="BodyText"/>
        <w:spacing w:line="300" w:lineRule="auto" w:before="24"/>
        <w:ind w:left="154" w:right="1131" w:firstLine="436"/>
        <w:jc w:val="both"/>
      </w:pPr>
      <w:r>
        <w:rPr/>
        <w:t>周文武，男，</w:t>
      </w:r>
      <w:r>
        <w:rPr>
          <w:rFonts w:ascii="Times New Roman" w:hAnsi="Times New Roman" w:cs="Times New Roman" w:eastAsia="Times New Roman" w:hint="default"/>
        </w:rPr>
        <w:t>38</w:t>
      </w:r>
      <w:r>
        <w:rPr/>
        <w:t>岁，中国国籍，大专学历，历任美邦企发公司中山生产办事处负责人、</w:t>
      </w:r>
      <w:r>
        <w:rPr>
          <w:rFonts w:ascii="Times New Roman" w:hAnsi="Times New Roman" w:cs="Times New Roman" w:eastAsia="Times New Roman" w:hint="default"/>
        </w:rPr>
        <w:t>Meters/bonwe</w:t>
      </w:r>
      <w:r>
        <w:rPr/>
        <w:t>品牌事业部副总 裁、供应链管理中心总监，本公司第一、二届董事会董事。周文武先生与系本公司实际控制人周成建先生的侄子。</w:t>
      </w:r>
    </w:p>
    <w:p>
      <w:pPr>
        <w:pStyle w:val="BodyText"/>
        <w:spacing w:line="300" w:lineRule="auto" w:before="31"/>
        <w:ind w:left="154" w:right="1130" w:firstLine="436"/>
        <w:jc w:val="both"/>
      </w:pPr>
      <w:r>
        <w:rPr/>
        <w:t>尹剑侠，男，</w:t>
      </w:r>
      <w:r>
        <w:rPr>
          <w:rFonts w:ascii="Times New Roman" w:hAnsi="Times New Roman" w:cs="Times New Roman" w:eastAsia="Times New Roman" w:hint="default"/>
        </w:rPr>
        <w:t>40</w:t>
      </w:r>
      <w:r>
        <w:rPr/>
        <w:t>岁，中国国籍，</w:t>
      </w:r>
      <w:r>
        <w:rPr>
          <w:rFonts w:ascii="Times New Roman" w:hAnsi="Times New Roman" w:cs="Times New Roman" w:eastAsia="Times New Roman" w:hint="default"/>
        </w:rPr>
        <w:t>1997</w:t>
      </w:r>
      <w:r>
        <w:rPr/>
        <w:t>年毕业于北京服装学院服装艺术设计专业，中欧国际工商学院</w:t>
      </w:r>
      <w:r>
        <w:rPr>
          <w:rFonts w:ascii="Times New Roman" w:hAnsi="Times New Roman" w:cs="Times New Roman" w:eastAsia="Times New Roman" w:hint="default"/>
        </w:rPr>
        <w:t>EMBA</w:t>
      </w:r>
      <w:r>
        <w:rPr/>
        <w:t>。历任温州</w:t>
      </w:r>
      <w:r>
        <w:rPr>
          <w:spacing w:val="1"/>
        </w:rPr>
        <w:t> </w:t>
      </w:r>
      <w:r>
        <w:rPr>
          <w:spacing w:val="-1"/>
        </w:rPr>
        <w:t>集团公司设计中心副主任、美特斯邦威品牌产品副总设计师、都市品类设计总监兼店铺形象设计顾问、副总裁、</w:t>
      </w:r>
      <w:r>
        <w:rPr>
          <w:rFonts w:ascii="Times New Roman" w:hAnsi="Times New Roman" w:cs="Times New Roman" w:eastAsia="Times New Roman" w:hint="default"/>
          <w:spacing w:val="-1"/>
        </w:rPr>
        <w:t>ME&amp;CITY</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品牌事业部副总裁、本公司第一届监事会监事。</w:t>
      </w:r>
    </w:p>
    <w:p>
      <w:pPr>
        <w:pStyle w:val="BodyText"/>
        <w:spacing w:line="300" w:lineRule="auto" w:before="31"/>
        <w:ind w:right="1133" w:firstLine="436"/>
        <w:jc w:val="both"/>
      </w:pPr>
      <w:r>
        <w:rPr/>
        <w:t>郁亮，男，</w:t>
      </w:r>
      <w:r>
        <w:rPr>
          <w:rFonts w:ascii="Times New Roman" w:hAnsi="Times New Roman" w:cs="Times New Roman" w:eastAsia="Times New Roman" w:hint="default"/>
        </w:rPr>
        <w:t>50</w:t>
      </w:r>
      <w:r>
        <w:rPr/>
        <w:t>岁，中国国籍，北京大学硕士。曾在深圳外贸集团工作，</w:t>
      </w:r>
      <w:r>
        <w:rPr>
          <w:rFonts w:ascii="Times New Roman" w:hAnsi="Times New Roman" w:cs="Times New Roman" w:eastAsia="Times New Roman" w:hint="default"/>
        </w:rPr>
        <w:t>1990</w:t>
      </w:r>
      <w:r>
        <w:rPr/>
        <w:t>年加入万科企业股份有限公司；</w:t>
      </w:r>
      <w:r>
        <w:rPr>
          <w:rFonts w:ascii="Times New Roman" w:hAnsi="Times New Roman" w:cs="Times New Roman" w:eastAsia="Times New Roman" w:hint="default"/>
        </w:rPr>
        <w:t>1993</w:t>
      </w:r>
      <w:r>
        <w:rPr/>
        <w:t>年任 深圳市万科财务顾问有限公司总经理，</w:t>
      </w:r>
      <w:r>
        <w:rPr>
          <w:rFonts w:ascii="Times New Roman" w:hAnsi="Times New Roman" w:cs="Times New Roman" w:eastAsia="Times New Roman" w:hint="default"/>
        </w:rPr>
        <w:t>2001</w:t>
      </w:r>
      <w:r>
        <w:rPr/>
        <w:t>年任万科企业股份有限公司总经理至今。</w:t>
      </w:r>
    </w:p>
    <w:p>
      <w:pPr>
        <w:pStyle w:val="BodyText"/>
        <w:spacing w:line="312" w:lineRule="auto" w:before="13"/>
        <w:ind w:left="154" w:right="1131" w:firstLine="436"/>
        <w:jc w:val="both"/>
      </w:pPr>
      <w:r>
        <w:rPr/>
        <w:t>单喆慜，女，</w:t>
      </w:r>
      <w:r>
        <w:rPr>
          <w:rFonts w:ascii="Times New Roman" w:hAnsi="Times New Roman" w:cs="Times New Roman" w:eastAsia="Times New Roman" w:hint="default"/>
        </w:rPr>
        <w:t>43</w:t>
      </w:r>
      <w:r>
        <w:rPr/>
        <w:t>岁，中国国籍，上海市政协委员，上海财经大学管理学博士、中国注册会计师、美国证券分析师。先 </w:t>
      </w:r>
      <w:r>
        <w:rPr>
          <w:spacing w:val="-2"/>
        </w:rPr>
        <w:t>后就职于香港城市大学会计学系任研究员、上海财经大学会计学院副教授、申银万国证券公司证券投资总部高级投资经理及</w:t>
      </w:r>
      <w:r>
        <w:rPr>
          <w:spacing w:val="-64"/>
        </w:rPr>
        <w:t> </w:t>
      </w:r>
      <w:r>
        <w:rPr>
          <w:spacing w:val="-64"/>
        </w:rPr>
      </w:r>
      <w:r>
        <w:rPr>
          <w:spacing w:val="-2"/>
        </w:rPr>
        <w:t>投资银行总部内核专家。现任上海国家会计学院副教授，金融研究所所长，教研部副主任，同时担任清华大学五道口金融学</w:t>
      </w:r>
      <w:r>
        <w:rPr>
          <w:spacing w:val="-66"/>
        </w:rPr>
        <w:t> </w:t>
      </w:r>
      <w:r>
        <w:rPr>
          <w:spacing w:val="-66"/>
        </w:rPr>
      </w:r>
      <w:r>
        <w:rPr/>
        <w:t>院、清华大学经管学院，上海高级金融学院（</w:t>
      </w:r>
      <w:r>
        <w:rPr>
          <w:rFonts w:ascii="Times New Roman" w:hAnsi="Times New Roman" w:cs="Times New Roman" w:eastAsia="Times New Roman" w:hint="default"/>
        </w:rPr>
        <w:t>SAIF</w:t>
      </w:r>
      <w:r>
        <w:rPr/>
        <w:t>）、四川大学管理学院等知名高校</w:t>
      </w:r>
      <w:r>
        <w:rPr>
          <w:rFonts w:ascii="Times New Roman" w:hAnsi="Times New Roman" w:cs="Times New Roman" w:eastAsia="Times New Roman" w:hint="default"/>
        </w:rPr>
        <w:t>EMBA</w:t>
      </w:r>
      <w:r>
        <w:rPr/>
        <w:t>客座教授。</w:t>
      </w:r>
    </w:p>
    <w:p>
      <w:pPr>
        <w:pStyle w:val="BodyText"/>
        <w:spacing w:line="300" w:lineRule="auto" w:before="3"/>
        <w:ind w:right="1043" w:firstLine="436"/>
        <w:jc w:val="both"/>
      </w:pPr>
      <w:r>
        <w:rPr/>
        <w:t>徐斌，男，</w:t>
      </w:r>
      <w:r>
        <w:rPr>
          <w:rFonts w:ascii="Times New Roman" w:hAnsi="Times New Roman" w:cs="Times New Roman" w:eastAsia="Times New Roman" w:hint="default"/>
        </w:rPr>
        <w:t>36</w:t>
      </w:r>
      <w:r>
        <w:rPr/>
        <w:t>岁，中国国籍，中国科技大学工商管理硕士，</w:t>
      </w:r>
      <w:r>
        <w:rPr>
          <w:rFonts w:ascii="Times New Roman" w:hAnsi="Times New Roman" w:cs="Times New Roman" w:eastAsia="Times New Roman" w:hint="default"/>
        </w:rPr>
        <w:t>2003</w:t>
      </w:r>
      <w:r>
        <w:rPr/>
        <w:t>年加入本公司，曾任本公司证券事务代表。近</w:t>
      </w:r>
      <w:r>
        <w:rPr>
          <w:rFonts w:ascii="Times New Roman" w:hAnsi="Times New Roman" w:cs="Times New Roman" w:eastAsia="Times New Roman" w:hint="default"/>
        </w:rPr>
        <w:t>5</w:t>
      </w:r>
      <w:r>
        <w:rPr/>
        <w:t>年内， 徐斌先生未在其它机构担任董事、监事及高级管理人员。</w:t>
      </w:r>
    </w:p>
    <w:p>
      <w:pPr>
        <w:pStyle w:val="BodyText"/>
        <w:spacing w:line="300" w:lineRule="auto" w:before="31"/>
        <w:ind w:right="1132" w:firstLine="436"/>
        <w:jc w:val="both"/>
      </w:pPr>
      <w:r>
        <w:rPr>
          <w:spacing w:val="-2"/>
        </w:rPr>
        <w:t>张利，女，</w:t>
      </w:r>
      <w:r>
        <w:rPr>
          <w:rFonts w:ascii="Times New Roman" w:hAnsi="Times New Roman" w:cs="Times New Roman" w:eastAsia="Times New Roman" w:hint="default"/>
          <w:spacing w:val="-2"/>
        </w:rPr>
        <w:t>49</w:t>
      </w:r>
      <w:r>
        <w:rPr>
          <w:spacing w:val="-2"/>
        </w:rPr>
        <w:t>岁，中国国籍，黑龙江商学院本科毕业，</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w:t>
      </w:r>
      <w:r>
        <w:rPr>
          <w:spacing w:val="-2"/>
        </w:rPr>
        <w:t>月加入美特斯邦威服饰股份有限公司，曾任财务管理中</w:t>
      </w:r>
      <w:r>
        <w:rPr/>
        <w:t> 心副总监。近</w:t>
      </w:r>
      <w:r>
        <w:rPr>
          <w:rFonts w:ascii="Times New Roman" w:hAnsi="Times New Roman" w:cs="Times New Roman" w:eastAsia="Times New Roman" w:hint="default"/>
        </w:rPr>
        <w:t>5</w:t>
      </w:r>
      <w:r>
        <w:rPr/>
        <w:t>年内，张利女士未在其它机构担任董事、监事及高级管理人员。</w:t>
      </w:r>
    </w:p>
    <w:p>
      <w:pPr>
        <w:pStyle w:val="BodyText"/>
        <w:spacing w:line="316" w:lineRule="auto" w:before="13"/>
        <w:ind w:left="154" w:right="1130" w:firstLine="436"/>
        <w:jc w:val="both"/>
      </w:pPr>
      <w:r>
        <w:rPr>
          <w:spacing w:val="-2"/>
        </w:rPr>
        <w:t>朱骏，男，</w:t>
      </w:r>
      <w:r>
        <w:rPr>
          <w:rFonts w:ascii="宋体" w:hAnsi="宋体" w:cs="宋体" w:eastAsia="宋体" w:hint="default"/>
          <w:spacing w:val="-2"/>
        </w:rPr>
        <w:t>37</w:t>
      </w:r>
      <w:r>
        <w:rPr>
          <w:spacing w:val="-2"/>
        </w:rPr>
        <w:t>岁，中国国籍，硕士学历，</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月加入本公司，历任财务部会计、培训与绩效管理部副总经理，现任</w:t>
      </w:r>
      <w:r>
        <w:rPr/>
        <w:t> 资金管理部总经理。</w:t>
      </w:r>
    </w:p>
    <w:p>
      <w:pPr>
        <w:pStyle w:val="BodyText"/>
        <w:spacing w:line="316" w:lineRule="auto" w:before="19"/>
        <w:ind w:right="1132" w:firstLine="436"/>
        <w:jc w:val="both"/>
      </w:pPr>
      <w:r>
        <w:rPr>
          <w:spacing w:val="-2"/>
        </w:rPr>
        <w:t>林海舟，男，</w:t>
      </w:r>
      <w:r>
        <w:rPr>
          <w:rFonts w:ascii="宋体" w:hAnsi="宋体" w:cs="宋体" w:eastAsia="宋体" w:hint="default"/>
          <w:spacing w:val="-2"/>
        </w:rPr>
        <w:t>48</w:t>
      </w:r>
      <w:r>
        <w:rPr>
          <w:spacing w:val="-2"/>
        </w:rPr>
        <w:t>岁，中国国籍。曾任宝洁天津公司总经理、宝洁大中华区物流及跨国供应链总经理。</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月加入本</w:t>
      </w:r>
      <w:r>
        <w:rPr/>
        <w:t> 公司，现任公司副总裁。</w:t>
      </w:r>
    </w:p>
    <w:p>
      <w:pPr>
        <w:pStyle w:val="BodyText"/>
        <w:spacing w:line="300" w:lineRule="auto" w:before="19"/>
        <w:ind w:right="1129" w:firstLine="436"/>
        <w:jc w:val="both"/>
      </w:pPr>
      <w:r>
        <w:rPr>
          <w:spacing w:val="-2"/>
        </w:rPr>
        <w:t>刘毅，男，</w:t>
      </w:r>
      <w:r>
        <w:rPr>
          <w:rFonts w:ascii="Times New Roman" w:hAnsi="Times New Roman" w:cs="Times New Roman" w:eastAsia="Times New Roman" w:hint="default"/>
          <w:spacing w:val="-2"/>
        </w:rPr>
        <w:t>40</w:t>
      </w:r>
      <w:r>
        <w:rPr>
          <w:spacing w:val="-2"/>
        </w:rPr>
        <w:t>岁，中国国籍，</w:t>
      </w:r>
      <w:r>
        <w:rPr>
          <w:rFonts w:ascii="Times New Roman" w:hAnsi="Times New Roman" w:cs="Times New Roman" w:eastAsia="Times New Roman" w:hint="default"/>
          <w:spacing w:val="-2"/>
        </w:rPr>
        <w:t>1998</w:t>
      </w:r>
      <w:r>
        <w:rPr>
          <w:spacing w:val="-2"/>
        </w:rPr>
        <w:t>年毕业于上海交通大学。长期供职于宝洁公司，负责零售管理的相关工作。</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rPr>
        <w:t> </w:t>
      </w:r>
      <w:r>
        <w:rPr/>
        <w:t>月加入本公司，现任公司副总裁。</w:t>
      </w:r>
    </w:p>
    <w:p>
      <w:pPr>
        <w:pStyle w:val="BodyText"/>
        <w:spacing w:line="316" w:lineRule="auto" w:before="31"/>
        <w:ind w:right="1132" w:firstLine="436"/>
        <w:jc w:val="both"/>
      </w:pPr>
      <w:r>
        <w:rPr>
          <w:spacing w:val="-2"/>
        </w:rPr>
        <w:t>涂珂，男，</w:t>
      </w:r>
      <w:r>
        <w:rPr>
          <w:rFonts w:ascii="宋体" w:hAnsi="宋体" w:cs="宋体" w:eastAsia="宋体" w:hint="default"/>
          <w:spacing w:val="-2"/>
        </w:rPr>
        <w:t>40</w:t>
      </w:r>
      <w:r>
        <w:rPr>
          <w:spacing w:val="-2"/>
        </w:rPr>
        <w:t>岁，中国国籍，</w:t>
      </w:r>
      <w:r>
        <w:rPr>
          <w:rFonts w:ascii="宋体" w:hAnsi="宋体" w:cs="宋体" w:eastAsia="宋体" w:hint="default"/>
          <w:spacing w:val="-2"/>
        </w:rPr>
        <w:t>1998</w:t>
      </w:r>
      <w:r>
        <w:rPr>
          <w:spacing w:val="-2"/>
        </w:rPr>
        <w:t>年毕业于西南财经大学，</w:t>
      </w:r>
      <w:r>
        <w:rPr>
          <w:rFonts w:ascii="宋体" w:hAnsi="宋体" w:cs="宋体" w:eastAsia="宋体" w:hint="default"/>
          <w:spacing w:val="-2"/>
        </w:rPr>
        <w:t>1998</w:t>
      </w:r>
      <w:r>
        <w:rPr>
          <w:spacing w:val="-2"/>
        </w:rPr>
        <w:t>年至</w:t>
      </w:r>
      <w:r>
        <w:rPr>
          <w:rFonts w:ascii="宋体" w:hAnsi="宋体" w:cs="宋体" w:eastAsia="宋体" w:hint="default"/>
          <w:spacing w:val="-2"/>
        </w:rPr>
        <w:t>2007</w:t>
      </w:r>
      <w:r>
        <w:rPr>
          <w:spacing w:val="-2"/>
        </w:rPr>
        <w:t>年任职于中国光大银行，</w:t>
      </w:r>
      <w:r>
        <w:rPr>
          <w:rFonts w:ascii="宋体" w:hAnsi="宋体" w:cs="宋体" w:eastAsia="宋体" w:hint="default"/>
          <w:spacing w:val="-2"/>
        </w:rPr>
        <w:t>2007</w:t>
      </w:r>
      <w:r>
        <w:rPr>
          <w:spacing w:val="-2"/>
        </w:rPr>
        <w:t>年</w:t>
      </w:r>
      <w:r>
        <w:rPr>
          <w:rFonts w:ascii="宋体" w:hAnsi="宋体" w:cs="宋体" w:eastAsia="宋体" w:hint="default"/>
          <w:spacing w:val="-2"/>
        </w:rPr>
        <w:t>5</w:t>
      </w:r>
      <w:r>
        <w:rPr>
          <w:spacing w:val="-2"/>
        </w:rPr>
        <w:t>月加入本公</w:t>
      </w:r>
      <w:r>
        <w:rPr/>
        <w:t> 司，曾任本公司监事长。</w:t>
      </w:r>
    </w:p>
    <w:p>
      <w:pPr>
        <w:spacing w:line="240" w:lineRule="auto" w:before="0"/>
        <w:rPr>
          <w:rFonts w:ascii="宋体" w:hAnsi="宋体" w:cs="宋体" w:eastAsia="宋体" w:hint="default"/>
          <w:sz w:val="18"/>
          <w:szCs w:val="18"/>
        </w:rPr>
      </w:pPr>
    </w:p>
    <w:p>
      <w:pPr>
        <w:pStyle w:val="BodyText"/>
        <w:spacing w:line="240" w:lineRule="auto" w:before="136"/>
        <w:ind w:right="1033"/>
        <w:jc w:val="left"/>
      </w:pPr>
      <w:r>
        <w:rPr/>
        <w:t>在股东单位任职情况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635"/>
        <w:gridCol w:w="892"/>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0" w:right="7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本公司董事长兼总裁周成建先生现为美特斯邦威集团有限公司执行董事、华服投资执行董事、祺格实业执 行董事、上海佳威投资有限公司执行董事。本公司的其他董事、监事及高级管理人员均未在控股股东及其 控制的其他企业中担任除董事以外的其他职务，未在控股股东及其控制的其他企业中领薪。</w:t>
            </w:r>
          </w:p>
        </w:tc>
      </w:tr>
    </w:tbl>
    <w:p>
      <w:pPr>
        <w:pStyle w:val="BodyText"/>
        <w:spacing w:line="240" w:lineRule="auto" w:before="51"/>
        <w:ind w:left="154" w:right="1033"/>
        <w:jc w:val="left"/>
      </w:pPr>
      <w:r>
        <w:rPr/>
        <w:t>在其他单位任职情况</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8"/>
        <w:ind w:left="154" w:right="0"/>
        <w:jc w:val="both"/>
        <w:rPr>
          <w:b w:val="0"/>
          <w:bCs w:val="0"/>
        </w:rPr>
      </w:pPr>
      <w:bookmarkStart w:name="三、董事、监事、高级管理人员报酬情况" w:id="112"/>
      <w:bookmarkEnd w:id="112"/>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312" w:lineRule="auto" w:before="115"/>
        <w:ind w:left="154" w:right="1132"/>
        <w:jc w:val="both"/>
      </w:pPr>
      <w:r>
        <w:rPr>
          <w:rFonts w:ascii="Times New Roman" w:hAnsi="Times New Roman" w:cs="Times New Roman" w:eastAsia="Times New Roman" w:hint="default"/>
          <w:spacing w:val="-1"/>
        </w:rPr>
        <w:t>1</w:t>
      </w:r>
      <w:r>
        <w:rPr>
          <w:spacing w:val="-1"/>
        </w:rPr>
        <w:t>、董事、监事、高级管理人员年度报酬均经公司相关决策机构审议；在公司任职的董事、监事、高级管理人员按其职务根</w:t>
      </w:r>
      <w:r>
        <w:rPr>
          <w:spacing w:val="-88"/>
        </w:rPr>
        <w:t> </w:t>
      </w:r>
      <w:r>
        <w:rPr>
          <w:spacing w:val="-88"/>
        </w:rPr>
      </w:r>
      <w:r>
        <w:rPr/>
        <w:t>据公司现行的薪酬制度领取报酬，并依据风险、责任、利益相一致的原则，年底根据经营业绩和个人绩效，严格按照考核</w:t>
      </w:r>
      <w:r>
        <w:rPr>
          <w:spacing w:val="-55"/>
        </w:rPr>
        <w:t> </w:t>
      </w:r>
      <w:r>
        <w:rPr>
          <w:spacing w:val="-55"/>
        </w:rPr>
      </w:r>
      <w:r>
        <w:rPr/>
        <w:t>评定程序，由董事会确定其年度奖金和奖惩方式；董事、监事报酬每月按标准准时支付到个人账户。公司高级管理人员报</w:t>
      </w:r>
      <w:r>
        <w:rPr>
          <w:spacing w:val="-55"/>
        </w:rPr>
        <w:t> </w:t>
      </w:r>
      <w:r>
        <w:rPr>
          <w:spacing w:val="-55"/>
        </w:rPr>
      </w:r>
      <w:r>
        <w:rPr/>
        <w:t>酬按各自考核结果进行发放。</w:t>
      </w:r>
    </w:p>
    <w:p>
      <w:pPr>
        <w:pStyle w:val="BodyText"/>
        <w:spacing w:line="302" w:lineRule="auto" w:before="63"/>
        <w:ind w:right="1132"/>
        <w:jc w:val="both"/>
      </w:pPr>
      <w:r>
        <w:rPr>
          <w:rFonts w:ascii="Times New Roman" w:hAnsi="Times New Roman" w:cs="Times New Roman" w:eastAsia="Times New Roman" w:hint="default"/>
          <w:spacing w:val="-2"/>
        </w:rPr>
        <w:t>2</w:t>
      </w:r>
      <w:r>
        <w:rPr>
          <w:spacing w:val="-2"/>
        </w:rPr>
        <w:t>、公司股东大会审议通过公司独立董事年度津贴为每人每年税后</w:t>
      </w:r>
      <w:r>
        <w:rPr>
          <w:rFonts w:ascii="Times New Roman" w:hAnsi="Times New Roman" w:cs="Times New Roman" w:eastAsia="Times New Roman" w:hint="default"/>
          <w:spacing w:val="-2"/>
        </w:rPr>
        <w:t>8</w:t>
      </w:r>
      <w:r>
        <w:rPr>
          <w:spacing w:val="-2"/>
        </w:rPr>
        <w:t>万元，公司负担独立董事为参加会议发生的差旅费、办公</w:t>
      </w:r>
      <w:r>
        <w:rPr>
          <w:spacing w:val="-64"/>
        </w:rPr>
        <w:t> </w:t>
      </w:r>
      <w:r>
        <w:rPr>
          <w:spacing w:val="-64"/>
        </w:rPr>
      </w:r>
      <w:r>
        <w:rPr/>
        <w:t>费等履职费用。</w:t>
      </w:r>
    </w:p>
    <w:p>
      <w:pPr>
        <w:spacing w:line="240" w:lineRule="auto" w:before="10"/>
        <w:rPr>
          <w:rFonts w:ascii="宋体" w:hAnsi="宋体" w:cs="宋体" w:eastAsia="宋体" w:hint="default"/>
          <w:sz w:val="28"/>
          <w:szCs w:val="28"/>
        </w:rPr>
      </w:pPr>
    </w:p>
    <w:p>
      <w:pPr>
        <w:pStyle w:val="BodyText"/>
        <w:spacing w:line="240" w:lineRule="auto" w:before="44"/>
        <w:ind w:right="103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116.44</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归梅萍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原任首席人力 资源官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叶伟斌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原任监事长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833.9</w:t>
            </w:r>
          </w:p>
        </w:tc>
      </w:tr>
    </w:tbl>
    <w:p>
      <w:pPr>
        <w:pStyle w:val="BodyText"/>
        <w:spacing w:line="240" w:lineRule="auto" w:before="51"/>
        <w:ind w:left="154" w:right="1033"/>
        <w:jc w:val="left"/>
      </w:pPr>
      <w:r>
        <w:rPr/>
        <w:t>公司董事、监事、高级管理人员报告期内被授予的股权激励情况</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四、公司董事、监事、高级管理人员变动情况" w:id="113"/>
      <w:bookmarkEnd w:id="113"/>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归梅萍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首席人力资源官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因个人原因主动辞职</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1332"/>
        <w:gridCol w:w="1331"/>
        <w:gridCol w:w="1330"/>
        <w:gridCol w:w="1330"/>
        <w:gridCol w:w="4248"/>
      </w:tblGrid>
      <w:tr>
        <w:trPr>
          <w:trHeight w:val="71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叶伟斌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因个人原因主动离职</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五、报告期核心技术团队或关键技术人员变动情况（非董事、监事、高级管理人员）" w:id="114"/>
      <w:bookmarkEnd w:id="114"/>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报告期内，公司核心技术团队或关键技术人员未发生变动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3"/>
        <w:spacing w:line="240" w:lineRule="auto"/>
        <w:ind w:left="154" w:right="1033"/>
        <w:jc w:val="left"/>
        <w:rPr>
          <w:b w:val="0"/>
          <w:bCs w:val="0"/>
        </w:rPr>
      </w:pPr>
      <w:bookmarkStart w:name="六、公司员工情况" w:id="115"/>
      <w:bookmarkEnd w:id="115"/>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1033"/>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日，本公司共有员工</w:t>
      </w:r>
      <w:r>
        <w:rPr>
          <w:rFonts w:ascii="Times New Roman" w:hAnsi="Times New Roman" w:cs="Times New Roman" w:eastAsia="Times New Roman" w:hint="default"/>
        </w:rPr>
        <w:t>1576</w:t>
      </w:r>
      <w:r>
        <w:rPr/>
        <w:t>人，其构成如下：</w:t>
      </w:r>
    </w:p>
    <w:p>
      <w:pPr>
        <w:pStyle w:val="Heading5"/>
        <w:spacing w:line="240" w:lineRule="auto" w:before="78"/>
        <w:ind w:right="1033"/>
        <w:jc w:val="left"/>
      </w:pPr>
      <w:r>
        <w:rPr>
          <w:rFonts w:ascii="Times New Roman" w:hAnsi="Times New Roman" w:cs="Times New Roman" w:eastAsia="Times New Roman" w:hint="default"/>
        </w:rPr>
        <w:t>1</w:t>
      </w:r>
      <w:r>
        <w:rPr/>
        <w:t>、员工专业构成</w:t>
      </w:r>
    </w:p>
    <w:p>
      <w:pPr>
        <w:spacing w:line="240" w:lineRule="auto" w:before="0"/>
        <w:rPr>
          <w:rFonts w:ascii="宋体" w:hAnsi="宋体" w:cs="宋体" w:eastAsia="宋体" w:hint="default"/>
          <w:sz w:val="6"/>
          <w:szCs w:val="6"/>
        </w:rPr>
      </w:pPr>
    </w:p>
    <w:p>
      <w:pPr>
        <w:spacing w:line="5586" w:lineRule="exact"/>
        <w:ind w:left="154"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5497332" cy="354758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6" cstate="print"/>
                    <a:stretch>
                      <a:fillRect/>
                    </a:stretch>
                  </pic:blipFill>
                  <pic:spPr>
                    <a:xfrm>
                      <a:off x="0" y="0"/>
                      <a:ext cx="5497332" cy="3547586"/>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12"/>
        <w:rPr>
          <w:rFonts w:ascii="宋体" w:hAnsi="宋体" w:cs="宋体" w:eastAsia="宋体" w:hint="default"/>
          <w:sz w:val="7"/>
          <w:szCs w:val="7"/>
        </w:rPr>
      </w:pPr>
    </w:p>
    <w:p>
      <w:pPr>
        <w:spacing w:line="4181" w:lineRule="exact"/>
        <w:ind w:left="146"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433.25pt;height:209.05pt;mso-position-horizontal-relative:char;mso-position-vertical-relative:line" coordorigin="0,0" coordsize="8665,4181">
            <v:group style="position:absolute;left:3587;top:2415;width:2;height:1319" coordorigin="3587,2415" coordsize="2,1319">
              <v:shape style="position:absolute;left:3587;top:2415;width:2;height:1319" coordorigin="3587,2415" coordsize="0,1319" path="m3587,2415l3587,3733e" filled="false" stroked="true" strokeweight="1.58pt" strokecolor="#4571a7">
                <v:path arrowok="t"/>
              </v:shape>
            </v:group>
            <v:group style="position:absolute;left:2972;top:2415;width:631;height:1319" coordorigin="2972,2415" coordsize="631,1319">
              <v:shape style="position:absolute;left:2972;top:2415;width:631;height:1319" coordorigin="2972,2415" coordsize="631,1319" path="m3603,2415l2972,3573,3042,3608,3114,3640,3187,3666,3262,3689,3338,3707,3415,3720,3493,3729,3571,3733,3603,2415xe" filled="true" fillcolor="#aa4643" stroked="false">
                <v:path arrowok="t"/>
                <v:fill type="solid"/>
              </v:shape>
            </v:group>
            <v:group style="position:absolute;left:2284;top:2143;width:1319;height:1430" coordorigin="2284,2143" coordsize="1319,1430">
              <v:shape style="position:absolute;left:2284;top:2143;width:1319;height:1430" coordorigin="2284,2143" coordsize="1319,1430" path="m2312,2143l2299,2218,2290,2292,2285,2366,2284,2440,2288,2513,2295,2586,2307,2658,2322,2729,2341,2799,2364,2867,2391,2934,2421,3000,2455,3064,2492,3126,2533,3186,2577,3243,2624,3299,2675,3352,2728,3402,2785,3449,2844,3494,2907,3535,2972,3573,3603,2415,2312,2143xe" filled="true" fillcolor="#88a44e" stroked="false">
                <v:path arrowok="t"/>
                <v:fill type="solid"/>
              </v:shape>
            </v:group>
            <v:group style="position:absolute;left:2312;top:1096;width:1685;height:1319" coordorigin="2312,1096" coordsize="1685,1319">
              <v:shape style="position:absolute;left:2312;top:1096;width:1685;height:1319" coordorigin="2312,1096" coordsize="1685,1319" path="m3636,1096l3564,1096,3493,1100,3423,1108,3353,1119,3284,1135,3217,1153,3151,1176,3086,1201,3022,1231,2960,1263,2900,1299,2842,1337,2786,1379,2732,1424,2680,1472,2631,1522,2585,1576,2541,1632,2500,1690,2462,1752,2428,1816,2396,1882,2368,1950,2344,2021,2327,2082,2312,2143,3603,2415,3996,1156,3924,1135,3852,1119,3780,1107,3708,1100,3636,1096xe" filled="true" fillcolor="#70578f" stroked="false">
                <v:path arrowok="t"/>
                <v:fill type="solid"/>
              </v:shape>
            </v:group>
            <v:group style="position:absolute;left:3603;top:1156;width:1319;height:2540" coordorigin="3603,1156" coordsize="1319,2540">
              <v:shape style="position:absolute;left:3603;top:1156;width:1319;height:2540" coordorigin="3603,1156" coordsize="1319,2540" path="m3996,1156l3603,2415,3915,3696,3987,3676,4057,3653,4126,3625,4191,3595,4255,3561,4316,3524,4375,3484,4431,3441,4485,3395,4536,3347,4584,3296,4629,3242,4672,3187,4711,3129,4747,3070,4780,3008,4810,2945,4837,2880,4860,2814,4879,2746,4895,2678,4908,2608,4916,2537,4921,2466,4922,2394,4918,2321,4911,2249,4900,2175,4884,2102,4864,2028,4839,1956,4811,1886,4779,1817,4743,1751,4703,1688,4660,1627,4614,1568,4564,1512,4512,1459,4456,1409,4398,1363,4337,1319,4274,1279,4208,1243,4139,1210,4069,1181,3996,1156xe" filled="true" fillcolor="#4197ae" stroked="false">
                <v:path arrowok="t"/>
                <v:fill type="solid"/>
              </v:shape>
            </v:group>
            <v:group style="position:absolute;left:3603;top:2415;width:313;height:1319" coordorigin="3603,2415" coordsize="313,1319">
              <v:shape style="position:absolute;left:3603;top:2415;width:313;height:1319" coordorigin="3603,2415" coordsize="313,1319" path="m3603,2415l3603,3733,3682,3731,3760,3724,3838,3712,3915,3696,3603,2415xe" filled="true" fillcolor="#db843c" stroked="false">
                <v:path arrowok="t"/>
                <v:fill type="solid"/>
              </v:shape>
            </v:group>
            <v:group style="position:absolute;left:7298;top:1456;width:111;height:110" coordorigin="7298,1456" coordsize="111,110">
              <v:shape style="position:absolute;left:7298;top:1456;width:111;height:110" coordorigin="7298,1456" coordsize="111,110" path="m7298,1565l7408,1565,7408,1456,7298,1456,7298,1565xe" filled="true" fillcolor="#4571a7" stroked="false">
                <v:path arrowok="t"/>
                <v:fill type="solid"/>
              </v:shape>
            </v:group>
            <v:group style="position:absolute;left:7298;top:1817;width:111;height:111" coordorigin="7298,1817" coordsize="111,111">
              <v:shape style="position:absolute;left:7298;top:1817;width:111;height:111" coordorigin="7298,1817" coordsize="111,111" path="m7298,1927l7408,1927,7408,1817,7298,1817,7298,1927xe" filled="true" fillcolor="#aa4643" stroked="false">
                <v:path arrowok="t"/>
                <v:fill type="solid"/>
              </v:shape>
            </v:group>
            <v:group style="position:absolute;left:7298;top:2178;width:111;height:111" coordorigin="7298,2178" coordsize="111,111">
              <v:shape style="position:absolute;left:7298;top:2178;width:111;height:111" coordorigin="7298,2178" coordsize="111,111" path="m7298,2289l7408,2289,7408,2178,7298,2178,7298,2289xe" filled="true" fillcolor="#88a44e" stroked="false">
                <v:path arrowok="t"/>
                <v:fill type="solid"/>
              </v:shape>
            </v:group>
            <v:group style="position:absolute;left:7298;top:2541;width:111;height:110" coordorigin="7298,2541" coordsize="111,110">
              <v:shape style="position:absolute;left:7298;top:2541;width:111;height:110" coordorigin="7298,2541" coordsize="111,110" path="m7298,2650l7408,2650,7408,2541,7298,2541,7298,2650xe" filled="true" fillcolor="#70578f" stroked="false">
                <v:path arrowok="t"/>
                <v:fill type="solid"/>
              </v:shape>
            </v:group>
            <v:group style="position:absolute;left:7298;top:2902;width:111;height:111" coordorigin="7298,2902" coordsize="111,111">
              <v:shape style="position:absolute;left:7298;top:2902;width:111;height:111" coordorigin="7298,2902" coordsize="111,111" path="m7298,3012l7408,3012,7408,2902,7298,2902,7298,3012xe" filled="true" fillcolor="#4197ae" stroked="false">
                <v:path arrowok="t"/>
                <v:fill type="solid"/>
              </v:shape>
            </v:group>
            <v:group style="position:absolute;left:7298;top:3264;width:111;height:110" coordorigin="7298,3264" coordsize="111,110">
              <v:shape style="position:absolute;left:7298;top:3264;width:111;height:110" coordorigin="7298,3264" coordsize="111,110" path="m7298,3373l7408,3373,7408,3264,7298,3264,7298,3373xe" filled="true" fillcolor="#db843c" stroked="false">
                <v:path arrowok="t"/>
                <v:fill type="solid"/>
              </v:shape>
            </v:group>
            <v:group style="position:absolute;left:8;top:8;width:8650;height:4166" coordorigin="8,8" coordsize="8650,4166">
              <v:shape style="position:absolute;left:8;top:8;width:8650;height:4166" coordorigin="8,8" coordsize="8650,4166" path="m8,4174l8658,4174,8658,8,8,8,8,4174xe" filled="false" stroked="true" strokeweight=".75pt" strokecolor="#858585">
                <v:path arrowok="t"/>
              </v:shape>
              <v:shape style="position:absolute;left:422;top:170;width:2890;height:360"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w w:val="95"/>
                          <w:sz w:val="36"/>
                          <w:szCs w:val="36"/>
                        </w:rPr>
                        <w:t>员工学历构成图示</w:t>
                      </w:r>
                      <w:r>
                        <w:rPr>
                          <w:rFonts w:ascii="宋体" w:hAnsi="宋体" w:cs="宋体" w:eastAsia="宋体" w:hint="default"/>
                          <w:sz w:val="36"/>
                          <w:szCs w:val="36"/>
                        </w:rPr>
                      </w:r>
                    </w:p>
                  </w:txbxContent>
                </v:textbox>
                <w10:wrap type="none"/>
              </v:shape>
              <v:shape style="position:absolute;left:2407;top:1583;width:1151;height:1401" type="#_x0000_t202" filled="false" stroked="false">
                <v:textbox inset="0,0,0,0">
                  <w:txbxContent>
                    <w:p>
                      <w:pPr>
                        <w:spacing w:line="226" w:lineRule="exact" w:before="0"/>
                        <w:ind w:left="300" w:right="0" w:firstLine="0"/>
                        <w:jc w:val="left"/>
                        <w:rPr>
                          <w:rFonts w:ascii="Calibri" w:hAnsi="Calibri" w:cs="Calibri" w:eastAsia="Calibri" w:hint="default"/>
                          <w:sz w:val="20"/>
                          <w:szCs w:val="20"/>
                        </w:rPr>
                      </w:pPr>
                      <w:r>
                        <w:rPr>
                          <w:rFonts w:ascii="宋体" w:hAnsi="宋体" w:cs="宋体" w:eastAsia="宋体" w:hint="default"/>
                          <w:sz w:val="20"/>
                          <w:szCs w:val="20"/>
                        </w:rPr>
                        <w:t>大专</w:t>
                      </w:r>
                      <w:r>
                        <w:rPr>
                          <w:rFonts w:ascii="Calibri" w:hAnsi="Calibri" w:cs="Calibri" w:eastAsia="Calibri" w:hint="default"/>
                          <w:sz w:val="20"/>
                          <w:szCs w:val="20"/>
                        </w:rPr>
                        <w:t>,</w:t>
                      </w:r>
                      <w:r>
                        <w:rPr>
                          <w:rFonts w:ascii="Calibri" w:hAnsi="Calibri" w:cs="Calibri" w:eastAsia="Calibri" w:hint="default"/>
                          <w:spacing w:val="-1"/>
                          <w:sz w:val="20"/>
                          <w:szCs w:val="20"/>
                        </w:rPr>
                        <w:t> </w:t>
                      </w:r>
                      <w:r>
                        <w:rPr>
                          <w:rFonts w:ascii="Calibri" w:hAnsi="Calibri" w:cs="Calibri" w:eastAsia="Calibri" w:hint="default"/>
                          <w:sz w:val="20"/>
                          <w:szCs w:val="20"/>
                        </w:rPr>
                        <w:t>418,</w:t>
                      </w:r>
                    </w:p>
                    <w:p>
                      <w:pPr>
                        <w:spacing w:before="4"/>
                        <w:ind w:left="302" w:right="0" w:firstLine="0"/>
                        <w:jc w:val="center"/>
                        <w:rPr>
                          <w:rFonts w:ascii="Calibri" w:hAnsi="Calibri" w:cs="Calibri" w:eastAsia="Calibri" w:hint="default"/>
                          <w:sz w:val="20"/>
                          <w:szCs w:val="20"/>
                        </w:rPr>
                      </w:pPr>
                      <w:r>
                        <w:rPr>
                          <w:rFonts w:ascii="Calibri"/>
                          <w:sz w:val="20"/>
                        </w:rPr>
                        <w:t>27%</w:t>
                      </w:r>
                    </w:p>
                    <w:p>
                      <w:pPr>
                        <w:spacing w:line="240" w:lineRule="auto" w:before="0"/>
                        <w:rPr>
                          <w:rFonts w:ascii="宋体" w:hAnsi="宋体" w:cs="宋体" w:eastAsia="宋体" w:hint="default"/>
                          <w:sz w:val="20"/>
                          <w:szCs w:val="20"/>
                        </w:rPr>
                      </w:pPr>
                    </w:p>
                    <w:p>
                      <w:pPr>
                        <w:spacing w:before="132"/>
                        <w:ind w:left="0" w:right="298" w:firstLine="0"/>
                        <w:jc w:val="center"/>
                        <w:rPr>
                          <w:rFonts w:ascii="Calibri" w:hAnsi="Calibri" w:cs="Calibri" w:eastAsia="Calibri" w:hint="default"/>
                          <w:sz w:val="20"/>
                          <w:szCs w:val="20"/>
                        </w:rPr>
                      </w:pPr>
                      <w:r>
                        <w:rPr>
                          <w:rFonts w:ascii="宋体" w:hAnsi="宋体" w:cs="宋体" w:eastAsia="宋体" w:hint="default"/>
                          <w:sz w:val="20"/>
                          <w:szCs w:val="20"/>
                        </w:rPr>
                        <w:t>高中</w:t>
                      </w:r>
                      <w:r>
                        <w:rPr>
                          <w:rFonts w:ascii="Calibri" w:hAnsi="Calibri" w:cs="Calibri" w:eastAsia="Calibri" w:hint="default"/>
                          <w:sz w:val="20"/>
                          <w:szCs w:val="20"/>
                        </w:rPr>
                        <w:t>,</w:t>
                      </w:r>
                      <w:r>
                        <w:rPr>
                          <w:rFonts w:ascii="Calibri" w:hAnsi="Calibri" w:cs="Calibri" w:eastAsia="Calibri" w:hint="default"/>
                          <w:spacing w:val="-1"/>
                          <w:sz w:val="20"/>
                          <w:szCs w:val="20"/>
                        </w:rPr>
                        <w:t> </w:t>
                      </w:r>
                      <w:r>
                        <w:rPr>
                          <w:rFonts w:ascii="Calibri" w:hAnsi="Calibri" w:cs="Calibri" w:eastAsia="Calibri" w:hint="default"/>
                          <w:sz w:val="20"/>
                          <w:szCs w:val="20"/>
                        </w:rPr>
                        <w:t>321,</w:t>
                      </w:r>
                    </w:p>
                    <w:p>
                      <w:pPr>
                        <w:spacing w:line="241" w:lineRule="exact" w:before="4"/>
                        <w:ind w:left="251" w:right="0" w:firstLine="0"/>
                        <w:jc w:val="left"/>
                        <w:rPr>
                          <w:rFonts w:ascii="Calibri" w:hAnsi="Calibri" w:cs="Calibri" w:eastAsia="Calibri" w:hint="default"/>
                          <w:sz w:val="20"/>
                          <w:szCs w:val="20"/>
                        </w:rPr>
                      </w:pPr>
                      <w:r>
                        <w:rPr>
                          <w:rFonts w:ascii="Calibri"/>
                          <w:sz w:val="20"/>
                        </w:rPr>
                        <w:t>20%</w:t>
                      </w:r>
                    </w:p>
                  </w:txbxContent>
                </v:textbox>
                <w10:wrap type="none"/>
              </v:shape>
              <v:shape style="position:absolute;left:3982;top:2333;width:850;height:471" type="#_x0000_t202" filled="false" stroked="false">
                <v:textbox inset="0,0,0,0">
                  <w:txbxContent>
                    <w:p>
                      <w:pPr>
                        <w:spacing w:line="226" w:lineRule="exact" w:before="0"/>
                        <w:ind w:left="0" w:right="0" w:firstLine="0"/>
                        <w:jc w:val="center"/>
                        <w:rPr>
                          <w:rFonts w:ascii="Calibri" w:hAnsi="Calibri" w:cs="Calibri" w:eastAsia="Calibri" w:hint="default"/>
                          <w:sz w:val="20"/>
                          <w:szCs w:val="20"/>
                        </w:rPr>
                      </w:pPr>
                      <w:r>
                        <w:rPr>
                          <w:rFonts w:ascii="宋体" w:hAnsi="宋体" w:cs="宋体" w:eastAsia="宋体" w:hint="default"/>
                          <w:sz w:val="20"/>
                          <w:szCs w:val="20"/>
                        </w:rPr>
                        <w:t>本科</w:t>
                      </w:r>
                      <w:r>
                        <w:rPr>
                          <w:rFonts w:ascii="Calibri" w:hAnsi="Calibri" w:cs="Calibri" w:eastAsia="Calibri" w:hint="default"/>
                          <w:sz w:val="20"/>
                          <w:szCs w:val="20"/>
                        </w:rPr>
                        <w:t>,</w:t>
                      </w:r>
                      <w:r>
                        <w:rPr>
                          <w:rFonts w:ascii="Calibri" w:hAnsi="Calibri" w:cs="Calibri" w:eastAsia="Calibri" w:hint="default"/>
                          <w:spacing w:val="-1"/>
                          <w:sz w:val="20"/>
                          <w:szCs w:val="20"/>
                        </w:rPr>
                        <w:t> </w:t>
                      </w:r>
                      <w:r>
                        <w:rPr>
                          <w:rFonts w:ascii="Calibri" w:hAnsi="Calibri" w:cs="Calibri" w:eastAsia="Calibri" w:hint="default"/>
                          <w:sz w:val="20"/>
                          <w:szCs w:val="20"/>
                        </w:rPr>
                        <w:t>652,</w:t>
                      </w:r>
                    </w:p>
                    <w:p>
                      <w:pPr>
                        <w:spacing w:line="241" w:lineRule="exact" w:before="4"/>
                        <w:ind w:left="1" w:right="0" w:firstLine="0"/>
                        <w:jc w:val="center"/>
                        <w:rPr>
                          <w:rFonts w:ascii="Calibri" w:hAnsi="Calibri" w:cs="Calibri" w:eastAsia="Calibri" w:hint="default"/>
                          <w:sz w:val="20"/>
                          <w:szCs w:val="20"/>
                        </w:rPr>
                      </w:pPr>
                      <w:r>
                        <w:rPr>
                          <w:rFonts w:ascii="Calibri"/>
                          <w:sz w:val="20"/>
                        </w:rPr>
                        <w:t>41%</w:t>
                      </w:r>
                    </w:p>
                  </w:txbxContent>
                </v:textbox>
                <w10:wrap type="none"/>
              </v:shape>
              <v:shape style="position:absolute;left:7456;top:1408;width:1002;height:2009" type="#_x0000_t202" filled="false" stroked="false">
                <v:textbox inset="0,0,0,0">
                  <w:txbxContent>
                    <w:p>
                      <w:pPr>
                        <w:spacing w:line="200" w:lineRule="exact" w:before="0"/>
                        <w:ind w:left="0" w:right="0" w:firstLine="0"/>
                        <w:jc w:val="both"/>
                        <w:rPr>
                          <w:rFonts w:ascii="宋体" w:hAnsi="宋体" w:cs="宋体" w:eastAsia="宋体" w:hint="default"/>
                          <w:sz w:val="20"/>
                          <w:szCs w:val="20"/>
                        </w:rPr>
                      </w:pPr>
                      <w:r>
                        <w:rPr>
                          <w:rFonts w:ascii="宋体" w:hAnsi="宋体" w:cs="宋体" w:eastAsia="宋体" w:hint="default"/>
                          <w:sz w:val="20"/>
                          <w:szCs w:val="20"/>
                        </w:rPr>
                        <w:t>初中以下</w:t>
                      </w:r>
                    </w:p>
                    <w:p>
                      <w:pPr>
                        <w:spacing w:line="331" w:lineRule="auto" w:before="100"/>
                        <w:ind w:left="0" w:right="599" w:firstLine="0"/>
                        <w:jc w:val="both"/>
                        <w:rPr>
                          <w:rFonts w:ascii="宋体" w:hAnsi="宋体" w:cs="宋体" w:eastAsia="宋体" w:hint="default"/>
                          <w:sz w:val="20"/>
                          <w:szCs w:val="20"/>
                        </w:rPr>
                      </w:pPr>
                      <w:r>
                        <w:rPr>
                          <w:rFonts w:ascii="宋体" w:hAnsi="宋体" w:cs="宋体" w:eastAsia="宋体" w:hint="default"/>
                          <w:sz w:val="20"/>
                          <w:szCs w:val="20"/>
                        </w:rPr>
                        <w:t>初中</w:t>
                      </w:r>
                      <w:r>
                        <w:rPr>
                          <w:rFonts w:ascii="宋体" w:hAnsi="宋体" w:cs="宋体" w:eastAsia="宋体" w:hint="default"/>
                          <w:w w:val="100"/>
                          <w:sz w:val="20"/>
                          <w:szCs w:val="20"/>
                        </w:rPr>
                        <w:t> </w:t>
                      </w:r>
                      <w:r>
                        <w:rPr>
                          <w:rFonts w:ascii="宋体" w:hAnsi="宋体" w:cs="宋体" w:eastAsia="宋体" w:hint="default"/>
                          <w:sz w:val="20"/>
                          <w:szCs w:val="20"/>
                        </w:rPr>
                        <w:t>高中</w:t>
                      </w:r>
                      <w:r>
                        <w:rPr>
                          <w:rFonts w:ascii="宋体" w:hAnsi="宋体" w:cs="宋体" w:eastAsia="宋体" w:hint="default"/>
                          <w:w w:val="100"/>
                          <w:sz w:val="20"/>
                          <w:szCs w:val="20"/>
                        </w:rPr>
                        <w:t> </w:t>
                      </w:r>
                      <w:r>
                        <w:rPr>
                          <w:rFonts w:ascii="宋体" w:hAnsi="宋体" w:cs="宋体" w:eastAsia="宋体" w:hint="default"/>
                          <w:sz w:val="20"/>
                          <w:szCs w:val="20"/>
                        </w:rPr>
                        <w:t>大专</w:t>
                      </w:r>
                      <w:r>
                        <w:rPr>
                          <w:rFonts w:ascii="宋体" w:hAnsi="宋体" w:cs="宋体" w:eastAsia="宋体" w:hint="default"/>
                          <w:w w:val="100"/>
                          <w:sz w:val="20"/>
                          <w:szCs w:val="20"/>
                        </w:rPr>
                        <w:t> </w:t>
                      </w:r>
                      <w:r>
                        <w:rPr>
                          <w:rFonts w:ascii="宋体" w:hAnsi="宋体" w:cs="宋体" w:eastAsia="宋体" w:hint="default"/>
                          <w:sz w:val="20"/>
                          <w:szCs w:val="20"/>
                        </w:rPr>
                        <w:t>本科</w:t>
                      </w:r>
                    </w:p>
                    <w:p>
                      <w:pPr>
                        <w:spacing w:before="24"/>
                        <w:ind w:left="0" w:right="0" w:firstLine="0"/>
                        <w:jc w:val="both"/>
                        <w:rPr>
                          <w:rFonts w:ascii="宋体" w:hAnsi="宋体" w:cs="宋体" w:eastAsia="宋体" w:hint="default"/>
                          <w:sz w:val="20"/>
                          <w:szCs w:val="20"/>
                        </w:rPr>
                      </w:pPr>
                      <w:r>
                        <w:rPr>
                          <w:rFonts w:ascii="宋体" w:hAnsi="宋体" w:cs="宋体" w:eastAsia="宋体" w:hint="default"/>
                          <w:sz w:val="20"/>
                          <w:szCs w:val="20"/>
                        </w:rPr>
                        <w:t>硕士及以上</w:t>
                      </w:r>
                    </w:p>
                  </w:txbxContent>
                </v:textbox>
                <w10:wrap type="none"/>
              </v:shape>
              <v:shape style="position:absolute;left:2216;top:3516;width:3707;height:471" type="#_x0000_t202" filled="false" stroked="false">
                <v:textbox inset="0,0,0,0">
                  <w:txbxContent>
                    <w:p>
                      <w:pPr>
                        <w:spacing w:line="176" w:lineRule="exact" w:before="0"/>
                        <w:ind w:left="2358" w:right="0" w:firstLine="0"/>
                        <w:jc w:val="left"/>
                        <w:rPr>
                          <w:rFonts w:ascii="Calibri" w:hAnsi="Calibri" w:cs="Calibri" w:eastAsia="Calibri" w:hint="default"/>
                          <w:sz w:val="20"/>
                          <w:szCs w:val="20"/>
                        </w:rPr>
                      </w:pPr>
                      <w:r>
                        <w:rPr>
                          <w:rFonts w:ascii="宋体" w:hAnsi="宋体" w:cs="宋体" w:eastAsia="宋体" w:hint="default"/>
                          <w:sz w:val="20"/>
                          <w:szCs w:val="20"/>
                        </w:rPr>
                        <w:t>硕士及以上</w:t>
                      </w:r>
                      <w:r>
                        <w:rPr>
                          <w:rFonts w:ascii="Calibri" w:hAnsi="Calibri" w:cs="Calibri" w:eastAsia="Calibri" w:hint="default"/>
                          <w:sz w:val="20"/>
                          <w:szCs w:val="20"/>
                        </w:rPr>
                        <w:t>,</w:t>
                      </w:r>
                      <w:r>
                        <w:rPr>
                          <w:rFonts w:ascii="Calibri" w:hAnsi="Calibri" w:cs="Calibri" w:eastAsia="Calibri" w:hint="default"/>
                          <w:spacing w:val="-1"/>
                          <w:sz w:val="20"/>
                          <w:szCs w:val="20"/>
                        </w:rPr>
                        <w:t> </w:t>
                      </w:r>
                      <w:r>
                        <w:rPr>
                          <w:rFonts w:ascii="Calibri" w:hAnsi="Calibri" w:cs="Calibri" w:eastAsia="Calibri" w:hint="default"/>
                          <w:sz w:val="20"/>
                          <w:szCs w:val="20"/>
                        </w:rPr>
                        <w:t>60,</w:t>
                      </w:r>
                    </w:p>
                    <w:p>
                      <w:pPr>
                        <w:tabs>
                          <w:tab w:pos="2909" w:val="left" w:leader="none"/>
                        </w:tabs>
                        <w:spacing w:line="294" w:lineRule="exact" w:before="0"/>
                        <w:ind w:left="0" w:right="0" w:firstLine="0"/>
                        <w:jc w:val="left"/>
                        <w:rPr>
                          <w:rFonts w:ascii="Calibri" w:hAnsi="Calibri" w:cs="Calibri" w:eastAsia="Calibri" w:hint="default"/>
                          <w:sz w:val="20"/>
                          <w:szCs w:val="20"/>
                        </w:rPr>
                      </w:pPr>
                      <w:r>
                        <w:rPr>
                          <w:rFonts w:ascii="宋体" w:hAnsi="宋体" w:cs="宋体" w:eastAsia="宋体" w:hint="default"/>
                          <w:sz w:val="20"/>
                          <w:szCs w:val="20"/>
                        </w:rPr>
                        <w:t>初中</w:t>
                      </w:r>
                      <w:r>
                        <w:rPr>
                          <w:rFonts w:ascii="Calibri" w:hAnsi="Calibri" w:cs="Calibri" w:eastAsia="Calibri" w:hint="default"/>
                          <w:sz w:val="20"/>
                          <w:szCs w:val="20"/>
                        </w:rPr>
                        <w:t>, 119,</w:t>
                      </w:r>
                      <w:r>
                        <w:rPr>
                          <w:rFonts w:ascii="Calibri" w:hAnsi="Calibri" w:cs="Calibri" w:eastAsia="Calibri" w:hint="default"/>
                          <w:spacing w:val="-3"/>
                          <w:sz w:val="20"/>
                          <w:szCs w:val="20"/>
                        </w:rPr>
                        <w:t> </w:t>
                      </w:r>
                      <w:r>
                        <w:rPr>
                          <w:rFonts w:ascii="Calibri" w:hAnsi="Calibri" w:cs="Calibri" w:eastAsia="Calibri" w:hint="default"/>
                          <w:sz w:val="20"/>
                          <w:szCs w:val="20"/>
                        </w:rPr>
                        <w:t>8%</w:t>
                        <w:tab/>
                      </w:r>
                      <w:r>
                        <w:rPr>
                          <w:rFonts w:ascii="Calibri" w:hAnsi="Calibri" w:cs="Calibri" w:eastAsia="Calibri" w:hint="default"/>
                          <w:position w:val="-5"/>
                          <w:sz w:val="20"/>
                          <w:szCs w:val="20"/>
                        </w:rPr>
                        <w:t>4%</w:t>
                      </w:r>
                      <w:r>
                        <w:rPr>
                          <w:rFonts w:ascii="Calibri" w:hAnsi="Calibri" w:cs="Calibri" w:eastAsia="Calibri" w:hint="default"/>
                          <w:sz w:val="20"/>
                          <w:szCs w:val="20"/>
                        </w:rPr>
                      </w:r>
                    </w:p>
                  </w:txbxContent>
                </v:textbox>
                <w10:wrap type="none"/>
              </v:shape>
            </v:group>
          </v:group>
        </w:pict>
      </w:r>
      <w:r>
        <w:rPr>
          <w:rFonts w:ascii="宋体" w:hAnsi="宋体" w:cs="宋体" w:eastAsia="宋体" w:hint="default"/>
          <w:position w:val="-83"/>
          <w:sz w:val="20"/>
          <w:szCs w:val="20"/>
        </w:rPr>
      </w:r>
    </w:p>
    <w:p>
      <w:pPr>
        <w:spacing w:after="0" w:line="4181" w:lineRule="exact"/>
        <w:rPr>
          <w:rFonts w:ascii="宋体" w:hAnsi="宋体" w:cs="宋体" w:eastAsia="宋体" w:hint="default"/>
          <w:sz w:val="20"/>
          <w:szCs w:val="20"/>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before="31"/>
        <w:ind w:left="154" w:right="0" w:firstLine="0"/>
        <w:jc w:val="both"/>
        <w:rPr>
          <w:rFonts w:ascii="宋体" w:hAnsi="宋体" w:cs="宋体" w:eastAsia="宋体" w:hint="default"/>
          <w:sz w:val="21"/>
          <w:szCs w:val="21"/>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21"/>
          <w:szCs w:val="21"/>
        </w:rPr>
        <w:t>员工受教育程度</w:t>
      </w:r>
    </w:p>
    <w:p>
      <w:pPr>
        <w:spacing w:line="240" w:lineRule="auto" w:before="10"/>
        <w:rPr>
          <w:rFonts w:ascii="宋体" w:hAnsi="宋体" w:cs="宋体" w:eastAsia="宋体" w:hint="default"/>
          <w:sz w:val="8"/>
          <w:szCs w:val="8"/>
        </w:rPr>
      </w:pPr>
    </w:p>
    <w:p>
      <w:pPr>
        <w:spacing w:line="3603" w:lineRule="exact"/>
        <w:ind w:left="15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567467" cy="228800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7" cstate="print"/>
                    <a:stretch>
                      <a:fillRect/>
                    </a:stretch>
                  </pic:blipFill>
                  <pic:spPr>
                    <a:xfrm>
                      <a:off x="0" y="0"/>
                      <a:ext cx="5567467" cy="2288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5"/>
        <w:rPr>
          <w:rFonts w:ascii="宋体" w:hAnsi="宋体" w:cs="宋体" w:eastAsia="宋体" w:hint="default"/>
          <w:sz w:val="13"/>
          <w:szCs w:val="13"/>
        </w:rPr>
      </w:pPr>
    </w:p>
    <w:p>
      <w:pPr>
        <w:spacing w:line="4118" w:lineRule="exact"/>
        <w:ind w:left="146" w:right="0" w:firstLine="0"/>
        <w:rPr>
          <w:rFonts w:ascii="宋体" w:hAnsi="宋体" w:cs="宋体" w:eastAsia="宋体" w:hint="default"/>
          <w:sz w:val="20"/>
          <w:szCs w:val="20"/>
        </w:rPr>
      </w:pPr>
      <w:r>
        <w:rPr>
          <w:rFonts w:ascii="宋体" w:hAnsi="宋体" w:cs="宋体" w:eastAsia="宋体" w:hint="default"/>
          <w:position w:val="-81"/>
          <w:sz w:val="20"/>
          <w:szCs w:val="20"/>
        </w:rPr>
        <w:pict>
          <v:group style="width:437.75pt;height:205.9pt;mso-position-horizontal-relative:char;mso-position-vertical-relative:line" coordorigin="0,0" coordsize="8755,4118">
            <v:group style="position:absolute;left:2921;top:2383;width:326;height:1292" coordorigin="2921,2383" coordsize="326,1292">
              <v:shape style="position:absolute;left:2921;top:2383;width:326;height:1292" coordorigin="2921,2383" coordsize="326,1292" path="m3247,2383l2921,3633,3002,3651,3083,3664,3165,3672,3247,3675,3247,2383xe" filled="true" fillcolor="#4571a7" stroked="false">
                <v:path arrowok="t"/>
                <v:fill type="solid"/>
              </v:shape>
            </v:group>
            <v:group style="position:absolute;left:2331;top:2383;width:917;height:1250" coordorigin="2331,2383" coordsize="917,1250">
              <v:shape style="position:absolute;left:2331;top:2383;width:917;height:1250" coordorigin="2331,2383" coordsize="917,1250" path="m3248,2383l2331,3292,2386,3346,2445,3395,2506,3441,2570,3483,2637,3521,2705,3555,2775,3585,2848,3611,2922,3633,3248,2383xe" filled="true" fillcolor="#aa4643" stroked="false">
                <v:path arrowok="t"/>
                <v:fill type="solid"/>
              </v:shape>
            </v:group>
            <v:group style="position:absolute;left:1956;top:2008;width:1292;height:1285" coordorigin="1956,2008" coordsize="1292,1285">
              <v:shape style="position:absolute;left:1956;top:2008;width:1292;height:1285" coordorigin="1956,2008" coordsize="1292,1285" path="m2012,2008l1992,2084,1976,2160,1965,2237,1958,2314,1956,2391,1959,2468,1966,2544,1978,2619,1994,2694,2015,2767,2040,2840,2069,2910,2102,2980,2140,3047,2181,3112,2227,3175,2277,3235,2331,3293,3247,2383,2012,2008xe" filled="true" fillcolor="#88a44e" stroked="false">
                <v:path arrowok="t"/>
                <v:fill type="solid"/>
              </v:shape>
            </v:group>
            <v:group style="position:absolute;left:2012;top:1091;width:1770;height:1292" coordorigin="2012,1091" coordsize="1770,1292">
              <v:shape style="position:absolute;left:2012;top:1091;width:1770;height:1292" coordorigin="2012,1091" coordsize="1770,1292" path="m3282,1091l3211,1091,3139,1095,3069,1103,2999,1115,2929,1131,2861,1150,2794,1173,2729,1200,2665,1230,2602,1264,2542,1301,2483,1342,2427,1385,2373,1432,2321,1483,2272,1536,2226,1593,2182,1652,2142,1715,2106,1780,2072,1848,2039,1927,2012,2007,3248,2383,3782,1207,3712,1177,3641,1152,3570,1132,3498,1115,3426,1103,3354,1095,3282,1091xe" filled="true" fillcolor="#70578f" stroked="false">
                <v:path arrowok="t"/>
                <v:fill type="solid"/>
              </v:shape>
            </v:group>
            <v:group style="position:absolute;left:3248;top:1207;width:1284;height:1176" coordorigin="3248,1207" coordsize="1284,1176">
              <v:shape style="position:absolute;left:3248;top:1207;width:1284;height:1176" coordorigin="3248,1207" coordsize="1284,1176" path="m3782,1207l3248,2383,4531,2239,4519,2160,4503,2082,4483,2006,4458,1932,4428,1860,4394,1789,4357,1721,4315,1656,4269,1593,4220,1533,4167,1476,4111,1422,4051,1372,3988,1325,3922,1282,3854,1242,3782,1207xe" filled="true" fillcolor="#4197ae" stroked="false">
                <v:path arrowok="t"/>
                <v:fill type="solid"/>
              </v:shape>
            </v:group>
            <v:group style="position:absolute;left:3248;top:2239;width:1292;height:1068" coordorigin="3248,2239" coordsize="1292,1068">
              <v:shape style="position:absolute;left:3248;top:2239;width:1292;height:1068" coordorigin="3248,2239" coordsize="1292,1068" path="m4531,2239l3248,2383,4150,3307,4205,3250,4256,3190,4303,3127,4346,3062,4385,2994,4420,2925,4450,2853,4476,2780,4498,2706,4515,2630,4527,2553,4535,2475,4539,2397,4537,2318,4531,2239xe" filled="true" fillcolor="#db843c" stroked="false">
                <v:path arrowok="t"/>
                <v:fill type="solid"/>
              </v:shape>
            </v:group>
            <v:group style="position:absolute;left:3248;top:2383;width:903;height:1285" coordorigin="3248,2383" coordsize="903,1285">
              <v:shape style="position:absolute;left:3248;top:2383;width:903;height:1285" coordorigin="3248,2383" coordsize="903,1285" path="m3248,2383l3386,3667,3464,3656,3541,3641,3617,3621,3691,3596,3763,3567,3833,3534,3901,3497,3967,3455,4031,3410,4092,3360,4150,3307,3248,2383xe" filled="true" fillcolor="#92a9cf" stroked="false">
                <v:path arrowok="t"/>
                <v:fill type="solid"/>
              </v:shape>
            </v:group>
            <v:group style="position:absolute;left:3248;top:2383;width:139;height:1292" coordorigin="3248,2383" coordsize="139,1292">
              <v:shape style="position:absolute;left:3248;top:2383;width:139;height:1292" coordorigin="3248,2383" coordsize="139,1292" path="m3248,2383l3248,3675,3282,3674,3317,3673,3352,3671,3386,3667,3248,2383xe" filled="true" fillcolor="#d19292" stroked="false">
                <v:path arrowok="t"/>
                <v:fill type="solid"/>
              </v:shape>
            </v:group>
            <v:group style="position:absolute;left:6948;top:197;width:111;height:111" coordorigin="6948,197" coordsize="111,111">
              <v:shape style="position:absolute;left:6948;top:197;width:111;height:111" coordorigin="6948,197" coordsize="111,111" path="m6948,307l7059,307,7059,197,6948,197,6948,307xe" filled="true" fillcolor="#4571a7" stroked="false">
                <v:path arrowok="t"/>
                <v:fill type="solid"/>
              </v:shape>
            </v:group>
            <v:group style="position:absolute;left:6948;top:669;width:111;height:111" coordorigin="6948,669" coordsize="111,111">
              <v:shape style="position:absolute;left:6948;top:669;width:111;height:111" coordorigin="6948,669" coordsize="111,111" path="m6948,779l7059,779,7059,669,6948,669,6948,779xe" filled="true" fillcolor="#aa4643" stroked="false">
                <v:path arrowok="t"/>
                <v:fill type="solid"/>
              </v:shape>
            </v:group>
            <v:group style="position:absolute;left:6948;top:1142;width:111;height:110" coordorigin="6948,1142" coordsize="111,110">
              <v:shape style="position:absolute;left:6948;top:1142;width:111;height:110" coordorigin="6948,1142" coordsize="111,110" path="m6948,1251l7059,1251,7059,1142,6948,1142,6948,1251xe" filled="true" fillcolor="#88a44e" stroked="false">
                <v:path arrowok="t"/>
                <v:fill type="solid"/>
              </v:shape>
            </v:group>
            <v:group style="position:absolute;left:6948;top:1613;width:111;height:111" coordorigin="6948,1613" coordsize="111,111">
              <v:shape style="position:absolute;left:6948;top:1613;width:111;height:111" coordorigin="6948,1613" coordsize="111,111" path="m6948,1723l7059,1723,7059,1613,6948,1613,6948,1723xe" filled="true" fillcolor="#70578f" stroked="false">
                <v:path arrowok="t"/>
                <v:fill type="solid"/>
              </v:shape>
            </v:group>
            <v:group style="position:absolute;left:6948;top:2085;width:111;height:111" coordorigin="6948,2085" coordsize="111,111">
              <v:shape style="position:absolute;left:6948;top:2085;width:111;height:111" coordorigin="6948,2085" coordsize="111,111" path="m6948,2195l7059,2195,7059,2085,6948,2085,6948,2195xe" filled="true" fillcolor="#4197ae" stroked="false">
                <v:path arrowok="t"/>
                <v:fill type="solid"/>
              </v:shape>
            </v:group>
            <v:group style="position:absolute;left:6948;top:2558;width:111;height:110" coordorigin="6948,2558" coordsize="111,110">
              <v:shape style="position:absolute;left:6948;top:2558;width:111;height:110" coordorigin="6948,2558" coordsize="111,110" path="m6948,2667l7059,2667,7059,2558,6948,2558,6948,2667xe" filled="true" fillcolor="#db843c" stroked="false">
                <v:path arrowok="t"/>
                <v:fill type="solid"/>
              </v:shape>
            </v:group>
            <v:group style="position:absolute;left:6948;top:3029;width:111;height:110" coordorigin="6948,3029" coordsize="111,110">
              <v:shape style="position:absolute;left:6948;top:3029;width:111;height:110" coordorigin="6948,3029" coordsize="111,110" path="m6948,3138l7059,3138,7059,3029,6948,3029,6948,3138xe" filled="true" fillcolor="#92a9cf" stroked="false">
                <v:path arrowok="t"/>
                <v:fill type="solid"/>
              </v:shape>
            </v:group>
            <v:group style="position:absolute;left:6948;top:3501;width:111;height:111" coordorigin="6948,3501" coordsize="111,111">
              <v:shape style="position:absolute;left:6948;top:3501;width:111;height:111" coordorigin="6948,3501" coordsize="111,111" path="m6948,3611l7059,3611,7059,3501,6948,3501,6948,3611xe" filled="true" fillcolor="#d19292" stroked="false">
                <v:path arrowok="t"/>
                <v:fill type="solid"/>
              </v:shape>
            </v:group>
            <v:group style="position:absolute;left:8;top:8;width:8740;height:4103" coordorigin="8,8" coordsize="8740,4103">
              <v:shape style="position:absolute;left:8;top:8;width:8740;height:4103" coordorigin="8,8" coordsize="8740,4103" path="m8,4111l8748,4111,8748,8,8,8,8,4111xe" filled="false" stroked="true" strokeweight=".75pt" strokecolor="#858585">
                <v:path arrowok="t"/>
              </v:shape>
              <v:shape style="position:absolute;left:461;top:206;width:2890;height:360"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w w:val="95"/>
                          <w:sz w:val="36"/>
                          <w:szCs w:val="36"/>
                        </w:rPr>
                        <w:t>员工专业构成图示</w:t>
                      </w:r>
                      <w:r>
                        <w:rPr>
                          <w:rFonts w:ascii="宋体" w:hAnsi="宋体" w:cs="宋体" w:eastAsia="宋体" w:hint="default"/>
                          <w:sz w:val="36"/>
                          <w:szCs w:val="36"/>
                        </w:rPr>
                      </w:r>
                    </w:p>
                  </w:txbxContent>
                </v:textbox>
                <w10:wrap type="none"/>
              </v:shape>
              <v:shape style="position:absolute;left:7107;top:149;width:1203;height:673"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财务管理人员</w:t>
                      </w:r>
                    </w:p>
                    <w:p>
                      <w:pPr>
                        <w:spacing w:line="240" w:lineRule="auto" w:before="1"/>
                        <w:rPr>
                          <w:rFonts w:ascii="宋体" w:hAnsi="宋体" w:cs="宋体" w:eastAsia="宋体" w:hint="default"/>
                          <w:sz w:val="16"/>
                          <w:szCs w:val="16"/>
                        </w:rPr>
                      </w:pPr>
                    </w:p>
                    <w:p>
                      <w:pPr>
                        <w:spacing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行政管理人员</w:t>
                      </w:r>
                    </w:p>
                  </w:txbxContent>
                </v:textbox>
                <w10:wrap type="none"/>
              </v:shape>
              <v:shape style="position:absolute;left:570;top:946;width:7740;height:484" type="#_x0000_t202" filled="false" stroked="false">
                <v:textbox inset="0,0,0,0">
                  <w:txbxContent>
                    <w:p>
                      <w:pPr>
                        <w:spacing w:line="145"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生产采购及管理人</w:t>
                      </w:r>
                    </w:p>
                    <w:p>
                      <w:pPr>
                        <w:tabs>
                          <w:tab w:pos="6537" w:val="left" w:leader="none"/>
                        </w:tabs>
                        <w:spacing w:line="338" w:lineRule="exact" w:before="0"/>
                        <w:ind w:left="282" w:right="0" w:firstLine="0"/>
                        <w:jc w:val="left"/>
                        <w:rPr>
                          <w:rFonts w:ascii="宋体" w:hAnsi="宋体" w:cs="宋体" w:eastAsia="宋体" w:hint="default"/>
                          <w:sz w:val="20"/>
                          <w:szCs w:val="20"/>
                        </w:rPr>
                      </w:pPr>
                      <w:r>
                        <w:rPr>
                          <w:rFonts w:ascii="宋体" w:hAnsi="宋体" w:cs="宋体" w:eastAsia="宋体" w:hint="default"/>
                          <w:sz w:val="20"/>
                          <w:szCs w:val="20"/>
                        </w:rPr>
                        <w:t>员</w:t>
                      </w:r>
                      <w:r>
                        <w:rPr>
                          <w:rFonts w:ascii="Calibri" w:hAnsi="Calibri" w:cs="Calibri" w:eastAsia="Calibri" w:hint="default"/>
                          <w:sz w:val="20"/>
                          <w:szCs w:val="20"/>
                        </w:rPr>
                        <w:t>, 427,</w:t>
                      </w:r>
                      <w:r>
                        <w:rPr>
                          <w:rFonts w:ascii="Calibri" w:hAnsi="Calibri" w:cs="Calibri" w:eastAsia="Calibri" w:hint="default"/>
                          <w:spacing w:val="-3"/>
                          <w:sz w:val="20"/>
                          <w:szCs w:val="20"/>
                        </w:rPr>
                        <w:t> </w:t>
                      </w:r>
                      <w:r>
                        <w:rPr>
                          <w:rFonts w:ascii="Calibri" w:hAnsi="Calibri" w:cs="Calibri" w:eastAsia="Calibri" w:hint="default"/>
                          <w:sz w:val="20"/>
                          <w:szCs w:val="20"/>
                        </w:rPr>
                        <w:t>27%</w:t>
                        <w:tab/>
                      </w:r>
                      <w:r>
                        <w:rPr>
                          <w:rFonts w:ascii="宋体" w:hAnsi="宋体" w:cs="宋体" w:eastAsia="宋体" w:hint="default"/>
                          <w:position w:val="11"/>
                          <w:sz w:val="20"/>
                          <w:szCs w:val="20"/>
                        </w:rPr>
                        <w:t>营销管理人员</w:t>
                      </w:r>
                      <w:r>
                        <w:rPr>
                          <w:rFonts w:ascii="宋体" w:hAnsi="宋体" w:cs="宋体" w:eastAsia="宋体" w:hint="default"/>
                          <w:sz w:val="20"/>
                          <w:szCs w:val="20"/>
                        </w:rPr>
                      </w:r>
                    </w:p>
                  </w:txbxContent>
                </v:textbox>
                <w10:wrap type="none"/>
              </v:shape>
              <v:shape style="position:absolute;left:527;top:2007;width:1253;height:471" type="#_x0000_t202" filled="false" stroked="false">
                <v:textbox inset="0,0,0,0">
                  <w:txbxContent>
                    <w:p>
                      <w:pPr>
                        <w:spacing w:line="226" w:lineRule="exact" w:before="0"/>
                        <w:ind w:left="0" w:right="0" w:firstLine="0"/>
                        <w:jc w:val="center"/>
                        <w:rPr>
                          <w:rFonts w:ascii="Calibri" w:hAnsi="Calibri" w:cs="Calibri" w:eastAsia="Calibri" w:hint="default"/>
                          <w:sz w:val="20"/>
                          <w:szCs w:val="20"/>
                        </w:rPr>
                      </w:pPr>
                      <w:r>
                        <w:rPr>
                          <w:rFonts w:ascii="宋体" w:hAnsi="宋体" w:cs="宋体" w:eastAsia="宋体" w:hint="default"/>
                          <w:sz w:val="20"/>
                          <w:szCs w:val="20"/>
                        </w:rPr>
                        <w:t>营销管理人员</w:t>
                      </w:r>
                      <w:r>
                        <w:rPr>
                          <w:rFonts w:ascii="Calibri" w:hAnsi="Calibri" w:cs="Calibri" w:eastAsia="Calibri" w:hint="default"/>
                          <w:sz w:val="20"/>
                          <w:szCs w:val="20"/>
                        </w:rPr>
                        <w:t>,</w:t>
                      </w:r>
                    </w:p>
                    <w:p>
                      <w:pPr>
                        <w:spacing w:line="241" w:lineRule="exact" w:before="4"/>
                        <w:ind w:left="1" w:right="0" w:firstLine="0"/>
                        <w:jc w:val="center"/>
                        <w:rPr>
                          <w:rFonts w:ascii="Calibri" w:hAnsi="Calibri" w:cs="Calibri" w:eastAsia="Calibri" w:hint="default"/>
                          <w:sz w:val="20"/>
                          <w:szCs w:val="20"/>
                        </w:rPr>
                      </w:pPr>
                      <w:r>
                        <w:rPr>
                          <w:rFonts w:ascii="Calibri"/>
                          <w:sz w:val="20"/>
                        </w:rPr>
                        <w:t>270,</w:t>
                      </w:r>
                      <w:r>
                        <w:rPr>
                          <w:rFonts w:ascii="Calibri"/>
                          <w:spacing w:val="-2"/>
                          <w:sz w:val="20"/>
                        </w:rPr>
                        <w:t> </w:t>
                      </w:r>
                      <w:r>
                        <w:rPr>
                          <w:rFonts w:ascii="Calibri"/>
                          <w:sz w:val="20"/>
                        </w:rPr>
                        <w:t>17%</w:t>
                      </w:r>
                    </w:p>
                  </w:txbxContent>
                </v:textbox>
                <w10:wrap type="none"/>
              </v:shape>
              <v:shape style="position:absolute;left:3378;top:1796;width:2716;height:2234" type="#_x0000_t202" filled="false" stroked="false">
                <v:textbox inset="0,0,0,0">
                  <w:txbxContent>
                    <w:p>
                      <w:pPr>
                        <w:spacing w:line="226" w:lineRule="exact" w:before="0"/>
                        <w:ind w:left="0" w:right="1461" w:firstLine="0"/>
                        <w:jc w:val="center"/>
                        <w:rPr>
                          <w:rFonts w:ascii="Calibri" w:hAnsi="Calibri" w:cs="Calibri" w:eastAsia="Calibri" w:hint="default"/>
                          <w:sz w:val="20"/>
                          <w:szCs w:val="20"/>
                        </w:rPr>
                      </w:pPr>
                      <w:r>
                        <w:rPr>
                          <w:rFonts w:ascii="宋体" w:hAnsi="宋体" w:cs="宋体" w:eastAsia="宋体" w:hint="default"/>
                          <w:sz w:val="20"/>
                          <w:szCs w:val="20"/>
                        </w:rPr>
                        <w:t>物流管理人员</w:t>
                      </w:r>
                      <w:r>
                        <w:rPr>
                          <w:rFonts w:ascii="Calibri" w:hAnsi="Calibri" w:cs="Calibri" w:eastAsia="Calibri" w:hint="default"/>
                          <w:sz w:val="20"/>
                          <w:szCs w:val="20"/>
                        </w:rPr>
                        <w:t>,</w:t>
                      </w:r>
                    </w:p>
                    <w:p>
                      <w:pPr>
                        <w:spacing w:before="4"/>
                        <w:ind w:left="0" w:right="1459" w:firstLine="0"/>
                        <w:jc w:val="center"/>
                        <w:rPr>
                          <w:rFonts w:ascii="Calibri" w:hAnsi="Calibri" w:cs="Calibri" w:eastAsia="Calibri" w:hint="default"/>
                          <w:sz w:val="20"/>
                          <w:szCs w:val="20"/>
                        </w:rPr>
                      </w:pPr>
                      <w:r>
                        <w:rPr>
                          <w:rFonts w:ascii="Calibri"/>
                          <w:sz w:val="20"/>
                        </w:rPr>
                        <w:t>259,</w:t>
                      </w:r>
                      <w:r>
                        <w:rPr>
                          <w:rFonts w:ascii="Calibri"/>
                          <w:spacing w:val="-2"/>
                          <w:sz w:val="20"/>
                        </w:rPr>
                        <w:t> </w:t>
                      </w:r>
                      <w:r>
                        <w:rPr>
                          <w:rFonts w:ascii="Calibri"/>
                          <w:sz w:val="20"/>
                        </w:rPr>
                        <w:t>16%</w:t>
                      </w:r>
                    </w:p>
                    <w:p>
                      <w:pPr>
                        <w:spacing w:before="135"/>
                        <w:ind w:left="1219" w:right="454" w:firstLine="19"/>
                        <w:jc w:val="left"/>
                        <w:rPr>
                          <w:rFonts w:ascii="Calibri" w:hAnsi="Calibri" w:cs="Calibri" w:eastAsia="Calibri" w:hint="default"/>
                          <w:sz w:val="20"/>
                          <w:szCs w:val="20"/>
                        </w:rPr>
                      </w:pPr>
                      <w:r>
                        <w:rPr>
                          <w:rFonts w:ascii="宋体" w:hAnsi="宋体" w:cs="宋体" w:eastAsia="宋体" w:hint="default"/>
                          <w:sz w:val="20"/>
                          <w:szCs w:val="20"/>
                        </w:rPr>
                        <w:t>信息管理人</w:t>
                      </w:r>
                      <w:r>
                        <w:rPr>
                          <w:rFonts w:ascii="宋体" w:hAnsi="宋体" w:cs="宋体" w:eastAsia="宋体" w:hint="default"/>
                          <w:w w:val="100"/>
                          <w:sz w:val="20"/>
                          <w:szCs w:val="20"/>
                        </w:rPr>
                        <w:t> </w:t>
                      </w:r>
                      <w:r>
                        <w:rPr>
                          <w:rFonts w:ascii="宋体" w:hAnsi="宋体" w:cs="宋体" w:eastAsia="宋体" w:hint="default"/>
                          <w:sz w:val="20"/>
                          <w:szCs w:val="20"/>
                        </w:rPr>
                        <w:t>员</w:t>
                      </w:r>
                      <w:r>
                        <w:rPr>
                          <w:rFonts w:ascii="Calibri" w:hAnsi="Calibri" w:cs="Calibri" w:eastAsia="Calibri" w:hint="default"/>
                          <w:sz w:val="20"/>
                          <w:szCs w:val="20"/>
                        </w:rPr>
                        <w:t>, 228,</w:t>
                      </w:r>
                      <w:r>
                        <w:rPr>
                          <w:rFonts w:ascii="Calibri" w:hAnsi="Calibri" w:cs="Calibri" w:eastAsia="Calibri" w:hint="default"/>
                          <w:spacing w:val="-3"/>
                          <w:sz w:val="20"/>
                          <w:szCs w:val="20"/>
                        </w:rPr>
                        <w:t> </w:t>
                      </w:r>
                      <w:r>
                        <w:rPr>
                          <w:rFonts w:ascii="Calibri" w:hAnsi="Calibri" w:cs="Calibri" w:eastAsia="Calibri" w:hint="default"/>
                          <w:sz w:val="20"/>
                          <w:szCs w:val="20"/>
                        </w:rPr>
                        <w:t>14%</w:t>
                      </w:r>
                    </w:p>
                    <w:p>
                      <w:pPr>
                        <w:spacing w:before="22"/>
                        <w:ind w:left="1003" w:right="1108" w:firstLine="0"/>
                        <w:jc w:val="center"/>
                        <w:rPr>
                          <w:rFonts w:ascii="宋体" w:hAnsi="宋体" w:cs="宋体" w:eastAsia="宋体" w:hint="default"/>
                          <w:sz w:val="20"/>
                          <w:szCs w:val="20"/>
                        </w:rPr>
                      </w:pPr>
                      <w:r>
                        <w:rPr>
                          <w:rFonts w:ascii="宋体" w:hAnsi="宋体" w:cs="宋体" w:eastAsia="宋体" w:hint="default"/>
                          <w:sz w:val="20"/>
                          <w:szCs w:val="20"/>
                        </w:rPr>
                        <w:t>设计及</w:t>
                      </w:r>
                      <w:r>
                        <w:rPr>
                          <w:rFonts w:ascii="宋体" w:hAnsi="宋体" w:cs="宋体" w:eastAsia="宋体" w:hint="default"/>
                          <w:w w:val="100"/>
                          <w:sz w:val="20"/>
                          <w:szCs w:val="20"/>
                        </w:rPr>
                        <w:t> </w:t>
                      </w:r>
                      <w:r>
                        <w:rPr>
                          <w:rFonts w:ascii="宋体" w:hAnsi="宋体" w:cs="宋体" w:eastAsia="宋体" w:hint="default"/>
                          <w:sz w:val="20"/>
                          <w:szCs w:val="20"/>
                        </w:rPr>
                        <w:t>工艺人</w:t>
                      </w:r>
                    </w:p>
                    <w:p>
                      <w:pPr>
                        <w:spacing w:line="268" w:lineRule="exact" w:before="0"/>
                        <w:ind w:left="978" w:right="0" w:firstLine="0"/>
                        <w:jc w:val="center"/>
                        <w:rPr>
                          <w:rFonts w:ascii="宋体" w:hAnsi="宋体" w:cs="宋体" w:eastAsia="宋体" w:hint="default"/>
                          <w:sz w:val="20"/>
                          <w:szCs w:val="20"/>
                        </w:rPr>
                      </w:pPr>
                      <w:r>
                        <w:rPr>
                          <w:rFonts w:ascii="宋体" w:hAnsi="宋体" w:cs="宋体" w:eastAsia="宋体" w:hint="default"/>
                          <w:sz w:val="20"/>
                          <w:szCs w:val="20"/>
                        </w:rPr>
                        <w:t>员</w:t>
                      </w:r>
                      <w:r>
                        <w:rPr>
                          <w:rFonts w:ascii="Calibri" w:hAnsi="Calibri" w:cs="Calibri" w:eastAsia="Calibri" w:hint="default"/>
                          <w:sz w:val="20"/>
                          <w:szCs w:val="20"/>
                        </w:rPr>
                        <w:t>, 167,</w:t>
                      </w:r>
                      <w:r>
                        <w:rPr>
                          <w:rFonts w:ascii="Calibri" w:hAnsi="Calibri" w:cs="Calibri" w:eastAsia="Calibri" w:hint="default"/>
                          <w:spacing w:val="40"/>
                          <w:sz w:val="20"/>
                          <w:szCs w:val="20"/>
                        </w:rPr>
                        <w:t> </w:t>
                      </w:r>
                      <w:r>
                        <w:rPr>
                          <w:rFonts w:ascii="宋体" w:hAnsi="宋体" w:cs="宋体" w:eastAsia="宋体" w:hint="default"/>
                          <w:position w:val="1"/>
                          <w:sz w:val="20"/>
                          <w:szCs w:val="20"/>
                        </w:rPr>
                        <w:t>品牌营销人</w:t>
                      </w:r>
                      <w:r>
                        <w:rPr>
                          <w:rFonts w:ascii="宋体" w:hAnsi="宋体" w:cs="宋体" w:eastAsia="宋体" w:hint="default"/>
                          <w:sz w:val="20"/>
                          <w:szCs w:val="20"/>
                        </w:rPr>
                      </w:r>
                    </w:p>
                    <w:p>
                      <w:pPr>
                        <w:tabs>
                          <w:tab w:pos="1713" w:val="left" w:leader="none"/>
                        </w:tabs>
                        <w:spacing w:line="265" w:lineRule="exact" w:before="0"/>
                        <w:ind w:left="1048" w:right="0" w:firstLine="0"/>
                        <w:jc w:val="center"/>
                        <w:rPr>
                          <w:rFonts w:ascii="Calibri" w:hAnsi="Calibri" w:cs="Calibri" w:eastAsia="Calibri" w:hint="default"/>
                          <w:sz w:val="20"/>
                          <w:szCs w:val="20"/>
                        </w:rPr>
                      </w:pPr>
                      <w:r>
                        <w:rPr>
                          <w:rFonts w:ascii="Calibri" w:hAnsi="Calibri" w:cs="Calibri" w:eastAsia="Calibri" w:hint="default"/>
                          <w:sz w:val="20"/>
                          <w:szCs w:val="20"/>
                        </w:rPr>
                        <w:t>11%</w:t>
                        <w:tab/>
                      </w:r>
                      <w:r>
                        <w:rPr>
                          <w:rFonts w:ascii="宋体" w:hAnsi="宋体" w:cs="宋体" w:eastAsia="宋体" w:hint="default"/>
                          <w:sz w:val="20"/>
                          <w:szCs w:val="20"/>
                        </w:rPr>
                        <w:t>员</w:t>
                      </w:r>
                      <w:r>
                        <w:rPr>
                          <w:rFonts w:ascii="Calibri" w:hAnsi="Calibri" w:cs="Calibri" w:eastAsia="Calibri" w:hint="default"/>
                          <w:sz w:val="20"/>
                          <w:szCs w:val="20"/>
                        </w:rPr>
                        <w:t>, 27,</w:t>
                      </w:r>
                      <w:r>
                        <w:rPr>
                          <w:rFonts w:ascii="Calibri" w:hAnsi="Calibri" w:cs="Calibri" w:eastAsia="Calibri" w:hint="default"/>
                          <w:spacing w:val="-3"/>
                          <w:sz w:val="20"/>
                          <w:szCs w:val="20"/>
                        </w:rPr>
                        <w:t> </w:t>
                      </w:r>
                      <w:r>
                        <w:rPr>
                          <w:rFonts w:ascii="Calibri" w:hAnsi="Calibri" w:cs="Calibri" w:eastAsia="Calibri" w:hint="default"/>
                          <w:sz w:val="20"/>
                          <w:szCs w:val="20"/>
                        </w:rPr>
                        <w:t>2%</w:t>
                      </w:r>
                    </w:p>
                  </w:txbxContent>
                </v:textbox>
                <w10:wrap type="none"/>
              </v:shape>
              <v:shape style="position:absolute;left:7107;top:1565;width:1403;height:1145"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生产采购及管理</w:t>
                      </w:r>
                    </w:p>
                    <w:p>
                      <w:pPr>
                        <w:spacing w:line="212" w:lineRule="exact" w:before="63"/>
                        <w:ind w:left="0" w:right="198" w:firstLine="0"/>
                        <w:jc w:val="left"/>
                        <w:rPr>
                          <w:rFonts w:ascii="宋体" w:hAnsi="宋体" w:cs="宋体" w:eastAsia="宋体" w:hint="default"/>
                          <w:sz w:val="20"/>
                          <w:szCs w:val="20"/>
                        </w:rPr>
                      </w:pPr>
                      <w:r>
                        <w:rPr>
                          <w:rFonts w:ascii="宋体" w:hAnsi="宋体" w:cs="宋体" w:eastAsia="宋体" w:hint="default"/>
                          <w:sz w:val="20"/>
                          <w:szCs w:val="20"/>
                        </w:rPr>
                        <w:t>人员</w:t>
                      </w:r>
                      <w:r>
                        <w:rPr>
                          <w:rFonts w:ascii="宋体" w:hAnsi="宋体" w:cs="宋体" w:eastAsia="宋体" w:hint="default"/>
                          <w:w w:val="100"/>
                          <w:sz w:val="20"/>
                          <w:szCs w:val="20"/>
                        </w:rPr>
                        <w:t> </w:t>
                      </w:r>
                      <w:r>
                        <w:rPr>
                          <w:rFonts w:ascii="宋体" w:hAnsi="宋体" w:cs="宋体" w:eastAsia="宋体" w:hint="default"/>
                          <w:sz w:val="20"/>
                          <w:szCs w:val="20"/>
                        </w:rPr>
                        <w:t>物流管理人员</w:t>
                      </w:r>
                    </w:p>
                    <w:p>
                      <w:pPr>
                        <w:spacing w:line="240" w:lineRule="auto" w:before="13"/>
                        <w:rPr>
                          <w:rFonts w:ascii="宋体" w:hAnsi="宋体" w:cs="宋体" w:eastAsia="宋体" w:hint="default"/>
                          <w:sz w:val="14"/>
                          <w:szCs w:val="14"/>
                        </w:rPr>
                      </w:pPr>
                    </w:p>
                    <w:p>
                      <w:pPr>
                        <w:spacing w:before="0"/>
                        <w:ind w:left="0" w:right="0" w:firstLine="0"/>
                        <w:jc w:val="left"/>
                        <w:rPr>
                          <w:rFonts w:ascii="宋体" w:hAnsi="宋体" w:cs="宋体" w:eastAsia="宋体" w:hint="default"/>
                          <w:sz w:val="20"/>
                          <w:szCs w:val="20"/>
                        </w:rPr>
                      </w:pPr>
                      <w:r>
                        <w:rPr>
                          <w:rFonts w:ascii="宋体" w:hAnsi="宋体" w:cs="宋体" w:eastAsia="宋体" w:hint="default"/>
                          <w:sz w:val="20"/>
                          <w:szCs w:val="20"/>
                        </w:rPr>
                        <w:t>信息管理人员</w:t>
                      </w:r>
                    </w:p>
                  </w:txbxContent>
                </v:textbox>
                <w10:wrap type="none"/>
              </v:shape>
              <v:shape style="position:absolute;left:464;top:2966;width:2160;height:1068" type="#_x0000_t202" filled="false" stroked="false">
                <v:textbox inset="0,0,0,0">
                  <w:txbxContent>
                    <w:p>
                      <w:pPr>
                        <w:spacing w:line="226" w:lineRule="exact" w:before="0"/>
                        <w:ind w:left="0" w:right="905" w:firstLine="0"/>
                        <w:jc w:val="center"/>
                        <w:rPr>
                          <w:rFonts w:ascii="Calibri" w:hAnsi="Calibri" w:cs="Calibri" w:eastAsia="Calibri" w:hint="default"/>
                          <w:sz w:val="20"/>
                          <w:szCs w:val="20"/>
                        </w:rPr>
                      </w:pPr>
                      <w:r>
                        <w:rPr>
                          <w:rFonts w:ascii="宋体" w:hAnsi="宋体" w:cs="宋体" w:eastAsia="宋体" w:hint="default"/>
                          <w:sz w:val="20"/>
                          <w:szCs w:val="20"/>
                        </w:rPr>
                        <w:t>行政管理人员</w:t>
                      </w:r>
                      <w:r>
                        <w:rPr>
                          <w:rFonts w:ascii="Calibri" w:hAnsi="Calibri" w:cs="Calibri" w:eastAsia="Calibri" w:hint="default"/>
                          <w:sz w:val="20"/>
                          <w:szCs w:val="20"/>
                        </w:rPr>
                        <w:t>,</w:t>
                      </w:r>
                    </w:p>
                    <w:p>
                      <w:pPr>
                        <w:spacing w:before="4"/>
                        <w:ind w:left="0" w:right="905" w:firstLine="0"/>
                        <w:jc w:val="center"/>
                        <w:rPr>
                          <w:rFonts w:ascii="Calibri" w:hAnsi="Calibri" w:cs="Calibri" w:eastAsia="Calibri" w:hint="default"/>
                          <w:sz w:val="20"/>
                          <w:szCs w:val="20"/>
                        </w:rPr>
                      </w:pPr>
                      <w:r>
                        <w:rPr>
                          <w:rFonts w:ascii="Calibri"/>
                          <w:sz w:val="20"/>
                        </w:rPr>
                        <w:t>134,</w:t>
                      </w:r>
                      <w:r>
                        <w:rPr>
                          <w:rFonts w:ascii="Calibri"/>
                          <w:spacing w:val="-2"/>
                          <w:sz w:val="20"/>
                        </w:rPr>
                        <w:t> </w:t>
                      </w:r>
                      <w:r>
                        <w:rPr>
                          <w:rFonts w:ascii="Calibri"/>
                          <w:sz w:val="20"/>
                        </w:rPr>
                        <w:t>9%</w:t>
                      </w:r>
                    </w:p>
                    <w:p>
                      <w:pPr>
                        <w:spacing w:line="242" w:lineRule="auto" w:before="60"/>
                        <w:ind w:left="1262" w:right="0" w:hanging="356"/>
                        <w:jc w:val="left"/>
                        <w:rPr>
                          <w:rFonts w:ascii="Calibri" w:hAnsi="Calibri" w:cs="Calibri" w:eastAsia="Calibri" w:hint="default"/>
                          <w:sz w:val="20"/>
                          <w:szCs w:val="20"/>
                        </w:rPr>
                      </w:pPr>
                      <w:r>
                        <w:rPr>
                          <w:rFonts w:ascii="宋体" w:hAnsi="宋体" w:cs="宋体" w:eastAsia="宋体" w:hint="default"/>
                          <w:sz w:val="20"/>
                          <w:szCs w:val="20"/>
                        </w:rPr>
                        <w:t>财务管理人员</w:t>
                      </w:r>
                      <w:r>
                        <w:rPr>
                          <w:rFonts w:ascii="Calibri" w:hAnsi="Calibri" w:cs="Calibri" w:eastAsia="Calibri" w:hint="default"/>
                          <w:sz w:val="20"/>
                          <w:szCs w:val="20"/>
                        </w:rPr>
                        <w:t>,</w:t>
                      </w:r>
                      <w:r>
                        <w:rPr>
                          <w:rFonts w:ascii="Calibri" w:hAnsi="Calibri" w:cs="Calibri" w:eastAsia="Calibri" w:hint="default"/>
                          <w:spacing w:val="-43"/>
                          <w:sz w:val="20"/>
                          <w:szCs w:val="20"/>
                        </w:rPr>
                        <w:t> </w:t>
                      </w:r>
                      <w:r>
                        <w:rPr>
                          <w:rFonts w:ascii="Calibri" w:hAnsi="Calibri" w:cs="Calibri" w:eastAsia="Calibri" w:hint="default"/>
                          <w:sz w:val="20"/>
                          <w:szCs w:val="20"/>
                        </w:rPr>
                        <w:t>64,</w:t>
                      </w:r>
                      <w:r>
                        <w:rPr>
                          <w:rFonts w:ascii="Calibri" w:hAnsi="Calibri" w:cs="Calibri" w:eastAsia="Calibri" w:hint="default"/>
                          <w:spacing w:val="-2"/>
                          <w:sz w:val="20"/>
                          <w:szCs w:val="20"/>
                        </w:rPr>
                        <w:t> </w:t>
                      </w:r>
                      <w:r>
                        <w:rPr>
                          <w:rFonts w:ascii="Calibri" w:hAnsi="Calibri" w:cs="Calibri" w:eastAsia="Calibri" w:hint="default"/>
                          <w:sz w:val="20"/>
                          <w:szCs w:val="20"/>
                        </w:rPr>
                        <w:t>4%</w:t>
                      </w:r>
                    </w:p>
                  </w:txbxContent>
                </v:textbox>
                <w10:wrap type="none"/>
              </v:shape>
              <v:shape style="position:absolute;left:7107;top:2980;width:14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设计及工艺人员</w:t>
                      </w:r>
                    </w:p>
                  </w:txbxContent>
                </v:textbox>
                <w10:wrap type="none"/>
              </v:shape>
              <v:shape style="position:absolute;left:7107;top:3452;width:12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品牌营销人员</w:t>
                      </w:r>
                    </w:p>
                  </w:txbxContent>
                </v:textbox>
                <w10:wrap type="none"/>
              </v:shape>
            </v:group>
          </v:group>
        </w:pict>
      </w:r>
      <w:r>
        <w:rPr>
          <w:rFonts w:ascii="宋体" w:hAnsi="宋体" w:cs="宋体" w:eastAsia="宋体" w:hint="default"/>
          <w:position w:val="-81"/>
          <w:sz w:val="20"/>
          <w:szCs w:val="2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16" w:lineRule="auto"/>
        <w:ind w:right="1131"/>
        <w:jc w:val="both"/>
      </w:pPr>
      <w:r>
        <w:rPr>
          <w:spacing w:val="-2"/>
        </w:rPr>
        <w:t>公司实行劳动合同制，按照《中华人民共和国劳动合同法》和国家及地方其他有关劳动法律、法规的规定，与员工签订劳动</w:t>
      </w:r>
      <w:r>
        <w:rPr>
          <w:spacing w:val="-66"/>
        </w:rPr>
        <w:t> </w:t>
      </w:r>
      <w:r>
        <w:rPr>
          <w:spacing w:val="-66"/>
        </w:rPr>
      </w:r>
      <w:r>
        <w:rPr>
          <w:spacing w:val="-2"/>
        </w:rPr>
        <w:t>合同。公司及各子公司严格执行国家用工制度、劳动保护制度、社会保障制度和医疗保障制度，按照国家规定为员工缴纳住</w:t>
      </w:r>
      <w:r>
        <w:rPr>
          <w:spacing w:val="-66"/>
        </w:rPr>
        <w:t> </w:t>
      </w:r>
      <w:r>
        <w:rPr>
          <w:spacing w:val="-66"/>
        </w:rPr>
      </w:r>
      <w:r>
        <w:rPr/>
        <w:t>房公积金、医疗保险金、养老保险、失业保险、工伤保险及生育保险。</w:t>
      </w:r>
    </w:p>
    <w:p>
      <w:pPr>
        <w:spacing w:line="240" w:lineRule="auto" w:before="4"/>
        <w:rPr>
          <w:rFonts w:ascii="宋体" w:hAnsi="宋体" w:cs="宋体" w:eastAsia="宋体" w:hint="default"/>
          <w:sz w:val="25"/>
          <w:szCs w:val="25"/>
        </w:rPr>
      </w:pPr>
    </w:p>
    <w:p>
      <w:pPr>
        <w:pStyle w:val="BodyText"/>
        <w:spacing w:line="240" w:lineRule="auto"/>
        <w:ind w:right="0"/>
        <w:jc w:val="both"/>
      </w:pPr>
      <w:r>
        <w:rPr/>
        <w:t>公司没有需要承担费用的离退休员工。</w:t>
      </w:r>
    </w:p>
    <w:p>
      <w:pPr>
        <w:spacing w:after="0" w:line="240"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4647"/>
        <w:jc w:val="center"/>
        <w:rPr>
          <w:b w:val="0"/>
          <w:bCs w:val="0"/>
        </w:rPr>
      </w:pPr>
      <w:bookmarkStart w:name="第九节公司治理" w:id="116"/>
      <w:bookmarkEnd w:id="116"/>
      <w:r>
        <w:rPr>
          <w:b w:val="0"/>
          <w:bCs w:val="0"/>
        </w:rPr>
      </w:r>
      <w:bookmarkStart w:name="_bookmark8" w:id="117"/>
      <w:bookmarkEnd w:id="117"/>
      <w:r>
        <w:rPr>
          <w:b w:val="0"/>
          <w:bCs w:val="0"/>
        </w:rPr>
      </w:r>
      <w:r>
        <w:rPr/>
        <w:t>第九节公司治理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公司治理的基本状况" w:id="118"/>
      <w:bookmarkEnd w:id="118"/>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70"/>
        <w:jc w:val="both"/>
      </w:pPr>
      <w:r>
        <w:rPr>
          <w:spacing w:val="-1"/>
        </w:rPr>
        <w:t>报告期内，公司严格按照《公司法》、《证券法》、《上市公司治理准则》和《深圳证券交易所股票上市规则》等相</w:t>
      </w:r>
      <w:r>
        <w:rPr/>
        <w:t> 关法律、法规的规定，不断完善公司法人治理结构，健全内部控制体系，进一步实现规范运作。</w:t>
      </w:r>
    </w:p>
    <w:p>
      <w:pPr>
        <w:pStyle w:val="BodyText"/>
        <w:spacing w:line="316" w:lineRule="auto" w:before="19"/>
        <w:ind w:right="1133" w:firstLine="420"/>
        <w:jc w:val="both"/>
      </w:pPr>
      <w:r>
        <w:rPr/>
        <w:t>目前，公司整体运作比较规范、独立性强、信息披露规范，实际情况与中国证监会有关上市公司治理的规范性文件要 求基本符合。</w:t>
      </w:r>
    </w:p>
    <w:p>
      <w:pPr>
        <w:pStyle w:val="BodyText"/>
        <w:spacing w:line="300" w:lineRule="auto" w:before="19"/>
        <w:ind w:right="1130" w:firstLine="420"/>
        <w:jc w:val="both"/>
      </w:pPr>
      <w:r>
        <w:rPr>
          <w:rFonts w:ascii="Times New Roman" w:hAnsi="Times New Roman" w:cs="Times New Roman" w:eastAsia="Times New Roman" w:hint="default"/>
          <w:spacing w:val="-2"/>
        </w:rPr>
        <w:t>1</w:t>
      </w:r>
      <w:r>
        <w:rPr>
          <w:spacing w:val="-2"/>
        </w:rPr>
        <w:t>、关于股东与股东大会：报告期内，公司严格按照《上市公司股东大会规范意见》和《股东大会议事规则》的规定和</w:t>
      </w:r>
      <w:r>
        <w:rPr/>
        <w:t> 要求，规范股东大会的召集、召开、表决程序，平等对待所有股东，确保股东特别是中小股东能充分行使其权利。</w:t>
      </w:r>
    </w:p>
    <w:p>
      <w:pPr>
        <w:pStyle w:val="BodyText"/>
        <w:spacing w:line="309" w:lineRule="auto" w:before="31"/>
        <w:ind w:right="1132" w:firstLine="42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、关于控股股东与上市公司的关系：公司控股股东行为规范，能依法行使其权利，并承担相应义务，没有超越公司股</w:t>
      </w:r>
      <w:r>
        <w:rPr/>
        <w:t> </w:t>
      </w:r>
      <w:r>
        <w:rPr>
          <w:spacing w:val="-2"/>
        </w:rPr>
        <w:t>东大会直接或间接干预公司的决策和经营活动。公司具有独立的经营能力和完备的供销系统，公司董事会、监事会和内部机</w:t>
      </w:r>
      <w:r>
        <w:rPr>
          <w:spacing w:val="-66"/>
        </w:rPr>
        <w:t> </w:t>
      </w:r>
      <w:r>
        <w:rPr>
          <w:spacing w:val="-66"/>
        </w:rPr>
      </w:r>
      <w:r>
        <w:rPr/>
        <w:t>构能够独立运作。</w:t>
      </w:r>
    </w:p>
    <w:p>
      <w:pPr>
        <w:pStyle w:val="BodyText"/>
        <w:spacing w:line="309" w:lineRule="auto" w:before="24"/>
        <w:ind w:right="1130" w:firstLine="420"/>
        <w:jc w:val="both"/>
      </w:pPr>
      <w:r>
        <w:rPr>
          <w:rFonts w:ascii="Times New Roman" w:hAnsi="Times New Roman" w:cs="Times New Roman" w:eastAsia="Times New Roman" w:hint="default"/>
          <w:spacing w:val="-1"/>
        </w:rPr>
        <w:t>3</w:t>
      </w:r>
      <w:r>
        <w:rPr>
          <w:spacing w:val="-1"/>
        </w:rPr>
        <w:t>、关于董事和董事会：公司严格按照《公司法》、公司《章程》规定的选聘程序选举董事，董事会的人数及结构符合</w:t>
      </w:r>
      <w:r>
        <w:rPr/>
        <w:t> </w:t>
      </w:r>
      <w:r>
        <w:rPr>
          <w:spacing w:val="-2"/>
        </w:rPr>
        <w:t>法律法规和公司《章程》的要求。全体董事严格按照《公司法》和公司《章程》、《董事会议事规则》的规定，规范董事会</w:t>
      </w:r>
      <w:r>
        <w:rPr>
          <w:spacing w:val="-70"/>
        </w:rPr>
        <w:t> </w:t>
      </w:r>
      <w:r>
        <w:rPr>
          <w:spacing w:val="-70"/>
        </w:rPr>
      </w:r>
      <w:r>
        <w:rPr/>
        <w:t>的召集、召开和表决；认真出席董事会和股东大会，积极参加对相关知识的培训，熟悉有关法律法规，勤勉尽责。</w:t>
      </w:r>
    </w:p>
    <w:p>
      <w:pPr>
        <w:pStyle w:val="BodyText"/>
        <w:spacing w:line="312" w:lineRule="auto" w:before="24"/>
        <w:ind w:right="1130" w:firstLine="420"/>
        <w:jc w:val="both"/>
      </w:pPr>
      <w:r>
        <w:rPr>
          <w:rFonts w:ascii="Times New Roman" w:hAnsi="Times New Roman" w:cs="Times New Roman" w:eastAsia="Times New Roman" w:hint="default"/>
          <w:spacing w:val="-1"/>
        </w:rPr>
        <w:t>4</w:t>
      </w:r>
      <w:r>
        <w:rPr>
          <w:spacing w:val="-1"/>
        </w:rPr>
        <w:t>、关于监事和监事会：公司严格按照《公司法》、公司《章程》的规定选举产生监事，监事会的人数及结构符合法律</w:t>
      </w:r>
      <w:r>
        <w:rPr/>
        <w:t> </w:t>
      </w:r>
      <w:r>
        <w:rPr>
          <w:spacing w:val="-5"/>
        </w:rPr>
        <w:t>法规和公司《章程》的要求。监事会严格按照公司《章程》、《监事会议事规则》的规定，规范监事会的召集、召开和表决，</w:t>
      </w:r>
      <w:r>
        <w:rPr>
          <w:spacing w:val="-83"/>
        </w:rPr>
        <w:t> </w:t>
      </w:r>
      <w:r>
        <w:rPr>
          <w:spacing w:val="-83"/>
        </w:rPr>
      </w:r>
      <w:r>
        <w:rPr>
          <w:spacing w:val="-2"/>
        </w:rPr>
        <w:t>公司监事认真履行职责，诚信、勤勉、尽责地对公司财务以及董事、高级管理人员履行职责的合法、合规性进行监督，维护</w:t>
      </w:r>
      <w:r>
        <w:rPr>
          <w:spacing w:val="-68"/>
        </w:rPr>
        <w:t> </w:t>
      </w:r>
      <w:r>
        <w:rPr>
          <w:spacing w:val="-68"/>
        </w:rPr>
      </w:r>
      <w:r>
        <w:rPr/>
        <w:t>公司及股东的合法权益。</w:t>
      </w:r>
    </w:p>
    <w:p>
      <w:pPr>
        <w:pStyle w:val="BodyText"/>
        <w:spacing w:line="300" w:lineRule="auto" w:before="23"/>
        <w:ind w:right="1132" w:firstLine="42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、关于绩效评价与激励约束机制：公司逐步建立和完善公正、透明的董事、监事和高级管理人员的绩效评价标准和激</w:t>
      </w:r>
      <w:r>
        <w:rPr/>
        <w:t> 励约束机制，公司高管人员的聘任公开、透明，符合法律法规的规定。</w:t>
      </w:r>
    </w:p>
    <w:p>
      <w:pPr>
        <w:pStyle w:val="BodyText"/>
        <w:spacing w:line="300" w:lineRule="auto" w:before="31"/>
        <w:ind w:right="1131" w:firstLine="42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、关于相关利益者：公司能够充分尊重和维护相关利益者的合法权益，积极与相关利益者合作，加强与各方的沟通和</w:t>
      </w:r>
      <w:r>
        <w:rPr/>
        <w:t> 交流，实现股东、员工、社会等各方利益的均衡，以推动公司持续、稳定、健康地发展。</w:t>
      </w:r>
    </w:p>
    <w:p>
      <w:pPr>
        <w:pStyle w:val="BodyText"/>
        <w:spacing w:line="312" w:lineRule="auto" w:before="72"/>
        <w:ind w:left="154" w:right="1129"/>
        <w:jc w:val="both"/>
      </w:pPr>
      <w:r>
        <w:rPr>
          <w:rFonts w:ascii="Times New Roman" w:hAnsi="Times New Roman" w:cs="Times New Roman" w:eastAsia="Times New Roman" w:hint="default"/>
        </w:rPr>
        <w:t>7</w:t>
      </w:r>
      <w:r>
        <w:rPr/>
        <w:t>、关于信息披露与透明度：公司严格按照《信息披露管理制度》和《投资者关系管理制度》的要求，指定公司董事会秘书</w:t>
      </w:r>
      <w:r>
        <w:rPr>
          <w:spacing w:val="-83"/>
        </w:rPr>
        <w:t> </w:t>
      </w:r>
      <w:r>
        <w:rPr>
          <w:spacing w:val="-83"/>
        </w:rPr>
      </w:r>
      <w:r>
        <w:rPr>
          <w:spacing w:val="-2"/>
        </w:rPr>
        <w:t>负责信息披露工作、接待股东来访和咨询，严格按照有关规定真实、准确、完整、及时地披露有关信息，确保公司所有股东</w:t>
      </w:r>
      <w:r>
        <w:rPr>
          <w:spacing w:val="-67"/>
        </w:rPr>
        <w:t> </w:t>
      </w:r>
      <w:r>
        <w:rPr>
          <w:spacing w:val="-67"/>
        </w:rPr>
      </w:r>
      <w:r>
        <w:rPr>
          <w:spacing w:val="-2"/>
        </w:rPr>
        <w:t>能够以平等的机会获得信息。为加大对年报信息披露责任人的问责力度，提高年报信息披露质量和透明度，截至本报告出具</w:t>
      </w:r>
      <w:r>
        <w:rPr>
          <w:spacing w:val="-66"/>
        </w:rPr>
        <w:t> </w:t>
      </w:r>
      <w:r>
        <w:rPr>
          <w:spacing w:val="-66"/>
        </w:rPr>
      </w:r>
      <w:r>
        <w:rPr/>
        <w:t>日，公司已建立年报信息披露重大差错责任追究机制。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154" w:right="1033"/>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3"/>
        <w:ind w:right="1033"/>
        <w:jc w:val="left"/>
      </w:pPr>
      <w:r>
        <w:rPr/>
        <w:t>公司治理专项活动开展情况以及内幕信息知情人登记管理制度的制定、实施情况</w:t>
      </w:r>
    </w:p>
    <w:p>
      <w:pPr>
        <w:pStyle w:val="BodyText"/>
        <w:spacing w:line="309" w:lineRule="auto" w:before="115"/>
        <w:ind w:right="1041"/>
        <w:jc w:val="left"/>
      </w:pPr>
      <w:r>
        <w:rPr>
          <w:rFonts w:ascii="Times New Roman" w:hAnsi="Times New Roman" w:cs="Times New Roman" w:eastAsia="Times New Roman" w:hint="default"/>
        </w:rPr>
        <w:t>1</w:t>
      </w:r>
      <w:r>
        <w:rPr/>
        <w:t>、公司治理专项活动：根据中国证监会《关于开展加强上市公司治理专项活动有关事项的通知》</w:t>
      </w:r>
      <w:r>
        <w:rPr>
          <w:rFonts w:ascii="Times New Roman" w:hAnsi="Times New Roman" w:cs="Times New Roman" w:eastAsia="Times New Roman" w:hint="default"/>
        </w:rPr>
        <w:t>(</w:t>
      </w:r>
      <w:r>
        <w:rPr/>
        <w:t>证监公司字</w:t>
      </w:r>
      <w:r>
        <w:rPr>
          <w:rFonts w:ascii="Times New Roman" w:hAnsi="Times New Roman" w:cs="Times New Roman" w:eastAsia="Times New Roman" w:hint="default"/>
        </w:rPr>
        <w:t>[2007]28</w:t>
      </w:r>
      <w:r>
        <w:rPr>
          <w:rFonts w:ascii="Times New Roman" w:hAnsi="Times New Roman" w:cs="Times New Roman" w:eastAsia="Times New Roman" w:hint="default"/>
          <w:spacing w:val="37"/>
        </w:rPr>
        <w:t> </w:t>
      </w:r>
      <w:r>
        <w:rPr/>
        <w:t>号，</w:t>
      </w:r>
      <w:r>
        <w:rPr>
          <w:spacing w:val="-81"/>
        </w:rPr>
        <w:t> </w:t>
      </w:r>
      <w:r>
        <w:rPr>
          <w:spacing w:val="-7"/>
        </w:rPr>
        <w:t>以下简称《通知》</w:t>
      </w:r>
      <w:r>
        <w:rPr>
          <w:rFonts w:ascii="Times New Roman" w:hAnsi="Times New Roman" w:cs="Times New Roman" w:eastAsia="Times New Roman" w:hint="default"/>
          <w:spacing w:val="-7"/>
        </w:rPr>
        <w:t>)</w:t>
      </w:r>
      <w:r>
        <w:rPr>
          <w:spacing w:val="-7"/>
        </w:rPr>
        <w:t>、《关于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年进一步深入推进公司治理专项活动的通知》（上市部函</w:t>
      </w:r>
      <w:r>
        <w:rPr>
          <w:rFonts w:ascii="Times New Roman" w:hAnsi="Times New Roman" w:cs="Times New Roman" w:eastAsia="Times New Roman" w:hint="default"/>
          <w:spacing w:val="-3"/>
        </w:rPr>
        <w:t>[2008]116</w:t>
      </w:r>
      <w:r>
        <w:rPr>
          <w:rFonts w:ascii="Times New Roman" w:hAnsi="Times New Roman" w:cs="Times New Roman" w:eastAsia="Times New Roman" w:hint="default"/>
          <w:spacing w:val="-1"/>
        </w:rPr>
        <w:t> </w:t>
      </w:r>
      <w:r>
        <w:rPr/>
        <w:t>号）以及上海证监局相</w:t>
      </w:r>
      <w:r>
        <w:rPr>
          <w:spacing w:val="-88"/>
        </w:rPr>
        <w:t> </w:t>
      </w:r>
      <w:r>
        <w:rPr>
          <w:spacing w:val="-88"/>
        </w:rPr>
      </w:r>
      <w:r>
        <w:rPr>
          <w:spacing w:val="-4"/>
        </w:rPr>
        <w:t>关的要求和统一部署，公司本着实事求是的原则，以规范运作、提高公司治理水平为目标，严格对照《公司法》、《证券法》</w:t>
      </w:r>
      <w:r>
        <w:rPr>
          <w:spacing w:val="-44"/>
        </w:rPr>
        <w:t> </w:t>
      </w:r>
      <w:r>
        <w:rPr>
          <w:spacing w:val="-44"/>
        </w:rPr>
      </w:r>
      <w:r>
        <w:rPr>
          <w:spacing w:val="-2"/>
        </w:rPr>
        <w:t>等有关法律法规和以及《公司章程》等规章制度，认真开展了上市公司治理专项活动。本次上市公司治理专项活动共分为自</w:t>
      </w:r>
      <w:r>
        <w:rPr>
          <w:spacing w:val="-66"/>
        </w:rPr>
        <w:t> </w:t>
      </w:r>
      <w:r>
        <w:rPr>
          <w:spacing w:val="-66"/>
        </w:rPr>
      </w:r>
      <w:r>
        <w:rPr>
          <w:spacing w:val="-3"/>
        </w:rPr>
        <w:t>查、公众评议和整改提高三个阶段进行：第一阶段为自查阶段，时间为</w:t>
      </w:r>
      <w:r>
        <w:rPr>
          <w:spacing w:val="-44"/>
        </w:rPr>
        <w:t> </w:t>
      </w:r>
      <w:r>
        <w:rPr>
          <w:rFonts w:ascii="Times New Roman" w:hAnsi="Times New Roman" w:cs="Times New Roman" w:eastAsia="Times New Roman" w:hint="default"/>
        </w:rPr>
        <w:t>2008 </w:t>
      </w:r>
      <w:r>
        <w:rPr/>
        <w:t>年</w:t>
      </w:r>
      <w:r>
        <w:rPr>
          <w:spacing w:val="-44"/>
        </w:rPr>
        <w:t> </w:t>
      </w:r>
      <w:r>
        <w:rPr>
          <w:rFonts w:ascii="Times New Roman" w:hAnsi="Times New Roman" w:cs="Times New Roman" w:eastAsia="Times New Roman" w:hint="default"/>
        </w:rPr>
        <w:t>9 </w:t>
      </w:r>
      <w:r>
        <w:rPr/>
        <w:t>月初到</w:t>
      </w:r>
      <w:r>
        <w:rPr>
          <w:spacing w:val="-45"/>
        </w:rPr>
        <w:t> </w:t>
      </w:r>
      <w:r>
        <w:rPr>
          <w:rFonts w:ascii="Times New Roman" w:hAnsi="Times New Roman" w:cs="Times New Roman" w:eastAsia="Times New Roman" w:hint="default"/>
        </w:rPr>
        <w:t>10 </w:t>
      </w:r>
      <w:r>
        <w:rPr/>
        <w:t>月中旬：对照公司治理有关规定</w:t>
      </w:r>
      <w:r>
        <w:rPr>
          <w:spacing w:val="-87"/>
        </w:rPr>
        <w:t> </w:t>
      </w:r>
      <w:r>
        <w:rPr>
          <w:spacing w:val="-87"/>
        </w:rPr>
      </w:r>
      <w:r>
        <w:rPr>
          <w:spacing w:val="-2"/>
        </w:rPr>
        <w:t>以及自查事项，认真查找本公司治理结构方面存在的问题和不足，深入分析产生问题的深层次原因，自查应全面客观、实事</w:t>
      </w:r>
      <w:r>
        <w:rPr>
          <w:spacing w:val="-66"/>
        </w:rPr>
        <w:t> </w:t>
      </w:r>
      <w:r>
        <w:rPr>
          <w:spacing w:val="-66"/>
        </w:rPr>
      </w:r>
      <w:r>
        <w:rPr>
          <w:spacing w:val="-2"/>
        </w:rPr>
        <w:t>求是。对查找出的问题要制订明确的整改措施和整改时间表。自查报告和整改计划经董事会讨论通过后，报送上海证监局和</w:t>
      </w:r>
      <w:r>
        <w:rPr>
          <w:spacing w:val="-66"/>
        </w:rPr>
        <w:t> </w:t>
      </w:r>
      <w:r>
        <w:rPr>
          <w:spacing w:val="-66"/>
        </w:rPr>
      </w:r>
      <w:r>
        <w:rPr/>
        <w:t>深圳证券交易所，并在中国证监会指定的互联网网站上予以公布。第二阶段为公众评议阶段，时间为</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月下旬到</w:t>
      </w:r>
    </w:p>
    <w:p>
      <w:pPr>
        <w:spacing w:after="0" w:line="309" w:lineRule="auto"/>
        <w:jc w:val="left"/>
        <w:sectPr>
          <w:pgSz w:w="11910" w:h="16840"/>
          <w:pgMar w:header="851" w:footer="979" w:top="1320" w:bottom="1160" w:left="980" w:right="0"/>
        </w:sectPr>
      </w:pPr>
    </w:p>
    <w:p>
      <w:pPr>
        <w:pStyle w:val="BodyText"/>
        <w:spacing w:line="309" w:lineRule="auto" w:before="114"/>
        <w:ind w:left="154" w:right="1130"/>
        <w:jc w:val="both"/>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月中旬：设立专门的电话和网络平台听取投资者和社会公众的意见和建议，此项工作时间不少于</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天。之后上海证监局 </w:t>
      </w:r>
      <w:r>
        <w:rPr>
          <w:spacing w:val="-2"/>
        </w:rPr>
        <w:t>对上市公司治理情况进行全面检查，根据日常监管情况、公司自查情况、检查情况和社会公众评议情况对各上市公司的治理</w:t>
      </w:r>
      <w:r>
        <w:rPr>
          <w:spacing w:val="-66"/>
        </w:rPr>
        <w:t> </w:t>
      </w:r>
      <w:r>
        <w:rPr>
          <w:spacing w:val="-66"/>
        </w:rPr>
      </w:r>
      <w:r>
        <w:rPr/>
        <w:t>状况进行综合评价，并提出整改建议。第三阶段为整改提高阶段，时间为</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t>年</w:t>
      </w:r>
      <w:r>
        <w:rPr>
          <w:spacing w:val="-6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0"/>
        </w:rPr>
        <w:t> </w:t>
      </w:r>
      <w:r>
        <w:rPr/>
        <w:t>月下旬：根据上海证监局和深圳证券交 </w:t>
      </w:r>
      <w:r>
        <w:rPr>
          <w:spacing w:val="-2"/>
        </w:rPr>
        <w:t>易所提出的整改建议和投资者、社会公众提出的意见建议落实整改责任，切实进行整改，提高治理水平。整改报告经董事会</w:t>
      </w:r>
      <w:r>
        <w:rPr>
          <w:spacing w:val="-66"/>
        </w:rPr>
        <w:t> </w:t>
      </w:r>
      <w:r>
        <w:rPr>
          <w:spacing w:val="-66"/>
        </w:rPr>
      </w:r>
      <w:r>
        <w:rPr/>
        <w:t>讨论通过后，报送上海证监局和深圳证券交易所，并已于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日刊登在深圳证券交易所指定网站</w:t>
      </w:r>
    </w:p>
    <w:p>
      <w:pPr>
        <w:pStyle w:val="BodyText"/>
        <w:spacing w:line="319" w:lineRule="auto" w:before="6"/>
        <w:ind w:right="1114"/>
        <w:jc w:val="left"/>
      </w:pPr>
      <w:r>
        <w:rPr>
          <w:spacing w:val="-5"/>
          <w:w w:val="99"/>
        </w:rPr>
        <w:t>（</w:t>
      </w:r>
      <w:hyperlink r:id="rId11">
        <w:r>
          <w:rPr>
            <w:rFonts w:ascii="Times New Roman" w:hAnsi="Times New Roman" w:cs="Times New Roman" w:eastAsia="Times New Roman" w:hint="default"/>
            <w:spacing w:val="-5"/>
            <w:w w:val="99"/>
          </w:rPr>
          <w:t>http://www.cninfo.com.cn</w:t>
        </w:r>
      </w:hyperlink>
      <w:r>
        <w:rPr>
          <w:spacing w:val="-5"/>
          <w:w w:val="99"/>
        </w:rPr>
        <w:t>）及《上海证券报》、《证券时报》上。</w:t>
      </w:r>
      <w:r>
        <w:rPr>
          <w:spacing w:val="-71"/>
          <w:w w:val="99"/>
        </w:rPr>
        <w:t> </w:t>
      </w:r>
      <w:r>
        <w:rPr>
          <w:spacing w:val="-71"/>
          <w:w w:val="99"/>
        </w:rPr>
      </w:r>
      <w:r>
        <w:rPr>
          <w:rFonts w:ascii="Times New Roman" w:hAnsi="Times New Roman" w:cs="Times New Roman" w:eastAsia="Times New Roman" w:hint="default"/>
        </w:rPr>
        <w:t>2</w:t>
      </w:r>
      <w:r>
        <w:rPr/>
        <w:t>、内幕信息知情人登记管理制度的制定、实施情况：公司于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月召开董事会一届二十次会议，审议修订了《上海美 </w:t>
      </w:r>
      <w:r>
        <w:rPr>
          <w:spacing w:val="-5"/>
        </w:rPr>
        <w:t>特斯邦威服饰股份有限公司信息披露管理制度》，本次修订增加了第七章《内幕信息知情人管理制度》。公司严格按照上述管</w:t>
      </w:r>
      <w:r>
        <w:rPr>
          <w:spacing w:val="-79"/>
        </w:rPr>
        <w:t> </w:t>
      </w:r>
      <w:r>
        <w:rPr>
          <w:spacing w:val="-79"/>
        </w:rPr>
      </w:r>
      <w:r>
        <w:rPr>
          <w:spacing w:val="-2"/>
        </w:rPr>
        <w:t>理制度的规定，做好内幕信息知情人信息登记，定期对内幕信息知情人进行教育培训，严格约束其行为，防范泄露内幕信息</w:t>
      </w:r>
      <w:r>
        <w:rPr>
          <w:spacing w:val="-66"/>
        </w:rPr>
        <w:t> </w:t>
      </w:r>
      <w:r>
        <w:rPr>
          <w:spacing w:val="-66"/>
        </w:rPr>
      </w:r>
      <w:r>
        <w:rPr>
          <w:spacing w:val="-2"/>
        </w:rPr>
        <w:t>及利用内幕信息交易等行为。报告期内公司未发现内幕信息知情人买卖本公司股票及其衍生品种的情况。报告期内，公司及</w:t>
      </w:r>
      <w:r>
        <w:rPr>
          <w:spacing w:val="-66"/>
        </w:rPr>
        <w:t> </w:t>
      </w:r>
      <w:r>
        <w:rPr>
          <w:spacing w:val="-66"/>
        </w:rPr>
      </w:r>
      <w:r>
        <w:rPr/>
        <w:t>相关人员均无因内幕信息知情人登记管理制度执行或涉嫌内幕交易是否被监管部门采取监管措施及行政处罚的情况。</w:t>
      </w:r>
    </w:p>
    <w:p>
      <w:pPr>
        <w:spacing w:line="240" w:lineRule="auto" w:before="7"/>
        <w:rPr>
          <w:rFonts w:ascii="宋体" w:hAnsi="宋体" w:cs="宋体" w:eastAsia="宋体" w:hint="default"/>
          <w:sz w:val="20"/>
          <w:szCs w:val="20"/>
        </w:rPr>
      </w:pPr>
    </w:p>
    <w:p>
      <w:pPr>
        <w:pStyle w:val="Heading3"/>
        <w:spacing w:line="240" w:lineRule="auto"/>
        <w:ind w:right="1033"/>
        <w:jc w:val="left"/>
        <w:rPr>
          <w:b w:val="0"/>
          <w:bCs w:val="0"/>
        </w:rPr>
      </w:pPr>
      <w:bookmarkStart w:name="二、报告期内召开的年度股东大会和临时股东大会的有关情况" w:id="119"/>
      <w:bookmarkEnd w:id="119"/>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本报告期年度股东大会情况" w:id="120"/>
      <w:bookmarkEnd w:id="120"/>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4253"/>
        <w:gridCol w:w="566"/>
        <w:gridCol w:w="1168"/>
        <w:gridCol w:w="1595"/>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7"/>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 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年度日常关联交易的议案》</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《关于续聘会计师事务所的议案》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pacing w:val="-90"/>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年度授信规模的议案》</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t>《关于修改公司章程的议案》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经审 议全 部通 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38"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G20140523001</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本报告期临时股东大会情况" w:id="121"/>
      <w:bookmarkEnd w:id="121"/>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4253"/>
        <w:gridCol w:w="566"/>
        <w:gridCol w:w="1168"/>
        <w:gridCol w:w="159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4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9"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《关于公司董事会换届选举的议案》</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限制性股票激励计划（草案修订稿）</w:t>
            </w:r>
            <w:r>
              <w:rPr>
                <w:rFonts w:ascii="Times New Roman" w:hAnsi="Times New Roman" w:cs="Times New Roman" w:eastAsia="Times New Roman" w:hint="default"/>
                <w:sz w:val="18"/>
                <w:szCs w:val="18"/>
              </w:rPr>
              <w:t>&gt;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的议案》</w:t>
            </w:r>
          </w:p>
          <w:p>
            <w:pPr>
              <w:pStyle w:val="TableParagraph"/>
              <w:spacing w:line="300" w:lineRule="auto" w:before="116"/>
              <w:ind w:left="22" w:right="7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、《关于公司〈限制性股票激励计划实施考核管理办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法〉的议案》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经审 议全 部通 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38" w:lineRule="auto" w:before="128"/>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G20140110001</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 次临时股东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、《关于参与发起设立华瑞银行的议案》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、《关于发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行超短期融资券的议案》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3"/>
              <w:jc w:val="left"/>
              <w:rPr>
                <w:rFonts w:ascii="宋体" w:hAnsi="宋体" w:cs="宋体" w:eastAsia="宋体" w:hint="default"/>
                <w:sz w:val="18"/>
                <w:szCs w:val="18"/>
              </w:rPr>
            </w:pPr>
            <w:r>
              <w:rPr>
                <w:rFonts w:ascii="宋体" w:hAnsi="宋体" w:cs="宋体" w:eastAsia="宋体" w:hint="default"/>
                <w:sz w:val="18"/>
                <w:szCs w:val="18"/>
              </w:rPr>
              <w:t>经审 议全</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8">
              <w:r>
                <w:rPr>
                  <w:rFonts w:ascii="Times New Roman"/>
                  <w:sz w:val="18"/>
                </w:rPr>
                <w:t>http://www.cninfo.co</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4253"/>
        <w:gridCol w:w="566"/>
        <w:gridCol w:w="1168"/>
        <w:gridCol w:w="1595"/>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部通 过</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0"/>
              <w:ind w:left="23" w:right="1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G20141201001</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3、表决权恢夊的优先股股东请求召开临时股东大会" w:id="122"/>
      <w:bookmarkEnd w:id="122"/>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三、报告期内独立董事履行职责的情况" w:id="123"/>
      <w:bookmarkEnd w:id="123"/>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独立董事出席董事会及股东大会的情况" w:id="124"/>
      <w:bookmarkEnd w:id="12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left="15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2、独立董事对公司有关事项提出异议的情况" w:id="125"/>
      <w:bookmarkEnd w:id="12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left="153" w:right="0"/>
        <w:jc w:val="both"/>
        <w:rPr>
          <w:b w:val="0"/>
          <w:bCs w:val="0"/>
        </w:rPr>
      </w:pPr>
      <w:bookmarkStart w:name="3、独立董事履行职责的其他说明" w:id="126"/>
      <w:bookmarkEnd w:id="12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033" w:firstLine="560"/>
        <w:jc w:val="left"/>
      </w:pPr>
      <w:r>
        <w:rPr/>
        <w:t>公司独立董事郁亮先生、单喆慜女士，严格按照有关法律、法规及公司《章程》的规定履行职责，按时亲自以现场 或通讯方式参加了全部董事会会议，认真审议各项议案，客观的发表自己的看法及观点，并利用自己的专业知识做出独立、</w:t>
      </w:r>
      <w:r>
        <w:rPr>
          <w:spacing w:val="-85"/>
        </w:rPr>
        <w:t> </w:t>
      </w:r>
      <w:r>
        <w:rPr>
          <w:spacing w:val="-85"/>
        </w:rPr>
      </w:r>
      <w:r>
        <w:rPr>
          <w:spacing w:val="-2"/>
        </w:rPr>
        <w:t>公正的判断。同时各位独立董事还深入公司现场调查，了解公司经营状况和内部控制的建设及董事会决议执行情况，为公司</w:t>
      </w:r>
      <w:r>
        <w:rPr>
          <w:spacing w:val="-66"/>
        </w:rPr>
        <w:t> </w:t>
      </w:r>
      <w:r>
        <w:rPr>
          <w:spacing w:val="-66"/>
        </w:rPr>
      </w:r>
      <w:r>
        <w:rPr/>
        <w:t>经营和发展提出了合理化的意见和建议。</w:t>
      </w:r>
    </w:p>
    <w:p>
      <w:pPr>
        <w:pStyle w:val="BodyText"/>
        <w:spacing w:line="316" w:lineRule="auto" w:before="59"/>
        <w:ind w:right="1131"/>
        <w:jc w:val="both"/>
      </w:pPr>
      <w:r>
        <w:rPr>
          <w:spacing w:val="-2"/>
        </w:rPr>
        <w:t>本年度，公司共召开了七次董事会和三次股东大会。本年内公司董事会、股东大会的召集召开符合法定程序，重大经营决策</w:t>
      </w:r>
      <w:r>
        <w:rPr>
          <w:spacing w:val="-66"/>
        </w:rPr>
        <w:t> </w:t>
      </w:r>
      <w:r>
        <w:rPr>
          <w:spacing w:val="-66"/>
        </w:rPr>
      </w:r>
      <w:r>
        <w:rPr>
          <w:spacing w:val="-2"/>
        </w:rPr>
        <w:t>事项均履行了相关程序，合法有效，未发生独立董事对公司董事会各项议案及公司其它事项提出异议的情况，独立董事对公</w:t>
      </w:r>
      <w:r>
        <w:rPr>
          <w:spacing w:val="-66"/>
        </w:rPr>
        <w:t> </w:t>
      </w:r>
      <w:r>
        <w:rPr>
          <w:spacing w:val="-66"/>
        </w:rPr>
      </w:r>
      <w:r>
        <w:rPr/>
        <w:t>司有关建议均被公司采纳。</w:t>
      </w:r>
    </w:p>
    <w:p>
      <w:pPr>
        <w:spacing w:after="0" w:line="316"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8"/>
        <w:ind w:left="154" w:right="1033"/>
        <w:jc w:val="left"/>
        <w:rPr>
          <w:b w:val="0"/>
          <w:bCs w:val="0"/>
        </w:rPr>
      </w:pPr>
      <w:bookmarkStart w:name="四、董事会下设专门委员会在报告期内履行职责情况" w:id="127"/>
      <w:bookmarkEnd w:id="127"/>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1033"/>
        <w:jc w:val="left"/>
        <w:rPr>
          <w:b w:val="0"/>
          <w:bCs w:val="0"/>
        </w:rPr>
      </w:pPr>
      <w:r>
        <w:rPr>
          <w:rFonts w:ascii="Times New Roman" w:hAnsi="Times New Roman" w:cs="Times New Roman" w:eastAsia="Times New Roman" w:hint="default"/>
        </w:rPr>
        <w:t>1</w:t>
      </w:r>
      <w:r>
        <w:rPr/>
        <w:t>、审计委员会</w:t>
      </w:r>
      <w:r>
        <w:rPr>
          <w:b w:val="0"/>
          <w:bCs w:val="0"/>
        </w:rPr>
      </w:r>
    </w:p>
    <w:p>
      <w:pPr>
        <w:pStyle w:val="BodyText"/>
        <w:spacing w:line="312" w:lineRule="auto" w:before="63"/>
        <w:ind w:right="1131" w:firstLine="360"/>
        <w:jc w:val="both"/>
      </w:pPr>
      <w:r>
        <w:rPr/>
        <w:t>报告期内，董事会审计委员会共召开</w:t>
      </w:r>
      <w:r>
        <w:rPr>
          <w:rFonts w:ascii="Times New Roman" w:hAnsi="Times New Roman" w:cs="Times New Roman" w:eastAsia="Times New Roman" w:hint="default"/>
        </w:rPr>
        <w:t>6</w:t>
      </w:r>
      <w:r>
        <w:rPr/>
        <w:t>次会议，审议了公司定期报告、内审部门提交的内部审计报告、年度审计计划及 </w:t>
      </w:r>
      <w:r>
        <w:rPr>
          <w:spacing w:val="-2"/>
        </w:rPr>
        <w:t>总结等事项，详细了解公司财务状况和经营情况，严格审查公司内部控制制度的建设及执行情况，对公司财务状况和经营情</w:t>
      </w:r>
      <w:r>
        <w:rPr>
          <w:spacing w:val="-66"/>
        </w:rPr>
        <w:t> </w:t>
      </w:r>
      <w:r>
        <w:rPr>
          <w:spacing w:val="-66"/>
        </w:rPr>
      </w:r>
      <w:r>
        <w:rPr>
          <w:spacing w:val="-2"/>
        </w:rPr>
        <w:t>况实施了有效的指导和监督。在</w:t>
      </w:r>
      <w:r>
        <w:rPr>
          <w:rFonts w:ascii="Times New Roman" w:hAnsi="Times New Roman" w:cs="Times New Roman" w:eastAsia="Times New Roman" w:hint="default"/>
          <w:spacing w:val="-2"/>
        </w:rPr>
        <w:t>2014</w:t>
      </w:r>
      <w:r>
        <w:rPr>
          <w:spacing w:val="-2"/>
        </w:rPr>
        <w:t>年度审计工作过程中，公司董事会审计委员会在公司年审注册会计师进场前审阅了公司</w:t>
      </w:r>
      <w:r>
        <w:rPr>
          <w:spacing w:val="-60"/>
        </w:rPr>
        <w:t> </w:t>
      </w:r>
      <w:r>
        <w:rPr>
          <w:spacing w:val="-60"/>
        </w:rPr>
      </w:r>
      <w:r>
        <w:rPr>
          <w:spacing w:val="-2"/>
        </w:rPr>
        <w:t>编制的财务会计报表，认为财务会计报表基本能够反映公司的财务状况和经营成果。年审注册会计师进场前，审计委员会与</w:t>
      </w:r>
      <w:r>
        <w:rPr>
          <w:spacing w:val="-66"/>
        </w:rPr>
        <w:t> </w:t>
      </w:r>
      <w:r>
        <w:rPr>
          <w:spacing w:val="-66"/>
        </w:rPr>
      </w:r>
      <w:r>
        <w:rPr>
          <w:spacing w:val="-2"/>
        </w:rPr>
        <w:t>会计师事务所共同协商确定了公司本年度财务报告审计工作的时间安排，并不断加强与年审会计师的沟通，督促其在约定时</w:t>
      </w:r>
      <w:r>
        <w:rPr>
          <w:spacing w:val="-64"/>
        </w:rPr>
        <w:t> </w:t>
      </w:r>
      <w:r>
        <w:rPr>
          <w:spacing w:val="-64"/>
        </w:rPr>
      </w:r>
      <w:r>
        <w:rPr>
          <w:spacing w:val="-2"/>
        </w:rPr>
        <w:t>限内提交审计报告。在年审注册会计师出具初步审计意见后审计委员会又一次审阅了公司财务会计报表，认为公司财务会计</w:t>
      </w:r>
      <w:r>
        <w:rPr>
          <w:spacing w:val="-64"/>
        </w:rPr>
        <w:t> </w:t>
      </w:r>
      <w:r>
        <w:rPr>
          <w:spacing w:val="-64"/>
        </w:rPr>
      </w:r>
      <w:r>
        <w:rPr/>
        <w:t>报表真实、准确、完整的反映了公司的财务状况和经营成果。</w:t>
      </w:r>
    </w:p>
    <w:p>
      <w:pPr>
        <w:pStyle w:val="Heading6"/>
        <w:spacing w:line="240" w:lineRule="auto" w:before="22"/>
        <w:ind w:left="154" w:right="1033"/>
        <w:jc w:val="left"/>
        <w:rPr>
          <w:b w:val="0"/>
          <w:bCs w:val="0"/>
        </w:rPr>
      </w:pPr>
      <w:r>
        <w:rPr>
          <w:rFonts w:ascii="Times New Roman" w:hAnsi="Times New Roman" w:cs="Times New Roman" w:eastAsia="Times New Roman" w:hint="default"/>
        </w:rPr>
        <w:t>2</w:t>
      </w:r>
      <w:r>
        <w:rPr/>
        <w:t>、战略委员会</w:t>
      </w:r>
      <w:r>
        <w:rPr>
          <w:b w:val="0"/>
          <w:bCs w:val="0"/>
        </w:rPr>
      </w:r>
    </w:p>
    <w:p>
      <w:pPr>
        <w:pStyle w:val="BodyText"/>
        <w:spacing w:line="240" w:lineRule="auto" w:before="63"/>
        <w:ind w:left="514" w:right="1033"/>
        <w:jc w:val="left"/>
      </w:pPr>
      <w:r>
        <w:rPr/>
        <w:t>报告期内，公司董事会战略委员会召开会议对公司参与投资设立华瑞银行等重大问题进行了探讨和规划。</w:t>
      </w:r>
    </w:p>
    <w:p>
      <w:pPr>
        <w:pStyle w:val="BodyText"/>
        <w:spacing w:line="300" w:lineRule="auto" w:before="76"/>
        <w:ind w:left="513" w:right="1033" w:hanging="360"/>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99"/>
        </w:rPr>
        <w:t> </w:t>
      </w:r>
      <w:r>
        <w:rPr>
          <w:spacing w:val="-4"/>
        </w:rPr>
        <w:t>报告期内，公司董事会薪酬与考核委员会共召开</w:t>
      </w:r>
      <w:r>
        <w:rPr>
          <w:rFonts w:ascii="Times New Roman" w:hAnsi="Times New Roman" w:cs="Times New Roman" w:eastAsia="Times New Roman" w:hint="default"/>
          <w:spacing w:val="-4"/>
        </w:rPr>
        <w:t>2</w:t>
      </w:r>
      <w:r>
        <w:rPr>
          <w:spacing w:val="-4"/>
        </w:rPr>
        <w:t>次会议，审议了董事和高管薪酬、限制性股票激励计划的执行等事宜。</w:t>
      </w:r>
    </w:p>
    <w:p>
      <w:pPr>
        <w:pStyle w:val="BodyText"/>
        <w:spacing w:line="240" w:lineRule="auto" w:before="13"/>
        <w:ind w:left="154" w:right="1033"/>
        <w:jc w:val="left"/>
      </w:pPr>
      <w:r>
        <w:rPr/>
        <w:t>为公司激励计划的实施、董事会的规范运作提出了合理的建议。</w:t>
      </w:r>
    </w:p>
    <w:p>
      <w:pPr>
        <w:pStyle w:val="BodyText"/>
        <w:spacing w:line="319" w:lineRule="auto" w:before="76"/>
        <w:ind w:left="154" w:right="1122"/>
        <w:jc w:val="left"/>
      </w:pPr>
      <w:r>
        <w:rPr>
          <w:rFonts w:ascii="Times New Roman" w:hAnsi="Times New Roman" w:cs="Times New Roman" w:eastAsia="Times New Roman" w:hint="default"/>
          <w:b/>
          <w:bCs/>
        </w:rPr>
        <w:t>4</w:t>
      </w:r>
      <w:r>
        <w:rPr>
          <w:rFonts w:ascii="宋体" w:hAnsi="宋体" w:cs="宋体" w:eastAsia="宋体" w:hint="default"/>
          <w:b/>
          <w:bCs/>
        </w:rPr>
        <w:t>、提名委员会</w:t>
      </w:r>
      <w:r>
        <w:rPr>
          <w:rFonts w:ascii="宋体" w:hAnsi="宋体" w:cs="宋体" w:eastAsia="宋体" w:hint="default"/>
          <w:b/>
          <w:bCs/>
          <w:w w:val="99"/>
        </w:rPr>
        <w:t> </w:t>
      </w:r>
      <w:r>
        <w:rPr/>
        <w:t>报告期内，董事会提名委员会召开</w:t>
      </w:r>
      <w:r>
        <w:rPr>
          <w:rFonts w:ascii="Times New Roman" w:hAnsi="Times New Roman" w:cs="Times New Roman" w:eastAsia="Times New Roman" w:hint="default"/>
        </w:rPr>
        <w:t>2</w:t>
      </w:r>
      <w:r>
        <w:rPr/>
        <w:t>次会议，对公司拟聘任高级管理人员的方案和新提名的董事任职资格等事项进行了认真</w:t>
      </w:r>
      <w:r>
        <w:rPr>
          <w:spacing w:val="-83"/>
        </w:rPr>
        <w:t> </w:t>
      </w:r>
      <w:r>
        <w:rPr>
          <w:spacing w:val="-83"/>
        </w:rPr>
      </w:r>
      <w:r>
        <w:rPr/>
        <w:t>的核查，并同意提交董事会审议。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left="154" w:right="1033"/>
        <w:jc w:val="left"/>
        <w:rPr>
          <w:b w:val="0"/>
          <w:bCs w:val="0"/>
        </w:rPr>
      </w:pPr>
      <w:bookmarkStart w:name="五、监事会工作情况" w:id="128"/>
      <w:bookmarkEnd w:id="128"/>
      <w:r>
        <w:rPr>
          <w:b w:val="0"/>
          <w:bCs w:val="0"/>
        </w:rPr>
      </w:r>
      <w:r>
        <w:rPr/>
        <w:t>五、监事会工作情况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六、公司相对于控股股东在业务、人员、资产、机构、财务等方面的独立完整情况" w:id="129"/>
      <w:bookmarkEnd w:id="129"/>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公司在业务、资产、人员、机构和财务等方面均与公司控股股东、实际控制人及其控制的其他企业严格分开，具备完整</w:t>
      </w:r>
      <w:r>
        <w:rPr/>
        <w:t> 的与经营有关的业务体系及独立面向市场的能力。</w:t>
      </w:r>
    </w:p>
    <w:p>
      <w:pPr>
        <w:pStyle w:val="BodyText"/>
        <w:spacing w:line="302" w:lineRule="auto" w:before="55"/>
        <w:ind w:left="154" w:right="1122" w:firstLine="360"/>
        <w:jc w:val="left"/>
      </w:pPr>
      <w:r>
        <w:rPr>
          <w:rFonts w:ascii="Times New Roman" w:hAnsi="Times New Roman" w:cs="Times New Roman" w:eastAsia="Times New Roman" w:hint="default"/>
        </w:rPr>
        <w:t>1</w:t>
      </w:r>
      <w:r>
        <w:rPr/>
        <w:t>、资产完整及独立：公司合法拥有与目前业务有关的土地、房屋、设备以及商标等资产的所有权或使用权。公司独立 拥有该等资产，不存在被股东单位或其他关联方占用的情形。</w:t>
      </w:r>
    </w:p>
    <w:p>
      <w:pPr>
        <w:pStyle w:val="BodyText"/>
        <w:spacing w:line="309" w:lineRule="auto" w:before="68"/>
        <w:ind w:left="154" w:right="1033" w:firstLine="360"/>
        <w:jc w:val="left"/>
      </w:pPr>
      <w:r>
        <w:rPr>
          <w:rFonts w:ascii="Times New Roman" w:hAnsi="Times New Roman" w:cs="Times New Roman" w:eastAsia="Times New Roman" w:hint="default"/>
        </w:rPr>
        <w:t>2</w:t>
      </w:r>
      <w:r>
        <w:rPr/>
        <w:t>、业务独立：公司拥有独立完整的业务体系，能够面向市场独立经营，独立核算和决策，独立承担责任与风险，未受 </w:t>
      </w:r>
      <w:r>
        <w:rPr>
          <w:spacing w:val="-4"/>
        </w:rPr>
        <w:t>到公司控股股东的干涉、控制，亦未因与公司控股股东及其控制的其他企业之间存在关联关系而使公司经营自主权的完整性、</w:t>
      </w:r>
      <w:r>
        <w:rPr>
          <w:spacing w:val="-44"/>
        </w:rPr>
        <w:t> </w:t>
      </w:r>
      <w:r>
        <w:rPr>
          <w:spacing w:val="-44"/>
        </w:rPr>
      </w:r>
      <w:r>
        <w:rPr/>
        <w:t>独立性受到不良影响。</w:t>
      </w:r>
    </w:p>
    <w:p>
      <w:pPr>
        <w:pStyle w:val="BodyText"/>
        <w:spacing w:line="309" w:lineRule="auto" w:before="64"/>
        <w:ind w:left="154" w:right="1033" w:firstLine="360"/>
        <w:jc w:val="left"/>
      </w:pPr>
      <w:r>
        <w:rPr>
          <w:rFonts w:ascii="Times New Roman" w:hAnsi="Times New Roman" w:cs="Times New Roman" w:eastAsia="Times New Roman" w:hint="default"/>
        </w:rPr>
        <w:t>3</w:t>
      </w:r>
      <w:r>
        <w:rPr/>
        <w:t>、人员独立：公司董事、监事及其他高级管理人员均按照《公司法》及公司《公司章程》合法产生；公司的总经理、 </w:t>
      </w:r>
      <w:r>
        <w:rPr>
          <w:spacing w:val="-4"/>
        </w:rPr>
        <w:t>副总经理、财务负责人和董事会秘书等高级管理人员未在控股股东及其控制的其他企业中担任除董事、监事以外的其它职务，</w:t>
      </w:r>
      <w:r>
        <w:rPr>
          <w:spacing w:val="-44"/>
        </w:rPr>
        <w:t> </w:t>
      </w:r>
      <w:r>
        <w:rPr>
          <w:spacing w:val="-44"/>
        </w:rPr>
      </w:r>
      <w:r>
        <w:rPr/>
        <w:t>未在控股股东及其控制的其他企业中领薪；公司财务人员未在控股股东、实际控制人及其控制的其他企业中兼职。</w:t>
      </w:r>
    </w:p>
    <w:p>
      <w:pPr>
        <w:pStyle w:val="BodyText"/>
        <w:spacing w:line="309" w:lineRule="auto" w:before="62"/>
        <w:ind w:right="1131" w:firstLine="360"/>
        <w:jc w:val="both"/>
      </w:pPr>
      <w:r>
        <w:rPr>
          <w:rFonts w:ascii="Times New Roman" w:hAnsi="Times New Roman" w:cs="Times New Roman" w:eastAsia="Times New Roman" w:hint="default"/>
        </w:rPr>
        <w:t>4</w:t>
      </w:r>
      <w:r>
        <w:rPr/>
        <w:t>、机构独立：公司已依法建立健全股东大会、董事会、监事会等机构，聘请了总经理、副总经理、财务负责人、董事 </w:t>
      </w:r>
      <w:r>
        <w:rPr>
          <w:spacing w:val="-2"/>
        </w:rPr>
        <w:t>会秘书等高级管理人员在内的高级管理层，公司独立行使经营管理职权，独立于公司的控股股东、实际控制人及其控制的其</w:t>
      </w:r>
      <w:r>
        <w:rPr>
          <w:spacing w:val="-66"/>
        </w:rPr>
        <w:t> </w:t>
      </w:r>
      <w:r>
        <w:rPr>
          <w:spacing w:val="-66"/>
        </w:rPr>
      </w:r>
      <w:r>
        <w:rPr/>
        <w:t>他企业，不存在机构混同的情形。公司的办公场所独立于股东单位，不存在混合经营、合署办公的情形。</w:t>
      </w:r>
    </w:p>
    <w:p>
      <w:pPr>
        <w:pStyle w:val="BodyText"/>
        <w:spacing w:line="300" w:lineRule="auto" w:before="62"/>
        <w:ind w:left="154" w:right="1122"/>
        <w:jc w:val="left"/>
      </w:pPr>
      <w:r>
        <w:rPr>
          <w:rFonts w:ascii="Times New Roman" w:hAnsi="Times New Roman" w:cs="Times New Roman" w:eastAsia="Times New Roman" w:hint="default"/>
        </w:rPr>
        <w:t>5</w:t>
      </w:r>
      <w:r>
        <w:rPr/>
        <w:t>、财务独立：公司设立了独立的财务会计部门，并依据《中华人民共和国会计法》、《企业会计准则》建立了独立的财务</w:t>
      </w:r>
      <w:r>
        <w:rPr>
          <w:spacing w:val="-83"/>
        </w:rPr>
        <w:t> </w:t>
      </w:r>
      <w:r>
        <w:rPr>
          <w:spacing w:val="-83"/>
        </w:rPr>
      </w:r>
      <w:r>
        <w:rPr>
          <w:spacing w:val="-2"/>
        </w:rPr>
        <w:t>核算体系和规范的财务管理制度，能够独立作出财务决策，具有规范的财务会计制度和对子公司的财务管理制度。公司在银</w:t>
      </w:r>
    </w:p>
    <w:p>
      <w:pPr>
        <w:spacing w:after="0" w:line="30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9" w:lineRule="auto" w:before="56"/>
        <w:ind w:left="154" w:right="1033"/>
        <w:jc w:val="left"/>
      </w:pPr>
      <w:r>
        <w:rPr>
          <w:spacing w:val="-2"/>
        </w:rPr>
        <w:t>行独立开立账户，依法进行纳税申报和履行纳税义务，独立对外签订合同，不存在与控股股东、实际控制人及其控制的其它</w:t>
      </w:r>
      <w:r>
        <w:rPr>
          <w:spacing w:val="-66"/>
        </w:rPr>
        <w:t> </w:t>
      </w:r>
      <w:r>
        <w:rPr>
          <w:spacing w:val="-66"/>
        </w:rPr>
      </w:r>
      <w:r>
        <w:rPr/>
        <w:t>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left="154" w:right="1033"/>
        <w:jc w:val="left"/>
        <w:rPr>
          <w:b w:val="0"/>
          <w:bCs w:val="0"/>
        </w:rPr>
      </w:pPr>
      <w:bookmarkStart w:name="七、同业竞争情况" w:id="130"/>
      <w:bookmarkEnd w:id="130"/>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公司不存在同业竞争情况。公司控股股东华服投资、股东胡佳佳及实际控制人周成建于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日分别签署《避免同业 </w:t>
      </w:r>
      <w:r>
        <w:rPr>
          <w:spacing w:val="-2"/>
        </w:rPr>
        <w:t>竞争承诺函》，承诺其自身、以及其参与投资的企业截至承诺函签署日没有以任何形式从事与本公司及本公司的控股企业的</w:t>
      </w:r>
      <w:r>
        <w:rPr>
          <w:spacing w:val="-66"/>
        </w:rPr>
        <w:t> </w:t>
      </w:r>
      <w:r>
        <w:rPr>
          <w:spacing w:val="-66"/>
        </w:rPr>
      </w:r>
      <w:r>
        <w:rPr>
          <w:spacing w:val="-2"/>
        </w:rPr>
        <w:t>主营业务构成或可能构成直接或间接竞争关系的业务或活动；未来也不以任何形式直接或间接从事任何与本公司或本公司的</w:t>
      </w:r>
      <w:r>
        <w:rPr>
          <w:spacing w:val="-64"/>
        </w:rPr>
        <w:t> </w:t>
      </w:r>
      <w:r>
        <w:rPr>
          <w:spacing w:val="-64"/>
        </w:rPr>
      </w:r>
      <w:r>
        <w:rPr>
          <w:spacing w:val="-4"/>
        </w:rPr>
        <w:t>控股企业主营业务构成或可能构成直接或间接竞争关系的业务或活动，或于该等业务中持有权益或利益。截止到本报告期末，</w:t>
      </w:r>
      <w:r>
        <w:rPr>
          <w:spacing w:val="-44"/>
        </w:rPr>
        <w:t> </w:t>
      </w:r>
      <w:r>
        <w:rPr>
          <w:spacing w:val="-44"/>
        </w:rPr>
      </w:r>
      <w:r>
        <w:rPr/>
        <w:t>该承诺事项仍在严格履行中。</w:t>
      </w:r>
    </w:p>
    <w:p>
      <w:pPr>
        <w:spacing w:line="240" w:lineRule="auto" w:before="8"/>
        <w:rPr>
          <w:rFonts w:ascii="宋体" w:hAnsi="宋体" w:cs="宋体" w:eastAsia="宋体" w:hint="default"/>
          <w:sz w:val="20"/>
          <w:szCs w:val="20"/>
        </w:rPr>
      </w:pPr>
    </w:p>
    <w:p>
      <w:pPr>
        <w:pStyle w:val="Heading3"/>
        <w:spacing w:line="240" w:lineRule="auto"/>
        <w:ind w:right="1033"/>
        <w:jc w:val="left"/>
        <w:rPr>
          <w:b w:val="0"/>
          <w:bCs w:val="0"/>
        </w:rPr>
      </w:pPr>
      <w:bookmarkStart w:name="八、高级管理人员的考评及激励情况" w:id="131"/>
      <w:bookmarkEnd w:id="131"/>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9" w:firstLine="360"/>
        <w:jc w:val="both"/>
      </w:pPr>
      <w:r>
        <w:rPr>
          <w:rFonts w:ascii="Times New Roman" w:hAnsi="Times New Roman" w:cs="Times New Roman" w:eastAsia="Times New Roman" w:hint="default"/>
        </w:rPr>
        <w:t>1</w:t>
      </w:r>
      <w:r>
        <w:rPr/>
        <w:t>、报告期内，公司以量化的考核指标定期对高级管理人员进行业绩考核。经过考评，</w:t>
      </w:r>
      <w:r>
        <w:rPr>
          <w:rFonts w:ascii="Times New Roman" w:hAnsi="Times New Roman" w:cs="Times New Roman" w:eastAsia="Times New Roman" w:hint="default"/>
        </w:rPr>
        <w:t>2014</w:t>
      </w:r>
      <w:r>
        <w:rPr/>
        <w:t>年度公司高管人员认真的履 行了工作职责，但由于受外部经济环境的影响，本年度公司业绩目标未能达成。</w:t>
      </w:r>
    </w:p>
    <w:p>
      <w:pPr>
        <w:pStyle w:val="BodyText"/>
        <w:spacing w:line="300" w:lineRule="auto" w:before="65"/>
        <w:ind w:right="1139" w:firstLine="360"/>
        <w:jc w:val="both"/>
      </w:pPr>
      <w:r>
        <w:rPr>
          <w:rFonts w:ascii="Times New Roman" w:hAnsi="Times New Roman" w:cs="Times New Roman" w:eastAsia="Times New Roman" w:hint="default"/>
        </w:rPr>
        <w:t>2</w:t>
      </w:r>
      <w:r>
        <w:rPr/>
        <w:t>、报告期内，公司已经完成了第一期限制性股票激励计划限制性股票的授予登记工作，根据计划公司向符合激励条件 的两位高级管理人员授予</w:t>
      </w:r>
      <w:r>
        <w:rPr>
          <w:rFonts w:ascii="Times New Roman" w:hAnsi="Times New Roman" w:cs="Times New Roman" w:eastAsia="Times New Roman" w:hint="default"/>
        </w:rPr>
        <w:t>600</w:t>
      </w:r>
      <w:r>
        <w:rPr/>
        <w:t>万股限制性股票。因公司</w:t>
      </w:r>
      <w:r>
        <w:rPr>
          <w:rFonts w:ascii="Times New Roman" w:hAnsi="Times New Roman" w:cs="Times New Roman" w:eastAsia="Times New Roman" w:hint="default"/>
        </w:rPr>
        <w:t>2014</w:t>
      </w:r>
      <w:r>
        <w:rPr/>
        <w:t>年业绩未达到公司限制性股票激励计划第一个解锁期解锁条件， 根据公司《限制性股票激励计划（草案修订稿）》的相关规定，公司将回购并注销</w:t>
      </w:r>
      <w:r>
        <w:rPr>
          <w:rFonts w:ascii="Times New Roman" w:hAnsi="Times New Roman" w:cs="Times New Roman" w:eastAsia="Times New Roman" w:hint="default"/>
        </w:rPr>
        <w:t>2</w:t>
      </w:r>
      <w:r>
        <w:rPr/>
        <w:t>名激励对象第一个解锁期所涉及的已授 予但未满足解锁条件的共计</w:t>
      </w:r>
      <w:r>
        <w:rPr>
          <w:rFonts w:ascii="Times New Roman" w:hAnsi="Times New Roman" w:cs="Times New Roman" w:eastAsia="Times New Roman" w:hint="default"/>
        </w:rPr>
        <w:t>60</w:t>
      </w:r>
      <w:r>
        <w:rPr/>
        <w:t>万股限制性股票。</w:t>
      </w:r>
    </w:p>
    <w:p>
      <w:pPr>
        <w:spacing w:after="0" w:line="300" w:lineRule="auto"/>
        <w:jc w:val="both"/>
        <w:sectPr>
          <w:pgSz w:w="11910" w:h="16840"/>
          <w:pgMar w:header="851" w:footer="979" w:top="132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right="4647"/>
        <w:jc w:val="center"/>
        <w:rPr>
          <w:b w:val="0"/>
          <w:bCs w:val="0"/>
        </w:rPr>
      </w:pPr>
      <w:bookmarkStart w:name="第十节内部控制" w:id="132"/>
      <w:bookmarkEnd w:id="132"/>
      <w:r>
        <w:rPr>
          <w:b w:val="0"/>
          <w:bCs w:val="0"/>
        </w:rPr>
      </w:r>
      <w:bookmarkStart w:name="_bookmark9" w:id="133"/>
      <w:bookmarkEnd w:id="133"/>
      <w:r>
        <w:rPr>
          <w:b w:val="0"/>
          <w:bCs w:val="0"/>
        </w:rPr>
      </w:r>
      <w:r>
        <w:rPr/>
        <w:t>第十节内部控制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内部控制建设情况" w:id="134"/>
      <w:bookmarkEnd w:id="134"/>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本年度，公司依照《公司法》、《证券法》、《深圳证券交易所股票上市规则》、《企业内部控制基本规范》、《深圳</w:t>
      </w:r>
      <w:r>
        <w:rPr/>
        <w:t> </w:t>
      </w:r>
      <w:r>
        <w:rPr>
          <w:spacing w:val="-2"/>
        </w:rPr>
        <w:t>证券交易所上市公司内部控制指引》等相关法律、法规和规章制度的要求，及公司自身经营特点与所处环境，不断完善公司</w:t>
      </w:r>
      <w:r>
        <w:rPr>
          <w:spacing w:val="-66"/>
        </w:rPr>
        <w:t> </w:t>
      </w:r>
      <w:r>
        <w:rPr>
          <w:spacing w:val="-66"/>
        </w:rPr>
      </w:r>
      <w:r>
        <w:rPr/>
        <w:t>治理，健全内部控制体系，保障了上市公司内部控制管理的有效执行，确保了公司的稳定经营。</w:t>
      </w:r>
    </w:p>
    <w:p>
      <w:pPr>
        <w:pStyle w:val="BodyText"/>
        <w:spacing w:line="319" w:lineRule="auto" w:before="55"/>
        <w:ind w:right="1131" w:firstLine="360"/>
        <w:jc w:val="both"/>
      </w:pPr>
      <w:r>
        <w:rPr>
          <w:spacing w:val="-2"/>
        </w:rPr>
        <w:t>（一）内部控制制度的建立和执行情况公司已经建立起的内部控制体系在完整性、合规性、有效性等方面不存在重大缺</w:t>
      </w:r>
      <w:r>
        <w:rPr/>
        <w:t> </w:t>
      </w:r>
      <w:r>
        <w:rPr>
          <w:spacing w:val="-5"/>
        </w:rPr>
        <w:t>陷。但由于内部控制固有的局限性、内部环境以及宏观环境、政策法规持续变化，可能导致原有控制活动不适用或出现偏差，</w:t>
      </w:r>
      <w:r>
        <w:rPr>
          <w:spacing w:val="-82"/>
        </w:rPr>
        <w:t> </w:t>
      </w:r>
      <w:r>
        <w:rPr>
          <w:spacing w:val="-82"/>
        </w:rPr>
      </w:r>
      <w:r>
        <w:rPr>
          <w:spacing w:val="-2"/>
        </w:rPr>
        <w:t>对此公司将及时进行内部控制体系的补充和完善，为财务报告的真实性、完整性，以及公司战略、经营等目标的实现提供合</w:t>
      </w:r>
      <w:r>
        <w:rPr>
          <w:spacing w:val="-66"/>
        </w:rPr>
        <w:t> </w:t>
      </w:r>
      <w:r>
        <w:rPr>
          <w:spacing w:val="-66"/>
        </w:rPr>
      </w:r>
      <w:r>
        <w:rPr/>
        <w:t>保障。</w:t>
      </w:r>
    </w:p>
    <w:p>
      <w:pPr>
        <w:pStyle w:val="BodyText"/>
        <w:spacing w:line="240" w:lineRule="auto" w:before="56"/>
        <w:ind w:left="513" w:right="1033"/>
        <w:jc w:val="left"/>
      </w:pPr>
      <w:r>
        <w:rPr/>
        <w:t>（二）对内部控制的评价及审核意见</w:t>
      </w:r>
    </w:p>
    <w:p>
      <w:pPr>
        <w:pStyle w:val="BodyText"/>
        <w:spacing w:line="312" w:lineRule="auto" w:before="116"/>
        <w:ind w:left="154" w:right="1133" w:firstLine="360"/>
        <w:jc w:val="both"/>
      </w:pPr>
      <w:r>
        <w:rPr>
          <w:rFonts w:ascii="Times New Roman" w:hAnsi="Times New Roman" w:cs="Times New Roman" w:eastAsia="Times New Roman" w:hint="default"/>
        </w:rPr>
        <w:t>1</w:t>
      </w:r>
      <w:r>
        <w:rPr/>
        <w:t>、董事会对公司内部控制的自我评价。董事会认为：公司已建立了较为健全的内部控制制度体系并得到有效实施，基 </w:t>
      </w:r>
      <w:r>
        <w:rPr>
          <w:spacing w:val="-2"/>
        </w:rPr>
        <w:t>本能够适应公司发展和管理的需要，能够对编制真实、公允的财务报表提供合理的保证，能够对公司各项业务活动的健康运</w:t>
      </w:r>
      <w:r>
        <w:rPr>
          <w:spacing w:val="-66"/>
        </w:rPr>
        <w:t> </w:t>
      </w:r>
      <w:r>
        <w:rPr>
          <w:spacing w:val="-66"/>
        </w:rPr>
      </w:r>
      <w:r>
        <w:rPr>
          <w:spacing w:val="-2"/>
        </w:rPr>
        <w:t>行及国家有关法律法规和单位内部规章制度的贯彻执行提供保证。公司将进一步建立、健全内控体系，并及时针对存在的问</w:t>
      </w:r>
      <w:r>
        <w:rPr>
          <w:spacing w:val="-66"/>
        </w:rPr>
        <w:t> </w:t>
      </w:r>
      <w:r>
        <w:rPr>
          <w:spacing w:val="-66"/>
        </w:rPr>
      </w:r>
      <w:r>
        <w:rPr/>
        <w:t>题进行整改，以适应公司不断发展的需要。</w:t>
      </w:r>
    </w:p>
    <w:p>
      <w:pPr>
        <w:pStyle w:val="BodyText"/>
        <w:spacing w:line="312" w:lineRule="auto" w:before="61"/>
        <w:ind w:left="154" w:right="1032" w:firstLine="360"/>
        <w:jc w:val="left"/>
      </w:pPr>
      <w:r>
        <w:rPr>
          <w:rFonts w:ascii="Times New Roman" w:hAnsi="Times New Roman" w:cs="Times New Roman" w:eastAsia="Times New Roman" w:hint="default"/>
        </w:rPr>
        <w:t>2</w:t>
      </w:r>
      <w:r>
        <w:rPr/>
        <w:t>、公司监事会的审核意见。监事会认为：公司组织完善、制度健全，内部控制制度具有完整性、合理性和有效性。截 至本报告期公司在日常生产经营和重点控制活动已建立了一系列健全的、合理的内部控制制度，并得到了有效遵循和实施。</w:t>
      </w:r>
      <w:r>
        <w:rPr>
          <w:spacing w:val="-85"/>
        </w:rPr>
        <w:t> </w:t>
      </w:r>
      <w:r>
        <w:rPr>
          <w:spacing w:val="-85"/>
        </w:rPr>
      </w:r>
      <w:r>
        <w:rPr>
          <w:spacing w:val="-4"/>
        </w:rPr>
        <w:t>这些内控制度保证了公司的生产经营管理的正常进行，对经营风险可以起到有效的控制作用，并形成了完整有效的制度体系。</w:t>
      </w:r>
      <w:r>
        <w:rPr>
          <w:spacing w:val="-44"/>
        </w:rPr>
        <w:t> </w:t>
      </w:r>
      <w:r>
        <w:rPr>
          <w:spacing w:val="-44"/>
        </w:rPr>
      </w:r>
      <w:r>
        <w:rPr/>
        <w:t>公司内部控制自我评价报告真实、客观地反映了公司各项内部控制制度建立和实施的实际情况。</w:t>
      </w:r>
    </w:p>
    <w:p>
      <w:pPr>
        <w:pStyle w:val="BodyText"/>
        <w:spacing w:line="314" w:lineRule="auto" w:before="61"/>
        <w:ind w:left="154" w:right="1133" w:firstLine="360"/>
        <w:jc w:val="both"/>
      </w:pPr>
      <w:r>
        <w:rPr>
          <w:rFonts w:ascii="Times New Roman" w:hAnsi="Times New Roman" w:cs="Times New Roman" w:eastAsia="Times New Roman" w:hint="default"/>
        </w:rPr>
        <w:t>3</w:t>
      </w:r>
      <w:r>
        <w:rPr/>
        <w:t>、独立董事关于公司内部控制自我评价报告的独立意见。独立董事认为：经核查，公司已建立了规范的公司治理结构 </w:t>
      </w:r>
      <w:r>
        <w:rPr>
          <w:spacing w:val="-2"/>
        </w:rPr>
        <w:t>和议事规则，明确了决策、执行、监督等方面的职责权限，形成了科学有效的职责分工和制衡机制。公司的内部控制制度比</w:t>
      </w:r>
      <w:r>
        <w:rPr>
          <w:spacing w:val="-66"/>
        </w:rPr>
        <w:t> </w:t>
      </w:r>
      <w:r>
        <w:rPr>
          <w:spacing w:val="-66"/>
        </w:rPr>
      </w:r>
      <w:r>
        <w:rPr>
          <w:spacing w:val="-2"/>
        </w:rPr>
        <w:t>较完善，涵盖了公司的营运环节，重点控制制度健全、运作规范、控制有序，并不断根据新的法规、规章要求进行修订。经</w:t>
      </w:r>
      <w:r>
        <w:rPr>
          <w:spacing w:val="-71"/>
        </w:rPr>
        <w:t> </w:t>
      </w:r>
      <w:r>
        <w:rPr>
          <w:spacing w:val="-71"/>
        </w:rPr>
      </w:r>
      <w:r>
        <w:rPr>
          <w:spacing w:val="-2"/>
        </w:rPr>
        <w:t>了解、测试、核查，各项制度建立后，得到了有效贯彻执行，对公司的规范运作起到了较好的监督、指导作用，公司内部控</w:t>
      </w:r>
      <w:r>
        <w:rPr>
          <w:spacing w:val="-72"/>
        </w:rPr>
        <w:t> </w:t>
      </w:r>
      <w:r>
        <w:rPr>
          <w:spacing w:val="-72"/>
        </w:rPr>
      </w:r>
      <w:r>
        <w:rPr/>
        <w:t>制体系不存在明显薄弱环节和重大缺陷。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left="154" w:right="0"/>
        <w:jc w:val="both"/>
        <w:rPr>
          <w:b w:val="0"/>
          <w:bCs w:val="0"/>
        </w:rPr>
      </w:pPr>
      <w:bookmarkStart w:name="二、董事会关于内部控制责任的声明" w:id="135"/>
      <w:bookmarkEnd w:id="135"/>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131"/>
        <w:jc w:val="both"/>
      </w:pPr>
      <w:r>
        <w:rPr>
          <w:spacing w:val="-2"/>
        </w:rPr>
        <w:t>公司已建立了较为健全的内部控制制度体系并得到有效实施，基本能够适应公司发展和管理的需要，能够对编制真实、公允</w:t>
      </w:r>
      <w:r>
        <w:rPr>
          <w:spacing w:val="-66"/>
        </w:rPr>
        <w:t> </w:t>
      </w:r>
      <w:r>
        <w:rPr>
          <w:spacing w:val="-66"/>
        </w:rPr>
      </w:r>
      <w:r>
        <w:rPr>
          <w:spacing w:val="-2"/>
        </w:rPr>
        <w:t>的财务报表提供合理的保证，能够对公司各项业务活动的健康运行及国家有关法律法规和单位内部规章制度的贯彻执行提供</w:t>
      </w:r>
      <w:r>
        <w:rPr>
          <w:spacing w:val="-64"/>
        </w:rPr>
        <w:t> </w:t>
      </w:r>
      <w:r>
        <w:rPr>
          <w:spacing w:val="-64"/>
        </w:rPr>
      </w:r>
      <w:r>
        <w:rPr/>
        <w:t>保证。公司将进一步建立、健全内控体系，并及时针对存在的问题进行整改，以适应公司不断发展的需要。</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三、建立财务报告内部控制的依据" w:id="136"/>
      <w:bookmarkEnd w:id="136"/>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jc w:val="both"/>
      </w:pPr>
      <w:r>
        <w:rPr>
          <w:spacing w:val="-2"/>
        </w:rPr>
        <w:t>公司编制财务报告，以真实的交易和事项以及完整、准确的账簿记录等资料为依据，按照有关法律法规、国家统一的会计制</w:t>
      </w:r>
      <w:r>
        <w:rPr>
          <w:spacing w:val="-66"/>
        </w:rPr>
        <w:t> </w:t>
      </w:r>
      <w:r>
        <w:rPr>
          <w:spacing w:val="-66"/>
        </w:rPr>
      </w:r>
      <w:r>
        <w:rPr>
          <w:spacing w:val="-5"/>
        </w:rPr>
        <w:t>度规定的编制基础、编制依据、编制原则和方法进行。在编制年度财务报告前，按照《企业财务会计报告条例》的有关规定，</w:t>
      </w:r>
      <w:r>
        <w:rPr>
          <w:spacing w:val="-81"/>
        </w:rPr>
        <w:t> </w:t>
      </w:r>
      <w:r>
        <w:rPr>
          <w:spacing w:val="-81"/>
        </w:rPr>
      </w:r>
      <w:r>
        <w:rPr>
          <w:spacing w:val="-2"/>
        </w:rPr>
        <w:t>全面清查资产、核实债务，并将清查、核实结果及其处理方法，以确保财务报告的真实可靠和资产的安全完整。经过审计的</w:t>
      </w:r>
      <w:r>
        <w:rPr>
          <w:spacing w:val="-66"/>
        </w:rPr>
        <w:t> </w:t>
      </w:r>
      <w:r>
        <w:rPr>
          <w:spacing w:val="-66"/>
        </w:rPr>
      </w:r>
      <w:r>
        <w:rPr/>
        <w:t>财务报告由公司法定代表人、财务负责人及会计机构负责人签名盖章。</w:t>
      </w:r>
    </w:p>
    <w:p>
      <w:pPr>
        <w:spacing w:after="0" w:line="319"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四、内部控制评价报告" w:id="137"/>
      <w:bookmarkEnd w:id="137"/>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本公司及其子公司于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日已按照财政部颁发的《内部会计控制规范－基本规范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》和具体规范标准建立 </w:t>
            </w:r>
            <w:r>
              <w:rPr>
                <w:rFonts w:ascii="宋体" w:hAnsi="宋体" w:cs="宋体" w:eastAsia="宋体" w:hint="default"/>
                <w:spacing w:val="-1"/>
                <w:sz w:val="18"/>
                <w:szCs w:val="18"/>
              </w:rPr>
              <w:t>了合理、有效的内部控制制度，并且经过测试未发现与会计报表相关的内部控制存在重大缺陷，即在所有重大方面保持了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按照财政部颁发的《内部会计控制规范－基本规范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》及具体规范标准建立的与会计报表相关的有效的内部控制。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五、内部控制审计报告或鉴证报告" w:id="138"/>
      <w:bookmarkEnd w:id="138"/>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日我司公司及其子公司在内部控制评估报告中所述与财务报表相关的内部控制 在所有重大方面有效地保持了按照财政部颁发的《内部会计控制规范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》的有关规范标准中与财务报表相 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p>
        </w:tc>
      </w:tr>
    </w:tbl>
    <w:p>
      <w:pPr>
        <w:pStyle w:val="BodyText"/>
        <w:spacing w:line="240" w:lineRule="auto" w:before="51"/>
        <w:ind w:left="154" w:right="1033"/>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六、年度报告重大差错责任追究制度的建立与执行情况" w:id="139"/>
      <w:bookmarkEnd w:id="139"/>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公司制订了专门的《年报信息披露重大差错责任追究管理办法》，对年报信息披露重大差错的认定和相关人员的责任追</w:t>
      </w:r>
      <w:r>
        <w:rPr/>
        <w:t> 究，进行了详细、严格的规定。报告期内，公司未出现年报信息披露重大差错的情形。</w:t>
      </w:r>
    </w:p>
    <w:p>
      <w:pPr>
        <w:spacing w:after="0" w:line="319"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4647"/>
        <w:jc w:val="center"/>
        <w:rPr>
          <w:b w:val="0"/>
          <w:bCs w:val="0"/>
        </w:rPr>
      </w:pPr>
      <w:bookmarkStart w:name="第十一节财务报告" w:id="140"/>
      <w:bookmarkEnd w:id="140"/>
      <w:r>
        <w:rPr>
          <w:b w:val="0"/>
          <w:bCs w:val="0"/>
        </w:rPr>
      </w:r>
      <w:bookmarkStart w:name="_bookmark10" w:id="141"/>
      <w:bookmarkEnd w:id="141"/>
      <w:r>
        <w:rPr>
          <w:b w:val="0"/>
          <w:bCs w:val="0"/>
        </w:rPr>
      </w:r>
      <w:r>
        <w:rPr/>
        <w:t>第十一节财务报告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审计报告" w:id="142"/>
      <w:bookmarkEnd w:id="142"/>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(2015)</w:t>
            </w:r>
            <w:r>
              <w:rPr>
                <w:rFonts w:ascii="宋体" w:hAnsi="宋体" w:cs="宋体" w:eastAsia="宋体" w:hint="default"/>
                <w:sz w:val="18"/>
                <w:szCs w:val="18"/>
              </w:rPr>
              <w:t>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张炯、张祎</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ind w:left="3668" w:right="4644"/>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right="1033"/>
        <w:jc w:val="left"/>
      </w:pPr>
      <w:r>
        <w:rPr/>
        <w:t>上海美特斯邦威服饰股份有限公司全体股东：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51" w:lineRule="auto"/>
        <w:ind w:right="1213"/>
        <w:jc w:val="left"/>
      </w:pPr>
      <w:r>
        <w:rPr/>
        <w:t>我们审计了后附的上海美特斯邦威服饰股份有限公司的财务报表，包括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日的合并及公司的资产负债表，</w:t>
      </w:r>
      <w:r>
        <w:rPr>
          <w:rFonts w:ascii="Times New Roman" w:hAnsi="Times New Roman" w:cs="Times New Roman" w:eastAsia="Times New Roman" w:hint="default"/>
        </w:rPr>
        <w:t>2014 </w:t>
      </w:r>
      <w:r>
        <w:rPr/>
        <w:t>年度合并及公司的利润表、股东权益变动表和现金流量表以及财务报表附注。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240" w:lineRule="auto"/>
        <w:ind w:right="1033"/>
        <w:jc w:val="left"/>
      </w:pPr>
      <w:r>
        <w:rPr/>
        <w:t>一、管理层对财务报表的责任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51" w:lineRule="auto"/>
        <w:ind w:right="1118"/>
        <w:jc w:val="left"/>
      </w:pPr>
      <w:r>
        <w:rPr/>
        <w:t>编制和公允列报财务报表是上海美特斯邦威服饰股份有限公司管理层的责任。这种责任包括：</w:t>
      </w:r>
      <w:r>
        <w:rPr>
          <w:rFonts w:ascii="Times New Roman" w:hAnsi="Times New Roman" w:cs="Times New Roman" w:eastAsia="Times New Roman" w:hint="default"/>
        </w:rPr>
        <w:t>(1)</w:t>
      </w:r>
      <w:r>
        <w:rPr/>
        <w:t>按照企业会计准则的规定 编制财务报表，并使其实现公允反映；</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设计、执行和维护必要的内部控制，以使财务报表不存在由于舞弊或错误导致的 重大错报。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240" w:lineRule="auto"/>
        <w:ind w:right="1033"/>
        <w:jc w:val="left"/>
      </w:pPr>
      <w:r>
        <w:rPr/>
        <w:t>二、注册会计师的责任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77" w:lineRule="auto"/>
        <w:ind w:left="154" w:right="0"/>
        <w:jc w:val="left"/>
      </w:pPr>
      <w:r>
        <w:rPr>
          <w:spacing w:val="-2"/>
        </w:rPr>
        <w:t>我们的责任是在执行审计工作的基础上对财务报表发表审计意见。我们按照中国注册会计师审计准则的规定执行了审计工作。</w:t>
      </w:r>
      <w:r>
        <w:rPr>
          <w:spacing w:val="-62"/>
        </w:rPr>
        <w:t> </w:t>
      </w:r>
      <w:r>
        <w:rPr>
          <w:spacing w:val="-62"/>
        </w:rPr>
      </w:r>
      <w:r>
        <w:rPr>
          <w:spacing w:val="-2"/>
        </w:rPr>
        <w:t>中国注册会计师审计准则要求我们遵守中国注册会计师职业道德守则，计划和执行审计工作以对财务报表是否不存在重大错</w:t>
      </w:r>
      <w:r>
        <w:rPr>
          <w:spacing w:val="-64"/>
        </w:rPr>
        <w:t> </w:t>
      </w:r>
      <w:r>
        <w:rPr>
          <w:spacing w:val="-64"/>
        </w:rPr>
      </w:r>
      <w:r>
        <w:rPr/>
        <w:t>报获取合理保证。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left="154" w:right="0"/>
        <w:jc w:val="left"/>
      </w:pPr>
      <w:r>
        <w:rPr/>
        <w:t>审计工作涉及实施审计程序，以获取有关财务报表金额和披露的审计证据。选择的审计程序取决于注册会计师的判断，包括</w:t>
      </w:r>
    </w:p>
    <w:p>
      <w:pPr>
        <w:spacing w:after="0" w:line="240" w:lineRule="auto"/>
        <w:jc w:val="left"/>
        <w:sectPr>
          <w:pgSz w:w="11910" w:h="16840"/>
          <w:pgMar w:header="851" w:footer="979" w:top="1320" w:bottom="1160" w:left="980" w:right="0"/>
        </w:sectPr>
      </w:pPr>
    </w:p>
    <w:p>
      <w:pPr>
        <w:spacing w:line="240" w:lineRule="auto" w:before="4"/>
        <w:rPr>
          <w:rFonts w:ascii="宋体" w:hAnsi="宋体" w:cs="宋体" w:eastAsia="宋体" w:hint="default"/>
          <w:sz w:val="11"/>
          <w:szCs w:val="11"/>
        </w:rPr>
      </w:pPr>
    </w:p>
    <w:p>
      <w:pPr>
        <w:pStyle w:val="BodyText"/>
        <w:spacing w:line="477" w:lineRule="auto" w:before="44"/>
        <w:ind w:right="1132"/>
        <w:jc w:val="both"/>
      </w:pP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both"/>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right="0"/>
        <w:jc w:val="both"/>
      </w:pPr>
      <w:r>
        <w:rPr/>
        <w:t>三、审计意见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51" w:lineRule="auto"/>
        <w:ind w:right="1130"/>
        <w:jc w:val="both"/>
      </w:pPr>
      <w:r>
        <w:rPr>
          <w:spacing w:val="-2"/>
        </w:rPr>
        <w:t>我们认为，上述财务报表在所有重大方面按照企业会计准则的规定编制，公允反映了上海美特斯邦威服饰股份有限公司</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日的合并及公司的财务状况以及</w:t>
      </w:r>
      <w:r>
        <w:rPr>
          <w:rFonts w:ascii="Times New Roman" w:hAnsi="Times New Roman" w:cs="Times New Roman" w:eastAsia="Times New Roman" w:hint="default"/>
        </w:rPr>
        <w:t>2014</w:t>
      </w:r>
      <w:r>
        <w:rPr/>
        <w:t>年度的合并及公司的经营成果和现金流量。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tabs>
          <w:tab w:pos="8015" w:val="left" w:leader="none"/>
        </w:tabs>
        <w:spacing w:line="240" w:lineRule="auto"/>
        <w:ind w:right="0"/>
        <w:jc w:val="both"/>
      </w:pPr>
      <w:r>
        <w:rPr/>
        <w:t>安永华明会计师事务所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spacing w:val="-3"/>
        </w:rPr>
        <w:t>中国注册会计师：张炯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tabs>
          <w:tab w:pos="7501" w:val="left" w:leader="none"/>
        </w:tabs>
        <w:spacing w:line="240" w:lineRule="auto"/>
        <w:ind w:left="0" w:right="1130"/>
        <w:jc w:val="right"/>
      </w:pPr>
      <w:r>
        <w:rPr/>
        <w:t>中国北京</w:t>
        <w:tab/>
        <w:t>中国注册会计师</w:t>
      </w:r>
      <w:r>
        <w:rPr>
          <w:spacing w:val="-82"/>
        </w:rPr>
        <w:t>：</w:t>
      </w:r>
      <w:r>
        <w:rPr/>
        <w:t>张祎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1130"/>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二、财务报表" w:id="143"/>
      <w:bookmarkEnd w:id="14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1、合并资产负债表" w:id="144"/>
      <w:bookmarkEnd w:id="14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240" w:lineRule="auto" w:before="44"/>
        <w:ind w:right="-19"/>
        <w:jc w:val="left"/>
      </w:pPr>
      <w:r>
        <w:rPr/>
        <w:t>编制单位：上海美特斯邦威服饰股份有限公司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03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1,407,459,236.00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1,074,598,869.00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234,536,158.00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319,804,786.00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183,146,015.00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349,907,038.00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80,812,986.00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131,841,217.00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1,435,635,551.00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1,579,748,225.00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15,287,722.00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151,218,735.00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3,685,487,668.00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3,619,068,870.00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117,456,829.00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143,097,858.00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131,625,337.00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129,381,736.00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1,864,534,886.00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1,949,157,900.00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14,397,796.00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19,734,107.00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160,932,576.00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169,884,776.00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124,714,158.00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183,260,419.00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429,757,754.00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485,882,648.00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457,835,724.00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3,301,255,060.00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3,088,235,168.00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6,986,742,728.00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6,707,304,038.00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778,630,418.00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499,678,458.00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18,336,468.00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16,166,461.00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348,840,798.00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208,756,845.00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63,122,521.00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66,610,401.00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129,478,145.00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125,488,773.00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130,487,918.00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178,172,008.00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272,663,736.00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205,091,112.00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828,992,877.00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2,474,936,004.00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2,128,956,935.00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805,494,932.00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875,274,932.00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3,350,210,936.00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2,933,332,759.00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1,123,873,545.00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1,060,093,545.00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621,769,207.00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613,685,062.00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949,669,040.00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1,095,192,672.00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3,636,531,792.00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3,773,971,279.00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3,636,531,792.00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3,773,971,279.00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6,986,742,728.00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6,707,304,038.00</w:t>
            </w:r>
          </w:p>
        </w:tc>
      </w:tr>
    </w:tbl>
    <w:p>
      <w:pPr>
        <w:spacing w:line="240" w:lineRule="auto" w:before="3"/>
        <w:rPr>
          <w:rFonts w:ascii="Times New Roman" w:hAnsi="Times New Roman" w:cs="Times New Roman" w:eastAsia="Times New Roman" w:hint="default"/>
          <w:sz w:val="23"/>
          <w:szCs w:val="23"/>
        </w:rPr>
      </w:pPr>
    </w:p>
    <w:p>
      <w:pPr>
        <w:pStyle w:val="BodyText"/>
        <w:spacing w:line="240" w:lineRule="auto" w:before="44"/>
        <w:ind w:left="154" w:right="1033"/>
        <w:jc w:val="left"/>
      </w:pPr>
      <w:r>
        <w:rPr/>
        <w:t>法定代表人：周成建主管会计工作负责人：涂珂会计机构负责人：董祝秀</w:t>
      </w:r>
    </w:p>
    <w:p>
      <w:pPr>
        <w:spacing w:line="240" w:lineRule="auto" w:before="11"/>
        <w:rPr>
          <w:rFonts w:ascii="宋体" w:hAnsi="宋体" w:cs="宋体" w:eastAsia="宋体" w:hint="default"/>
          <w:sz w:val="26"/>
          <w:szCs w:val="26"/>
        </w:rPr>
      </w:pPr>
    </w:p>
    <w:p>
      <w:pPr>
        <w:pStyle w:val="Heading4"/>
        <w:spacing w:line="240" w:lineRule="auto"/>
        <w:ind w:left="153" w:right="1033"/>
        <w:jc w:val="left"/>
        <w:rPr>
          <w:b w:val="0"/>
          <w:bCs w:val="0"/>
        </w:rPr>
      </w:pPr>
      <w:bookmarkStart w:name="2、母公司资产负债表" w:id="145"/>
      <w:bookmarkEnd w:id="14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1,035,170,264.00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551,183,981.00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3,153,286,524.00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3,696,014,092.00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42,789,596.00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142,629,586.00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383,230,873.00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593,748,390.00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829,900,010.00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844,710,878.00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4,611,542.00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151,218,735.00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5,777,598,809.00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5,988,435,662.00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9,683,484.00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10,404,692.00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398,384,026.00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1,196,136,776.00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1,247,304,082.00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352,813,794.00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365,472,114.00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13,996,952.00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17,431,222.00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366,292,098.00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387,868,830.00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49,548,995.00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37,505,844.00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457,835,724.00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2,797,340,612.00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2,521,755,529.00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8,574,939,421.00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8,510,191,191.00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778,630,418.00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496,658,458.00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18,336,468.00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16,166,461.00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1,168,860,796.00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936,988,332.00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160,412,194.00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70,860,449.00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52,546,218.00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52,686,323.00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83,843,703.00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94,329,530.00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538,107,719.00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494,133,229.00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828,992,877.00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3,534,113,516.00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2,990,815,659.00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805,494,932.00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875,274,932.00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4,409,388,448.00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3,795,191,483.00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1,048,708,819.00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984,928,819.00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1,673,122,154.00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2,222,570,889.00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4,165,550,973.00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4,714,999,708.00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8,574,939,421.00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8,510,191,191.00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3、合并利润表" w:id="146"/>
      <w:bookmarkEnd w:id="14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6,620,767,477.00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7,889,618,084.00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6,620,767,477.00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7,889,618,084.00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6,466,482,144.00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7,367,763,433.00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3,629,859,517.00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4,368,315,248.00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57,957,580.00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61,867,637.00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2,166,133,578.00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2,481,228,935.00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227,151,728.00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261,087,264.00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129,165,859.00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112,515,949.00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256,213,882.00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82,748,400.00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-4,134,628.00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-4,134,628.00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178,250,190.00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517,720,023.00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106,038,866.00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55,270,598.00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6,982,654.00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350,228.00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38,011,363.00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85,572,284.00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26,190,592.00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74,959,372.00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246,277,693.00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487,418,337.00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100,637,180.00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81,941,973.00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bl>
    <w:p>
      <w:pPr>
        <w:pStyle w:val="BodyText"/>
        <w:spacing w:line="624" w:lineRule="auto" w:before="51"/>
        <w:ind w:right="1933"/>
        <w:jc w:val="left"/>
      </w:pPr>
      <w:r>
        <w:rPr/>
        <w:t>本期发生同一控制下企业合并的，被合并方在合并前实现的净利润为：元，上期被合并方实现的净利润为：元。 法定代表人：周成建主管会计工作负责人：涂珂会计机构负责人：董祝秀</w:t>
      </w:r>
    </w:p>
    <w:p>
      <w:pPr>
        <w:pStyle w:val="Heading4"/>
        <w:spacing w:line="240" w:lineRule="auto" w:before="63"/>
        <w:ind w:left="153" w:right="1033"/>
        <w:jc w:val="left"/>
        <w:rPr>
          <w:b w:val="0"/>
          <w:bCs w:val="0"/>
        </w:rPr>
      </w:pPr>
      <w:bookmarkStart w:name="4、母公司利润表" w:id="147"/>
      <w:bookmarkEnd w:id="14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4,644,863,830.00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5,505,167,377.00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3,601,440,703.00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4,083,915,113.00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9,787,531.00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12,563,041.00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611,487,826.00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608,147,060.00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347,921,406.00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486,011,985.00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140,521,615.00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122,746,026.00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227,669,747.00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68,409,331.00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8"/>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351,369,511.00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-4,134,628.00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-270,000,141.00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474,744,332.00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47,432,526.00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41,436,971.00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6,577,748.00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222,460.00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5,370,321.00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32,906,995.00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621,552.00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24,933,813.00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-227,937,936.00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483,274,308.00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38,430,799.00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44,948,738.00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-266,368,735.00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438,325,570.00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-266,368,735.00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438,325,570.00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合并现金流量表" w:id="148"/>
      <w:bookmarkEnd w:id="14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5" w:right="0"/>
              <w:jc w:val="left"/>
              <w:rPr>
                <w:rFonts w:ascii="Times New Roman" w:hAnsi="Times New Roman" w:cs="Times New Roman" w:eastAsia="Times New Roman" w:hint="default"/>
                <w:sz w:val="18"/>
                <w:szCs w:val="18"/>
              </w:rPr>
            </w:pPr>
            <w:r>
              <w:rPr>
                <w:rFonts w:ascii="Times New Roman"/>
                <w:sz w:val="18"/>
              </w:rPr>
              <w:t>7,848,942,477.00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9,353,574,661.00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24,280,019.00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162,550,928.00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208,138,380.00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8,035,773,424.00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9,561,713,041.00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4,120,096,873.00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5,150,089,263.00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898,323,578.00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963,219,705.00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567,153,533.00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1,008,899,972.00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1,128,025,477.00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1,455,304,034.00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6,713,599,461.00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8,577,512,974.00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1,322,173,963.00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984,200,067.00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33,289,822.00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6,343,994.00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99,289,822.00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6,343,994.00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144,230,308.00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181,851,424.00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594,230,308.00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181,851,424.00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-494,940,486.00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-175,507,430.00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1,263,076,026.00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1,566,843,674.00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26,657,754.00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40,352,576.00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2,059,513,780.00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3,207,196,250.00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2,100,784,066.00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2,673,339,629.00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423,645,070.00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846,615,704.00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35,936,174.00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41,717,602.00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2,560,365,310.00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3,561,672,935.00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-500,851,530.00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-354,476,685.00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326,381,947.00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454,215,952.00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1,069,565,136.00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615,349,184.00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1,395,947,083.00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6、母公司现金流量表" w:id="149"/>
      <w:bookmarkEnd w:id="14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6,067,973,143.00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7,107,450,969.00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500,135.00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89,225,600.00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66,245,124.00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6,157,698,878.00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7,173,696,093.00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4,080,601,690.00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5,285,302,794.00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319,622,595.00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323,499,698.00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56,984,846.00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507,599,267.00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243,480,226.00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583,227,087.00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4,700,689,357.00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6,699,628,846.00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1,457,009,521.00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474,067,247.00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355,504,139.00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28,967,491.00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965,156.00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94,967,491.00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356,469,295.00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123,617,619.00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328,885,270.00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573,617,619.00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333,635,270.00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-478,650,128.00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22,834,025.00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1,263,076,026.00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1,566,843,674.00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26,657,754.00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40,352,576.00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2,059,513,780.00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3,207,196,250.00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2,100,784,066.00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2,473,339,629.00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423,645,070.00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846,957,437.00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35,936,174.00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41,717,602.00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2,560,365,310.00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3,362,014,668.00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-500,851,530.00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-154,818,418.00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477,507,863.00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342,082,854.00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546,150,248.00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204,067,394.00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1,023,658,111.00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546,150,248.00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77、合并所有者权益变动表" w:id="150"/>
      <w:bookmarkEnd w:id="150"/>
      <w:r>
        <w:rPr>
          <w:b w:val="0"/>
          <w:bCs w:val="0"/>
        </w:rPr>
      </w:r>
      <w:r>
        <w:rPr>
          <w:rFonts w:ascii="Times New Roman" w:hAnsi="Times New Roman" w:cs="Times New Roman" w:eastAsia="Times New Roman" w:hint="default"/>
        </w:rPr>
        <w:t>77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436"/>
        <w:jc w:val="right"/>
      </w:pPr>
      <w:r>
        <w:rPr/>
        <w:pict>
          <v:shape style="position:absolute;margin-left:71.760002pt;margin-top:23.211727pt;width:703.15pt;height:396.8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8"/>
                    <w:gridCol w:w="1456"/>
                    <w:gridCol w:w="426"/>
                    <w:gridCol w:w="426"/>
                    <w:gridCol w:w="425"/>
                    <w:gridCol w:w="1417"/>
                    <w:gridCol w:w="1842"/>
                    <w:gridCol w:w="709"/>
                    <w:gridCol w:w="425"/>
                    <w:gridCol w:w="1277"/>
                    <w:gridCol w:w="283"/>
                    <w:gridCol w:w="1417"/>
                    <w:gridCol w:w="283"/>
                    <w:gridCol w:w="1574"/>
                  </w:tblGrid>
                  <w:tr>
                    <w:trPr>
                      <w:trHeight w:val="418" w:hRule="exact"/>
                    </w:trPr>
                    <w:tc>
                      <w:tcPr>
                        <w:tcW w:w="2088" w:type="dxa"/>
                        <w:vMerge w:val="restart"/>
                        <w:tcBorders>
                          <w:top w:val="single" w:sz="4" w:space="0" w:color="000000"/>
                          <w:left w:val="single" w:sz="4" w:space="0" w:color="000000"/>
                          <w:right w:val="single" w:sz="4" w:space="0" w:color="000000"/>
                        </w:tcBorders>
                        <w:shd w:val="clear" w:color="auto" w:fill="D2D2D2"/>
                      </w:tcPr>
                      <w:p>
                        <w:pPr/>
                      </w:p>
                    </w:tc>
                    <w:tc>
                      <w:tcPr>
                        <w:tcW w:w="119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4" w:hRule="exact"/>
                    </w:trPr>
                    <w:tc>
                      <w:tcPr>
                        <w:tcW w:w="2088" w:type="dxa"/>
                        <w:vMerge/>
                        <w:tcBorders>
                          <w:left w:val="single" w:sz="4" w:space="0" w:color="000000"/>
                          <w:right w:val="single" w:sz="4" w:space="0" w:color="000000"/>
                        </w:tcBorders>
                        <w:shd w:val="clear" w:color="auto" w:fill="D2D2D2"/>
                      </w:tcPr>
                      <w:p>
                        <w:pPr/>
                      </w:p>
                    </w:tc>
                    <w:tc>
                      <w:tcPr>
                        <w:tcW w:w="1010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4"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2088" w:type="dxa"/>
                        <w:vMerge/>
                        <w:tcBorders>
                          <w:left w:val="single" w:sz="4" w:space="0" w:color="000000"/>
                          <w:right w:val="single" w:sz="4" w:space="0" w:color="000000"/>
                        </w:tcBorders>
                        <w:shd w:val="clear" w:color="auto" w:fill="D2D2D2"/>
                      </w:tcPr>
                      <w:p>
                        <w:pPr/>
                      </w:p>
                    </w:tc>
                    <w:tc>
                      <w:tcPr>
                        <w:tcW w:w="10104" w:type="dxa"/>
                        <w:gridSpan w:val="11"/>
                        <w:vMerge/>
                        <w:tcBorders>
                          <w:left w:val="single" w:sz="4" w:space="0" w:color="000000"/>
                          <w:bottom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5" w:right="47"/>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574" w:type="dxa"/>
                        <w:vMerge/>
                        <w:tcBorders>
                          <w:left w:val="single" w:sz="4" w:space="0" w:color="000000"/>
                          <w:right w:val="single" w:sz="4" w:space="0" w:color="000000"/>
                        </w:tcBorders>
                        <w:shd w:val="clear" w:color="auto" w:fill="D2D2D2"/>
                      </w:tcPr>
                      <w:p>
                        <w:pPr/>
                      </w:p>
                    </w:tc>
                  </w:tr>
                  <w:tr>
                    <w:trPr>
                      <w:trHeight w:val="385" w:hRule="exact"/>
                    </w:trPr>
                    <w:tc>
                      <w:tcPr>
                        <w:tcW w:w="2088" w:type="dxa"/>
                        <w:vMerge/>
                        <w:tcBorders>
                          <w:left w:val="single" w:sz="4" w:space="0" w:color="000000"/>
                          <w:bottom w:val="nil" w:sz="6" w:space="0" w:color="auto"/>
                          <w:right w:val="single" w:sz="4" w:space="0" w:color="000000"/>
                        </w:tcBorders>
                        <w:shd w:val="clear" w:color="auto" w:fill="D2D2D2"/>
                      </w:tcPr>
                      <w:p>
                        <w:pPr/>
                      </w:p>
                    </w:tc>
                    <w:tc>
                      <w:tcPr>
                        <w:tcW w:w="1456"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5" w:right="47"/>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right w:val="single" w:sz="4" w:space="0" w:color="000000"/>
                        </w:tcBorders>
                        <w:shd w:val="clear" w:color="auto" w:fill="D2D2D2"/>
                      </w:tcPr>
                      <w:p>
                        <w:pPr/>
                      </w:p>
                    </w:tc>
                  </w:tr>
                  <w:tr>
                    <w:trPr>
                      <w:trHeight w:val="222" w:hRule="exact"/>
                    </w:trPr>
                    <w:tc>
                      <w:tcPr>
                        <w:tcW w:w="20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6" w:type="dxa"/>
                        <w:vMerge/>
                        <w:tcBorders>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2088" w:type="dxa"/>
                        <w:vMerge/>
                        <w:tcBorders>
                          <w:left w:val="single" w:sz="4" w:space="0" w:color="000000"/>
                          <w:bottom w:val="single" w:sz="11" w:space="0" w:color="FFFFFF"/>
                          <w:right w:val="single" w:sz="4" w:space="0" w:color="000000"/>
                        </w:tcBorders>
                        <w:shd w:val="clear" w:color="auto" w:fill="D2D2D2"/>
                      </w:tcPr>
                      <w:p>
                        <w:pPr/>
                      </w:p>
                    </w:tc>
                    <w:tc>
                      <w:tcPr>
                        <w:tcW w:w="1456" w:type="dxa"/>
                        <w:vMerge/>
                        <w:tcBorders>
                          <w:left w:val="single" w:sz="4" w:space="0" w:color="000000"/>
                          <w:bottom w:val="single" w:sz="11" w:space="0" w:color="FFFFFF"/>
                          <w:right w:val="single" w:sz="4" w:space="0" w:color="000000"/>
                        </w:tcBorders>
                        <w:shd w:val="clear" w:color="auto" w:fill="D2D2D2"/>
                      </w:tcPr>
                      <w:p>
                        <w:pPr/>
                      </w:p>
                    </w:tc>
                    <w:tc>
                      <w:tcPr>
                        <w:tcW w:w="426" w:type="dxa"/>
                        <w:vMerge/>
                        <w:tcBorders>
                          <w:left w:val="single" w:sz="4" w:space="0" w:color="000000"/>
                          <w:bottom w:val="single" w:sz="11" w:space="0" w:color="FFFFFF"/>
                          <w:right w:val="single" w:sz="4" w:space="0" w:color="000000"/>
                        </w:tcBorders>
                        <w:shd w:val="clear" w:color="auto" w:fill="D2D2D2"/>
                      </w:tcPr>
                      <w:p>
                        <w:pPr/>
                      </w:p>
                    </w:tc>
                    <w:tc>
                      <w:tcPr>
                        <w:tcW w:w="426" w:type="dxa"/>
                        <w:vMerge/>
                        <w:tcBorders>
                          <w:left w:val="single" w:sz="4" w:space="0" w:color="000000"/>
                          <w:bottom w:val="single" w:sz="11"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2088" w:type="dxa"/>
                        <w:vMerge w:val="restart"/>
                        <w:tcBorders>
                          <w:top w:val="single" w:sz="11" w:space="0" w:color="FFFFFF"/>
                          <w:left w:val="single" w:sz="4" w:space="0" w:color="000000"/>
                          <w:right w:val="single" w:sz="4" w:space="0" w:color="000000"/>
                        </w:tcBorders>
                        <w:shd w:val="clear" w:color="auto" w:fill="D2D2D2"/>
                      </w:tcPr>
                      <w:p>
                        <w:pPr/>
                      </w:p>
                    </w:tc>
                    <w:tc>
                      <w:tcPr>
                        <w:tcW w:w="1456" w:type="dxa"/>
                        <w:vMerge w:val="restart"/>
                        <w:tcBorders>
                          <w:top w:val="single" w:sz="11" w:space="0" w:color="FFFFFF"/>
                          <w:left w:val="single" w:sz="4" w:space="0" w:color="000000"/>
                          <w:right w:val="single" w:sz="4" w:space="0" w:color="000000"/>
                        </w:tcBorders>
                        <w:shd w:val="clear" w:color="auto" w:fill="D2D2D2"/>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11" w:space="0" w:color="FFFFFF"/>
                          <w:left w:val="single" w:sz="4" w:space="0" w:color="000000"/>
                          <w:right w:val="single" w:sz="4" w:space="0" w:color="000000"/>
                        </w:tcBorders>
                        <w:shd w:val="clear" w:color="auto" w:fill="D2D2D2"/>
                      </w:tcPr>
                      <w:p>
                        <w:pPr>
                          <w:pStyle w:val="TableParagraph"/>
                          <w:spacing w:line="319" w:lineRule="auto" w:before="89"/>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11" w:space="0" w:color="FFFFFF"/>
                          <w:left w:val="single" w:sz="4" w:space="0" w:color="000000"/>
                          <w:right w:val="single" w:sz="4" w:space="0" w:color="000000"/>
                        </w:tcBorders>
                        <w:shd w:val="clear" w:color="auto" w:fill="D2D2D2"/>
                      </w:tcPr>
                      <w:p>
                        <w:pPr>
                          <w:pStyle w:val="TableParagraph"/>
                          <w:spacing w:line="319" w:lineRule="auto" w:before="89"/>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088"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088" w:type="dxa"/>
                        <w:vMerge/>
                        <w:tcBorders>
                          <w:left w:val="single" w:sz="4" w:space="0" w:color="000000"/>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842"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right w:val="single" w:sz="4" w:space="0" w:color="000000"/>
                        </w:tcBorders>
                        <w:shd w:val="clear" w:color="auto" w:fill="D2D2D2"/>
                      </w:tcPr>
                      <w:p>
                        <w:pPr/>
                      </w:p>
                    </w:tc>
                  </w:tr>
                  <w:tr>
                    <w:trPr>
                      <w:trHeight w:val="179" w:hRule="exact"/>
                    </w:trPr>
                    <w:tc>
                      <w:tcPr>
                        <w:tcW w:w="2088"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right w:val="single" w:sz="4" w:space="0" w:color="000000"/>
                        </w:tcBorders>
                        <w:shd w:val="clear" w:color="auto" w:fill="D2D2D2"/>
                      </w:tcPr>
                      <w:p>
                        <w:pPr/>
                      </w:p>
                    </w:tc>
                  </w:tr>
                  <w:tr>
                    <w:trPr>
                      <w:trHeight w:val="222" w:hRule="exact"/>
                    </w:trPr>
                    <w:tc>
                      <w:tcPr>
                        <w:tcW w:w="2088"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574" w:type="dxa"/>
                        <w:vMerge/>
                        <w:tcBorders>
                          <w:left w:val="single" w:sz="4" w:space="0" w:color="000000"/>
                          <w:right w:val="single" w:sz="4" w:space="0" w:color="000000"/>
                        </w:tcBorders>
                        <w:shd w:val="clear" w:color="auto" w:fill="D2D2D2"/>
                      </w:tcPr>
                      <w:p>
                        <w:pPr/>
                      </w:p>
                    </w:tc>
                  </w:tr>
                  <w:tr>
                    <w:trPr>
                      <w:trHeight w:val="205" w:hRule="exact"/>
                    </w:trPr>
                    <w:tc>
                      <w:tcPr>
                        <w:tcW w:w="2088"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1,060,093,545.00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613,685,062.00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1,095,192,672.00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3,773,971,279.00</w:t>
                        </w: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30"/>
                          <w:jc w:val="center"/>
                          <w:rPr>
                            <w:rFonts w:ascii="宋体" w:hAnsi="宋体" w:cs="宋体" w:eastAsia="宋体" w:hint="default"/>
                            <w:sz w:val="18"/>
                            <w:szCs w:val="18"/>
                          </w:rPr>
                        </w:pPr>
                        <w:r>
                          <w:rPr>
                            <w:rFonts w:ascii="宋体" w:hAnsi="宋体" w:cs="宋体" w:eastAsia="宋体" w:hint="default"/>
                            <w:sz w:val="18"/>
                            <w:szCs w:val="18"/>
                          </w:rPr>
                          <w:t>其他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1,060,093,545.00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613,685,062.00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1,095,192,672.00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3,773,971,279.00</w:t>
                        </w: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8,084,145.00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-145,523,632.00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-137,439,487.00</w:t>
                        </w:r>
                      </w:p>
                    </w:tc>
                  </w:tr>
                  <w:tr>
                    <w:trPr>
                      <w:trHeight w:val="449"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145,640,513.00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单位：元</w:t>
      </w:r>
    </w:p>
    <w:p>
      <w:pPr>
        <w:spacing w:after="0" w:line="240" w:lineRule="auto"/>
        <w:jc w:val="right"/>
        <w:sectPr>
          <w:headerReference w:type="default" r:id="rId19"/>
          <w:footerReference w:type="default" r:id="rId20"/>
          <w:pgSz w:w="16840" w:h="11910" w:orient="landscape"/>
          <w:pgMar w:header="851" w:footer="979" w:top="1320" w:bottom="1280" w:left="1300" w:right="0"/>
          <w:pgNumType w:start="66"/>
        </w:sectPr>
      </w:pPr>
    </w:p>
    <w:tbl>
      <w:tblPr>
        <w:tblW w:w="0" w:type="auto"/>
        <w:jc w:val="left"/>
        <w:tblInd w:w="115" w:type="dxa"/>
        <w:tblLayout w:type="fixed"/>
        <w:tblCellMar>
          <w:top w:w="0" w:type="dxa"/>
          <w:left w:w="0" w:type="dxa"/>
          <w:bottom w:w="0" w:type="dxa"/>
          <w:right w:w="0" w:type="dxa"/>
        </w:tblCellMar>
        <w:tblLook w:val="01E0"/>
      </w:tblPr>
      <w:tblGrid>
        <w:gridCol w:w="2088"/>
        <w:gridCol w:w="1456"/>
        <w:gridCol w:w="426"/>
        <w:gridCol w:w="426"/>
        <w:gridCol w:w="425"/>
        <w:gridCol w:w="1417"/>
        <w:gridCol w:w="1842"/>
        <w:gridCol w:w="709"/>
        <w:gridCol w:w="425"/>
        <w:gridCol w:w="1277"/>
        <w:gridCol w:w="283"/>
        <w:gridCol w:w="1417"/>
        <w:gridCol w:w="283"/>
        <w:gridCol w:w="1574"/>
      </w:tblGrid>
      <w:tr>
        <w:trPr>
          <w:trHeight w:val="374" w:hRule="exact"/>
        </w:trPr>
        <w:tc>
          <w:tcPr>
            <w:tcW w:w="20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56" w:type="dxa"/>
            <w:tcBorders>
              <w:top w:val="single" w:sz="10" w:space="0" w:color="000000"/>
              <w:left w:val="single" w:sz="9" w:space="0" w:color="D2D2D2"/>
              <w:bottom w:val="single" w:sz="4" w:space="0" w:color="000000"/>
              <w:right w:val="single" w:sz="4" w:space="0" w:color="000000"/>
            </w:tcBorders>
          </w:tcPr>
          <w:p>
            <w:pPr/>
          </w:p>
        </w:tc>
        <w:tc>
          <w:tcPr>
            <w:tcW w:w="426" w:type="dxa"/>
            <w:tcBorders>
              <w:top w:val="single" w:sz="10" w:space="0" w:color="000000"/>
              <w:left w:val="single" w:sz="4" w:space="0" w:color="000000"/>
              <w:bottom w:val="single" w:sz="4" w:space="0" w:color="000000"/>
              <w:right w:val="single" w:sz="4" w:space="0" w:color="000000"/>
            </w:tcBorders>
          </w:tcPr>
          <w:p>
            <w:pPr/>
          </w:p>
        </w:tc>
        <w:tc>
          <w:tcPr>
            <w:tcW w:w="426"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1842" w:type="dxa"/>
            <w:tcBorders>
              <w:top w:val="single" w:sz="10" w:space="0" w:color="000000"/>
              <w:left w:val="single" w:sz="4" w:space="0" w:color="000000"/>
              <w:bottom w:val="single" w:sz="4" w:space="0" w:color="000000"/>
              <w:right w:val="single" w:sz="4" w:space="0" w:color="000000"/>
            </w:tcBorders>
          </w:tcPr>
          <w:p>
            <w:pPr/>
          </w:p>
        </w:tc>
        <w:tc>
          <w:tcPr>
            <w:tcW w:w="709"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74"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益的金额</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8,084,145.00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-291,164,145.00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-283,080,000.00</w:t>
            </w: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8,084,145.00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-8,084,145.00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-283,080,000.00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-283,080,000.00</w:t>
            </w: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73"/>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56" w:type="dxa"/>
            <w:tcBorders>
              <w:top w:val="single" w:sz="4" w:space="0" w:color="000000"/>
              <w:left w:val="single" w:sz="9"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left="163" w:right="0"/>
              <w:jc w:val="left"/>
              <w:rPr>
                <w:rFonts w:ascii="Times New Roman" w:hAnsi="Times New Roman" w:cs="Times New Roman" w:eastAsia="Times New Roman" w:hint="default"/>
                <w:sz w:val="18"/>
                <w:szCs w:val="18"/>
              </w:rPr>
            </w:pPr>
            <w:r>
              <w:rPr>
                <w:rFonts w:ascii="Times New Roman"/>
                <w:sz w:val="18"/>
              </w:rPr>
              <w:t>1,011,000,000.00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3" w:right="0"/>
              <w:jc w:val="left"/>
              <w:rPr>
                <w:rFonts w:ascii="Times New Roman" w:hAnsi="Times New Roman" w:cs="Times New Roman" w:eastAsia="Times New Roman" w:hint="default"/>
                <w:sz w:val="18"/>
                <w:szCs w:val="18"/>
              </w:rPr>
            </w:pPr>
            <w:r>
              <w:rPr>
                <w:rFonts w:ascii="Times New Roman"/>
                <w:sz w:val="18"/>
              </w:rPr>
              <w:t>1,123,873,545.00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75" w:right="0"/>
              <w:jc w:val="left"/>
              <w:rPr>
                <w:rFonts w:ascii="Times New Roman" w:hAnsi="Times New Roman" w:cs="Times New Roman" w:eastAsia="Times New Roman" w:hint="default"/>
                <w:sz w:val="18"/>
                <w:szCs w:val="18"/>
              </w:rPr>
            </w:pPr>
            <w:r>
              <w:rPr>
                <w:rFonts w:ascii="Times New Roman"/>
                <w:sz w:val="18"/>
              </w:rPr>
              <w:t>69,780,000.00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621,769,207.00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949,669,040.00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18"/>
                <w:szCs w:val="18"/>
              </w:rPr>
            </w:pPr>
            <w:r>
              <w:rPr>
                <w:rFonts w:ascii="Times New Roman"/>
                <w:spacing w:val="-1"/>
                <w:sz w:val="18"/>
              </w:rPr>
              <w:t>3,636,531,792.00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60" w:bottom="1160" w:left="132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140" w:right="0"/>
        <w:jc w:val="left"/>
      </w:pPr>
      <w:r>
        <w:rPr/>
        <w:t>上期金额</w:t>
      </w:r>
    </w:p>
    <w:p>
      <w:pPr>
        <w:pStyle w:val="BodyText"/>
        <w:spacing w:line="240" w:lineRule="auto" w:before="116"/>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079"/>
        <w:gridCol w:w="1453"/>
        <w:gridCol w:w="426"/>
        <w:gridCol w:w="426"/>
        <w:gridCol w:w="425"/>
        <w:gridCol w:w="1405"/>
        <w:gridCol w:w="1854"/>
        <w:gridCol w:w="709"/>
        <w:gridCol w:w="425"/>
        <w:gridCol w:w="1277"/>
        <w:gridCol w:w="425"/>
        <w:gridCol w:w="1418"/>
        <w:gridCol w:w="282"/>
        <w:gridCol w:w="1385"/>
      </w:tblGrid>
      <w:tr>
        <w:trPr>
          <w:trHeight w:val="402" w:hRule="exact"/>
        </w:trPr>
        <w:tc>
          <w:tcPr>
            <w:tcW w:w="2079" w:type="dxa"/>
            <w:vMerge w:val="restart"/>
            <w:tcBorders>
              <w:top w:val="single" w:sz="4" w:space="0" w:color="000000"/>
              <w:left w:val="single" w:sz="4" w:space="0" w:color="000000"/>
              <w:right w:val="single" w:sz="4" w:space="0" w:color="000000"/>
            </w:tcBorders>
            <w:shd w:val="clear" w:color="auto" w:fill="D2D2D2"/>
          </w:tcPr>
          <w:p>
            <w:pPr/>
          </w:p>
        </w:tc>
        <w:tc>
          <w:tcPr>
            <w:tcW w:w="1191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79" w:type="dxa"/>
            <w:vMerge/>
            <w:tcBorders>
              <w:left w:val="single" w:sz="4" w:space="0" w:color="000000"/>
              <w:right w:val="single" w:sz="4" w:space="0" w:color="000000"/>
            </w:tcBorders>
            <w:shd w:val="clear" w:color="auto" w:fill="D2D2D2"/>
          </w:tcPr>
          <w:p>
            <w:pPr/>
          </w:p>
        </w:tc>
        <w:tc>
          <w:tcPr>
            <w:tcW w:w="102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5" w:right="45"/>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385" w:type="dxa"/>
            <w:vMerge w:val="restart"/>
            <w:tcBorders>
              <w:top w:val="single" w:sz="4" w:space="0" w:color="000000"/>
              <w:left w:val="single" w:sz="4" w:space="0" w:color="000000"/>
              <w:right w:val="single" w:sz="4" w:space="0" w:color="000000"/>
            </w:tcBorders>
            <w:shd w:val="clear" w:color="auto" w:fill="D2D2D2"/>
          </w:tcPr>
          <w:p>
            <w:pPr/>
          </w:p>
        </w:tc>
      </w:tr>
      <w:tr>
        <w:trPr>
          <w:trHeight w:val="182" w:hRule="exact"/>
        </w:trPr>
        <w:tc>
          <w:tcPr>
            <w:tcW w:w="2079" w:type="dxa"/>
            <w:vMerge/>
            <w:tcBorders>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5" w:type="dxa"/>
            <w:vMerge w:val="restart"/>
            <w:tcBorders>
              <w:top w:val="single" w:sz="4" w:space="0" w:color="000000"/>
              <w:left w:val="single" w:sz="4" w:space="0" w:color="000000"/>
              <w:right w:val="single" w:sz="4" w:space="0" w:color="000000"/>
            </w:tcBorders>
            <w:shd w:val="clear" w:color="auto" w:fill="D2D2D2"/>
          </w:tcPr>
          <w:p>
            <w:pPr/>
          </w:p>
        </w:tc>
        <w:tc>
          <w:tcPr>
            <w:tcW w:w="1854"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90" w:hRule="exact"/>
        </w:trPr>
        <w:tc>
          <w:tcPr>
            <w:tcW w:w="20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right w:val="single" w:sz="4" w:space="0" w:color="000000"/>
            </w:tcBorders>
            <w:shd w:val="clear" w:color="auto" w:fill="D2D2D2"/>
          </w:tcPr>
          <w:p>
            <w:pPr/>
          </w:p>
        </w:tc>
        <w:tc>
          <w:tcPr>
            <w:tcW w:w="1405" w:type="dxa"/>
            <w:vMerge/>
            <w:tcBorders>
              <w:left w:val="single" w:sz="4" w:space="0" w:color="000000"/>
              <w:right w:val="single" w:sz="4" w:space="0" w:color="000000"/>
            </w:tcBorders>
            <w:shd w:val="clear" w:color="auto" w:fill="D2D2D2"/>
          </w:tcPr>
          <w:p>
            <w:pPr/>
          </w:p>
        </w:tc>
        <w:tc>
          <w:tcPr>
            <w:tcW w:w="1854"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21" w:hRule="exact"/>
        </w:trPr>
        <w:tc>
          <w:tcPr>
            <w:tcW w:w="2079"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right w:val="single" w:sz="4" w:space="0" w:color="000000"/>
            </w:tcBorders>
            <w:shd w:val="clear" w:color="auto" w:fill="D2D2D2"/>
          </w:tcPr>
          <w:p>
            <w:pPr/>
          </w:p>
        </w:tc>
        <w:tc>
          <w:tcPr>
            <w:tcW w:w="1854"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171" w:hRule="exact"/>
        </w:trPr>
        <w:tc>
          <w:tcPr>
            <w:tcW w:w="2079" w:type="dxa"/>
            <w:vMerge/>
            <w:tcBorders>
              <w:left w:val="single" w:sz="4" w:space="0" w:color="000000"/>
              <w:bottom w:val="single" w:sz="4" w:space="0" w:color="FFFFFF"/>
              <w:right w:val="single" w:sz="4" w:space="0" w:color="000000"/>
            </w:tcBorders>
            <w:shd w:val="clear" w:color="auto" w:fill="D2D2D2"/>
          </w:tcPr>
          <w:p>
            <w:pPr/>
          </w:p>
        </w:tc>
        <w:tc>
          <w:tcPr>
            <w:tcW w:w="1453" w:type="dxa"/>
            <w:vMerge/>
            <w:tcBorders>
              <w:left w:val="single" w:sz="4" w:space="0" w:color="000000"/>
              <w:bottom w:val="single" w:sz="4" w:space="0" w:color="FFFFFF"/>
              <w:right w:val="single" w:sz="4" w:space="0" w:color="000000"/>
            </w:tcBorders>
            <w:shd w:val="clear" w:color="auto" w:fill="D2D2D2"/>
          </w:tcPr>
          <w:p>
            <w:pPr/>
          </w:p>
        </w:tc>
        <w:tc>
          <w:tcPr>
            <w:tcW w:w="42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42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185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9"/>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9"/>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2079" w:type="dxa"/>
            <w:vMerge w:val="restart"/>
            <w:tcBorders>
              <w:top w:val="single" w:sz="4" w:space="0" w:color="FFFFFF"/>
              <w:left w:val="single" w:sz="4" w:space="0" w:color="000000"/>
              <w:right w:val="single" w:sz="4" w:space="0" w:color="000000"/>
            </w:tcBorders>
            <w:shd w:val="clear" w:color="auto" w:fill="D2D2D2"/>
          </w:tcPr>
          <w:p>
            <w:pPr/>
          </w:p>
        </w:tc>
        <w:tc>
          <w:tcPr>
            <w:tcW w:w="14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vMerge/>
            <w:tcBorders>
              <w:left w:val="single" w:sz="4" w:space="0" w:color="000000"/>
              <w:bottom w:val="nil" w:sz="6" w:space="0" w:color="auto"/>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079"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vMerge/>
            <w:tcBorders>
              <w:left w:val="single" w:sz="4" w:space="0" w:color="000000"/>
              <w:bottom w:val="nil" w:sz="6" w:space="0" w:color="auto"/>
              <w:right w:val="single" w:sz="4" w:space="0" w:color="000000"/>
            </w:tcBorders>
            <w:shd w:val="clear" w:color="auto" w:fill="D2D2D2"/>
          </w:tcPr>
          <w:p>
            <w:pPr/>
          </w:p>
        </w:tc>
        <w:tc>
          <w:tcPr>
            <w:tcW w:w="185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2079"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
        </w:tc>
        <w:tc>
          <w:tcPr>
            <w:tcW w:w="185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56" w:hRule="exact"/>
        </w:trPr>
        <w:tc>
          <w:tcPr>
            <w:tcW w:w="2079"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405" w:type="dxa"/>
            <w:vMerge/>
            <w:tcBorders>
              <w:left w:val="single" w:sz="4" w:space="0" w:color="000000"/>
              <w:right w:val="single" w:sz="4" w:space="0" w:color="000000"/>
            </w:tcBorders>
            <w:shd w:val="clear" w:color="auto" w:fill="D2D2D2"/>
          </w:tcPr>
          <w:p>
            <w:pPr/>
          </w:p>
        </w:tc>
        <w:tc>
          <w:tcPr>
            <w:tcW w:w="1854"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249" w:hRule="exact"/>
        </w:trPr>
        <w:tc>
          <w:tcPr>
            <w:tcW w:w="2079"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185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2"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1,069,730,154.00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608,543,364.00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1,448,608,006.00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4,131,881,524.00</w:t>
            </w: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6"/>
              <w:jc w:val="center"/>
              <w:rPr>
                <w:rFonts w:ascii="宋体" w:hAnsi="宋体" w:cs="宋体" w:eastAsia="宋体" w:hint="default"/>
                <w:sz w:val="18"/>
                <w:szCs w:val="18"/>
              </w:rPr>
            </w:pPr>
            <w:r>
              <w:rPr>
                <w:rFonts w:ascii="宋体" w:hAnsi="宋体" w:cs="宋体" w:eastAsia="宋体" w:hint="default"/>
                <w:sz w:val="18"/>
                <w:szCs w:val="18"/>
              </w:rPr>
              <w:t>其他</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1,069,730,154.00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608,543,364.00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1,448,608,006.00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4,131,881,524.00</w:t>
            </w:r>
          </w:p>
        </w:tc>
      </w:tr>
      <w:tr>
        <w:trPr>
          <w:trHeight w:val="714"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5,141,698.00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-353,415,334.00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-357,910,245.00</w:t>
            </w: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405,476,364.00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714"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r>
      <w:tr>
        <w:trPr>
          <w:trHeight w:val="402"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z w:val="18"/>
                <w:szCs w:val="18"/>
              </w:rPr>
              <w:t> 入资本</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z w:val="18"/>
                <w:szCs w:val="18"/>
              </w:rPr>
              <w:t> 益的金额</w:t>
            </w:r>
          </w:p>
        </w:tc>
        <w:tc>
          <w:tcPr>
            <w:tcW w:w="1453"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20" w:bottom="1160" w:left="1300" w:right="0"/>
        </w:sectPr>
      </w:pPr>
    </w:p>
    <w:tbl>
      <w:tblPr>
        <w:tblW w:w="0" w:type="auto"/>
        <w:jc w:val="left"/>
        <w:tblInd w:w="115" w:type="dxa"/>
        <w:tblLayout w:type="fixed"/>
        <w:tblCellMar>
          <w:top w:w="0" w:type="dxa"/>
          <w:left w:w="0" w:type="dxa"/>
          <w:bottom w:w="0" w:type="dxa"/>
          <w:right w:w="0" w:type="dxa"/>
        </w:tblCellMar>
        <w:tblLook w:val="01E0"/>
      </w:tblPr>
      <w:tblGrid>
        <w:gridCol w:w="2103"/>
        <w:gridCol w:w="1441"/>
        <w:gridCol w:w="426"/>
        <w:gridCol w:w="426"/>
        <w:gridCol w:w="425"/>
        <w:gridCol w:w="1405"/>
        <w:gridCol w:w="1854"/>
        <w:gridCol w:w="709"/>
        <w:gridCol w:w="425"/>
        <w:gridCol w:w="1277"/>
        <w:gridCol w:w="425"/>
        <w:gridCol w:w="1418"/>
        <w:gridCol w:w="282"/>
        <w:gridCol w:w="1385"/>
      </w:tblGrid>
      <w:tr>
        <w:trPr>
          <w:trHeight w:val="414" w:hRule="exact"/>
        </w:trPr>
        <w:tc>
          <w:tcPr>
            <w:tcW w:w="210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1" w:type="dxa"/>
            <w:tcBorders>
              <w:top w:val="single" w:sz="10" w:space="0" w:color="000000"/>
              <w:left w:val="single" w:sz="4" w:space="0" w:color="000000"/>
              <w:bottom w:val="single" w:sz="4" w:space="0" w:color="000000"/>
              <w:right w:val="single" w:sz="4" w:space="0" w:color="000000"/>
            </w:tcBorders>
          </w:tcPr>
          <w:p>
            <w:pPr/>
          </w:p>
        </w:tc>
        <w:tc>
          <w:tcPr>
            <w:tcW w:w="426" w:type="dxa"/>
            <w:tcBorders>
              <w:top w:val="single" w:sz="10" w:space="0" w:color="000000"/>
              <w:left w:val="single" w:sz="4" w:space="0" w:color="000000"/>
              <w:bottom w:val="single" w:sz="4" w:space="0" w:color="000000"/>
              <w:right w:val="single" w:sz="4" w:space="0" w:color="000000"/>
            </w:tcBorders>
          </w:tcPr>
          <w:p>
            <w:pPr/>
          </w:p>
        </w:tc>
        <w:tc>
          <w:tcPr>
            <w:tcW w:w="426"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405" w:type="dxa"/>
            <w:tcBorders>
              <w:top w:val="single" w:sz="10" w:space="0" w:color="000000"/>
              <w:left w:val="single" w:sz="4" w:space="0" w:color="000000"/>
              <w:bottom w:val="single" w:sz="4" w:space="0" w:color="000000"/>
              <w:right w:val="single" w:sz="4" w:space="0" w:color="000000"/>
            </w:tcBorders>
          </w:tcPr>
          <w:p>
            <w:pPr/>
          </w:p>
        </w:tc>
        <w:tc>
          <w:tcPr>
            <w:tcW w:w="1854" w:type="dxa"/>
            <w:tcBorders>
              <w:top w:val="single" w:sz="10" w:space="0" w:color="000000"/>
              <w:left w:val="single" w:sz="4" w:space="0" w:color="000000"/>
              <w:bottom w:val="single" w:sz="4" w:space="0" w:color="000000"/>
              <w:right w:val="single" w:sz="4" w:space="0" w:color="000000"/>
            </w:tcBorders>
          </w:tcPr>
          <w:p>
            <w:pPr/>
          </w:p>
        </w:tc>
        <w:tc>
          <w:tcPr>
            <w:tcW w:w="709"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282" w:type="dxa"/>
            <w:tcBorders>
              <w:top w:val="single" w:sz="10" w:space="0" w:color="000000"/>
              <w:left w:val="single" w:sz="4" w:space="0" w:color="000000"/>
              <w:bottom w:val="single" w:sz="4" w:space="0" w:color="000000"/>
              <w:right w:val="single" w:sz="4" w:space="0" w:color="000000"/>
            </w:tcBorders>
          </w:tcPr>
          <w:p>
            <w:pPr/>
          </w:p>
        </w:tc>
        <w:tc>
          <w:tcPr>
            <w:tcW w:w="1385"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5,141,698.00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-758,891,698.00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-753,750,000.00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5,141,698.00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-5,141,698.00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-753,750,000.00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-753,750,000.00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88"/>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4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1" w:type="dxa"/>
            <w:tcBorders>
              <w:top w:val="single" w:sz="4" w:space="0" w:color="000000"/>
              <w:left w:val="single" w:sz="4" w:space="0" w:color="000000"/>
              <w:bottom w:val="single" w:sz="4" w:space="0" w:color="FFFFFF"/>
              <w:right w:val="single" w:sz="4" w:space="0" w:color="000000"/>
            </w:tcBorders>
          </w:tcPr>
          <w:p>
            <w:pPr/>
          </w:p>
        </w:tc>
        <w:tc>
          <w:tcPr>
            <w:tcW w:w="426" w:type="dxa"/>
            <w:tcBorders>
              <w:top w:val="single" w:sz="4" w:space="0" w:color="000000"/>
              <w:left w:val="single" w:sz="4" w:space="0" w:color="000000"/>
              <w:bottom w:val="single" w:sz="4" w:space="0" w:color="FFFFFF"/>
              <w:right w:val="single" w:sz="4" w:space="0" w:color="000000"/>
            </w:tcBorders>
          </w:tcPr>
          <w:p>
            <w:pPr/>
          </w:p>
        </w:tc>
        <w:tc>
          <w:tcPr>
            <w:tcW w:w="426" w:type="dxa"/>
            <w:tcBorders>
              <w:top w:val="single" w:sz="4" w:space="0" w:color="000000"/>
              <w:left w:val="single" w:sz="4" w:space="0" w:color="000000"/>
              <w:bottom w:val="single" w:sz="4" w:space="0" w:color="FFFFFF"/>
              <w:right w:val="single" w:sz="4" w:space="0" w:color="000000"/>
            </w:tcBorders>
          </w:tcPr>
          <w:p>
            <w:pPr/>
          </w:p>
        </w:tc>
        <w:tc>
          <w:tcPr>
            <w:tcW w:w="425" w:type="dxa"/>
            <w:tcBorders>
              <w:top w:val="single" w:sz="4" w:space="0" w:color="000000"/>
              <w:left w:val="single" w:sz="4" w:space="0" w:color="000000"/>
              <w:bottom w:val="single" w:sz="4" w:space="0" w:color="FFFFFF"/>
              <w:right w:val="single" w:sz="4" w:space="0" w:color="000000"/>
            </w:tcBorders>
          </w:tcPr>
          <w:p>
            <w:pPr/>
          </w:p>
        </w:tc>
        <w:tc>
          <w:tcPr>
            <w:tcW w:w="1405" w:type="dxa"/>
            <w:tcBorders>
              <w:top w:val="single" w:sz="4" w:space="0" w:color="000000"/>
              <w:left w:val="single" w:sz="4" w:space="0" w:color="000000"/>
              <w:bottom w:val="single" w:sz="4" w:space="0" w:color="FFFFFF"/>
              <w:right w:val="single" w:sz="4" w:space="0" w:color="000000"/>
            </w:tcBorders>
          </w:tcPr>
          <w:p>
            <w:pPr/>
          </w:p>
        </w:tc>
        <w:tc>
          <w:tcPr>
            <w:tcW w:w="1854"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425"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425" w:type="dxa"/>
            <w:tcBorders>
              <w:top w:val="single" w:sz="4" w:space="0" w:color="000000"/>
              <w:left w:val="single" w:sz="4" w:space="0" w:color="000000"/>
              <w:bottom w:val="single" w:sz="4" w:space="0" w:color="FFFFFF"/>
              <w:right w:val="single" w:sz="4" w:space="0" w:color="000000"/>
            </w:tcBorders>
          </w:tcPr>
          <w:p>
            <w:pPr/>
          </w:p>
        </w:tc>
        <w:tc>
          <w:tcPr>
            <w:tcW w:w="1418" w:type="dxa"/>
            <w:tcBorders>
              <w:top w:val="single" w:sz="4" w:space="0" w:color="000000"/>
              <w:left w:val="single" w:sz="4" w:space="0" w:color="000000"/>
              <w:bottom w:val="single" w:sz="4" w:space="0" w:color="FFFFFF"/>
              <w:right w:val="single" w:sz="4" w:space="0" w:color="000000"/>
            </w:tcBorders>
          </w:tcPr>
          <w:p>
            <w:pPr/>
          </w:p>
        </w:tc>
        <w:tc>
          <w:tcPr>
            <w:tcW w:w="282" w:type="dxa"/>
            <w:tcBorders>
              <w:top w:val="single" w:sz="4" w:space="0" w:color="000000"/>
              <w:left w:val="single" w:sz="4" w:space="0" w:color="000000"/>
              <w:bottom w:val="single" w:sz="4" w:space="0" w:color="FFFFFF"/>
              <w:right w:val="single" w:sz="4" w:space="0" w:color="000000"/>
            </w:tcBorders>
          </w:tcPr>
          <w:p>
            <w:pPr/>
          </w:p>
        </w:tc>
        <w:tc>
          <w:tcPr>
            <w:tcW w:w="1385" w:type="dxa"/>
            <w:tcBorders>
              <w:top w:val="single" w:sz="4" w:space="0" w:color="000000"/>
              <w:left w:val="single" w:sz="4" w:space="0" w:color="000000"/>
              <w:bottom w:val="single" w:sz="4" w:space="0" w:color="FFFFFF"/>
              <w:right w:val="single" w:sz="4" w:space="0" w:color="000000"/>
            </w:tcBorders>
          </w:tcPr>
          <w:p>
            <w:pPr/>
          </w:p>
        </w:tc>
      </w:tr>
      <w:tr>
        <w:trPr>
          <w:trHeight w:val="517" w:hRule="exact"/>
        </w:trPr>
        <w:tc>
          <w:tcPr>
            <w:tcW w:w="21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4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left="148" w:right="0"/>
              <w:jc w:val="left"/>
              <w:rPr>
                <w:rFonts w:ascii="Times New Roman" w:hAnsi="Times New Roman" w:cs="Times New Roman" w:eastAsia="Times New Roman" w:hint="default"/>
                <w:sz w:val="18"/>
                <w:szCs w:val="18"/>
              </w:rPr>
            </w:pPr>
            <w:r>
              <w:rPr>
                <w:rFonts w:ascii="Times New Roman"/>
                <w:sz w:val="18"/>
              </w:rPr>
              <w:t>1,005,000,000.00</w:t>
            </w:r>
          </w:p>
        </w:tc>
        <w:tc>
          <w:tcPr>
            <w:tcW w:w="426" w:type="dxa"/>
            <w:tcBorders>
              <w:top w:val="single" w:sz="4" w:space="0" w:color="FFFFFF"/>
              <w:left w:val="single" w:sz="4" w:space="0" w:color="000000"/>
              <w:bottom w:val="single" w:sz="4" w:space="0" w:color="000000"/>
              <w:right w:val="single" w:sz="4" w:space="0" w:color="000000"/>
            </w:tcBorders>
          </w:tcPr>
          <w:p>
            <w:pPr/>
          </w:p>
        </w:tc>
        <w:tc>
          <w:tcPr>
            <w:tcW w:w="426" w:type="dxa"/>
            <w:tcBorders>
              <w:top w:val="single" w:sz="4" w:space="0" w:color="FFFFFF"/>
              <w:left w:val="single" w:sz="4" w:space="0" w:color="000000"/>
              <w:bottom w:val="single" w:sz="4" w:space="0" w:color="000000"/>
              <w:right w:val="single" w:sz="4" w:space="0" w:color="000000"/>
            </w:tcBorders>
          </w:tcPr>
          <w:p>
            <w:pPr/>
          </w:p>
        </w:tc>
        <w:tc>
          <w:tcPr>
            <w:tcW w:w="425" w:type="dxa"/>
            <w:tcBorders>
              <w:top w:val="single" w:sz="4" w:space="0" w:color="FFFFFF"/>
              <w:left w:val="single" w:sz="4" w:space="0" w:color="000000"/>
              <w:bottom w:val="single" w:sz="4" w:space="0" w:color="000000"/>
              <w:right w:val="single" w:sz="4" w:space="0" w:color="000000"/>
            </w:tcBorders>
          </w:tcPr>
          <w:p>
            <w:pPr/>
          </w:p>
        </w:tc>
        <w:tc>
          <w:tcPr>
            <w:tcW w:w="140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left="112" w:right="0"/>
              <w:jc w:val="left"/>
              <w:rPr>
                <w:rFonts w:ascii="Times New Roman" w:hAnsi="Times New Roman" w:cs="Times New Roman" w:eastAsia="Times New Roman" w:hint="default"/>
                <w:sz w:val="18"/>
                <w:szCs w:val="18"/>
              </w:rPr>
            </w:pPr>
            <w:r>
              <w:rPr>
                <w:rFonts w:ascii="Times New Roman"/>
                <w:sz w:val="18"/>
              </w:rPr>
              <w:t>1,060,093,545.00</w:t>
            </w:r>
          </w:p>
        </w:tc>
        <w:tc>
          <w:tcPr>
            <w:tcW w:w="1854"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425"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613,685,062.00</w:t>
            </w:r>
          </w:p>
        </w:tc>
        <w:tc>
          <w:tcPr>
            <w:tcW w:w="425" w:type="dxa"/>
            <w:tcBorders>
              <w:top w:val="single" w:sz="4" w:space="0" w:color="FFFFFF"/>
              <w:left w:val="single" w:sz="4" w:space="0" w:color="000000"/>
              <w:bottom w:val="single" w:sz="4" w:space="0" w:color="000000"/>
              <w:right w:val="single" w:sz="4" w:space="0" w:color="000000"/>
            </w:tcBorders>
          </w:tcPr>
          <w:p>
            <w:pP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1,095,192,672.00</w:t>
            </w:r>
          </w:p>
        </w:tc>
        <w:tc>
          <w:tcPr>
            <w:tcW w:w="282" w:type="dxa"/>
            <w:tcBorders>
              <w:top w:val="single" w:sz="4" w:space="0" w:color="FFFFFF"/>
              <w:left w:val="single" w:sz="4" w:space="0" w:color="000000"/>
              <w:bottom w:val="single" w:sz="4" w:space="0" w:color="000000"/>
              <w:right w:val="single" w:sz="4" w:space="0" w:color="000000"/>
            </w:tcBorders>
          </w:tcPr>
          <w:p>
            <w:pPr/>
          </w:p>
        </w:tc>
        <w:tc>
          <w:tcPr>
            <w:tcW w:w="13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3,773,971,279.00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60" w:bottom="1160" w:left="132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bookmarkStart w:name="8、母公司所有者权益变动表" w:id="151"/>
      <w:bookmarkEnd w:id="15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085"/>
        <w:gridCol w:w="1590"/>
        <w:gridCol w:w="709"/>
        <w:gridCol w:w="670"/>
        <w:gridCol w:w="605"/>
        <w:gridCol w:w="1534"/>
        <w:gridCol w:w="1169"/>
        <w:gridCol w:w="1165"/>
        <w:gridCol w:w="385"/>
        <w:gridCol w:w="1277"/>
        <w:gridCol w:w="1416"/>
        <w:gridCol w:w="1388"/>
      </w:tblGrid>
      <w:tr>
        <w:trPr>
          <w:trHeight w:val="402" w:hRule="exact"/>
        </w:trPr>
        <w:tc>
          <w:tcPr>
            <w:tcW w:w="2085" w:type="dxa"/>
            <w:vMerge w:val="restart"/>
            <w:tcBorders>
              <w:top w:val="single" w:sz="4" w:space="0" w:color="000000"/>
              <w:left w:val="single" w:sz="4" w:space="0" w:color="000000"/>
              <w:right w:val="single" w:sz="4" w:space="0" w:color="000000"/>
            </w:tcBorders>
            <w:shd w:val="clear" w:color="auto" w:fill="D2D2D2"/>
          </w:tcPr>
          <w:p>
            <w:pPr/>
          </w:p>
        </w:tc>
        <w:tc>
          <w:tcPr>
            <w:tcW w:w="119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72" w:hRule="exact"/>
        </w:trPr>
        <w:tc>
          <w:tcPr>
            <w:tcW w:w="2085" w:type="dxa"/>
            <w:vMerge/>
            <w:tcBorders>
              <w:left w:val="single" w:sz="4" w:space="0" w:color="000000"/>
              <w:bottom w:val="nil" w:sz="6" w:space="0" w:color="auto"/>
              <w:right w:val="single" w:sz="4" w:space="0" w:color="000000"/>
            </w:tcBorders>
            <w:shd w:val="clear" w:color="auto" w:fill="D2D2D2"/>
          </w:tcPr>
          <w:p>
            <w:pPr/>
          </w:p>
        </w:tc>
        <w:tc>
          <w:tcPr>
            <w:tcW w:w="1590"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34" w:type="dxa"/>
            <w:vMerge w:val="restart"/>
            <w:tcBorders>
              <w:top w:val="single" w:sz="4" w:space="0" w:color="000000"/>
              <w:left w:val="single" w:sz="4" w:space="0" w:color="000000"/>
              <w:right w:val="single" w:sz="4" w:space="0" w:color="000000"/>
            </w:tcBorders>
            <w:shd w:val="clear" w:color="auto" w:fill="D2D2D2"/>
          </w:tcPr>
          <w:p>
            <w:pPr/>
          </w:p>
        </w:tc>
        <w:tc>
          <w:tcPr>
            <w:tcW w:w="1169" w:type="dxa"/>
            <w:vMerge w:val="restart"/>
            <w:tcBorders>
              <w:top w:val="single" w:sz="4" w:space="0" w:color="000000"/>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
        </w:tc>
        <w:tc>
          <w:tcPr>
            <w:tcW w:w="3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
        </w:tc>
      </w:tr>
      <w:tr>
        <w:trPr>
          <w:trHeight w:val="177" w:hRule="exact"/>
        </w:trPr>
        <w:tc>
          <w:tcPr>
            <w:tcW w:w="2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0" w:type="dxa"/>
            <w:vMerge/>
            <w:tcBorders>
              <w:left w:val="single" w:sz="4" w:space="0" w:color="000000"/>
              <w:bottom w:val="nil" w:sz="6" w:space="0" w:color="auto"/>
              <w:right w:val="single" w:sz="4" w:space="0" w:color="000000"/>
            </w:tcBorders>
            <w:shd w:val="clear" w:color="auto" w:fill="D2D2D2"/>
          </w:tcPr>
          <w:p>
            <w:pP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1534" w:type="dxa"/>
            <w:vMerge/>
            <w:tcBorders>
              <w:left w:val="single" w:sz="4" w:space="0" w:color="000000"/>
              <w:bottom w:val="nil" w:sz="6" w:space="0" w:color="auto"/>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3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085" w:type="dxa"/>
            <w:vMerge/>
            <w:tcBorders>
              <w:left w:val="single" w:sz="4" w:space="0" w:color="000000"/>
              <w:bottom w:val="nil" w:sz="6" w:space="0" w:color="auto"/>
              <w:right w:val="single" w:sz="4" w:space="0" w:color="000000"/>
            </w:tcBorders>
            <w:shd w:val="clear" w:color="auto" w:fill="D2D2D2"/>
          </w:tcPr>
          <w:p>
            <w:pPr/>
          </w:p>
        </w:tc>
        <w:tc>
          <w:tcPr>
            <w:tcW w:w="15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4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8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085" w:type="dxa"/>
            <w:vMerge w:val="restart"/>
            <w:tcBorders>
              <w:top w:val="nil" w:sz="6" w:space="0" w:color="auto"/>
              <w:left w:val="single" w:sz="4" w:space="0" w:color="000000"/>
              <w:right w:val="single" w:sz="4" w:space="0" w:color="000000"/>
            </w:tcBorders>
            <w:shd w:val="clear" w:color="auto" w:fill="D2D2D2"/>
          </w:tcPr>
          <w:p>
            <w:pPr/>
          </w:p>
        </w:tc>
        <w:tc>
          <w:tcPr>
            <w:tcW w:w="1590"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4" w:type="dxa"/>
            <w:vMerge/>
            <w:tcBorders>
              <w:left w:val="single" w:sz="4" w:space="0" w:color="000000"/>
              <w:bottom w:val="nil" w:sz="6" w:space="0" w:color="auto"/>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3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85" w:type="dxa"/>
            <w:vMerge/>
            <w:tcBorders>
              <w:left w:val="single" w:sz="4" w:space="0" w:color="000000"/>
              <w:right w:val="single" w:sz="4" w:space="0" w:color="000000"/>
            </w:tcBorders>
            <w:shd w:val="clear" w:color="auto" w:fill="D2D2D2"/>
          </w:tcPr>
          <w:p>
            <w:pPr/>
          </w:p>
        </w:tc>
        <w:tc>
          <w:tcPr>
            <w:tcW w:w="1590"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670" w:type="dxa"/>
            <w:vMerge/>
            <w:tcBorders>
              <w:left w:val="single" w:sz="4" w:space="0" w:color="000000"/>
              <w:bottom w:val="nil" w:sz="6" w:space="0" w:color="auto"/>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1534" w:type="dxa"/>
            <w:vMerge w:val="restart"/>
            <w:tcBorders>
              <w:top w:val="nil" w:sz="6" w:space="0" w:color="auto"/>
              <w:left w:val="single" w:sz="4" w:space="0" w:color="000000"/>
              <w:right w:val="single" w:sz="4" w:space="0" w:color="000000"/>
            </w:tcBorders>
            <w:shd w:val="clear" w:color="auto" w:fill="D2D2D2"/>
          </w:tcPr>
          <w:p>
            <w:pPr/>
          </w:p>
        </w:tc>
        <w:tc>
          <w:tcPr>
            <w:tcW w:w="1169" w:type="dxa"/>
            <w:vMerge w:val="restart"/>
            <w:tcBorders>
              <w:top w:val="nil" w:sz="6" w:space="0" w:color="auto"/>
              <w:left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
        </w:tc>
        <w:tc>
          <w:tcPr>
            <w:tcW w:w="38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
        </w:tc>
      </w:tr>
      <w:tr>
        <w:trPr>
          <w:trHeight w:val="271" w:hRule="exact"/>
        </w:trPr>
        <w:tc>
          <w:tcPr>
            <w:tcW w:w="2085"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4"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38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984,928,819.00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2,222,570,889.00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4,714,999,708.00</w:t>
            </w: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6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2"/>
              <w:jc w:val="center"/>
              <w:rPr>
                <w:rFonts w:ascii="宋体" w:hAnsi="宋体" w:cs="宋体" w:eastAsia="宋体" w:hint="default"/>
                <w:sz w:val="18"/>
                <w:szCs w:val="18"/>
              </w:rPr>
            </w:pPr>
            <w:r>
              <w:rPr>
                <w:rFonts w:ascii="宋体" w:hAnsi="宋体" w:cs="宋体" w:eastAsia="宋体" w:hint="default"/>
                <w:sz w:val="18"/>
                <w:szCs w:val="18"/>
              </w:rPr>
              <w:t>其他</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984,928,819.00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2,222,570,889.00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4,714,999,708.00</w:t>
            </w:r>
          </w:p>
        </w:tc>
      </w:tr>
      <w:tr>
        <w:trPr>
          <w:trHeight w:val="714"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63,780,000.00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69,780,000.00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-549,448,735.00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-549,448,735.00</w:t>
            </w: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-266,368,735.00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-266,368,735.00</w:t>
            </w:r>
          </w:p>
        </w:tc>
      </w:tr>
      <w:tr>
        <w:trPr>
          <w:trHeight w:val="714"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2"/>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5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63,780,000.00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69,780,000.00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63,780,000.00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69,780,000.00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入资本</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益的金额</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979" w:top="1320" w:bottom="1160" w:left="1300" w:right="0"/>
        </w:sectPr>
      </w:pPr>
    </w:p>
    <w:tbl>
      <w:tblPr>
        <w:tblW w:w="0" w:type="auto"/>
        <w:jc w:val="left"/>
        <w:tblInd w:w="115" w:type="dxa"/>
        <w:tblLayout w:type="fixed"/>
        <w:tblCellMar>
          <w:top w:w="0" w:type="dxa"/>
          <w:left w:w="0" w:type="dxa"/>
          <w:bottom w:w="0" w:type="dxa"/>
          <w:right w:w="0" w:type="dxa"/>
        </w:tblCellMar>
        <w:tblLook w:val="01E0"/>
      </w:tblPr>
      <w:tblGrid>
        <w:gridCol w:w="2108"/>
        <w:gridCol w:w="1579"/>
        <w:gridCol w:w="709"/>
        <w:gridCol w:w="670"/>
        <w:gridCol w:w="605"/>
        <w:gridCol w:w="1534"/>
        <w:gridCol w:w="1169"/>
        <w:gridCol w:w="1165"/>
        <w:gridCol w:w="385"/>
        <w:gridCol w:w="1277"/>
        <w:gridCol w:w="1416"/>
        <w:gridCol w:w="1388"/>
      </w:tblGrid>
      <w:tr>
        <w:trPr>
          <w:trHeight w:val="414" w:hRule="exact"/>
        </w:trPr>
        <w:tc>
          <w:tcPr>
            <w:tcW w:w="210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9" w:type="dxa"/>
            <w:tcBorders>
              <w:top w:val="single" w:sz="10" w:space="0" w:color="000000"/>
              <w:left w:val="single" w:sz="4" w:space="0" w:color="000000"/>
              <w:bottom w:val="single" w:sz="4" w:space="0" w:color="000000"/>
              <w:right w:val="single" w:sz="4" w:space="0" w:color="000000"/>
            </w:tcBorders>
          </w:tcPr>
          <w:p>
            <w:pPr/>
          </w:p>
        </w:tc>
        <w:tc>
          <w:tcPr>
            <w:tcW w:w="709" w:type="dxa"/>
            <w:tcBorders>
              <w:top w:val="single" w:sz="10" w:space="0" w:color="000000"/>
              <w:left w:val="single" w:sz="4" w:space="0" w:color="000000"/>
              <w:bottom w:val="single" w:sz="4" w:space="0" w:color="000000"/>
              <w:right w:val="single" w:sz="4" w:space="0" w:color="000000"/>
            </w:tcBorders>
          </w:tcPr>
          <w:p>
            <w:pPr/>
          </w:p>
        </w:tc>
        <w:tc>
          <w:tcPr>
            <w:tcW w:w="670" w:type="dxa"/>
            <w:tcBorders>
              <w:top w:val="single" w:sz="10" w:space="0" w:color="000000"/>
              <w:left w:val="single" w:sz="4" w:space="0" w:color="000000"/>
              <w:bottom w:val="single" w:sz="4" w:space="0" w:color="000000"/>
              <w:right w:val="single" w:sz="4" w:space="0" w:color="000000"/>
            </w:tcBorders>
          </w:tcPr>
          <w:p>
            <w:pPr/>
          </w:p>
        </w:tc>
        <w:tc>
          <w:tcPr>
            <w:tcW w:w="605" w:type="dxa"/>
            <w:tcBorders>
              <w:top w:val="single" w:sz="10" w:space="0" w:color="000000"/>
              <w:left w:val="single" w:sz="4" w:space="0" w:color="000000"/>
              <w:bottom w:val="single" w:sz="4" w:space="0" w:color="000000"/>
              <w:right w:val="single" w:sz="4" w:space="0" w:color="000000"/>
            </w:tcBorders>
          </w:tcPr>
          <w:p>
            <w:pPr/>
          </w:p>
        </w:tc>
        <w:tc>
          <w:tcPr>
            <w:tcW w:w="1534" w:type="dxa"/>
            <w:tcBorders>
              <w:top w:val="single" w:sz="10" w:space="0" w:color="000000"/>
              <w:left w:val="single" w:sz="4" w:space="0" w:color="000000"/>
              <w:bottom w:val="single" w:sz="4" w:space="0" w:color="000000"/>
              <w:right w:val="single" w:sz="4" w:space="0" w:color="000000"/>
            </w:tcBorders>
          </w:tcPr>
          <w:p>
            <w:pPr/>
          </w:p>
        </w:tc>
        <w:tc>
          <w:tcPr>
            <w:tcW w:w="1169"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385"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-283,080,000.00</w:t>
            </w:r>
          </w:p>
        </w:tc>
        <w:tc>
          <w:tcPr>
            <w:tcW w:w="13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-283,080,000.00</w:t>
            </w: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分配</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-283,080,000.00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-283,080,000.00</w:t>
            </w: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93"/>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2" w:right="0"/>
              <w:jc w:val="left"/>
              <w:rPr>
                <w:rFonts w:ascii="Times New Roman" w:hAnsi="Times New Roman" w:cs="Times New Roman" w:eastAsia="Times New Roman" w:hint="default"/>
                <w:sz w:val="18"/>
                <w:szCs w:val="18"/>
              </w:rPr>
            </w:pPr>
            <w:r>
              <w:rPr>
                <w:rFonts w:ascii="Times New Roman"/>
                <w:sz w:val="18"/>
              </w:rPr>
              <w:t>1,011,000,000.00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Times New Roman" w:hAnsi="Times New Roman" w:cs="Times New Roman" w:eastAsia="Times New Roman" w:hint="default"/>
                <w:sz w:val="18"/>
                <w:szCs w:val="18"/>
              </w:rPr>
            </w:pPr>
            <w:r>
              <w:rPr>
                <w:rFonts w:ascii="Times New Roman"/>
                <w:sz w:val="18"/>
              </w:rPr>
              <w:t>1,048,708,819.00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Times New Roman" w:hAnsi="Times New Roman" w:cs="Times New Roman" w:eastAsia="Times New Roman" w:hint="default"/>
                <w:sz w:val="18"/>
                <w:szCs w:val="18"/>
              </w:rPr>
            </w:pPr>
            <w:r>
              <w:rPr>
                <w:rFonts w:ascii="Times New Roman"/>
                <w:sz w:val="18"/>
              </w:rPr>
              <w:t>69,780,000.00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8" w:right="0"/>
              <w:jc w:val="left"/>
              <w:rPr>
                <w:rFonts w:ascii="Times New Roman" w:hAnsi="Times New Roman" w:cs="Times New Roman" w:eastAsia="Times New Roman" w:hint="default"/>
                <w:sz w:val="18"/>
                <w:szCs w:val="18"/>
              </w:rPr>
            </w:pPr>
            <w:r>
              <w:rPr>
                <w:rFonts w:ascii="Times New Roman"/>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1,673,122,154.00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4,165,550,973.00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60" w:bottom="1160" w:left="132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140" w:right="0"/>
        <w:jc w:val="left"/>
      </w:pPr>
      <w:r>
        <w:rPr/>
        <w:t>上期金额</w:t>
      </w:r>
    </w:p>
    <w:p>
      <w:pPr>
        <w:pStyle w:val="BodyText"/>
        <w:spacing w:line="240" w:lineRule="auto" w:before="116"/>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14"/>
        <w:gridCol w:w="1573"/>
        <w:gridCol w:w="709"/>
        <w:gridCol w:w="680"/>
        <w:gridCol w:w="594"/>
        <w:gridCol w:w="1551"/>
        <w:gridCol w:w="1170"/>
        <w:gridCol w:w="1169"/>
        <w:gridCol w:w="364"/>
        <w:gridCol w:w="1277"/>
        <w:gridCol w:w="1416"/>
        <w:gridCol w:w="1418"/>
      </w:tblGrid>
      <w:tr>
        <w:trPr>
          <w:trHeight w:val="402" w:hRule="exact"/>
        </w:trPr>
        <w:tc>
          <w:tcPr>
            <w:tcW w:w="2114" w:type="dxa"/>
            <w:vMerge w:val="restart"/>
            <w:tcBorders>
              <w:top w:val="single" w:sz="4" w:space="0" w:color="000000"/>
              <w:left w:val="single" w:sz="4" w:space="0" w:color="000000"/>
              <w:right w:val="single" w:sz="4" w:space="0" w:color="000000"/>
            </w:tcBorders>
            <w:shd w:val="clear" w:color="auto" w:fill="D2D2D2"/>
          </w:tcPr>
          <w:p>
            <w:pPr/>
          </w:p>
        </w:tc>
        <w:tc>
          <w:tcPr>
            <w:tcW w:w="119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72" w:hRule="exact"/>
        </w:trPr>
        <w:tc>
          <w:tcPr>
            <w:tcW w:w="2114" w:type="dxa"/>
            <w:vMerge/>
            <w:tcBorders>
              <w:left w:val="single" w:sz="4" w:space="0" w:color="000000"/>
              <w:bottom w:val="nil" w:sz="6" w:space="0" w:color="auto"/>
              <w:right w:val="single" w:sz="4" w:space="0" w:color="000000"/>
            </w:tcBorders>
            <w:shd w:val="clear" w:color="auto" w:fill="D2D2D2"/>
          </w:tcPr>
          <w:p>
            <w:pPr/>
          </w:p>
        </w:tc>
        <w:tc>
          <w:tcPr>
            <w:tcW w:w="1573"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1" w:type="dxa"/>
            <w:vMerge w:val="restart"/>
            <w:tcBorders>
              <w:top w:val="single" w:sz="4" w:space="0" w:color="000000"/>
              <w:left w:val="single" w:sz="4" w:space="0" w:color="000000"/>
              <w:right w:val="single" w:sz="4" w:space="0" w:color="000000"/>
            </w:tcBorders>
            <w:shd w:val="clear" w:color="auto" w:fill="D2D2D2"/>
          </w:tcPr>
          <w:p>
            <w:pPr/>
          </w:p>
        </w:tc>
        <w:tc>
          <w:tcPr>
            <w:tcW w:w="1170" w:type="dxa"/>
            <w:vMerge w:val="restart"/>
            <w:tcBorders>
              <w:top w:val="single" w:sz="4" w:space="0" w:color="000000"/>
              <w:left w:val="single" w:sz="4" w:space="0" w:color="000000"/>
              <w:right w:val="single" w:sz="4" w:space="0" w:color="000000"/>
            </w:tcBorders>
            <w:shd w:val="clear" w:color="auto" w:fill="D2D2D2"/>
          </w:tcPr>
          <w:p>
            <w:pPr/>
          </w:p>
        </w:tc>
        <w:tc>
          <w:tcPr>
            <w:tcW w:w="1169" w:type="dxa"/>
            <w:vMerge w:val="restart"/>
            <w:tcBorders>
              <w:top w:val="single" w:sz="4" w:space="0" w:color="000000"/>
              <w:left w:val="single" w:sz="4" w:space="0" w:color="000000"/>
              <w:right w:val="single" w:sz="4" w:space="0" w:color="000000"/>
            </w:tcBorders>
            <w:shd w:val="clear" w:color="auto" w:fill="D2D2D2"/>
          </w:tcPr>
          <w:p>
            <w:pP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6" w:right="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77" w:hRule="exact"/>
        </w:trPr>
        <w:tc>
          <w:tcPr>
            <w:tcW w:w="2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vMerge/>
            <w:tcBorders>
              <w:left w:val="single" w:sz="4" w:space="0" w:color="000000"/>
              <w:bottom w:val="nil" w:sz="6" w:space="0" w:color="auto"/>
              <w:right w:val="single" w:sz="4" w:space="0" w:color="000000"/>
            </w:tcBorders>
            <w:shd w:val="clear" w:color="auto" w:fill="D2D2D2"/>
          </w:tcPr>
          <w:p>
            <w:pP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1551" w:type="dxa"/>
            <w:vMerge/>
            <w:tcBorders>
              <w:left w:val="single" w:sz="4" w:space="0" w:color="000000"/>
              <w:bottom w:val="nil" w:sz="6" w:space="0" w:color="auto"/>
              <w:right w:val="single" w:sz="4" w:space="0" w:color="000000"/>
            </w:tcBorders>
            <w:shd w:val="clear" w:color="auto" w:fill="D2D2D2"/>
          </w:tcPr>
          <w:p>
            <w:pPr/>
          </w:p>
        </w:tc>
        <w:tc>
          <w:tcPr>
            <w:tcW w:w="1170" w:type="dxa"/>
            <w:vMerge/>
            <w:tcBorders>
              <w:left w:val="single" w:sz="4" w:space="0" w:color="000000"/>
              <w:bottom w:val="nil" w:sz="6" w:space="0" w:color="auto"/>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14" w:type="dxa"/>
            <w:vMerge/>
            <w:tcBorders>
              <w:left w:val="single" w:sz="4" w:space="0" w:color="000000"/>
              <w:bottom w:val="nil" w:sz="6" w:space="0" w:color="auto"/>
              <w:right w:val="single" w:sz="4" w:space="0" w:color="000000"/>
            </w:tcBorders>
            <w:shd w:val="clear" w:color="auto" w:fill="D2D2D2"/>
          </w:tcPr>
          <w:p>
            <w:pPr/>
          </w:p>
        </w:tc>
        <w:tc>
          <w:tcPr>
            <w:tcW w:w="15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4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6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114" w:type="dxa"/>
            <w:vMerge w:val="restart"/>
            <w:tcBorders>
              <w:top w:val="nil" w:sz="6" w:space="0" w:color="auto"/>
              <w:left w:val="single" w:sz="4" w:space="0" w:color="000000"/>
              <w:right w:val="single" w:sz="4" w:space="0" w:color="000000"/>
            </w:tcBorders>
            <w:shd w:val="clear" w:color="auto" w:fill="D2D2D2"/>
          </w:tcPr>
          <w:p>
            <w:pPr/>
          </w:p>
        </w:tc>
        <w:tc>
          <w:tcPr>
            <w:tcW w:w="1573"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vMerge/>
            <w:tcBorders>
              <w:left w:val="single" w:sz="4" w:space="0" w:color="000000"/>
              <w:bottom w:val="nil" w:sz="6" w:space="0" w:color="auto"/>
              <w:right w:val="single" w:sz="4" w:space="0" w:color="000000"/>
            </w:tcBorders>
            <w:shd w:val="clear" w:color="auto" w:fill="D2D2D2"/>
          </w:tcPr>
          <w:p>
            <w:pPr/>
          </w:p>
        </w:tc>
        <w:tc>
          <w:tcPr>
            <w:tcW w:w="1170" w:type="dxa"/>
            <w:vMerge/>
            <w:tcBorders>
              <w:left w:val="single" w:sz="4" w:space="0" w:color="000000"/>
              <w:bottom w:val="nil" w:sz="6" w:space="0" w:color="auto"/>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114" w:type="dxa"/>
            <w:vMerge/>
            <w:tcBorders>
              <w:left w:val="single" w:sz="4" w:space="0" w:color="000000"/>
              <w:right w:val="single" w:sz="4" w:space="0" w:color="000000"/>
            </w:tcBorders>
            <w:shd w:val="clear" w:color="auto" w:fill="D2D2D2"/>
          </w:tcPr>
          <w:p>
            <w:pPr/>
          </w:p>
        </w:tc>
        <w:tc>
          <w:tcPr>
            <w:tcW w:w="1573"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594" w:type="dxa"/>
            <w:vMerge/>
            <w:tcBorders>
              <w:left w:val="single" w:sz="4" w:space="0" w:color="000000"/>
              <w:bottom w:val="nil" w:sz="6" w:space="0" w:color="auto"/>
              <w:right w:val="single" w:sz="4" w:space="0" w:color="000000"/>
            </w:tcBorders>
            <w:shd w:val="clear" w:color="auto" w:fill="D2D2D2"/>
          </w:tcPr>
          <w:p>
            <w:pPr/>
          </w:p>
        </w:tc>
        <w:tc>
          <w:tcPr>
            <w:tcW w:w="1551" w:type="dxa"/>
            <w:vMerge w:val="restart"/>
            <w:tcBorders>
              <w:top w:val="nil" w:sz="6" w:space="0" w:color="auto"/>
              <w:left w:val="single" w:sz="4" w:space="0" w:color="000000"/>
              <w:right w:val="single" w:sz="4" w:space="0" w:color="000000"/>
            </w:tcBorders>
            <w:shd w:val="clear" w:color="auto" w:fill="D2D2D2"/>
          </w:tcPr>
          <w:p>
            <w:pPr/>
          </w:p>
        </w:tc>
        <w:tc>
          <w:tcPr>
            <w:tcW w:w="1170" w:type="dxa"/>
            <w:vMerge w:val="restart"/>
            <w:tcBorders>
              <w:top w:val="nil" w:sz="6" w:space="0" w:color="auto"/>
              <w:left w:val="single" w:sz="4" w:space="0" w:color="000000"/>
              <w:right w:val="single" w:sz="4" w:space="0" w:color="000000"/>
            </w:tcBorders>
            <w:shd w:val="clear" w:color="auto" w:fill="D2D2D2"/>
          </w:tcPr>
          <w:p>
            <w:pPr/>
          </w:p>
        </w:tc>
        <w:tc>
          <w:tcPr>
            <w:tcW w:w="1169" w:type="dxa"/>
            <w:vMerge w:val="restart"/>
            <w:tcBorders>
              <w:top w:val="nil" w:sz="6" w:space="0" w:color="auto"/>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271" w:hRule="exact"/>
        </w:trPr>
        <w:tc>
          <w:tcPr>
            <w:tcW w:w="2114" w:type="dxa"/>
            <w:vMerge/>
            <w:tcBorders>
              <w:left w:val="single" w:sz="4" w:space="0" w:color="000000"/>
              <w:bottom w:val="single" w:sz="4" w:space="0" w:color="000000"/>
              <w:right w:val="single" w:sz="4" w:space="0" w:color="000000"/>
            </w:tcBorders>
            <w:shd w:val="clear" w:color="auto" w:fill="D2D2D2"/>
          </w:tcPr>
          <w:p>
            <w:pPr/>
          </w:p>
        </w:tc>
        <w:tc>
          <w:tcPr>
            <w:tcW w:w="157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1" w:type="dxa"/>
            <w:vMerge/>
            <w:tcBorders>
              <w:left w:val="single" w:sz="4" w:space="0" w:color="000000"/>
              <w:bottom w:val="single" w:sz="4" w:space="0" w:color="000000"/>
              <w:right w:val="single" w:sz="4" w:space="0" w:color="000000"/>
            </w:tcBorders>
            <w:shd w:val="clear" w:color="auto" w:fill="D2D2D2"/>
          </w:tcPr>
          <w:p>
            <w:pPr/>
          </w:p>
        </w:tc>
        <w:tc>
          <w:tcPr>
            <w:tcW w:w="1170"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994,565,428.00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2,537,995,319.00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5,040,060,747.00</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7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3"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7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73"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其他</w:t>
            </w:r>
          </w:p>
        </w:tc>
        <w:tc>
          <w:tcPr>
            <w:tcW w:w="1573"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994,565,428.00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2,537,995,319.00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5,040,060,747.00</w:t>
            </w: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-9,636,609.00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-315,424,430.00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-325,061,039.00</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438,325,570.00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438,325,570.00</w:t>
            </w: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-9,636,609.00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入资本</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益的金额</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-9,636,609.00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-9,636,609.00</w:t>
            </w:r>
          </w:p>
        </w:tc>
      </w:tr>
      <w:tr>
        <w:trPr>
          <w:trHeight w:val="402" w:hRule="exact"/>
        </w:trPr>
        <w:tc>
          <w:tcPr>
            <w:tcW w:w="211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3"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680" w:type="dxa"/>
            <w:tcBorders>
              <w:top w:val="single" w:sz="4" w:space="0" w:color="000000"/>
              <w:left w:val="single" w:sz="4" w:space="0" w:color="000000"/>
              <w:bottom w:val="single" w:sz="4" w:space="0" w:color="FFFFFF"/>
              <w:right w:val="single" w:sz="4" w:space="0" w:color="000000"/>
            </w:tcBorders>
          </w:tcPr>
          <w:p>
            <w:pPr/>
          </w:p>
        </w:tc>
        <w:tc>
          <w:tcPr>
            <w:tcW w:w="594" w:type="dxa"/>
            <w:tcBorders>
              <w:top w:val="single" w:sz="4" w:space="0" w:color="000000"/>
              <w:left w:val="single" w:sz="4" w:space="0" w:color="000000"/>
              <w:bottom w:val="single" w:sz="4" w:space="0" w:color="FFFFFF"/>
              <w:right w:val="single" w:sz="4" w:space="0" w:color="000000"/>
            </w:tcBorders>
          </w:tcPr>
          <w:p>
            <w:pPr/>
          </w:p>
        </w:tc>
        <w:tc>
          <w:tcPr>
            <w:tcW w:w="1551" w:type="dxa"/>
            <w:tcBorders>
              <w:top w:val="single" w:sz="4" w:space="0" w:color="000000"/>
              <w:left w:val="single" w:sz="4" w:space="0" w:color="000000"/>
              <w:bottom w:val="single" w:sz="4" w:space="0" w:color="FFFFFF"/>
              <w:right w:val="single" w:sz="4" w:space="0" w:color="000000"/>
            </w:tcBorders>
          </w:tcPr>
          <w:p>
            <w:pPr/>
          </w:p>
        </w:tc>
        <w:tc>
          <w:tcPr>
            <w:tcW w:w="1170" w:type="dxa"/>
            <w:tcBorders>
              <w:top w:val="single" w:sz="4" w:space="0" w:color="000000"/>
              <w:left w:val="single" w:sz="4" w:space="0" w:color="000000"/>
              <w:bottom w:val="single" w:sz="4" w:space="0" w:color="FFFFFF"/>
              <w:right w:val="single" w:sz="4" w:space="0" w:color="000000"/>
            </w:tcBorders>
          </w:tcPr>
          <w:p>
            <w:pPr/>
          </w:p>
        </w:tc>
        <w:tc>
          <w:tcPr>
            <w:tcW w:w="1169" w:type="dxa"/>
            <w:tcBorders>
              <w:top w:val="single" w:sz="4" w:space="0" w:color="000000"/>
              <w:left w:val="single" w:sz="4" w:space="0" w:color="000000"/>
              <w:bottom w:val="single" w:sz="4" w:space="0" w:color="FFFFFF"/>
              <w:right w:val="single" w:sz="4" w:space="0" w:color="000000"/>
            </w:tcBorders>
          </w:tcPr>
          <w:p>
            <w:pPr/>
          </w:p>
        </w:tc>
        <w:tc>
          <w:tcPr>
            <w:tcW w:w="364"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416" w:type="dxa"/>
            <w:tcBorders>
              <w:top w:val="single" w:sz="4" w:space="0" w:color="000000"/>
              <w:left w:val="single" w:sz="4" w:space="0" w:color="000000"/>
              <w:bottom w:val="single" w:sz="4" w:space="0" w:color="FFFFFF"/>
              <w:right w:val="single" w:sz="4" w:space="0" w:color="000000"/>
            </w:tcBorders>
          </w:tcPr>
          <w:p>
            <w:pPr/>
          </w:p>
        </w:tc>
        <w:tc>
          <w:tcPr>
            <w:tcW w:w="1418" w:type="dxa"/>
            <w:tcBorders>
              <w:top w:val="single" w:sz="4" w:space="0" w:color="000000"/>
              <w:left w:val="single" w:sz="4" w:space="0" w:color="000000"/>
              <w:bottom w:val="single" w:sz="4" w:space="0" w:color="FFFFFF"/>
              <w:right w:val="single" w:sz="4" w:space="0" w:color="000000"/>
            </w:tcBorders>
          </w:tcPr>
          <w:p>
            <w:pPr/>
          </w:p>
        </w:tc>
      </w:tr>
      <w:tr>
        <w:trPr>
          <w:trHeight w:val="482" w:hRule="exact"/>
        </w:trPr>
        <w:tc>
          <w:tcPr>
            <w:tcW w:w="211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3"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680" w:type="dxa"/>
            <w:tcBorders>
              <w:top w:val="single" w:sz="4" w:space="0" w:color="FFFFFF"/>
              <w:left w:val="single" w:sz="4" w:space="0" w:color="000000"/>
              <w:bottom w:val="single" w:sz="4" w:space="0" w:color="000000"/>
              <w:right w:val="single" w:sz="4" w:space="0" w:color="000000"/>
            </w:tcBorders>
          </w:tcPr>
          <w:p>
            <w:pPr/>
          </w:p>
        </w:tc>
        <w:tc>
          <w:tcPr>
            <w:tcW w:w="594" w:type="dxa"/>
            <w:tcBorders>
              <w:top w:val="single" w:sz="4" w:space="0" w:color="FFFFFF"/>
              <w:left w:val="single" w:sz="4" w:space="0" w:color="000000"/>
              <w:bottom w:val="single" w:sz="4" w:space="0" w:color="000000"/>
              <w:right w:val="single" w:sz="4" w:space="0" w:color="000000"/>
            </w:tcBorders>
          </w:tcPr>
          <w:p>
            <w:pPr/>
          </w:p>
        </w:tc>
        <w:tc>
          <w:tcPr>
            <w:tcW w:w="1551" w:type="dxa"/>
            <w:tcBorders>
              <w:top w:val="single" w:sz="4" w:space="0" w:color="FFFFFF"/>
              <w:left w:val="single" w:sz="4" w:space="0" w:color="000000"/>
              <w:bottom w:val="single" w:sz="4" w:space="0" w:color="000000"/>
              <w:right w:val="single" w:sz="4" w:space="0" w:color="000000"/>
            </w:tcBorders>
          </w:tcPr>
          <w:p>
            <w:pPr/>
          </w:p>
        </w:tc>
        <w:tc>
          <w:tcPr>
            <w:tcW w:w="1170" w:type="dxa"/>
            <w:tcBorders>
              <w:top w:val="single" w:sz="4" w:space="0" w:color="FFFFFF"/>
              <w:left w:val="single" w:sz="4" w:space="0" w:color="000000"/>
              <w:bottom w:val="single" w:sz="4" w:space="0" w:color="000000"/>
              <w:right w:val="single" w:sz="4" w:space="0" w:color="000000"/>
            </w:tcBorders>
          </w:tcPr>
          <w:p>
            <w:pPr/>
          </w:p>
        </w:tc>
        <w:tc>
          <w:tcPr>
            <w:tcW w:w="1169" w:type="dxa"/>
            <w:tcBorders>
              <w:top w:val="single" w:sz="4" w:space="0" w:color="FFFFFF"/>
              <w:left w:val="single" w:sz="4" w:space="0" w:color="000000"/>
              <w:bottom w:val="single" w:sz="4" w:space="0" w:color="000000"/>
              <w:right w:val="single" w:sz="4" w:space="0" w:color="000000"/>
            </w:tcBorders>
          </w:tcPr>
          <w:p>
            <w:pPr/>
          </w:p>
        </w:tc>
        <w:tc>
          <w:tcPr>
            <w:tcW w:w="364"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-753,750,000.00</w:t>
            </w: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-753,750,000.00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20" w:bottom="1160" w:left="1300" w:right="0"/>
        </w:sectPr>
      </w:pPr>
    </w:p>
    <w:tbl>
      <w:tblPr>
        <w:tblW w:w="0" w:type="auto"/>
        <w:jc w:val="left"/>
        <w:tblInd w:w="115" w:type="dxa"/>
        <w:tblLayout w:type="fixed"/>
        <w:tblCellMar>
          <w:top w:w="0" w:type="dxa"/>
          <w:left w:w="0" w:type="dxa"/>
          <w:bottom w:w="0" w:type="dxa"/>
          <w:right w:w="0" w:type="dxa"/>
        </w:tblCellMar>
        <w:tblLook w:val="01E0"/>
      </w:tblPr>
      <w:tblGrid>
        <w:gridCol w:w="2114"/>
        <w:gridCol w:w="1573"/>
        <w:gridCol w:w="709"/>
        <w:gridCol w:w="680"/>
        <w:gridCol w:w="594"/>
        <w:gridCol w:w="1551"/>
        <w:gridCol w:w="1170"/>
        <w:gridCol w:w="1169"/>
        <w:gridCol w:w="364"/>
        <w:gridCol w:w="1277"/>
        <w:gridCol w:w="1416"/>
        <w:gridCol w:w="1418"/>
      </w:tblGrid>
      <w:tr>
        <w:trPr>
          <w:trHeight w:val="414" w:hRule="exact"/>
        </w:trPr>
        <w:tc>
          <w:tcPr>
            <w:tcW w:w="21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3" w:type="dxa"/>
            <w:tcBorders>
              <w:top w:val="single" w:sz="10" w:space="0" w:color="000000"/>
              <w:left w:val="single" w:sz="4" w:space="0" w:color="000000"/>
              <w:bottom w:val="single" w:sz="4" w:space="0" w:color="000000"/>
              <w:right w:val="single" w:sz="4" w:space="0" w:color="000000"/>
            </w:tcBorders>
          </w:tcPr>
          <w:p>
            <w:pPr/>
          </w:p>
        </w:tc>
        <w:tc>
          <w:tcPr>
            <w:tcW w:w="709" w:type="dxa"/>
            <w:tcBorders>
              <w:top w:val="single" w:sz="10" w:space="0" w:color="000000"/>
              <w:left w:val="single" w:sz="4" w:space="0" w:color="000000"/>
              <w:bottom w:val="single" w:sz="4" w:space="0" w:color="000000"/>
              <w:right w:val="single" w:sz="4" w:space="0" w:color="000000"/>
            </w:tcBorders>
          </w:tcPr>
          <w:p>
            <w:pPr/>
          </w:p>
        </w:tc>
        <w:tc>
          <w:tcPr>
            <w:tcW w:w="680" w:type="dxa"/>
            <w:tcBorders>
              <w:top w:val="single" w:sz="10" w:space="0" w:color="000000"/>
              <w:left w:val="single" w:sz="4" w:space="0" w:color="000000"/>
              <w:bottom w:val="single" w:sz="4" w:space="0" w:color="000000"/>
              <w:right w:val="single" w:sz="4" w:space="0" w:color="000000"/>
            </w:tcBorders>
          </w:tcPr>
          <w:p>
            <w:pPr/>
          </w:p>
        </w:tc>
        <w:tc>
          <w:tcPr>
            <w:tcW w:w="594" w:type="dxa"/>
            <w:tcBorders>
              <w:top w:val="single" w:sz="10" w:space="0" w:color="000000"/>
              <w:left w:val="single" w:sz="4" w:space="0" w:color="000000"/>
              <w:bottom w:val="single" w:sz="4" w:space="0" w:color="000000"/>
              <w:right w:val="single" w:sz="4" w:space="0" w:color="000000"/>
            </w:tcBorders>
          </w:tcPr>
          <w:p>
            <w:pPr/>
          </w:p>
        </w:tc>
        <w:tc>
          <w:tcPr>
            <w:tcW w:w="1551" w:type="dxa"/>
            <w:tcBorders>
              <w:top w:val="single" w:sz="10" w:space="0" w:color="000000"/>
              <w:left w:val="single" w:sz="4" w:space="0" w:color="000000"/>
              <w:bottom w:val="single" w:sz="4" w:space="0" w:color="000000"/>
              <w:right w:val="single" w:sz="4" w:space="0" w:color="000000"/>
            </w:tcBorders>
          </w:tcPr>
          <w:p>
            <w:pPr/>
          </w:p>
        </w:tc>
        <w:tc>
          <w:tcPr>
            <w:tcW w:w="1170" w:type="dxa"/>
            <w:tcBorders>
              <w:top w:val="single" w:sz="10" w:space="0" w:color="000000"/>
              <w:left w:val="single" w:sz="4" w:space="0" w:color="000000"/>
              <w:bottom w:val="single" w:sz="4" w:space="0" w:color="000000"/>
              <w:right w:val="single" w:sz="4" w:space="0" w:color="000000"/>
            </w:tcBorders>
          </w:tcPr>
          <w:p>
            <w:pPr/>
          </w:p>
        </w:tc>
        <w:tc>
          <w:tcPr>
            <w:tcW w:w="1169" w:type="dxa"/>
            <w:tcBorders>
              <w:top w:val="single" w:sz="10" w:space="0" w:color="000000"/>
              <w:left w:val="single" w:sz="4" w:space="0" w:color="000000"/>
              <w:bottom w:val="single" w:sz="4" w:space="0" w:color="000000"/>
              <w:right w:val="single" w:sz="4" w:space="0" w:color="000000"/>
            </w:tcBorders>
          </w:tcPr>
          <w:p>
            <w:pPr/>
          </w:p>
        </w:tc>
        <w:tc>
          <w:tcPr>
            <w:tcW w:w="364"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416"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-753,750,000.00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-753,750,000.00</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99"/>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．资本公积转增资本（或</w:t>
            </w:r>
            <w:r>
              <w:rPr>
                <w:rFonts w:ascii="宋体" w:hAnsi="宋体" w:cs="宋体" w:eastAsia="宋体" w:hint="default"/>
                <w:sz w:val="18"/>
                <w:szCs w:val="18"/>
              </w:rPr>
              <w:t> 股本）</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．盈余公积转增资本（或</w:t>
            </w:r>
            <w:r>
              <w:rPr>
                <w:rFonts w:ascii="宋体" w:hAnsi="宋体" w:cs="宋体" w:eastAsia="宋体" w:hint="default"/>
                <w:sz w:val="18"/>
                <w:szCs w:val="18"/>
              </w:rPr>
              <w:t> 股本）</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79" w:right="0"/>
              <w:jc w:val="left"/>
              <w:rPr>
                <w:rFonts w:ascii="Times New Roman" w:hAnsi="Times New Roman" w:cs="Times New Roman" w:eastAsia="Times New Roman" w:hint="default"/>
                <w:sz w:val="18"/>
                <w:szCs w:val="18"/>
              </w:rPr>
            </w:pPr>
            <w:r>
              <w:rPr>
                <w:rFonts w:ascii="Times New Roman"/>
                <w:sz w:val="18"/>
              </w:rPr>
              <w:t>1,005,000,000.00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92" w:right="0"/>
              <w:jc w:val="left"/>
              <w:rPr>
                <w:rFonts w:ascii="Times New Roman" w:hAnsi="Times New Roman" w:cs="Times New Roman" w:eastAsia="Times New Roman" w:hint="default"/>
                <w:sz w:val="18"/>
                <w:szCs w:val="18"/>
              </w:rPr>
            </w:pPr>
            <w:r>
              <w:rPr>
                <w:rFonts w:ascii="Times New Roman"/>
                <w:sz w:val="18"/>
              </w:rPr>
              <w:t>984,928,819.00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8" w:right="0"/>
              <w:jc w:val="left"/>
              <w:rPr>
                <w:rFonts w:ascii="Times New Roman" w:hAnsi="Times New Roman" w:cs="Times New Roman" w:eastAsia="Times New Roman" w:hint="default"/>
                <w:sz w:val="18"/>
                <w:szCs w:val="18"/>
              </w:rPr>
            </w:pPr>
            <w:r>
              <w:rPr>
                <w:rFonts w:ascii="Times New Roman"/>
                <w:sz w:val="18"/>
              </w:rPr>
              <w:t>502,500,000.00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2,222,570,889.00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4,714,999,708.00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1" w:footer="979" w:top="1360" w:bottom="1160" w:left="13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三、公司基本情况" w:id="152"/>
      <w:bookmarkEnd w:id="15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jc w:val="both"/>
      </w:pPr>
      <w:r>
        <w:rPr>
          <w:spacing w:val="-2"/>
        </w:rPr>
        <w:t>本公司总部位于上海市浦东新区康桥镇康桥东路</w:t>
      </w:r>
      <w:r>
        <w:rPr>
          <w:rFonts w:ascii="Times New Roman" w:hAnsi="Times New Roman" w:cs="Times New Roman" w:eastAsia="Times New Roman" w:hint="default"/>
          <w:spacing w:val="-2"/>
        </w:rPr>
        <w:t>800</w:t>
      </w:r>
      <w:r>
        <w:rPr>
          <w:spacing w:val="-2"/>
        </w:rPr>
        <w:t>号，注册地址位于上海市浦东新区康桥镇康桥东路</w:t>
      </w:r>
      <w:r>
        <w:rPr>
          <w:rFonts w:ascii="Times New Roman" w:hAnsi="Times New Roman" w:cs="Times New Roman" w:eastAsia="Times New Roman" w:hint="default"/>
          <w:spacing w:val="-2"/>
        </w:rPr>
        <w:t>800</w:t>
      </w:r>
      <w:r>
        <w:rPr>
          <w:spacing w:val="-2"/>
        </w:rPr>
        <w:t>号。本公司及其子</w:t>
      </w:r>
      <w:r>
        <w:rPr>
          <w:spacing w:val="-58"/>
        </w:rPr>
        <w:t> </w:t>
      </w:r>
      <w:r>
        <w:rPr>
          <w:spacing w:val="-58"/>
        </w:rPr>
      </w:r>
      <w:r>
        <w:rPr>
          <w:spacing w:val="-6"/>
        </w:rPr>
        <w:t>公司</w:t>
      </w:r>
      <w:r>
        <w:rPr>
          <w:rFonts w:ascii="Times New Roman" w:hAnsi="Times New Roman" w:cs="Times New Roman" w:eastAsia="Times New Roman" w:hint="default"/>
          <w:spacing w:val="-6"/>
        </w:rPr>
        <w:t>(</w:t>
      </w:r>
      <w:r>
        <w:rPr>
          <w:spacing w:val="-6"/>
        </w:rPr>
        <w:t>统称</w:t>
      </w:r>
      <w:r>
        <w:rPr>
          <w:rFonts w:ascii="Times New Roman" w:hAnsi="Times New Roman" w:cs="Times New Roman" w:eastAsia="Times New Roman" w:hint="default"/>
          <w:spacing w:val="-6"/>
        </w:rPr>
        <w:t>“</w:t>
      </w:r>
      <w:r>
        <w:rPr>
          <w:spacing w:val="-6"/>
        </w:rPr>
        <w:t>本集团</w:t>
      </w:r>
      <w:r>
        <w:rPr>
          <w:rFonts w:ascii="Times New Roman" w:hAnsi="Times New Roman" w:cs="Times New Roman" w:eastAsia="Times New Roman" w:hint="default"/>
          <w:spacing w:val="-6"/>
        </w:rPr>
        <w:t>”)</w:t>
      </w:r>
      <w:r>
        <w:rPr>
          <w:spacing w:val="-6"/>
        </w:rPr>
        <w:t>主要从事服装设计开发；服装、鞋、针织品、皮革制品、羽绒制品、箱包、玩具、饰品、工艺品</w:t>
      </w:r>
      <w:r>
        <w:rPr>
          <w:rFonts w:ascii="Times New Roman" w:hAnsi="Times New Roman" w:cs="Times New Roman" w:eastAsia="Times New Roman" w:hint="default"/>
          <w:spacing w:val="-6"/>
        </w:rPr>
        <w:t>(</w:t>
      </w:r>
      <w:r>
        <w:rPr>
          <w:spacing w:val="-6"/>
        </w:rPr>
        <w:t>除金银</w:t>
      </w:r>
      <w:r>
        <w:rPr>
          <w:rFonts w:ascii="Times New Roman" w:hAnsi="Times New Roman" w:cs="Times New Roman" w:eastAsia="Times New Roman" w:hint="default"/>
          <w:spacing w:val="-6"/>
        </w:rPr>
        <w:t>)</w:t>
      </w:r>
      <w:r>
        <w:rPr>
          <w:spacing w:val="-6"/>
        </w:rPr>
        <w:t>、</w:t>
      </w:r>
      <w:r>
        <w:rPr>
          <w:spacing w:val="-43"/>
        </w:rPr>
        <w:t> </w:t>
      </w:r>
      <w:r>
        <w:rPr/>
        <w:t>纸制品的销售；附设分支机构</w:t>
      </w:r>
      <w:r>
        <w:rPr>
          <w:rFonts w:ascii="Times New Roman" w:hAnsi="Times New Roman" w:cs="Times New Roman" w:eastAsia="Times New Roman" w:hint="default"/>
        </w:rPr>
        <w:t>(</w:t>
      </w:r>
      <w:r>
        <w:rPr/>
        <w:t>凡涉及行政许可证凭许可证经营</w:t>
      </w:r>
      <w:r>
        <w:rPr>
          <w:rFonts w:ascii="Times New Roman" w:hAnsi="Times New Roman" w:cs="Times New Roman" w:eastAsia="Times New Roman" w:hint="default"/>
        </w:rPr>
        <w:t>)</w:t>
      </w:r>
      <w:r>
        <w:rPr/>
        <w:t>。</w:t>
      </w:r>
    </w:p>
    <w:p>
      <w:pPr>
        <w:pStyle w:val="BodyText"/>
        <w:spacing w:line="240" w:lineRule="auto" w:before="13"/>
        <w:ind w:right="1033"/>
        <w:jc w:val="left"/>
      </w:pPr>
      <w:r>
        <w:rPr/>
        <w:t>详见本附注八、合并范围的变更。</w:t>
      </w:r>
    </w:p>
    <w:p>
      <w:pPr>
        <w:spacing w:line="240" w:lineRule="auto" w:before="2"/>
        <w:rPr>
          <w:rFonts w:ascii="宋体" w:hAnsi="宋体" w:cs="宋体" w:eastAsia="宋体" w:hint="default"/>
          <w:sz w:val="25"/>
          <w:szCs w:val="25"/>
        </w:rPr>
      </w:pPr>
    </w:p>
    <w:p>
      <w:pPr>
        <w:pStyle w:val="Heading3"/>
        <w:spacing w:line="240" w:lineRule="auto"/>
        <w:ind w:right="1033"/>
        <w:jc w:val="left"/>
        <w:rPr>
          <w:b w:val="0"/>
          <w:bCs w:val="0"/>
        </w:rPr>
      </w:pPr>
      <w:bookmarkStart w:name="四、财务报表的编制基础" w:id="153"/>
      <w:bookmarkEnd w:id="15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编制基础" w:id="154"/>
      <w:bookmarkEnd w:id="15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项具体会计准则、其后颁布的应用指南、解释以 及其他相关规定（统称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pStyle w:val="BodyText"/>
        <w:spacing w:line="316" w:lineRule="auto" w:before="13"/>
        <w:ind w:right="2293"/>
        <w:jc w:val="left"/>
      </w:pPr>
      <w:r>
        <w:rPr/>
        <w:t>本财务报表以持续经营为基础列报。 编制本财务报表时，均以历史成本为计价原则。资产如果发生减值，则按照相关规定计提相应的减值准备。</w:t>
      </w:r>
    </w:p>
    <w:p>
      <w:pPr>
        <w:spacing w:line="240" w:lineRule="auto" w:before="10"/>
        <w:rPr>
          <w:rFonts w:ascii="宋体" w:hAnsi="宋体" w:cs="宋体" w:eastAsia="宋体" w:hint="default"/>
          <w:sz w:val="20"/>
          <w:szCs w:val="20"/>
        </w:rPr>
      </w:pPr>
    </w:p>
    <w:p>
      <w:pPr>
        <w:pStyle w:val="Heading3"/>
        <w:spacing w:line="240" w:lineRule="auto"/>
        <w:ind w:right="1033"/>
        <w:jc w:val="left"/>
        <w:rPr>
          <w:b w:val="0"/>
          <w:bCs w:val="0"/>
        </w:rPr>
      </w:pPr>
      <w:bookmarkStart w:name="五、重要会计政策及会计估计" w:id="155"/>
      <w:bookmarkEnd w:id="15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988"/>
        <w:jc w:val="left"/>
      </w:pPr>
      <w:r>
        <w:rPr/>
        <w:t>具体会计政策和会计估计提示： 不适用</w:t>
      </w:r>
    </w:p>
    <w:p>
      <w:pPr>
        <w:spacing w:line="240" w:lineRule="auto" w:before="2"/>
        <w:rPr>
          <w:rFonts w:ascii="宋体" w:hAnsi="宋体" w:cs="宋体" w:eastAsia="宋体" w:hint="default"/>
          <w:sz w:val="20"/>
          <w:szCs w:val="20"/>
        </w:rPr>
      </w:pPr>
    </w:p>
    <w:p>
      <w:pPr>
        <w:pStyle w:val="Heading4"/>
        <w:spacing w:line="240" w:lineRule="auto"/>
        <w:ind w:left="153" w:right="1033"/>
        <w:jc w:val="left"/>
        <w:rPr>
          <w:b w:val="0"/>
          <w:bCs w:val="0"/>
        </w:rPr>
      </w:pPr>
      <w:bookmarkStart w:name="1、遵循企业会计准则的声明" w:id="156"/>
      <w:bookmarkEnd w:id="15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jc w:val="left"/>
      </w:pPr>
      <w:r>
        <w:rPr>
          <w:spacing w:val="-2"/>
        </w:rPr>
        <w:t>本财务报表符合企业会计准则的要求，真实、完整地反映了本公司及本集团于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2014</w:t>
      </w:r>
      <w:r>
        <w:rPr>
          <w:spacing w:val="-2"/>
        </w:rPr>
        <w:t>年度的经</w:t>
      </w:r>
      <w:r>
        <w:rPr>
          <w:spacing w:val="-52"/>
        </w:rPr>
        <w:t> </w:t>
      </w:r>
      <w:r>
        <w:rPr/>
        <w:t>营成果和现金流量。</w:t>
      </w:r>
    </w:p>
    <w:p>
      <w:pPr>
        <w:spacing w:line="240" w:lineRule="auto" w:before="6"/>
        <w:rPr>
          <w:rFonts w:ascii="宋体" w:hAnsi="宋体" w:cs="宋体" w:eastAsia="宋体" w:hint="default"/>
          <w:sz w:val="23"/>
          <w:szCs w:val="23"/>
        </w:rPr>
      </w:pPr>
    </w:p>
    <w:p>
      <w:pPr>
        <w:spacing w:line="547" w:lineRule="auto" w:before="0"/>
        <w:ind w:left="153" w:right="5533" w:firstLine="0"/>
        <w:jc w:val="left"/>
        <w:rPr>
          <w:rFonts w:ascii="宋体" w:hAnsi="宋体" w:cs="宋体" w:eastAsia="宋体" w:hint="default"/>
          <w:sz w:val="21"/>
          <w:szCs w:val="21"/>
        </w:rPr>
      </w:pPr>
      <w:bookmarkStart w:name="2、会计期间" w:id="157"/>
      <w:bookmarkEnd w:id="1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本集团会计年度釆用公历年度，即每年自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记账本位币" w:id="158"/>
      <w:bookmarkEnd w:id="15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1033"/>
        <w:jc w:val="left"/>
      </w:pPr>
      <w:r>
        <w:rPr/>
        <w:t>本集团记账本位币和编制本财务报表所采用的货币均为人民币。除有特别说明外，均以人民币元为单位表示。</w:t>
      </w:r>
    </w:p>
    <w:p>
      <w:pPr>
        <w:spacing w:line="240" w:lineRule="auto" w:before="12"/>
        <w:rPr>
          <w:rFonts w:ascii="宋体" w:hAnsi="宋体" w:cs="宋体" w:eastAsia="宋体" w:hint="default"/>
          <w:sz w:val="26"/>
          <w:szCs w:val="26"/>
        </w:rPr>
      </w:pPr>
    </w:p>
    <w:p>
      <w:pPr>
        <w:pStyle w:val="Heading4"/>
        <w:spacing w:line="240" w:lineRule="auto"/>
        <w:ind w:left="153" w:right="1033"/>
        <w:jc w:val="left"/>
        <w:rPr>
          <w:b w:val="0"/>
          <w:bCs w:val="0"/>
        </w:rPr>
      </w:pPr>
      <w:bookmarkStart w:name="4、同一控制下和非同一控制下企业合并的会计处理方法" w:id="159"/>
      <w:bookmarkEnd w:id="159"/>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97" w:lineRule="auto"/>
        <w:ind w:left="154" w:right="1033"/>
        <w:jc w:val="left"/>
      </w:pPr>
      <w:r>
        <w:rPr>
          <w:sz w:val="21"/>
          <w:szCs w:val="21"/>
        </w:rPr>
        <w:t>（</w:t>
      </w:r>
      <w:r>
        <w:rPr>
          <w:rFonts w:ascii="Times New Roman" w:hAnsi="Times New Roman" w:cs="Times New Roman" w:eastAsia="Times New Roman" w:hint="default"/>
          <w:b/>
          <w:bCs/>
          <w:sz w:val="21"/>
          <w:szCs w:val="21"/>
        </w:rPr>
        <w:t>1</w:t>
      </w:r>
      <w:r>
        <w:rPr>
          <w:sz w:val="21"/>
          <w:szCs w:val="21"/>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p>
    <w:p>
      <w:pPr>
        <w:pStyle w:val="BodyText"/>
        <w:spacing w:line="319" w:lineRule="auto" w:before="33"/>
        <w:ind w:left="154" w:right="1033"/>
        <w:jc w:val="left"/>
      </w:pPr>
      <w:r>
        <w:rPr/>
        <w:t>指合并方实际取得对被合并方控制权的日期。 </w:t>
      </w:r>
      <w:r>
        <w:rPr>
          <w:spacing w:val="-2"/>
        </w:rPr>
        <w:t>合并方在同一控制下企业合并中取得的资产和负债（包括最终控制方收购被合并方而形成的商誉），按合并日在最终控制方</w:t>
      </w:r>
      <w:r>
        <w:rPr>
          <w:spacing w:val="-66"/>
        </w:rPr>
        <w:t> </w:t>
      </w:r>
      <w:r>
        <w:rPr>
          <w:spacing w:val="-66"/>
        </w:rPr>
      </w:r>
      <w:r>
        <w:rPr>
          <w:spacing w:val="-2"/>
        </w:rPr>
        <w:t>财务报表中的账面价值为基础进行相关会计处理。合并方取得的净资产账面价值与支付的合并对价的账面价值（或发行股份</w:t>
      </w:r>
      <w:r>
        <w:rPr>
          <w:spacing w:val="-64"/>
        </w:rPr>
        <w:t> </w:t>
      </w:r>
      <w:r>
        <w:rPr>
          <w:spacing w:val="-64"/>
        </w:rPr>
      </w:r>
      <w:r>
        <w:rPr/>
        <w:t>面值总额）的差额，调整资本公积中的股本溢价，不足冲减的则调整留存收益。</w:t>
      </w:r>
    </w:p>
    <w:p>
      <w:pPr>
        <w:spacing w:line="240" w:lineRule="auto" w:before="3"/>
        <w:rPr>
          <w:rFonts w:ascii="宋体" w:hAnsi="宋体" w:cs="宋体" w:eastAsia="宋体" w:hint="default"/>
          <w:sz w:val="23"/>
          <w:szCs w:val="23"/>
        </w:rPr>
      </w:pPr>
    </w:p>
    <w:p>
      <w:pPr>
        <w:pStyle w:val="Heading5"/>
        <w:spacing w:line="240" w:lineRule="auto"/>
        <w:ind w:left="153" w:right="1033"/>
        <w:jc w:val="left"/>
      </w:pPr>
      <w:r>
        <w:rPr/>
        <w:t>（</w:t>
      </w:r>
      <w:r>
        <w:rPr>
          <w:rFonts w:ascii="Times New Roman" w:hAnsi="Times New Roman" w:cs="Times New Roman" w:eastAsia="Times New Roman" w:hint="default"/>
          <w:b/>
          <w:bCs/>
        </w:rPr>
        <w:t>2</w:t>
      </w:r>
      <w:r>
        <w:rPr/>
        <w:t>）非同一控制下的企业合并</w:t>
      </w:r>
    </w:p>
    <w:p>
      <w:pPr>
        <w:spacing w:after="0" w:line="240" w:lineRule="auto"/>
        <w:jc w:val="left"/>
        <w:sectPr>
          <w:headerReference w:type="default" r:id="rId21"/>
          <w:footerReference w:type="default" r:id="rId22"/>
          <w:pgSz w:w="11910" w:h="16840"/>
          <w:pgMar w:header="851" w:footer="979" w:top="1320" w:bottom="1160" w:left="980" w:right="0"/>
          <w:pgNumType w:start="74"/>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56"/>
        <w:ind w:right="1033"/>
        <w:jc w:val="left"/>
      </w:pPr>
      <w:r>
        <w:rPr/>
        <w:t>参与合并的企业在合并前后不受同一方或相同的多方最终控制的，为非同一控制下的企业合并。非同一控制下的企业合并，</w:t>
      </w:r>
      <w:r>
        <w:rPr>
          <w:spacing w:val="-85"/>
        </w:rPr>
        <w:t> </w:t>
      </w:r>
      <w:r>
        <w:rPr>
          <w:spacing w:val="-85"/>
        </w:rPr>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非同一控制下企业合并中所取得的被购买方可辨认资产、负债及或有负债在收购日以公允价值计量。 </w:t>
      </w:r>
      <w:r>
        <w:rPr>
          <w:spacing w:val="-2"/>
        </w:rPr>
        <w:t>支付的合并对价的公允价值（或发行的权益性证券的公允价值）与购买日之前持有的被购买方的股权的公允价值之和大于合</w:t>
      </w:r>
      <w:r>
        <w:rPr>
          <w:spacing w:val="-64"/>
        </w:rPr>
        <w:t> </w:t>
      </w:r>
      <w:r>
        <w:rPr>
          <w:spacing w:val="-64"/>
        </w:rPr>
      </w:r>
      <w:r>
        <w:rPr>
          <w:spacing w:val="-2"/>
        </w:rPr>
        <w:t>并中取得的被购买方可辨认净资产公允价值份额的差额，确认为商誉，并以成本减去累计减值损失进行后续计量。支付的合</w:t>
      </w:r>
      <w:r>
        <w:rPr>
          <w:spacing w:val="-66"/>
        </w:rPr>
        <w:t> </w:t>
      </w:r>
      <w:r>
        <w:rPr>
          <w:spacing w:val="-66"/>
        </w:rPr>
      </w:r>
      <w:r>
        <w:rPr>
          <w:spacing w:val="-2"/>
        </w:rPr>
        <w:t>并对价的公允价值（或发行的权益性证券的公允价值）与购买日之前持有的被购买方的股权的公允价值之和小于合并中取得</w:t>
      </w:r>
      <w:r>
        <w:rPr>
          <w:spacing w:val="-64"/>
        </w:rPr>
        <w:t> </w:t>
      </w:r>
      <w:r>
        <w:rPr>
          <w:spacing w:val="-64"/>
        </w:rPr>
      </w:r>
      <w:r>
        <w:rPr>
          <w:spacing w:val="-2"/>
        </w:rPr>
        <w:t>的被购买方可辨认净资产公允价值份额的，首先对取得的被购买方各项可辨认资产、负债及或有负债的公允价值以及支付的</w:t>
      </w:r>
      <w:r>
        <w:rPr>
          <w:spacing w:val="-64"/>
        </w:rPr>
        <w:t> </w:t>
      </w:r>
      <w:r>
        <w:rPr>
          <w:spacing w:val="-64"/>
        </w:rPr>
      </w:r>
      <w:r>
        <w:rPr/>
        <w:t>合并对价的公允价值（或发行的权益性证券的公允价值）及购买日之前持有的被购买方的股权的公允价值的计量进行复核，</w:t>
      </w:r>
      <w:r>
        <w:rPr>
          <w:spacing w:val="-85"/>
        </w:rPr>
        <w:t> </w:t>
      </w:r>
      <w:r>
        <w:rPr>
          <w:spacing w:val="-85"/>
        </w:rPr>
      </w:r>
      <w:r>
        <w:rPr>
          <w:spacing w:val="-2"/>
        </w:rPr>
        <w:t>复核后支付的合并对价的公允价值（或发行的权益性证券的公允价值）与购买日之前持有的被购买方的股权的公允价值之和</w:t>
      </w:r>
      <w:r>
        <w:rPr>
          <w:spacing w:val="-63"/>
        </w:rPr>
        <w:t> </w:t>
      </w:r>
      <w:r>
        <w:rPr>
          <w:spacing w:val="-63"/>
        </w:rPr>
      </w:r>
      <w:r>
        <w:rPr/>
        <w:t>仍小于合并中取得的被购买方可辨认净资产公允价值份额的，其差额计入当期损益。</w:t>
      </w:r>
    </w:p>
    <w:p>
      <w:pPr>
        <w:spacing w:line="240" w:lineRule="auto" w:before="7"/>
        <w:rPr>
          <w:rFonts w:ascii="宋体" w:hAnsi="宋体" w:cs="宋体" w:eastAsia="宋体" w:hint="default"/>
          <w:sz w:val="22"/>
          <w:szCs w:val="22"/>
        </w:rPr>
      </w:pPr>
    </w:p>
    <w:p>
      <w:pPr>
        <w:pStyle w:val="Heading4"/>
        <w:spacing w:line="240" w:lineRule="auto"/>
        <w:ind w:left="153" w:right="1033"/>
        <w:jc w:val="left"/>
        <w:rPr>
          <w:b w:val="0"/>
          <w:bCs w:val="0"/>
        </w:rPr>
      </w:pPr>
      <w:bookmarkStart w:name="5、合并财务报表的编制方法" w:id="160"/>
      <w:bookmarkEnd w:id="160"/>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日止期间的财务报表。子公司，是</w:t>
      </w:r>
      <w:r>
        <w:rPr>
          <w:spacing w:val="-58"/>
        </w:rPr>
        <w:t> </w:t>
      </w:r>
      <w:r>
        <w:rPr>
          <w:spacing w:val="-58"/>
        </w:rPr>
      </w:r>
      <w:r>
        <w:rPr/>
        <w:t>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。编制合并财务报表时，</w:t>
      </w:r>
      <w:r>
        <w:rPr>
          <w:spacing w:val="-35"/>
        </w:rPr>
        <w:t> </w:t>
      </w:r>
      <w:r>
        <w:rPr>
          <w:spacing w:val="-35"/>
        </w:rPr>
      </w:r>
      <w:r>
        <w:rPr>
          <w:spacing w:val="-2"/>
        </w:rPr>
        <w:t>子公司采用与本公司一致的会计期间和会计政策。本集团内部各公司之间的所有交易产生的余额、交易和未实现损益及股利</w:t>
      </w:r>
      <w:r>
        <w:rPr>
          <w:spacing w:val="-64"/>
        </w:rPr>
        <w:t> </w:t>
      </w:r>
      <w:r>
        <w:rPr>
          <w:spacing w:val="-64"/>
        </w:rPr>
      </w:r>
      <w:r>
        <w:rPr>
          <w:spacing w:val="-2"/>
        </w:rPr>
        <w:t>于合并时全额抵销。子公司少数股东分担的当期亏损超过了少数股东在该子公司期初股东权益中所享有的份额的，其余额仍</w:t>
      </w:r>
      <w:r>
        <w:rPr>
          <w:spacing w:val="-64"/>
        </w:rPr>
        <w:t> </w:t>
      </w:r>
      <w:r>
        <w:rPr>
          <w:spacing w:val="-64"/>
        </w:rPr>
      </w:r>
      <w:r>
        <w:rPr>
          <w:spacing w:val="-2"/>
        </w:rPr>
        <w:t>冲减少数股东权益。对于通过非同一控制下的企业合并取得的子公司，被购买方的经营成果和现金流量自本集团取得控制权</w:t>
      </w:r>
      <w:r>
        <w:rPr>
          <w:spacing w:val="-64"/>
        </w:rPr>
        <w:t> </w:t>
      </w:r>
      <w:r>
        <w:rPr>
          <w:spacing w:val="-64"/>
        </w:rPr>
      </w:r>
      <w:r>
        <w:rPr>
          <w:spacing w:val="-2"/>
        </w:rPr>
        <w:t>之日起纳入合并财务报表，直至本集团对其控制权终止。在编制合并财务报表时，以购买日确定的各项可辨认资产、负债及</w:t>
      </w:r>
      <w:r>
        <w:rPr>
          <w:spacing w:val="-66"/>
        </w:rPr>
        <w:t> </w:t>
      </w:r>
      <w:r>
        <w:rPr>
          <w:spacing w:val="-66"/>
        </w:rPr>
      </w:r>
      <w:r>
        <w:rPr>
          <w:spacing w:val="-2"/>
        </w:rPr>
        <w:t>或有负债的公允价值为基础对子公司的财务报表进行调整。对于通过同一控制下的企业合并取得的子公司，被合并方的经营</w:t>
      </w:r>
      <w:r>
        <w:rPr>
          <w:spacing w:val="-64"/>
        </w:rPr>
        <w:t> </w:t>
      </w:r>
      <w:r>
        <w:rPr>
          <w:spacing w:val="-64"/>
        </w:rPr>
      </w:r>
      <w:r>
        <w:rPr>
          <w:spacing w:val="-2"/>
        </w:rPr>
        <w:t>成果和现金流量自合并当期期初纳入合并财务报表。编制比较合并财务报表时，对前期财务报表的相关项目进行调整，视同</w:t>
      </w:r>
      <w:r>
        <w:rPr>
          <w:spacing w:val="-65"/>
        </w:rPr>
        <w:t> </w:t>
      </w:r>
      <w:r>
        <w:rPr>
          <w:spacing w:val="-65"/>
        </w:rPr>
      </w:r>
      <w:r>
        <w:rPr/>
        <w:t>合并后形成的报告主体自最终控制方开始实施控制时一直存在。</w:t>
      </w:r>
    </w:p>
    <w:p>
      <w:pPr>
        <w:spacing w:line="240" w:lineRule="auto" w:before="9"/>
        <w:rPr>
          <w:rFonts w:ascii="宋体" w:hAnsi="宋体" w:cs="宋体" w:eastAsia="宋体" w:hint="default"/>
          <w:sz w:val="22"/>
          <w:szCs w:val="22"/>
        </w:rPr>
      </w:pPr>
    </w:p>
    <w:p>
      <w:pPr>
        <w:pStyle w:val="Heading4"/>
        <w:spacing w:line="240" w:lineRule="auto"/>
        <w:ind w:right="1033"/>
        <w:jc w:val="left"/>
        <w:rPr>
          <w:b w:val="0"/>
          <w:bCs w:val="0"/>
        </w:rPr>
      </w:pPr>
      <w:bookmarkStart w:name="6、现金及现金等价物的确定标准" w:id="161"/>
      <w:bookmarkEnd w:id="161"/>
      <w:r>
        <w:rPr>
          <w:b w:val="0"/>
          <w:bCs w:val="0"/>
        </w:rPr>
      </w:r>
      <w:r>
        <w:rPr>
          <w:rFonts w:ascii="Times New Roman" w:hAnsi="Times New Roman" w:cs="Times New Roman" w:eastAsia="Times New Roman" w:hint="default"/>
        </w:rPr>
        <w:t>6</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3"/>
        <w:jc w:val="left"/>
      </w:pPr>
      <w:r>
        <w:rPr>
          <w:spacing w:val="-2"/>
        </w:rPr>
        <w:t>现金，是指本集团的库存现金以及可以随时用于支付的存款；现金等价物，是指本集团持有的期限短、流动性强、易于转换</w:t>
      </w:r>
      <w:r>
        <w:rPr>
          <w:spacing w:val="-66"/>
        </w:rPr>
        <w:t> </w:t>
      </w:r>
      <w:r>
        <w:rPr>
          <w:spacing w:val="-66"/>
        </w:rPr>
      </w:r>
      <w:r>
        <w:rPr/>
        <w:t>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1033"/>
        <w:jc w:val="left"/>
        <w:rPr>
          <w:b w:val="0"/>
          <w:bCs w:val="0"/>
        </w:rPr>
      </w:pPr>
      <w:bookmarkStart w:name="7、外币业务和外币报表折算" w:id="162"/>
      <w:bookmarkEnd w:id="162"/>
      <w:r>
        <w:rPr>
          <w:b w:val="0"/>
          <w:bCs w:val="0"/>
        </w:rPr>
      </w:r>
      <w:r>
        <w:rPr>
          <w:rFonts w:ascii="Times New Roman" w:hAnsi="Times New Roman" w:cs="Times New Roman" w:eastAsia="Times New Roman" w:hint="default"/>
        </w:rPr>
        <w:t>7</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8、金融工具" w:id="163"/>
      <w:bookmarkEnd w:id="163"/>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BodyText"/>
        <w:spacing w:line="297" w:lineRule="auto" w:before="127"/>
        <w:ind w:left="154" w:right="1033"/>
        <w:jc w:val="left"/>
      </w:pPr>
      <w:r>
        <w:rPr>
          <w:sz w:val="21"/>
          <w:szCs w:val="21"/>
        </w:rPr>
        <w:t>（</w:t>
      </w:r>
      <w:r>
        <w:rPr>
          <w:rFonts w:ascii="Times New Roman" w:hAnsi="Times New Roman" w:cs="Times New Roman" w:eastAsia="Times New Roman" w:hint="default"/>
          <w:b/>
          <w:bCs/>
          <w:sz w:val="21"/>
          <w:szCs w:val="21"/>
        </w:rPr>
        <w:t>1</w:t>
      </w:r>
      <w:r>
        <w:rPr>
          <w:sz w:val="21"/>
          <w:szCs w:val="21"/>
        </w:rPr>
        <w:t>）金融工具的分类 </w:t>
      </w:r>
      <w:r>
        <w:rPr>
          <w:spacing w:val="-2"/>
        </w:rPr>
        <w:t>本集团的金融资产于初始确认时分类为：以公允价值计量且其变动计入当期损益的金融资产、持有至到期投资、贷款和应收</w:t>
      </w:r>
      <w:r>
        <w:rPr>
          <w:spacing w:val="-66"/>
        </w:rPr>
        <w:t> </w:t>
      </w:r>
      <w:r>
        <w:rPr>
          <w:spacing w:val="-66"/>
        </w:rPr>
      </w:r>
      <w:r>
        <w:rPr>
          <w:spacing w:val="-2"/>
        </w:rPr>
        <w:t>款项、可供出售金融资产、被指定为有效套期工具的衍生工具。本集团在初始确认时确定金融资产的分类。本集团的金融负</w:t>
      </w:r>
    </w:p>
    <w:p>
      <w:pPr>
        <w:pStyle w:val="BodyText"/>
        <w:spacing w:line="316" w:lineRule="auto" w:before="33"/>
        <w:ind w:left="154" w:right="1033"/>
        <w:jc w:val="left"/>
      </w:pPr>
      <w:r>
        <w:rPr>
          <w:spacing w:val="-2"/>
        </w:rPr>
        <w:t>债于初始确认时分类为：以公允价值计量且其变动计入当期损益的金融负债、其他金融负债、被指定为有效套期工具的衍生</w:t>
      </w:r>
      <w:r>
        <w:rPr>
          <w:spacing w:val="-66"/>
        </w:rPr>
        <w:t> </w:t>
      </w:r>
      <w:r>
        <w:rPr>
          <w:spacing w:val="-66"/>
        </w:rPr>
      </w:r>
      <w:r>
        <w:rPr/>
        <w:t>工具。本集团在初始确认时确定金融负债的分类。</w:t>
      </w:r>
    </w:p>
    <w:p>
      <w:pPr>
        <w:spacing w:line="240" w:lineRule="auto" w:before="4"/>
        <w:rPr>
          <w:rFonts w:ascii="宋体" w:hAnsi="宋体" w:cs="宋体" w:eastAsia="宋体" w:hint="default"/>
          <w:sz w:val="23"/>
          <w:szCs w:val="23"/>
        </w:rPr>
      </w:pPr>
    </w:p>
    <w:p>
      <w:pPr>
        <w:pStyle w:val="Heading5"/>
        <w:spacing w:line="240" w:lineRule="auto"/>
        <w:ind w:right="1033"/>
        <w:jc w:val="left"/>
      </w:pPr>
      <w:r>
        <w:rPr/>
        <w:t>（</w:t>
      </w:r>
      <w:r>
        <w:rPr>
          <w:rFonts w:ascii="Times New Roman" w:hAnsi="Times New Roman" w:cs="Times New Roman" w:eastAsia="Times New Roman" w:hint="default"/>
          <w:b/>
          <w:bCs/>
        </w:rPr>
        <w:t>2</w:t>
      </w:r>
      <w:r>
        <w:rPr/>
        <w:t>）金融工具的确认依据和计量方法</w:t>
      </w:r>
    </w:p>
    <w:p>
      <w:pPr>
        <w:pStyle w:val="BodyText"/>
        <w:spacing w:line="240" w:lineRule="auto" w:before="46"/>
        <w:ind w:right="1033"/>
        <w:jc w:val="left"/>
      </w:pPr>
      <w:r>
        <w:rPr/>
        <w:t>本集团于成为金融工具合同的一方时确认一项金融资产或金融负债。满足下列条件的，终止确认金融资产</w:t>
      </w:r>
      <w:r>
        <w:rPr>
          <w:rFonts w:ascii="Times New Roman" w:hAnsi="Times New Roman" w:cs="Times New Roman" w:eastAsia="Times New Roman" w:hint="default"/>
        </w:rPr>
        <w:t>(</w:t>
      </w:r>
      <w:r>
        <w:rPr/>
        <w:t>或金融资产的一</w:t>
      </w:r>
    </w:p>
    <w:p>
      <w:pPr>
        <w:spacing w:after="0" w:line="240" w:lineRule="auto"/>
        <w:jc w:val="left"/>
        <w:sectPr>
          <w:pgSz w:w="11910" w:h="16840"/>
          <w:pgMar w:header="851" w:footer="979" w:top="1320" w:bottom="1160" w:left="980" w:right="0"/>
        </w:sectPr>
      </w:pPr>
    </w:p>
    <w:p>
      <w:pPr>
        <w:pStyle w:val="BodyText"/>
        <w:spacing w:line="304" w:lineRule="auto" w:before="114"/>
        <w:ind w:right="1119"/>
        <w:jc w:val="left"/>
      </w:pPr>
      <w:r>
        <w:rPr>
          <w:spacing w:val="-3"/>
        </w:rPr>
        <w:t>部分，或一组类似金融资产的一部分</w:t>
      </w:r>
      <w:r>
        <w:rPr>
          <w:rFonts w:ascii="Times New Roman" w:hAnsi="Times New Roman" w:cs="Times New Roman" w:eastAsia="Times New Roman" w:hint="default"/>
          <w:spacing w:val="-3"/>
        </w:rPr>
        <w:t>)</w:t>
      </w:r>
      <w:r>
        <w:rPr>
          <w:spacing w:val="-3"/>
        </w:rPr>
        <w:t>：</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收取金融资产现金流量的权利届满；</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转移了收取金融资产现金流量的权利， </w:t>
      </w:r>
      <w:r>
        <w:rPr>
          <w:spacing w:val="-2"/>
          <w:w w:val="100"/>
        </w:rPr>
        <w:t>或在</w:t>
      </w:r>
      <w:r>
        <w:rPr>
          <w:rFonts w:ascii="Times New Roman" w:hAnsi="Times New Roman" w:cs="Times New Roman" w:eastAsia="Times New Roman" w:hint="default"/>
          <w:spacing w:val="-2"/>
          <w:w w:val="100"/>
        </w:rPr>
        <w:t>“</w:t>
      </w:r>
      <w:r>
        <w:rPr>
          <w:spacing w:val="-2"/>
          <w:w w:val="100"/>
        </w:rPr>
        <w:t>过手</w:t>
      </w:r>
      <w:r>
        <w:rPr>
          <w:rFonts w:ascii="Times New Roman" w:hAnsi="Times New Roman" w:cs="Times New Roman" w:eastAsia="Times New Roman" w:hint="default"/>
          <w:spacing w:val="-2"/>
          <w:w w:val="100"/>
        </w:rPr>
        <w:t>”</w:t>
      </w:r>
      <w:r>
        <w:rPr>
          <w:spacing w:val="-2"/>
          <w:w w:val="100"/>
        </w:rPr>
        <w:t>协议下承担了及时将收取的现金流量全额支付给第三方的义务；并且</w:t>
      </w:r>
      <w:r>
        <w:rPr>
          <w:rFonts w:ascii="Times New Roman" w:hAnsi="Times New Roman" w:cs="Times New Roman" w:eastAsia="Times New Roman" w:hint="default"/>
          <w:spacing w:val="-2"/>
          <w:w w:val="100"/>
        </w:rPr>
        <w:t>(a)</w:t>
      </w:r>
      <w:r>
        <w:rPr>
          <w:spacing w:val="-2"/>
          <w:w w:val="100"/>
        </w:rPr>
        <w:t>实质上转让了金融资产所有权上几乎所有</w:t>
      </w:r>
      <w:r>
        <w:rPr>
          <w:spacing w:val="-62"/>
          <w:w w:val="100"/>
        </w:rPr>
        <w:t> </w:t>
      </w:r>
      <w:r>
        <w:rPr>
          <w:spacing w:val="-62"/>
          <w:w w:val="100"/>
        </w:rPr>
      </w:r>
      <w:r>
        <w:rPr/>
        <w:t>的风险和报酬，或</w:t>
      </w:r>
      <w:r>
        <w:rPr>
          <w:rFonts w:ascii="Times New Roman" w:hAnsi="Times New Roman" w:cs="Times New Roman" w:eastAsia="Times New Roman" w:hint="default"/>
        </w:rPr>
        <w:t>(b)</w:t>
      </w:r>
      <w:r>
        <w:rPr/>
        <w:t>虽然实质上既没有转移也没有保留金融资产所有权上几乎所有的风险和报酬，但放弃了对该金融资产 </w:t>
      </w:r>
      <w:r>
        <w:rPr>
          <w:spacing w:val="-5"/>
        </w:rPr>
        <w:t>的控制。以常规方式买卖金融资产，按交易日会计进行确认和终止确认。常规方式买卖金融资产，是指按照合同条款的约定，</w:t>
      </w:r>
      <w:r>
        <w:rPr>
          <w:spacing w:val="-82"/>
        </w:rPr>
        <w:t> </w:t>
      </w:r>
      <w:r>
        <w:rPr>
          <w:spacing w:val="-82"/>
        </w:rPr>
      </w:r>
      <w:r>
        <w:rPr/>
        <w:t>在法规或通行惯例规定的期限内收取或交付金融资产。交易日，是指本集团承诺买入或卖出金融资产的日期。</w:t>
      </w:r>
    </w:p>
    <w:p>
      <w:pPr>
        <w:spacing w:line="240" w:lineRule="auto" w:before="0"/>
        <w:rPr>
          <w:rFonts w:ascii="宋体" w:hAnsi="宋体" w:cs="宋体" w:eastAsia="宋体" w:hint="default"/>
          <w:sz w:val="24"/>
          <w:szCs w:val="24"/>
        </w:rPr>
      </w:pPr>
    </w:p>
    <w:p>
      <w:pPr>
        <w:pStyle w:val="BodyText"/>
        <w:spacing w:line="297" w:lineRule="auto"/>
        <w:ind w:right="1033"/>
        <w:jc w:val="left"/>
      </w:pPr>
      <w:r>
        <w:rPr>
          <w:sz w:val="21"/>
          <w:szCs w:val="21"/>
        </w:rPr>
        <w:t>（</w:t>
      </w:r>
      <w:r>
        <w:rPr>
          <w:rFonts w:ascii="Times New Roman" w:hAnsi="Times New Roman" w:cs="Times New Roman" w:eastAsia="Times New Roman" w:hint="default"/>
          <w:b/>
          <w:bCs/>
          <w:sz w:val="21"/>
          <w:szCs w:val="21"/>
        </w:rPr>
        <w:t>3</w:t>
      </w:r>
      <w:r>
        <w:rPr>
          <w:sz w:val="21"/>
          <w:szCs w:val="21"/>
        </w:rPr>
        <w:t>）金融资产转移的确认依据和计量方法 </w:t>
      </w: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所有的风险和报酬的，不终止确认该金融资产。本集团既没有转移也没有保留金融资产所有权上几乎所有的风险和报酬的，</w:t>
      </w:r>
    </w:p>
    <w:p>
      <w:pPr>
        <w:pStyle w:val="BodyText"/>
        <w:spacing w:line="316" w:lineRule="auto" w:before="33"/>
        <w:ind w:right="1033"/>
        <w:jc w:val="left"/>
      </w:pPr>
      <w:r>
        <w:rPr>
          <w:spacing w:val="-2"/>
        </w:rPr>
        <w:t>分别下列情况处理：放弃了对该金融资产控制的，终止确认该金融资产并确认产生的资产和负债；未放弃对该金融资产控制</w:t>
      </w:r>
      <w:r>
        <w:rPr>
          <w:spacing w:val="-66"/>
        </w:rPr>
        <w:t> </w:t>
      </w:r>
      <w:r>
        <w:rPr>
          <w:spacing w:val="-66"/>
        </w:rPr>
      </w:r>
      <w:r>
        <w:rPr/>
        <w:t>的，按照其继续涉入所转移金融资产的程度确认有关金融资产，并相应确认有关负债。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Heading5"/>
        <w:spacing w:line="240" w:lineRule="auto"/>
        <w:ind w:left="153" w:right="1033"/>
        <w:jc w:val="left"/>
      </w:pPr>
      <w:r>
        <w:rPr/>
        <w:t>（</w:t>
      </w:r>
      <w:r>
        <w:rPr>
          <w:rFonts w:ascii="Times New Roman" w:hAnsi="Times New Roman" w:cs="Times New Roman" w:eastAsia="Times New Roman" w:hint="default"/>
          <w:b/>
          <w:bCs/>
        </w:rPr>
        <w:t>4</w:t>
      </w:r>
      <w:r>
        <w:rPr/>
        <w:t>）金融负债终止确认条件</w:t>
      </w:r>
    </w:p>
    <w:p>
      <w:pPr>
        <w:spacing w:line="240" w:lineRule="auto" w:before="5"/>
        <w:rPr>
          <w:rFonts w:ascii="宋体" w:hAnsi="宋体" w:cs="宋体" w:eastAsia="宋体" w:hint="default"/>
          <w:sz w:val="27"/>
          <w:szCs w:val="27"/>
        </w:rPr>
      </w:pPr>
    </w:p>
    <w:p>
      <w:pPr>
        <w:pStyle w:val="BodyText"/>
        <w:spacing w:line="316" w:lineRule="auto"/>
        <w:ind w:right="1033"/>
        <w:jc w:val="left"/>
      </w:pPr>
      <w:r>
        <w:rPr>
          <w:spacing w:val="-2"/>
        </w:rPr>
        <w:t>如果金融负债的责任已履行、撤销或届满，则对金融负债进行终止确认。如果现有金融负债被同一债权人以实质上几乎完全</w:t>
      </w:r>
      <w:r>
        <w:rPr>
          <w:spacing w:val="-66"/>
        </w:rPr>
        <w:t> </w:t>
      </w:r>
      <w:r>
        <w:rPr>
          <w:spacing w:val="-66"/>
        </w:rPr>
      </w:r>
      <w:r>
        <w:rPr/>
        <w:t>不同条款的另一金融负债所取代，或现有负债的条 款几乎全部被实质性修改，则此类替换或修改作为终止确认原负债和确认新负债处理，差额计入当期损益。</w:t>
      </w:r>
    </w:p>
    <w:p>
      <w:pPr>
        <w:spacing w:line="240" w:lineRule="auto" w:before="4"/>
        <w:rPr>
          <w:rFonts w:ascii="宋体" w:hAnsi="宋体" w:cs="宋体" w:eastAsia="宋体" w:hint="default"/>
          <w:sz w:val="23"/>
          <w:szCs w:val="23"/>
        </w:rPr>
      </w:pPr>
    </w:p>
    <w:p>
      <w:pPr>
        <w:pStyle w:val="BodyText"/>
        <w:spacing w:line="297" w:lineRule="auto"/>
        <w:ind w:right="1033"/>
        <w:jc w:val="left"/>
      </w:pPr>
      <w:r>
        <w:rPr>
          <w:sz w:val="21"/>
          <w:szCs w:val="21"/>
        </w:rPr>
        <w:t>（</w:t>
      </w:r>
      <w:r>
        <w:rPr>
          <w:rFonts w:ascii="Times New Roman" w:hAnsi="Times New Roman" w:cs="Times New Roman" w:eastAsia="Times New Roman" w:hint="default"/>
          <w:b/>
          <w:bCs/>
          <w:sz w:val="21"/>
          <w:szCs w:val="21"/>
        </w:rPr>
        <w:t>5</w:t>
      </w:r>
      <w:r>
        <w:rPr>
          <w:sz w:val="21"/>
          <w:szCs w:val="21"/>
        </w:rPr>
        <w:t>）金融资产和金融负债公允价值的确定方法 </w:t>
      </w:r>
      <w:r>
        <w:rPr>
          <w:spacing w:val="-2"/>
        </w:rPr>
        <w:t>存在活跃市场的金融资产或金融负债，采用活跃市场中的报价确定其公允价值。金融工具不存在活跃市场的，本集团采用估</w:t>
      </w:r>
      <w:r>
        <w:rPr>
          <w:spacing w:val="-66"/>
        </w:rPr>
        <w:t> </w:t>
      </w:r>
      <w:r>
        <w:rPr>
          <w:spacing w:val="-66"/>
        </w:rPr>
      </w:r>
      <w:r>
        <w:rPr>
          <w:spacing w:val="-2"/>
        </w:rPr>
        <w:t>值技术确定其公允价值，估值技术包括参考熟悉情况并自愿交易的各方最近进行的市场交易中使用的价格、参照实质上相同</w:t>
      </w:r>
    </w:p>
    <w:p>
      <w:pPr>
        <w:pStyle w:val="BodyText"/>
        <w:spacing w:line="316" w:lineRule="auto" w:before="33"/>
        <w:ind w:right="1131"/>
        <w:jc w:val="both"/>
      </w:pPr>
      <w:r>
        <w:rPr>
          <w:spacing w:val="-2"/>
        </w:rPr>
        <w:t>的其他金融工具的当前公允价值、现金流量折现法和期权定价模型等。金融资产在初始确认时以公允价值计量。对于以公允</w:t>
      </w:r>
      <w:r>
        <w:rPr>
          <w:spacing w:val="-66"/>
        </w:rPr>
        <w:t> </w:t>
      </w:r>
      <w:r>
        <w:rPr>
          <w:spacing w:val="-66"/>
        </w:rPr>
      </w:r>
      <w:r>
        <w:rPr>
          <w:spacing w:val="-2"/>
        </w:rPr>
        <w:t>价值计量且其变动计入当期损益的金融资产，相关交易费用直接计入当期损益，其他类别的金融资产相关交易费用计入其初</w:t>
      </w:r>
      <w:r>
        <w:rPr>
          <w:spacing w:val="-64"/>
        </w:rPr>
        <w:t> </w:t>
      </w:r>
      <w:r>
        <w:rPr>
          <w:spacing w:val="-64"/>
        </w:rPr>
      </w:r>
      <w:r>
        <w:rPr>
          <w:spacing w:val="-2"/>
        </w:rPr>
        <w:t>始确认金额。本集团无以公允价值计量且其变动计入当期损益的金融资产、持有至到期投资、可供出售金融资产和被指定为</w:t>
      </w:r>
      <w:r>
        <w:rPr>
          <w:spacing w:val="-66"/>
        </w:rPr>
        <w:t> </w:t>
      </w:r>
      <w:r>
        <w:rPr>
          <w:spacing w:val="-66"/>
        </w:rPr>
      </w:r>
      <w:r>
        <w:rPr>
          <w:spacing w:val="-2"/>
        </w:rPr>
        <w:t>有效套期工具的衍生工具。对于以公允价值计量且其变动计入当期损益的金融负债，相关交易费用直接计入当期损益，其他</w:t>
      </w:r>
      <w:r>
        <w:rPr>
          <w:spacing w:val="-66"/>
        </w:rPr>
        <w:t> </w:t>
      </w:r>
      <w:r>
        <w:rPr>
          <w:spacing w:val="-66"/>
        </w:rPr>
      </w:r>
      <w:r>
        <w:rPr>
          <w:spacing w:val="-2"/>
        </w:rPr>
        <w:t>金融负债的相关交易费用计入其初始确认金额。本集团无以公允价值计量且其变动计入当期损益的金融负债和被指定为有效</w:t>
      </w:r>
      <w:r>
        <w:rPr>
          <w:spacing w:val="-64"/>
        </w:rPr>
        <w:t> </w:t>
      </w:r>
      <w:r>
        <w:rPr>
          <w:spacing w:val="-64"/>
        </w:rPr>
      </w:r>
      <w:r>
        <w:rPr/>
        <w:t>套期工具的衍生工具。</w:t>
      </w:r>
    </w:p>
    <w:p>
      <w:pPr>
        <w:spacing w:line="297" w:lineRule="auto" w:before="0"/>
        <w:ind w:left="154" w:right="1033" w:firstLine="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sz w:val="21"/>
          <w:szCs w:val="21"/>
        </w:rPr>
        <w:t>）金融资产（不含应收款项）减值测试方法、减值准备计提方法 </w:t>
      </w:r>
      <w:r>
        <w:rPr>
          <w:rFonts w:ascii="宋体" w:hAnsi="宋体" w:cs="宋体" w:eastAsia="宋体" w:hint="default"/>
          <w:spacing w:val="-2"/>
          <w:sz w:val="18"/>
          <w:szCs w:val="18"/>
        </w:rPr>
        <w:t>本集团于资产负债表日对金融资产的账面价值进行检查，有客观证据表明该金融资产发生减值的，计提减值准备。表明金融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资产发生减值的客观证据，是指金融资产初始确认后实际发生的、对该金融资产的预计未来现金流量有影响，且企业能够对</w:t>
      </w:r>
    </w:p>
    <w:p>
      <w:pPr>
        <w:pStyle w:val="BodyText"/>
        <w:spacing w:line="636" w:lineRule="auto" w:before="33"/>
        <w:ind w:left="154" w:right="8412"/>
        <w:jc w:val="left"/>
      </w:pPr>
      <w:r>
        <w:rPr/>
        <w:t>该影响进行可靠计量的事项。 以摊余成本计量的金融资产</w:t>
      </w:r>
    </w:p>
    <w:p>
      <w:pPr>
        <w:pStyle w:val="BodyText"/>
        <w:spacing w:line="307" w:lineRule="auto" w:before="91"/>
        <w:ind w:right="1130"/>
        <w:jc w:val="both"/>
      </w:pPr>
      <w:r>
        <w:rPr/>
        <w:t>如果有客观证据表明该金融资产发生减值，则将该金融资产的账面通过备抵项目价值减记至预计未来现金流量</w:t>
      </w:r>
      <w:r>
        <w:rPr>
          <w:rFonts w:ascii="Times New Roman" w:hAnsi="Times New Roman" w:cs="Times New Roman" w:eastAsia="Times New Roman" w:hint="default"/>
        </w:rPr>
        <w:t>(</w:t>
      </w:r>
      <w:r>
        <w:rPr/>
        <w:t>不包括尚未 </w:t>
      </w:r>
      <w:r>
        <w:rPr>
          <w:spacing w:val="-1"/>
        </w:rPr>
        <w:t>发生的未来信用损失</w:t>
      </w:r>
      <w:r>
        <w:rPr>
          <w:rFonts w:ascii="Times New Roman" w:hAnsi="Times New Roman" w:cs="Times New Roman" w:eastAsia="Times New Roman" w:hint="default"/>
          <w:spacing w:val="-1"/>
        </w:rPr>
        <w:t>)</w:t>
      </w:r>
      <w:r>
        <w:rPr>
          <w:spacing w:val="-1"/>
        </w:rPr>
        <w:t>现值，减记金额计入当期损益。预计未来现金流量现值，按照该金融资产原实际利率</w:t>
      </w:r>
      <w:r>
        <w:rPr>
          <w:rFonts w:ascii="Times New Roman" w:hAnsi="Times New Roman" w:cs="Times New Roman" w:eastAsia="Times New Roman" w:hint="default"/>
          <w:spacing w:val="-1"/>
        </w:rPr>
        <w:t>(</w:t>
      </w:r>
      <w:r>
        <w:rPr>
          <w:spacing w:val="-1"/>
        </w:rPr>
        <w:t>即初始确认时计</w:t>
      </w:r>
      <w:r>
        <w:rPr>
          <w:spacing w:val="-59"/>
        </w:rPr>
        <w:t> </w:t>
      </w:r>
      <w:r>
        <w:rPr/>
        <w:t>算确定的实际利率</w:t>
      </w:r>
      <w:r>
        <w:rPr>
          <w:rFonts w:ascii="Times New Roman" w:hAnsi="Times New Roman" w:cs="Times New Roman" w:eastAsia="Times New Roman" w:hint="default"/>
        </w:rPr>
        <w:t>)</w:t>
      </w:r>
      <w:r>
        <w:rPr/>
        <w:t>折现确定，并考虑相关担保物的价值。减值后利息收入按照确定减值损失时对未来现金流量进行折现采 </w:t>
      </w:r>
      <w:r>
        <w:rPr>
          <w:spacing w:val="-2"/>
        </w:rPr>
        <w:t>用的折现率作为利率计算确认。对单项金额重大的金融资产单独进行减值测试，如有客观证据表明其已发生减值，确认减值</w:t>
      </w:r>
      <w:r>
        <w:rPr>
          <w:spacing w:val="-66"/>
        </w:rPr>
        <w:t> </w:t>
      </w:r>
      <w:r>
        <w:rPr>
          <w:spacing w:val="-66"/>
        </w:rPr>
      </w:r>
      <w:r>
        <w:rPr>
          <w:spacing w:val="-2"/>
        </w:rPr>
        <w:t>损失，计入当期损益。对单项金额不重大的金融资产，包括在具有类似信用风险特征的金融资产组合中进行减值测试或单独</w:t>
      </w:r>
      <w:r>
        <w:rPr>
          <w:spacing w:val="-66"/>
        </w:rPr>
        <w:t> </w:t>
      </w:r>
      <w:r>
        <w:rPr>
          <w:spacing w:val="-66"/>
        </w:rPr>
      </w:r>
      <w:r>
        <w:rPr>
          <w:spacing w:val="-1"/>
        </w:rPr>
        <w:t>进行减值测试。单独测试未发生减值的金融资产</w:t>
      </w:r>
      <w:r>
        <w:rPr>
          <w:rFonts w:ascii="Times New Roman" w:hAnsi="Times New Roman" w:cs="Times New Roman" w:eastAsia="Times New Roman" w:hint="default"/>
          <w:spacing w:val="-1"/>
        </w:rPr>
        <w:t>(</w:t>
      </w:r>
      <w:r>
        <w:rPr>
          <w:spacing w:val="-1"/>
        </w:rPr>
        <w:t>包括单项金额重大和不重大的金融资产</w:t>
      </w:r>
      <w:r>
        <w:rPr>
          <w:rFonts w:ascii="Times New Roman" w:hAnsi="Times New Roman" w:cs="Times New Roman" w:eastAsia="Times New Roman" w:hint="default"/>
          <w:spacing w:val="-1"/>
        </w:rPr>
        <w:t>)</w:t>
      </w:r>
      <w:r>
        <w:rPr>
          <w:spacing w:val="-1"/>
        </w:rPr>
        <w:t>，包括在具有类似信用风险特征的</w:t>
      </w:r>
      <w:r>
        <w:rPr>
          <w:spacing w:val="-57"/>
        </w:rPr>
        <w:t> </w:t>
      </w:r>
      <w:r>
        <w:rPr>
          <w:spacing w:val="-57"/>
        </w:rPr>
      </w:r>
      <w:r>
        <w:rPr>
          <w:spacing w:val="-2"/>
        </w:rPr>
        <w:t>金融资产组合中再进行减值测试。已单项确认减值损失的金融资产，不包括在具有类似信用风险特征的金融资产组合中进行</w:t>
      </w:r>
      <w:r>
        <w:rPr>
          <w:spacing w:val="-64"/>
        </w:rPr>
        <w:t> </w:t>
      </w:r>
      <w:r>
        <w:rPr>
          <w:spacing w:val="-64"/>
        </w:rPr>
      </w:r>
      <w:r>
        <w:rPr>
          <w:spacing w:val="-2"/>
        </w:rPr>
        <w:t>减值测试。本集团对以摊余成本计量的金融资产确认减值损失后，如有客观证据表明该金融资产价值已恢复，且客观上与确</w:t>
      </w:r>
    </w:p>
    <w:p>
      <w:pPr>
        <w:spacing w:after="0" w:line="307" w:lineRule="auto"/>
        <w:jc w:val="both"/>
        <w:sectPr>
          <w:pgSz w:w="11910" w:h="16840"/>
          <w:pgMar w:header="851" w:footer="979" w:top="1320" w:bottom="1160" w:left="980" w:right="0"/>
        </w:sectPr>
      </w:pPr>
    </w:p>
    <w:p>
      <w:pPr>
        <w:pStyle w:val="BodyText"/>
        <w:spacing w:line="316" w:lineRule="auto" w:before="114"/>
        <w:ind w:left="154" w:right="1033"/>
        <w:jc w:val="left"/>
      </w:pPr>
      <w:r>
        <w:rPr>
          <w:spacing w:val="-2"/>
        </w:rPr>
        <w:t>认该损失后发生的事项有关，原确认的减值损失予以转回，计入当期损益。但是，该转回后的账面价值不超过假定不计提减</w:t>
      </w:r>
      <w:r>
        <w:rPr>
          <w:spacing w:val="-66"/>
        </w:rPr>
        <w:t> </w:t>
      </w:r>
      <w:r>
        <w:rPr>
          <w:spacing w:val="-66"/>
        </w:rPr>
      </w:r>
      <w:r>
        <w:rPr/>
        <w:t>值准备情况下该金融资产在转回日的摊余成本。</w:t>
      </w:r>
    </w:p>
    <w:p>
      <w:pPr>
        <w:spacing w:line="240" w:lineRule="auto" w:before="4"/>
        <w:rPr>
          <w:rFonts w:ascii="宋体" w:hAnsi="宋体" w:cs="宋体" w:eastAsia="宋体" w:hint="default"/>
          <w:sz w:val="25"/>
          <w:szCs w:val="25"/>
        </w:rPr>
      </w:pPr>
    </w:p>
    <w:p>
      <w:pPr>
        <w:pStyle w:val="BodyText"/>
        <w:spacing w:line="240" w:lineRule="auto"/>
        <w:ind w:left="154" w:right="1033"/>
        <w:jc w:val="left"/>
      </w:pPr>
      <w:r>
        <w:rPr/>
        <w:t>以成本计量的金融资产</w:t>
      </w:r>
    </w:p>
    <w:p>
      <w:pPr>
        <w:spacing w:line="240" w:lineRule="auto" w:before="0"/>
        <w:rPr>
          <w:rFonts w:ascii="宋体" w:hAnsi="宋体" w:cs="宋体" w:eastAsia="宋体" w:hint="default"/>
          <w:sz w:val="18"/>
          <w:szCs w:val="18"/>
        </w:rPr>
      </w:pPr>
    </w:p>
    <w:p>
      <w:pPr>
        <w:pStyle w:val="BodyText"/>
        <w:spacing w:line="316" w:lineRule="auto" w:before="153"/>
        <w:ind w:left="154" w:right="1033"/>
        <w:jc w:val="left"/>
      </w:pPr>
      <w:r>
        <w:rPr>
          <w:spacing w:val="-2"/>
        </w:rPr>
        <w:t>如果有客观证据表明该金融资产发生减值，将该金融资产的账面价值，与按照类似金融资产当时市场收益率对未来现金流量</w:t>
      </w:r>
      <w:r>
        <w:rPr>
          <w:spacing w:val="-64"/>
        </w:rPr>
        <w:t> </w:t>
      </w:r>
      <w:r>
        <w:rPr>
          <w:spacing w:val="-64"/>
        </w:rPr>
      </w:r>
      <w:r>
        <w:rPr/>
        <w:t>折现确定的现值之间的差额，确认为减值损失，计入当期损益。发生的减值损失一经确认，不再转回。</w:t>
      </w:r>
    </w:p>
    <w:p>
      <w:pPr>
        <w:spacing w:line="240" w:lineRule="auto" w:before="4"/>
        <w:rPr>
          <w:rFonts w:ascii="宋体" w:hAnsi="宋体" w:cs="宋体" w:eastAsia="宋体" w:hint="default"/>
          <w:sz w:val="25"/>
          <w:szCs w:val="25"/>
        </w:rPr>
      </w:pPr>
    </w:p>
    <w:p>
      <w:pPr>
        <w:pStyle w:val="BodyText"/>
        <w:spacing w:line="636" w:lineRule="auto"/>
        <w:ind w:left="154" w:right="7332"/>
        <w:jc w:val="left"/>
      </w:pPr>
      <w:r>
        <w:rPr/>
        <w:t>各类可供出售金融资产减值的各项认定标准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4"/>
        <w:spacing w:line="240" w:lineRule="auto"/>
        <w:ind w:right="1033"/>
        <w:jc w:val="left"/>
        <w:rPr>
          <w:b w:val="0"/>
          <w:bCs w:val="0"/>
        </w:rPr>
      </w:pPr>
      <w:bookmarkStart w:name="9、应收款项" w:id="164"/>
      <w:bookmarkEnd w:id="164"/>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单项金额重大并单独计提坏账准备的应收款项" w:id="165"/>
      <w:bookmarkEnd w:id="16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按信用风险特征组合计提坏账准备的应收款项" w:id="166"/>
      <w:bookmarkEnd w:id="16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40" w:lineRule="auto" w:before="42"/>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3）单项金额上重大但单独计提坏账准备的应收款项" w:id="167"/>
      <w:bookmarkEnd w:id="16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预计是否可收回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10、存货" w:id="168"/>
      <w:bookmarkEnd w:id="16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33"/>
        <w:jc w:val="left"/>
      </w:pPr>
      <w:r>
        <w:rPr/>
        <w:t>（</w:t>
      </w:r>
      <w:r>
        <w:rPr>
          <w:rFonts w:ascii="Times New Roman" w:hAnsi="Times New Roman" w:cs="Times New Roman" w:eastAsia="Times New Roman" w:hint="default"/>
          <w:b/>
          <w:bCs/>
        </w:rPr>
        <w:t>1</w:t>
      </w:r>
      <w:r>
        <w:rPr/>
        <w:t>）存货的分类</w:t>
      </w:r>
    </w:p>
    <w:p>
      <w:pPr>
        <w:spacing w:line="240" w:lineRule="auto" w:before="5"/>
        <w:rPr>
          <w:rFonts w:ascii="宋体" w:hAnsi="宋体" w:cs="宋体" w:eastAsia="宋体" w:hint="default"/>
          <w:sz w:val="27"/>
          <w:szCs w:val="27"/>
        </w:rPr>
      </w:pPr>
    </w:p>
    <w:p>
      <w:pPr>
        <w:pStyle w:val="BodyText"/>
        <w:spacing w:line="240" w:lineRule="auto"/>
        <w:ind w:left="154" w:right="1033"/>
        <w:jc w:val="left"/>
      </w:pPr>
      <w:r>
        <w:rPr/>
        <w:t>存货包括原材料、产成品及商品、委托加工材料和低值易耗品。</w:t>
      </w:r>
    </w:p>
    <w:p>
      <w:pPr>
        <w:spacing w:after="0" w:line="240" w:lineRule="auto"/>
        <w:jc w:val="left"/>
        <w:sectPr>
          <w:pgSz w:w="11910" w:h="16840"/>
          <w:pgMar w:header="851" w:footer="979" w:top="13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9"/>
        <w:ind w:right="0"/>
        <w:jc w:val="both"/>
      </w:pPr>
      <w:r>
        <w:rPr/>
        <w:t>（</w:t>
      </w:r>
      <w:r>
        <w:rPr>
          <w:rFonts w:ascii="Times New Roman" w:hAnsi="Times New Roman" w:cs="Times New Roman" w:eastAsia="Times New Roman" w:hint="default"/>
          <w:b/>
          <w:bCs/>
        </w:rPr>
        <w:t>2</w:t>
      </w:r>
      <w:r>
        <w:rPr/>
        <w:t>）发出存货的计价方法</w:t>
      </w:r>
    </w:p>
    <w:p>
      <w:pPr>
        <w:spacing w:line="240" w:lineRule="auto" w:before="6"/>
        <w:rPr>
          <w:rFonts w:ascii="宋体" w:hAnsi="宋体" w:cs="宋体" w:eastAsia="宋体" w:hint="default"/>
          <w:sz w:val="27"/>
          <w:szCs w:val="27"/>
        </w:rPr>
      </w:pPr>
    </w:p>
    <w:p>
      <w:pPr>
        <w:pStyle w:val="BodyText"/>
        <w:spacing w:line="316" w:lineRule="auto"/>
        <w:ind w:left="154" w:right="1032"/>
        <w:jc w:val="left"/>
      </w:pPr>
      <w:r>
        <w:rPr/>
        <w:t>计价方法：加权平均法 存货按照成本进行初始计量。存货成本包括采购成本、加工成本和其他成本。发出存货，采用加权平均法确定其实际成本。</w:t>
      </w:r>
      <w:r>
        <w:rPr>
          <w:spacing w:val="-85"/>
        </w:rPr>
        <w:t> </w:t>
      </w:r>
      <w:r>
        <w:rPr>
          <w:spacing w:val="-85"/>
        </w:rPr>
      </w:r>
      <w:r>
        <w:rPr/>
        <w:t>周转材料包括低值易耗品和包装物等，低值易耗品和包装物釆用一次转销法进行摊销。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left="153" w:right="0"/>
        <w:jc w:val="both"/>
      </w:pPr>
      <w:r>
        <w:rPr/>
        <w:t>（</w:t>
      </w:r>
      <w:r>
        <w:rPr>
          <w:rFonts w:ascii="Times New Roman" w:hAnsi="Times New Roman" w:cs="Times New Roman" w:eastAsia="Times New Roman" w:hint="default"/>
          <w:b/>
          <w:bCs/>
        </w:rPr>
        <w:t>3</w:t>
      </w:r>
      <w:r>
        <w:rPr/>
        <w:t>）存货可变现净值的确定依据及存货跌价准备的计提方法</w:t>
      </w:r>
    </w:p>
    <w:p>
      <w:pPr>
        <w:spacing w:line="240" w:lineRule="auto" w:before="5"/>
        <w:rPr>
          <w:rFonts w:ascii="宋体" w:hAnsi="宋体" w:cs="宋体" w:eastAsia="宋体" w:hint="default"/>
          <w:sz w:val="27"/>
          <w:szCs w:val="27"/>
        </w:rPr>
      </w:pPr>
    </w:p>
    <w:p>
      <w:pPr>
        <w:pStyle w:val="BodyText"/>
        <w:spacing w:line="316" w:lineRule="auto"/>
        <w:ind w:left="154" w:right="1132"/>
        <w:jc w:val="both"/>
      </w:pPr>
      <w:r>
        <w:rPr>
          <w:spacing w:val="-2"/>
        </w:rPr>
        <w:t>于资产负债表日，存货按照成本与可变现净值孰低计量，对成本高于可变现净值的，计提存货跌价准备，计入当期损益。如</w:t>
      </w:r>
      <w:r>
        <w:rPr>
          <w:spacing w:val="-66"/>
        </w:rPr>
        <w:t> </w:t>
      </w:r>
      <w:r>
        <w:rPr>
          <w:spacing w:val="-66"/>
        </w:rPr>
      </w:r>
      <w:r>
        <w:rPr>
          <w:spacing w:val="-2"/>
        </w:rPr>
        <w:t>果以前计提存货跌价准备的影响因素已经消失，使得存货的可变现净值高于其账面价值，则在原已计提的存货跌价准备金额</w:t>
      </w:r>
      <w:r>
        <w:rPr>
          <w:spacing w:val="-64"/>
        </w:rPr>
        <w:t> </w:t>
      </w:r>
      <w:r>
        <w:rPr>
          <w:spacing w:val="-64"/>
        </w:rPr>
      </w:r>
      <w:r>
        <w:rPr/>
        <w:t>内，将以前减记的金额予以恢复，转回的金额计入当期损益。</w:t>
      </w:r>
    </w:p>
    <w:p>
      <w:pPr>
        <w:spacing w:line="240" w:lineRule="auto" w:before="4"/>
        <w:rPr>
          <w:rFonts w:ascii="宋体" w:hAnsi="宋体" w:cs="宋体" w:eastAsia="宋体" w:hint="default"/>
          <w:sz w:val="25"/>
          <w:szCs w:val="25"/>
        </w:rPr>
      </w:pPr>
    </w:p>
    <w:p>
      <w:pPr>
        <w:pStyle w:val="BodyText"/>
        <w:spacing w:line="316" w:lineRule="auto"/>
        <w:ind w:left="154" w:right="1033"/>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left="153" w:right="0"/>
        <w:jc w:val="both"/>
      </w:pPr>
      <w:r>
        <w:rPr/>
        <w:t>（</w:t>
      </w:r>
      <w:r>
        <w:rPr>
          <w:rFonts w:ascii="Times New Roman" w:hAnsi="Times New Roman" w:cs="Times New Roman" w:eastAsia="Times New Roman" w:hint="default"/>
          <w:b/>
          <w:bCs/>
        </w:rPr>
        <w:t>4</w:t>
      </w:r>
      <w:r>
        <w:rPr/>
        <w:t>）存货的盘存制度</w:t>
      </w:r>
    </w:p>
    <w:p>
      <w:pPr>
        <w:spacing w:line="240" w:lineRule="auto" w:before="5"/>
        <w:rPr>
          <w:rFonts w:ascii="宋体" w:hAnsi="宋体" w:cs="宋体" w:eastAsia="宋体" w:hint="default"/>
          <w:sz w:val="27"/>
          <w:szCs w:val="27"/>
        </w:rPr>
      </w:pPr>
    </w:p>
    <w:p>
      <w:pPr>
        <w:pStyle w:val="BodyText"/>
        <w:spacing w:line="319" w:lineRule="auto"/>
        <w:ind w:left="154" w:right="8052"/>
        <w:jc w:val="left"/>
      </w:pPr>
      <w:r>
        <w:rPr/>
        <w:t>盘存制度：永续盘存制 存货的盘存制度采用永续盘存制。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4"/>
        <w:ind w:right="0"/>
        <w:jc w:val="both"/>
      </w:pPr>
      <w:r>
        <w:rPr/>
        <w:t>（</w:t>
      </w:r>
      <w:r>
        <w:rPr>
          <w:rFonts w:ascii="Times New Roman" w:hAnsi="Times New Roman" w:cs="Times New Roman" w:eastAsia="Times New Roman" w:hint="default"/>
          <w:b/>
          <w:bCs/>
        </w:rPr>
        <w:t>5</w:t>
      </w:r>
      <w:r>
        <w:rPr/>
        <w:t>）低值易耗品和包装物的摊销方法</w:t>
      </w:r>
    </w:p>
    <w:p>
      <w:pPr>
        <w:spacing w:line="240" w:lineRule="auto" w:before="5"/>
        <w:rPr>
          <w:rFonts w:ascii="宋体" w:hAnsi="宋体" w:cs="宋体" w:eastAsia="宋体" w:hint="default"/>
          <w:sz w:val="27"/>
          <w:szCs w:val="27"/>
        </w:rPr>
      </w:pPr>
    </w:p>
    <w:p>
      <w:pPr>
        <w:pStyle w:val="BodyText"/>
        <w:spacing w:line="240" w:lineRule="auto"/>
        <w:ind w:right="0"/>
        <w:jc w:val="both"/>
      </w:pPr>
      <w:r>
        <w:rPr/>
        <w:t>低值易耗品摊销方法：一次摊销法包装物摊销方法：一次摊销法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11、长期股权投资" w:id="169"/>
      <w:bookmarkEnd w:id="169"/>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pPr>
      <w:r>
        <w:rPr/>
        <w:t>（</w:t>
      </w:r>
      <w:r>
        <w:rPr>
          <w:rFonts w:ascii="Times New Roman" w:hAnsi="Times New Roman" w:cs="Times New Roman" w:eastAsia="Times New Roman" w:hint="default"/>
          <w:b/>
          <w:bCs/>
        </w:rPr>
        <w:t>1</w:t>
      </w:r>
      <w:r>
        <w:rPr/>
        <w:t>）投资成本的确定</w:t>
      </w:r>
    </w:p>
    <w:p>
      <w:pPr>
        <w:spacing w:line="240" w:lineRule="auto" w:before="5"/>
        <w:rPr>
          <w:rFonts w:ascii="宋体" w:hAnsi="宋体" w:cs="宋体" w:eastAsia="宋体" w:hint="default"/>
          <w:sz w:val="27"/>
          <w:szCs w:val="27"/>
        </w:rPr>
      </w:pPr>
    </w:p>
    <w:p>
      <w:pPr>
        <w:pStyle w:val="BodyText"/>
        <w:spacing w:line="316" w:lineRule="auto"/>
        <w:ind w:left="154" w:right="1131"/>
        <w:jc w:val="both"/>
      </w:pPr>
      <w:r>
        <w:rPr>
          <w:spacing w:val="-2"/>
        </w:rPr>
        <w:t>长期股权投资包括对子公司、合营企业和联营企业的权益性投资。长期股权投资在取得时以初始投资成本进行初始计量。对</w:t>
      </w:r>
      <w:r>
        <w:rPr>
          <w:spacing w:val="-66"/>
        </w:rPr>
        <w:t> </w:t>
      </w:r>
      <w:r>
        <w:rPr>
          <w:spacing w:val="-66"/>
        </w:rPr>
      </w:r>
      <w:r>
        <w:rPr>
          <w:spacing w:val="-2"/>
        </w:rPr>
        <w:t>于企业合并形成的长期股权投资，通过同一控制下的企业合并取得的长期股权投资，以合并日取得被合并方所有者权益在最</w:t>
      </w:r>
      <w:r>
        <w:rPr>
          <w:spacing w:val="-64"/>
        </w:rPr>
        <w:t> </w:t>
      </w:r>
      <w:r>
        <w:rPr>
          <w:spacing w:val="-64"/>
        </w:rPr>
      </w:r>
      <w:r>
        <w:rPr>
          <w:spacing w:val="-2"/>
        </w:rPr>
        <w:t>终控制方合并财务报表中的账面价值的份额作为初始投资成本；通过非同一控制下的企业合并取得的，以合并成本作为初始</w:t>
      </w:r>
      <w:r>
        <w:rPr>
          <w:spacing w:val="-64"/>
        </w:rPr>
        <w:t> </w:t>
      </w:r>
      <w:r>
        <w:rPr>
          <w:spacing w:val="-64"/>
        </w:rPr>
      </w:r>
      <w:r>
        <w:rPr>
          <w:spacing w:val="-2"/>
        </w:rPr>
        <w:t>投资成本。合并成本包括购买方付出的资产、发生或承担的负债、发行的权益性证券的公允价值之和。除企业合并形成的长</w:t>
      </w:r>
      <w:r>
        <w:rPr>
          <w:spacing w:val="-66"/>
        </w:rPr>
        <w:t> </w:t>
      </w:r>
      <w:r>
        <w:rPr>
          <w:spacing w:val="-66"/>
        </w:rPr>
      </w:r>
      <w:r>
        <w:rPr>
          <w:spacing w:val="-2"/>
        </w:rPr>
        <w:t>期股权投资以外方式取得的长期股权投资，按照下列方法确定初始投资成本：支付现金取得的，以实际支付的购买价款及与</w:t>
      </w:r>
      <w:r>
        <w:rPr>
          <w:spacing w:val="-65"/>
        </w:rPr>
        <w:t> </w:t>
      </w:r>
      <w:r>
        <w:rPr>
          <w:spacing w:val="-65"/>
        </w:rPr>
      </w:r>
      <w:r>
        <w:rPr>
          <w:spacing w:val="-2"/>
        </w:rPr>
        <w:t>取得长期股权投资直接相关的费用、税金及其他必要支出作为初始投资成本；发行权益性证券取得的，以发行权益性证券的</w:t>
      </w:r>
      <w:r>
        <w:rPr>
          <w:spacing w:val="-66"/>
        </w:rPr>
        <w:t> </w:t>
      </w:r>
      <w:r>
        <w:rPr>
          <w:spacing w:val="-66"/>
        </w:rPr>
      </w:r>
      <w:r>
        <w:rPr/>
        <w:t>公允价值作为初始投资成本。</w:t>
      </w:r>
    </w:p>
    <w:p>
      <w:pPr>
        <w:spacing w:after="0" w:line="316"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31"/>
        <w:ind w:right="1033"/>
        <w:jc w:val="left"/>
      </w:pPr>
      <w:r>
        <w:rPr/>
        <w:t>（</w:t>
      </w:r>
      <w:r>
        <w:rPr>
          <w:rFonts w:ascii="Times New Roman" w:hAnsi="Times New Roman" w:cs="Times New Roman" w:eastAsia="Times New Roman" w:hint="default"/>
          <w:b/>
          <w:bCs/>
        </w:rPr>
        <w:t>2</w:t>
      </w:r>
      <w:r>
        <w:rPr/>
        <w:t>）后续计量及损益确认</w:t>
      </w:r>
    </w:p>
    <w:p>
      <w:pPr>
        <w:spacing w:line="240" w:lineRule="auto" w:before="5"/>
        <w:rPr>
          <w:rFonts w:ascii="宋体" w:hAnsi="宋体" w:cs="宋体" w:eastAsia="宋体" w:hint="default"/>
          <w:sz w:val="27"/>
          <w:szCs w:val="27"/>
        </w:rPr>
      </w:pPr>
    </w:p>
    <w:p>
      <w:pPr>
        <w:pStyle w:val="BodyText"/>
        <w:spacing w:line="316" w:lineRule="auto"/>
        <w:ind w:right="0"/>
        <w:jc w:val="left"/>
      </w:pPr>
      <w:r>
        <w:rPr/>
        <w:t>本公司能够对被投资单位实施控制的长期股权投资，在本公司个别财务报表中采用成本法核算。控制，是指拥有对被投资方 的权力，通过参与被投资方的相关活动而享有可变回报，并且有能力运用对被投资方的权力影响回报金额。采用成本法时，</w:t>
      </w:r>
      <w:r>
        <w:rPr>
          <w:spacing w:val="-85"/>
        </w:rPr>
        <w:t> </w:t>
      </w:r>
      <w:r>
        <w:rPr>
          <w:spacing w:val="-85"/>
        </w:rPr>
      </w:r>
      <w:r>
        <w:rPr>
          <w:spacing w:val="-5"/>
        </w:rPr>
        <w:t>长期股权投资按初始投资成本计价。追加或收回投资的，调整长期股权投资的成本。被投资单位宣告分派的现金股利或利润，</w:t>
      </w:r>
      <w:r>
        <w:rPr>
          <w:spacing w:val="-78"/>
        </w:rPr>
        <w:t> </w:t>
      </w:r>
      <w:r>
        <w:rPr>
          <w:spacing w:val="-78"/>
        </w:rPr>
      </w:r>
      <w:r>
        <w:rPr/>
        <w:t>确认为当期投资收益。本集团对被投资单位具有共同控制或重大影响的，长期股权投资采用权益法核算。采用权益法时，长</w:t>
      </w:r>
      <w:r>
        <w:rPr/>
        <w:t> </w:t>
      </w:r>
      <w:r>
        <w:rPr>
          <w:spacing w:val="-2"/>
        </w:rPr>
        <w:t>期股权投资的初始投资成本大于投资时应享有被投资单位可辨认净资产公允价值份额的，归入长期股权投资的初始投资成本；</w:t>
      </w:r>
      <w:r>
        <w:rPr>
          <w:spacing w:val="-62"/>
        </w:rPr>
        <w:t> </w:t>
      </w:r>
      <w:r>
        <w:rPr>
          <w:spacing w:val="-62"/>
        </w:rPr>
      </w:r>
      <w:r>
        <w:rPr/>
        <w:t>长期股权投资的初始投资成本小于投资时应享有被投资单位可辨认净资产公允价值份额的，其差额计入当期损益，同时调整</w:t>
      </w:r>
      <w:r>
        <w:rPr/>
        <w:t> 长期股权投资的成本。采用权益法时，取得长期股权投资后，按照应享有或应分担的被投资单位实现的净损益和其他综合收 益的份额，分别确认投资损益和其他综合收益并调整长期股权投资的账面价值。在确认应享有被投资单位净损益的份额时，</w:t>
      </w:r>
      <w:r>
        <w:rPr>
          <w:spacing w:val="-85"/>
        </w:rPr>
        <w:t> </w:t>
      </w:r>
      <w:r>
        <w:rPr>
          <w:spacing w:val="-85"/>
        </w:rPr>
      </w:r>
      <w:r>
        <w:rPr/>
        <w:t>以取得投资时被投资单位各项可辨认资产等的公允价值为基础，按照本集团的会计政策及会计期间，并抵销与联营企业及合</w:t>
      </w:r>
      <w:r>
        <w:rPr/>
        <w:t> 营企业之间发生的内部交易损益按照持股比例计算归属于投资企业的部分</w:t>
      </w:r>
      <w:r>
        <w:rPr>
          <w:rFonts w:ascii="Times New Roman" w:hAnsi="Times New Roman" w:cs="Times New Roman" w:eastAsia="Times New Roman" w:hint="default"/>
        </w:rPr>
        <w:t>(</w:t>
      </w:r>
      <w:r>
        <w:rPr/>
        <w:t>但内部交易损失属于资产减值损失的，应全额确 认</w:t>
      </w:r>
      <w:r>
        <w:rPr>
          <w:rFonts w:ascii="Times New Roman" w:hAnsi="Times New Roman" w:cs="Times New Roman" w:eastAsia="Times New Roman" w:hint="default"/>
        </w:rPr>
        <w:t>)</w:t>
      </w:r>
      <w:r>
        <w:rPr/>
        <w:t>，对被投资单位的净利润进行调整后确认，但投出或出售的资产构成业务的除外。按照被投资单位宣告分派的利润或现 金股利计算应分得的部分，相应减少长期股权投资的账面价值。本集团确认被投资单位发生的净亏损，以长期股权投资的账 面价值以及其他实质上构成对被投资单位净投资的长期权益减记至零为限，本集团负有承担额外损失义务的除外。对于被投 资单位除净损益、其他综合收益和利润分配以外股东权益的其他变动，调整长期股权投资的账面价值并计入股东权益。处置 长期股权投资，其账面价值与实际取得价款的差额，计入当期损益。采用权益法核算的长期股权投资，终止采用权益法的，</w:t>
      </w:r>
      <w:r>
        <w:rPr>
          <w:spacing w:val="-85"/>
        </w:rPr>
        <w:t> </w:t>
      </w:r>
      <w:r>
        <w:rPr>
          <w:spacing w:val="-85"/>
        </w:rPr>
      </w:r>
      <w:r>
        <w:rPr>
          <w:spacing w:val="-2"/>
        </w:rPr>
        <w:t>原权益法核算的相关其他综合收益采用与被投资单位直接处置相关资产或负债相同的基础进行会计处理，因被投资方除净损</w:t>
      </w:r>
      <w:r>
        <w:rPr>
          <w:spacing w:val="-64"/>
        </w:rPr>
        <w:t> </w:t>
      </w:r>
      <w:r>
        <w:rPr>
          <w:spacing w:val="-64"/>
        </w:rPr>
      </w:r>
      <w:r>
        <w:rPr/>
        <w:t>益、其他综合收益和利润分配以外的其他股东权益变动而确认的股东权益，全部转入当期损益；仍采用权益法的，原权益法</w:t>
      </w:r>
      <w:r>
        <w:rPr/>
        <w:t> </w:t>
      </w:r>
      <w:r>
        <w:rPr>
          <w:spacing w:val="-2"/>
        </w:rPr>
        <w:t>核算的相关其他综合收益采用与被投资单位直接处置相关资产或负债相同的基础进行会计处理并按比例转入当期损益，因被</w:t>
      </w:r>
      <w:r>
        <w:rPr>
          <w:spacing w:val="-64"/>
        </w:rPr>
        <w:t> </w:t>
      </w:r>
      <w:r>
        <w:rPr>
          <w:spacing w:val="-64"/>
        </w:rPr>
      </w:r>
      <w:r>
        <w:rPr/>
        <w:t>投资方除净损益、其他综合收益和利润分配以外的其他股东权益变动而确认的股东权益，按相应的比例转入当期损益。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left="153" w:right="1033"/>
        <w:jc w:val="left"/>
      </w:pPr>
      <w:r>
        <w:rPr/>
        <w:t>（</w:t>
      </w:r>
      <w:r>
        <w:rPr>
          <w:rFonts w:ascii="Times New Roman" w:hAnsi="Times New Roman" w:cs="Times New Roman" w:eastAsia="Times New Roman" w:hint="default"/>
          <w:b/>
          <w:bCs/>
        </w:rPr>
        <w:t>3</w:t>
      </w:r>
      <w:r>
        <w:rPr/>
        <w:t>）确定对被投资单位具有共同控制、重大影响的依据</w:t>
      </w:r>
    </w:p>
    <w:p>
      <w:pPr>
        <w:spacing w:line="240" w:lineRule="auto" w:before="5"/>
        <w:rPr>
          <w:rFonts w:ascii="宋体" w:hAnsi="宋体" w:cs="宋体" w:eastAsia="宋体" w:hint="default"/>
          <w:sz w:val="27"/>
          <w:szCs w:val="27"/>
        </w:rPr>
      </w:pPr>
    </w:p>
    <w:p>
      <w:pPr>
        <w:pStyle w:val="BodyText"/>
        <w:spacing w:line="316" w:lineRule="auto"/>
        <w:ind w:right="1033"/>
        <w:jc w:val="left"/>
      </w:pPr>
      <w:r>
        <w:rPr>
          <w:spacing w:val="-2"/>
        </w:rPr>
        <w:t>共同控制，是指按照相关约定对某项安排所共有的控制，并且该安排的相关活动必须经过分享控制权的参与方一致同意后才</w:t>
      </w:r>
      <w:r>
        <w:rPr>
          <w:spacing w:val="-64"/>
        </w:rPr>
        <w:t> </w:t>
      </w:r>
      <w:r>
        <w:rPr>
          <w:spacing w:val="-64"/>
        </w:rPr>
      </w:r>
      <w:r>
        <w:rPr/>
        <w:t>能决策。</w:t>
      </w:r>
    </w:p>
    <w:p>
      <w:pPr>
        <w:spacing w:line="240" w:lineRule="auto" w:before="4"/>
        <w:rPr>
          <w:rFonts w:ascii="宋体" w:hAnsi="宋体" w:cs="宋体" w:eastAsia="宋体" w:hint="default"/>
          <w:sz w:val="25"/>
          <w:szCs w:val="25"/>
        </w:rPr>
      </w:pPr>
    </w:p>
    <w:p>
      <w:pPr>
        <w:pStyle w:val="BodyText"/>
        <w:spacing w:line="316" w:lineRule="auto"/>
        <w:ind w:right="1033"/>
        <w:jc w:val="left"/>
      </w:pPr>
      <w:r>
        <w:rPr>
          <w:spacing w:val="-2"/>
        </w:rPr>
        <w:t>重大影响，是指对被投资单位的财务和经营政策有参与决策的权力，但并不能够控制或者与其他方一起共同控制这些政策的</w:t>
      </w:r>
      <w:r>
        <w:rPr>
          <w:spacing w:val="-64"/>
        </w:rPr>
        <w:t> </w:t>
      </w:r>
      <w:r>
        <w:rPr>
          <w:spacing w:val="-64"/>
        </w:rPr>
      </w:r>
      <w:r>
        <w:rPr/>
        <w:t>制定。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right="1033"/>
        <w:jc w:val="left"/>
      </w:pPr>
      <w:r>
        <w:rPr/>
        <w:t>（</w:t>
      </w:r>
      <w:r>
        <w:rPr>
          <w:rFonts w:ascii="Times New Roman" w:hAnsi="Times New Roman" w:cs="Times New Roman" w:eastAsia="Times New Roman" w:hint="default"/>
          <w:b/>
          <w:bCs/>
        </w:rPr>
        <w:t>4</w:t>
      </w:r>
      <w:r>
        <w:rPr/>
        <w:t>）减值测试方法及减值准备计提方法</w:t>
      </w:r>
    </w:p>
    <w:p>
      <w:pPr>
        <w:spacing w:line="240" w:lineRule="auto" w:before="5"/>
        <w:rPr>
          <w:rFonts w:ascii="宋体" w:hAnsi="宋体" w:cs="宋体" w:eastAsia="宋体" w:hint="default"/>
          <w:sz w:val="27"/>
          <w:szCs w:val="27"/>
        </w:rPr>
      </w:pPr>
    </w:p>
    <w:p>
      <w:pPr>
        <w:pStyle w:val="BodyText"/>
        <w:spacing w:line="316" w:lineRule="auto"/>
        <w:ind w:right="1033"/>
        <w:jc w:val="left"/>
      </w:pPr>
      <w:r>
        <w:rPr>
          <w:spacing w:val="-2"/>
        </w:rPr>
        <w:t>本集团对除存货、递延所得税、金融资产、按成本法核算的在活跃市场中没有报价且其公允价值不能可靠计量的长期股权投</w:t>
      </w:r>
      <w:r>
        <w:rPr>
          <w:spacing w:val="-66"/>
        </w:rPr>
        <w:t> </w:t>
      </w:r>
      <w:r>
        <w:rPr>
          <w:spacing w:val="-66"/>
        </w:rPr>
      </w:r>
      <w:r>
        <w:rPr>
          <w:spacing w:val="-2"/>
        </w:rPr>
        <w:t>资外的资产减值，按以下方法确定：本集团于资产负债表日判断资产是否存在可能发生减值的迹象，存在减值迹象的，本集</w:t>
      </w:r>
      <w:r>
        <w:rPr>
          <w:spacing w:val="-66"/>
        </w:rPr>
        <w:t> </w:t>
      </w:r>
      <w:r>
        <w:rPr>
          <w:spacing w:val="-66"/>
        </w:rPr>
      </w:r>
      <w:r>
        <w:rPr>
          <w:spacing w:val="-5"/>
        </w:rPr>
        <w:t>团将估计其可收回金额，进行减值测试。对因企业合并所形成的商誉和使用寿命不确定的无形资产，无论是否存在减值迹象，</w:t>
      </w:r>
      <w:r>
        <w:rPr>
          <w:spacing w:val="-79"/>
        </w:rPr>
        <w:t> </w:t>
      </w:r>
      <w:r>
        <w:rPr>
          <w:spacing w:val="-79"/>
        </w:rPr>
      </w:r>
      <w:r>
        <w:rPr>
          <w:spacing w:val="-2"/>
        </w:rPr>
        <w:t>至少于每年末进行减值测试。对于尚未达到可使用状态的无形资产，也每年进行减值测试。可收回金额根据资产的公允价值</w:t>
      </w:r>
      <w:r>
        <w:rPr>
          <w:spacing w:val="-66"/>
        </w:rPr>
        <w:t> </w:t>
      </w:r>
      <w:r>
        <w:rPr>
          <w:spacing w:val="-66"/>
        </w:rPr>
      </w:r>
      <w:r>
        <w:rPr/>
        <w:t>减去处置费用后的净额与资产预计未来现金流量的现值两者之间较高者确定。本集团以单项资产为基础估计其可收回金额；</w:t>
      </w:r>
      <w:r>
        <w:rPr>
          <w:spacing w:val="-85"/>
        </w:rPr>
        <w:t> </w:t>
      </w:r>
      <w:r>
        <w:rPr>
          <w:spacing w:val="-85"/>
        </w:rPr>
      </w:r>
      <w:r>
        <w:rPr>
          <w:spacing w:val="-2"/>
        </w:rPr>
        <w:t>难以对单项资产的可收回金额进行估计的，以该资产所属的资产组为基础确定资产组的可收回金额。资产组的认定，以资产</w:t>
      </w:r>
      <w:r>
        <w:rPr>
          <w:spacing w:val="-66"/>
        </w:rPr>
        <w:t> </w:t>
      </w:r>
      <w:r>
        <w:rPr>
          <w:spacing w:val="-66"/>
        </w:rPr>
      </w:r>
      <w:r>
        <w:rPr>
          <w:spacing w:val="-2"/>
        </w:rPr>
        <w:t>组产生的主要现金流入是否独立于其他资产或者资产组的现金流入为依据。当资产或者资产组的可收回金额低于其账面价值</w:t>
      </w:r>
      <w:r>
        <w:rPr>
          <w:spacing w:val="-64"/>
        </w:rPr>
        <w:t> </w:t>
      </w:r>
      <w:r>
        <w:rPr>
          <w:spacing w:val="-64"/>
        </w:rPr>
      </w:r>
      <w:r>
        <w:rPr>
          <w:spacing w:val="-2"/>
        </w:rPr>
        <w:t>时，本集团将其账面价值减记至可收回金额，减记的金额计入当期损益，同时计提相应的资产减值准备。上述资产减值损失</w:t>
      </w:r>
      <w:r>
        <w:rPr>
          <w:spacing w:val="-66"/>
        </w:rPr>
        <w:t> </w:t>
      </w:r>
      <w:r>
        <w:rPr>
          <w:spacing w:val="-66"/>
        </w:rPr>
      </w:r>
      <w:r>
        <w:rPr/>
        <w:t>一经确认，在以后会计期间不再转回。</w:t>
      </w:r>
    </w:p>
    <w:p>
      <w:pPr>
        <w:spacing w:after="0" w:line="316"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12、投资性房地产" w:id="170"/>
      <w:bookmarkEnd w:id="170"/>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31"/>
        <w:jc w:val="left"/>
      </w:pPr>
      <w:r>
        <w:rPr/>
        <w:t>投资性房地产，是指为赚取租金或资本增值，或两者兼有而持有的房地产，包括已出租的建筑物。 </w:t>
      </w:r>
      <w:r>
        <w:rPr>
          <w:spacing w:val="-2"/>
        </w:rPr>
        <w:t>投资性房地产按照成本进行初始计量。与投资性房地产有关的后续支出，如果与该资产有关的经济利益很可能流入且其成本</w:t>
      </w:r>
      <w:r>
        <w:rPr>
          <w:spacing w:val="-64"/>
        </w:rPr>
        <w:t> </w:t>
      </w:r>
      <w:r>
        <w:rPr>
          <w:spacing w:val="-64"/>
        </w:rPr>
      </w:r>
      <w:r>
        <w:rPr>
          <w:spacing w:val="-2"/>
        </w:rPr>
        <w:t>能够可靠地计量，则计入投资性房地产成本。否则，于发生时计入当期损益。本集团采用成本模式对投资性房地产进行后续</w:t>
      </w:r>
      <w:r>
        <w:rPr>
          <w:spacing w:val="-66"/>
        </w:rPr>
        <w:t> </w:t>
      </w:r>
      <w:r>
        <w:rPr>
          <w:spacing w:val="-66"/>
        </w:rPr>
      </w:r>
      <w:r>
        <w:rPr/>
        <w:t>计量，折旧采用年限平均法计提，使用寿命为</w:t>
      </w:r>
      <w:r>
        <w:rPr>
          <w:rFonts w:ascii="Times New Roman" w:hAnsi="Times New Roman" w:cs="Times New Roman" w:eastAsia="Times New Roman" w:hint="default"/>
        </w:rPr>
        <w:t>32-50</w:t>
      </w:r>
      <w:r>
        <w:rPr/>
        <w:t>年，预计净残值率为</w:t>
      </w:r>
      <w:r>
        <w:rPr>
          <w:rFonts w:ascii="Times New Roman" w:hAnsi="Times New Roman" w:cs="Times New Roman" w:eastAsia="Times New Roman" w:hint="default"/>
        </w:rPr>
        <w:t>5%</w:t>
      </w:r>
      <w:r>
        <w:rPr/>
        <w:t>。</w:t>
      </w:r>
    </w:p>
    <w:p>
      <w:pPr>
        <w:spacing w:line="240" w:lineRule="auto" w:before="13"/>
        <w:rPr>
          <w:rFonts w:ascii="宋体" w:hAnsi="宋体" w:cs="宋体" w:eastAsia="宋体" w:hint="default"/>
          <w:sz w:val="20"/>
          <w:szCs w:val="20"/>
        </w:rPr>
      </w:pPr>
    </w:p>
    <w:p>
      <w:pPr>
        <w:pStyle w:val="Heading4"/>
        <w:spacing w:line="240" w:lineRule="auto"/>
        <w:ind w:left="153" w:right="1033"/>
        <w:jc w:val="left"/>
        <w:rPr>
          <w:b w:val="0"/>
          <w:bCs w:val="0"/>
        </w:rPr>
      </w:pPr>
      <w:bookmarkStart w:name="13、固定资产" w:id="171"/>
      <w:bookmarkEnd w:id="171"/>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确认条件" w:id="172"/>
      <w:bookmarkEnd w:id="17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3"/>
        <w:jc w:val="left"/>
      </w:pPr>
      <w:r>
        <w:rPr>
          <w:spacing w:val="-4"/>
        </w:rPr>
        <w:t>固定资产仅在与其有关的经济利益很可能流入本集团，且其成本能够可靠地计量时才予以确认。与固定资产有关的后续支出，</w:t>
      </w:r>
      <w:r>
        <w:rPr>
          <w:spacing w:val="-43"/>
        </w:rPr>
        <w:t> </w:t>
      </w:r>
      <w:r>
        <w:rPr>
          <w:spacing w:val="-43"/>
        </w:rPr>
      </w:r>
      <w:r>
        <w:rPr>
          <w:spacing w:val="-2"/>
        </w:rPr>
        <w:t>符合该确认条件的，计入固定资产成本，并终止确认被替换部分的账面价值；否则，在发生时计入当期损益。固定资产按照</w:t>
      </w:r>
      <w:r>
        <w:rPr>
          <w:spacing w:val="-66"/>
        </w:rPr>
        <w:t> </w:t>
      </w:r>
      <w:r>
        <w:rPr>
          <w:spacing w:val="-66"/>
        </w:rPr>
      </w:r>
      <w:r>
        <w:rPr>
          <w:spacing w:val="-2"/>
        </w:rPr>
        <w:t>成本进行初始计量。购置固定资产的成本包括购买价款、相关税费、使固定资产达到预定可使用状态前所发生的可直接归属</w:t>
      </w:r>
      <w:r>
        <w:rPr>
          <w:spacing w:val="-66"/>
        </w:rPr>
        <w:t> </w:t>
      </w:r>
      <w:r>
        <w:rPr>
          <w:spacing w:val="-66"/>
        </w:rPr>
      </w:r>
      <w:r>
        <w:rPr/>
        <w:t>于该项资产的其他支出。</w:t>
      </w:r>
    </w:p>
    <w:p>
      <w:pPr>
        <w:spacing w:line="240" w:lineRule="auto" w:before="4"/>
        <w:rPr>
          <w:rFonts w:ascii="宋体" w:hAnsi="宋体" w:cs="宋体" w:eastAsia="宋体" w:hint="default"/>
          <w:sz w:val="22"/>
          <w:szCs w:val="22"/>
        </w:rPr>
      </w:pPr>
    </w:p>
    <w:p>
      <w:pPr>
        <w:pStyle w:val="Heading4"/>
        <w:spacing w:line="240" w:lineRule="auto"/>
        <w:ind w:right="1033"/>
        <w:jc w:val="left"/>
        <w:rPr>
          <w:b w:val="0"/>
          <w:bCs w:val="0"/>
        </w:rPr>
      </w:pPr>
      <w:bookmarkStart w:name="（2）折旧方法" w:id="173"/>
      <w:bookmarkEnd w:id="17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2.97%-2.38%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bl>
    <w:p>
      <w:pPr>
        <w:pStyle w:val="BodyText"/>
        <w:spacing w:line="240" w:lineRule="auto" w:before="10"/>
        <w:ind w:left="154" w:right="1033"/>
        <w:jc w:val="left"/>
      </w:pPr>
      <w:r>
        <w:rPr/>
        <w:t>不适用</w:t>
      </w:r>
    </w:p>
    <w:p>
      <w:pPr>
        <w:spacing w:line="240" w:lineRule="auto" w:before="12"/>
        <w:rPr>
          <w:rFonts w:ascii="宋体" w:hAnsi="宋体" w:cs="宋体" w:eastAsia="宋体" w:hint="default"/>
          <w:sz w:val="26"/>
          <w:szCs w:val="26"/>
        </w:rPr>
      </w:pPr>
    </w:p>
    <w:p>
      <w:pPr>
        <w:pStyle w:val="Heading5"/>
        <w:spacing w:line="525" w:lineRule="auto"/>
        <w:ind w:left="153" w:right="1723"/>
        <w:jc w:val="left"/>
      </w:pPr>
      <w:bookmarkStart w:name="14、在建工程" w:id="174"/>
      <w:bookmarkEnd w:id="174"/>
      <w:r>
        <w:rPr/>
      </w:r>
      <w:r>
        <w:rPr>
          <w:rFonts w:ascii="Times New Roman" w:hAnsi="Times New Roman" w:cs="Times New Roman" w:eastAsia="Times New Roman" w:hint="default"/>
          <w:b/>
          <w:bCs/>
        </w:rPr>
        <w:t>14</w:t>
      </w:r>
      <w:r>
        <w:rPr>
          <w:rFonts w:ascii="宋体" w:hAnsi="宋体" w:cs="宋体" w:eastAsia="宋体" w:hint="default"/>
          <w:b/>
          <w:bCs/>
        </w:rPr>
        <w:t>、在建工程</w:t>
      </w:r>
      <w:r>
        <w:rPr>
          <w:rFonts w:ascii="宋体" w:hAnsi="宋体" w:cs="宋体" w:eastAsia="宋体" w:hint="default"/>
          <w:b/>
          <w:bCs/>
          <w:w w:val="99"/>
        </w:rPr>
        <w:t> </w:t>
      </w:r>
      <w:r>
        <w:rPr/>
        <w:t>在建工程成本按实际工程支出确定，包括在建期间发生的各项必要工程支出以及其他相关费用等。 在建工程在达到预定可使用状态时转入固定资产、长期待摊费用或者其他。</w:t>
      </w:r>
    </w:p>
    <w:p>
      <w:pPr>
        <w:pStyle w:val="Heading4"/>
        <w:spacing w:line="240" w:lineRule="auto" w:before="88"/>
        <w:ind w:left="153" w:right="1033"/>
        <w:jc w:val="left"/>
        <w:rPr>
          <w:b w:val="0"/>
          <w:bCs w:val="0"/>
        </w:rPr>
      </w:pPr>
      <w:bookmarkStart w:name="15、借款费用" w:id="175"/>
      <w:bookmarkEnd w:id="175"/>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33"/>
        <w:jc w:val="left"/>
      </w:pPr>
      <w:r>
        <w:rPr/>
        <w:t>（</w:t>
      </w:r>
      <w:r>
        <w:rPr>
          <w:rFonts w:ascii="Times New Roman" w:hAnsi="Times New Roman" w:cs="Times New Roman" w:eastAsia="Times New Roman" w:hint="default"/>
          <w:b/>
          <w:bCs/>
        </w:rPr>
        <w:t>1</w:t>
      </w:r>
      <w:r>
        <w:rPr/>
        <w:t>）借款费用资本化的确认原则</w:t>
      </w:r>
    </w:p>
    <w:p>
      <w:pPr>
        <w:spacing w:line="240" w:lineRule="auto" w:before="6"/>
        <w:rPr>
          <w:rFonts w:ascii="宋体" w:hAnsi="宋体" w:cs="宋体" w:eastAsia="宋体" w:hint="default"/>
          <w:sz w:val="27"/>
          <w:szCs w:val="27"/>
        </w:rPr>
      </w:pPr>
    </w:p>
    <w:p>
      <w:pPr>
        <w:pStyle w:val="BodyText"/>
        <w:spacing w:line="316" w:lineRule="auto"/>
        <w:ind w:right="1033"/>
        <w:jc w:val="left"/>
      </w:pPr>
      <w:r>
        <w:rPr/>
        <w:t>借款费用，是指本集团因借款而发生的利息及其他相关成本，包括借款利息、折价或者溢价的摊销、辅助费用等。 </w:t>
      </w:r>
      <w:r>
        <w:rPr>
          <w:spacing w:val="-2"/>
        </w:rPr>
        <w:t>可直接归属于符合资本化条件的资产的购建或者生产的借款费用，予以资本化，其他借款费用计入当期损益。符合资本化条</w:t>
      </w:r>
      <w:r>
        <w:rPr>
          <w:spacing w:val="-66"/>
        </w:rPr>
        <w:t> </w:t>
      </w:r>
      <w:r>
        <w:rPr>
          <w:spacing w:val="-66"/>
        </w:rPr>
      </w:r>
      <w:r>
        <w:rPr>
          <w:spacing w:val="-2"/>
        </w:rPr>
        <w:t>件的资产，是指需要经过相当长时间的购建或者生产活动才能达到预定可使用或者可销售状态的固定资产、投资性房地产和</w:t>
      </w:r>
      <w:r>
        <w:rPr>
          <w:spacing w:val="-64"/>
        </w:rPr>
        <w:t> </w:t>
      </w:r>
      <w:r>
        <w:rPr>
          <w:spacing w:val="-64"/>
        </w:rPr>
      </w:r>
      <w:r>
        <w:rPr/>
        <w:t>存货等资产。</w:t>
      </w:r>
    </w:p>
    <w:p>
      <w:pPr>
        <w:spacing w:after="0" w:line="316"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before="35"/>
        <w:ind w:right="0"/>
        <w:jc w:val="both"/>
      </w:pPr>
      <w:r>
        <w:rPr/>
        <w:t>（</w:t>
      </w:r>
      <w:r>
        <w:rPr>
          <w:rFonts w:ascii="Times New Roman" w:hAnsi="Times New Roman" w:cs="Times New Roman" w:eastAsia="Times New Roman" w:hint="default"/>
          <w:b/>
          <w:bCs/>
        </w:rPr>
        <w:t>2</w:t>
      </w:r>
      <w:r>
        <w:rPr/>
        <w:t>）借款费用资本化期间</w:t>
      </w:r>
    </w:p>
    <w:p>
      <w:pPr>
        <w:spacing w:line="240" w:lineRule="auto" w:before="6"/>
        <w:rPr>
          <w:rFonts w:ascii="宋体" w:hAnsi="宋体" w:cs="宋体" w:eastAsia="宋体" w:hint="default"/>
          <w:sz w:val="27"/>
          <w:szCs w:val="27"/>
        </w:rPr>
      </w:pPr>
    </w:p>
    <w:p>
      <w:pPr>
        <w:pStyle w:val="BodyText"/>
        <w:spacing w:line="309" w:lineRule="auto"/>
        <w:ind w:left="154" w:right="1131"/>
        <w:jc w:val="both"/>
      </w:pPr>
      <w:r>
        <w:rPr/>
        <w:t>借款费用同时满足下列条件的，才能开始资本化： </w:t>
      </w:r>
      <w:r>
        <w:rPr>
          <w:rFonts w:ascii="Times New Roman" w:hAnsi="Times New Roman" w:cs="Times New Roman" w:eastAsia="Times New Roman" w:hint="default"/>
        </w:rPr>
        <w:t>(a) </w:t>
      </w:r>
      <w:r>
        <w:rPr/>
        <w:t>资产支出已经发生； </w:t>
      </w:r>
      <w:r>
        <w:rPr>
          <w:rFonts w:ascii="Times New Roman" w:hAnsi="Times New Roman" w:cs="Times New Roman" w:eastAsia="Times New Roman" w:hint="default"/>
        </w:rPr>
        <w:t>(b) </w:t>
      </w:r>
      <w:r>
        <w:rPr/>
        <w:t>借款费用已经发生； </w:t>
      </w:r>
      <w:r>
        <w:rPr>
          <w:rFonts w:ascii="Times New Roman" w:hAnsi="Times New Roman" w:cs="Times New Roman" w:eastAsia="Times New Roman" w:hint="default"/>
        </w:rPr>
        <w:t>(c)</w:t>
      </w:r>
      <w:r>
        <w:rPr>
          <w:rFonts w:ascii="Times New Roman" w:hAnsi="Times New Roman" w:cs="Times New Roman" w:eastAsia="Times New Roman" w:hint="default"/>
          <w:spacing w:val="-22"/>
        </w:rPr>
        <w:t> </w:t>
      </w:r>
      <w:r>
        <w:rPr/>
        <w:t>为使资产达到预定 </w:t>
      </w:r>
      <w:r>
        <w:rPr>
          <w:spacing w:val="-2"/>
        </w:rPr>
        <w:t>可使用或者可销售状态所必要的购建或者生产活动已经开始。购建或者生产符合资本化条件的资产达到预定可使用或者可销</w:t>
      </w:r>
      <w:r>
        <w:rPr>
          <w:spacing w:val="-64"/>
        </w:rPr>
        <w:t> </w:t>
      </w:r>
      <w:r>
        <w:rPr>
          <w:spacing w:val="-64"/>
        </w:rPr>
      </w:r>
      <w:r>
        <w:rPr/>
        <w:t>售状态时，借款费用停止资本化。之后发生的借款费用计入当期损益。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0"/>
        <w:jc w:val="both"/>
      </w:pPr>
      <w:r>
        <w:rPr/>
        <w:t>（</w:t>
      </w:r>
      <w:r>
        <w:rPr>
          <w:rFonts w:ascii="Times New Roman" w:hAnsi="Times New Roman" w:cs="Times New Roman" w:eastAsia="Times New Roman" w:hint="default"/>
          <w:b/>
          <w:bCs/>
        </w:rPr>
        <w:t>3</w:t>
      </w:r>
      <w:r>
        <w:rPr/>
        <w:t>）暂停资本化期间</w:t>
      </w:r>
    </w:p>
    <w:p>
      <w:pPr>
        <w:spacing w:line="240" w:lineRule="auto" w:before="5"/>
        <w:rPr>
          <w:rFonts w:ascii="宋体" w:hAnsi="宋体" w:cs="宋体" w:eastAsia="宋体" w:hint="default"/>
          <w:sz w:val="27"/>
          <w:szCs w:val="27"/>
        </w:rPr>
      </w:pPr>
    </w:p>
    <w:p>
      <w:pPr>
        <w:pStyle w:val="BodyText"/>
        <w:spacing w:line="309" w:lineRule="auto"/>
        <w:ind w:left="154" w:right="1132"/>
        <w:jc w:val="both"/>
      </w:pPr>
      <w:r>
        <w:rPr>
          <w:spacing w:val="-2"/>
        </w:rPr>
        <w:t>符合资本化条件的资产在购建或者生产过程中，发生除达到预定可使用或者可销售状态必要的程序之外的非正常中断、且中</w:t>
      </w:r>
      <w:r>
        <w:rPr>
          <w:spacing w:val="-64"/>
        </w:rPr>
        <w:t> </w:t>
      </w:r>
      <w:r>
        <w:rPr>
          <w:spacing w:val="-64"/>
        </w:rPr>
      </w:r>
      <w:r>
        <w:rPr/>
        <w:t>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个月的，暂停借款费用的资本化。在中断期间发生的借款费用确认为费用，计入当期损益，直至资产的购 建或者生产活动重新开始。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0"/>
        <w:jc w:val="both"/>
      </w:pPr>
      <w:r>
        <w:rPr/>
        <w:t>（</w:t>
      </w:r>
      <w:r>
        <w:rPr>
          <w:rFonts w:ascii="Times New Roman" w:hAnsi="Times New Roman" w:cs="Times New Roman" w:eastAsia="Times New Roman" w:hint="default"/>
          <w:b/>
          <w:bCs/>
        </w:rPr>
        <w:t>4</w:t>
      </w:r>
      <w:r>
        <w:rPr/>
        <w:t>）借款费用资本化金额的计算方法</w:t>
      </w:r>
    </w:p>
    <w:p>
      <w:pPr>
        <w:spacing w:line="240" w:lineRule="auto" w:before="5"/>
        <w:rPr>
          <w:rFonts w:ascii="宋体" w:hAnsi="宋体" w:cs="宋体" w:eastAsia="宋体" w:hint="default"/>
          <w:sz w:val="27"/>
          <w:szCs w:val="27"/>
        </w:rPr>
      </w:pPr>
    </w:p>
    <w:p>
      <w:pPr>
        <w:pStyle w:val="BodyText"/>
        <w:spacing w:line="300" w:lineRule="auto"/>
        <w:ind w:right="1132"/>
        <w:jc w:val="both"/>
      </w:pPr>
      <w:r>
        <w:rPr/>
        <w:t>在资本化期间内，每一会计期间的利息资本化金额，按照下列方法确定：</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专门借款以当期实际发生的利息费用，减去暂 时性的存款利息收入或投资收益后的金额确定。</w:t>
      </w:r>
      <w:r>
        <w:rPr>
          <w:spacing w:val="-68"/>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占用的一般借款，根据累计资产支出超过专门借款部分的资产支出加权 平均数乘以所占用一般借款的加权平均利率计算确定。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both"/>
        <w:rPr>
          <w:b w:val="0"/>
          <w:bCs w:val="0"/>
        </w:rPr>
      </w:pPr>
      <w:bookmarkStart w:name="16、无形资产" w:id="176"/>
      <w:bookmarkEnd w:id="176"/>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274" w:firstLine="0"/>
        <w:jc w:val="left"/>
        <w:rPr>
          <w:rFonts w:ascii="宋体" w:hAnsi="宋体" w:cs="宋体" w:eastAsia="宋体" w:hint="default"/>
          <w:sz w:val="21"/>
          <w:szCs w:val="21"/>
        </w:rPr>
      </w:pPr>
      <w:bookmarkStart w:name="（1）计价方法、使用寿命、减值测试"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无形资产的计价方法</w:t>
      </w:r>
    </w:p>
    <w:p>
      <w:pPr>
        <w:pStyle w:val="BodyText"/>
        <w:spacing w:line="316" w:lineRule="auto" w:before="141"/>
        <w:ind w:left="154" w:right="1033"/>
        <w:jc w:val="left"/>
      </w:pPr>
      <w:r>
        <w:rPr>
          <w:spacing w:val="-2"/>
        </w:rPr>
        <w:t>无形资产仅在与其有关的经济利益很可能流入本集团，且其成本能够可靠地计量时才予以确认，并以成本进行初始计量。但</w:t>
      </w:r>
      <w:r>
        <w:rPr>
          <w:spacing w:val="-66"/>
        </w:rPr>
        <w:t> </w:t>
      </w:r>
      <w:r>
        <w:rPr>
          <w:spacing w:val="-66"/>
        </w:rPr>
      </w:r>
      <w:r>
        <w:rPr/>
        <w:t>企业合并中取得的无形资产，其公允价值能够可靠地计量的，即单独确认为无形资产并按照公允价值计量。 </w:t>
      </w:r>
      <w:r>
        <w:rPr>
          <w:spacing w:val="-2"/>
        </w:rPr>
        <w:t>本集团取得的土地使用权，通常作为无形资产核算。自行开发建造厂房等建筑物，相关的土地使用权和建筑物分别作为无形</w:t>
      </w:r>
      <w:r>
        <w:rPr>
          <w:spacing w:val="-66"/>
        </w:rPr>
        <w:t> </w:t>
      </w:r>
      <w:r>
        <w:rPr>
          <w:spacing w:val="-66"/>
        </w:rPr>
      </w:r>
      <w:r>
        <w:rPr>
          <w:spacing w:val="-2"/>
        </w:rPr>
        <w:t>资产和固定资产核算。外购土地及建筑物支付的价款在土地使用权和建筑物之间进行分配，难以合理分配的，全部作为固定</w:t>
      </w:r>
      <w:r>
        <w:rPr>
          <w:spacing w:val="-66"/>
        </w:rPr>
        <w:t> </w:t>
      </w:r>
      <w:r>
        <w:rPr>
          <w:spacing w:val="-66"/>
        </w:rPr>
      </w:r>
      <w:r>
        <w:rPr/>
        <w:t>资产处理。</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t>无形资产按照其能为本集团带来经济利益的期限确定使用寿命。</w:t>
      </w:r>
    </w:p>
    <w:p>
      <w:pPr>
        <w:spacing w:line="240" w:lineRule="auto" w:before="0"/>
        <w:rPr>
          <w:rFonts w:ascii="宋体" w:hAnsi="宋体" w:cs="宋体" w:eastAsia="宋体" w:hint="default"/>
          <w:sz w:val="18"/>
          <w:szCs w:val="18"/>
        </w:rPr>
      </w:pPr>
    </w:p>
    <w:p>
      <w:pPr>
        <w:pStyle w:val="BodyText"/>
        <w:spacing w:line="316" w:lineRule="auto" w:before="153"/>
        <w:ind w:left="154" w:right="1133"/>
        <w:jc w:val="both"/>
      </w:pPr>
      <w:r>
        <w:rPr>
          <w:spacing w:val="-2"/>
        </w:rPr>
        <w:t>使用寿命有限的无形资产，在其使用寿命内采用直线法摊销。本集团至少于每年年度终了，对使用寿命有限的无形资产的使</w:t>
      </w:r>
      <w:r>
        <w:rPr>
          <w:spacing w:val="-66"/>
        </w:rPr>
        <w:t> </w:t>
      </w:r>
      <w:r>
        <w:rPr>
          <w:spacing w:val="-66"/>
        </w:rPr>
      </w:r>
      <w:r>
        <w:rPr/>
        <w:t>用寿命及摊销方法进行复核，必要时进行调整。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right="0"/>
        <w:jc w:val="both"/>
      </w:pPr>
      <w:r>
        <w:rPr/>
        <w:t>使用寿命有限的无形资产的使用寿命估计情况</w:t>
      </w:r>
    </w:p>
    <w:p>
      <w:pPr>
        <w:spacing w:line="240" w:lineRule="auto" w:before="8"/>
        <w:rPr>
          <w:rFonts w:ascii="宋体" w:hAnsi="宋体" w:cs="宋体" w:eastAsia="宋体" w:hint="default"/>
          <w:sz w:val="28"/>
          <w:szCs w:val="28"/>
        </w:rPr>
      </w:pPr>
    </w:p>
    <w:p>
      <w:pPr>
        <w:pStyle w:val="BodyText"/>
        <w:spacing w:line="240" w:lineRule="auto"/>
        <w:ind w:left="154" w:right="0"/>
        <w:jc w:val="both"/>
      </w:pPr>
      <w:r>
        <w:rPr/>
        <w:t>各项无形资产的使用寿命如下：</w:t>
      </w:r>
    </w:p>
    <w:p>
      <w:pPr>
        <w:spacing w:after="0" w:line="240" w:lineRule="auto"/>
        <w:jc w:val="both"/>
        <w:sectPr>
          <w:footerReference w:type="default" r:id="rId23"/>
          <w:pgSz w:w="11910" w:h="16840"/>
          <w:pgMar w:footer="979" w:header="851" w:top="1320" w:bottom="1160" w:left="980" w:right="0"/>
          <w:pgNumType w:start="81"/>
        </w:sectPr>
      </w:pPr>
    </w:p>
    <w:p>
      <w:pPr>
        <w:spacing w:line="240" w:lineRule="auto" w:before="6"/>
        <w:rPr>
          <w:rFonts w:ascii="宋体" w:hAnsi="宋体" w:cs="宋体" w:eastAsia="宋体" w:hint="default"/>
          <w:sz w:val="3"/>
          <w:szCs w:val="3"/>
        </w:rPr>
      </w:pPr>
      <w:r>
        <w:rPr/>
        <w:pict>
          <v:group style="position:absolute;margin-left:55.200001pt;margin-top:69.059982pt;width:485pt;height:.1pt;mso-position-horizontal-relative:page;mso-position-vertical-relative:page;z-index:-780496" coordorigin="1104,1381" coordsize="9700,2">
            <v:shape style="position:absolute;left:1104;top:1381;width:9700;height:2" coordorigin="1104,1381" coordsize="9700,0" path="m1104,1381l10804,138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868"/>
        <w:gridCol w:w="2849"/>
      </w:tblGrid>
      <w:tr>
        <w:trPr>
          <w:trHeight w:val="391" w:hRule="exact"/>
        </w:trPr>
        <w:tc>
          <w:tcPr>
            <w:tcW w:w="2868"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28" w:right="0"/>
              <w:jc w:val="left"/>
              <w:rPr>
                <w:rFonts w:ascii="宋体" w:hAnsi="宋体" w:cs="宋体" w:eastAsia="宋体" w:hint="default"/>
                <w:sz w:val="18"/>
                <w:szCs w:val="18"/>
              </w:rPr>
            </w:pPr>
            <w:r>
              <w:rPr>
                <w:rFonts w:ascii="宋体" w:hAnsi="宋体" w:cs="宋体" w:eastAsia="宋体" w:hint="default"/>
                <w:sz w:val="18"/>
                <w:szCs w:val="18"/>
              </w:rPr>
              <w:t>使用寿命</w:t>
            </w:r>
          </w:p>
        </w:tc>
      </w:tr>
      <w:tr>
        <w:trPr>
          <w:trHeight w:val="332"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28" w:right="0"/>
              <w:jc w:val="left"/>
              <w:rPr>
                <w:rFonts w:ascii="宋体" w:hAnsi="宋体" w:cs="宋体" w:eastAsia="宋体" w:hint="default"/>
                <w:sz w:val="18"/>
                <w:szCs w:val="18"/>
              </w:rPr>
            </w:pPr>
            <w:r>
              <w:rPr>
                <w:rFonts w:ascii="宋体" w:hAnsi="宋体" w:cs="宋体" w:eastAsia="宋体" w:hint="default"/>
                <w:sz w:val="18"/>
                <w:szCs w:val="18"/>
              </w:rPr>
              <w:t>47-50</w:t>
            </w:r>
            <w:r>
              <w:rPr>
                <w:rFonts w:ascii="宋体" w:hAnsi="宋体" w:cs="宋体" w:eastAsia="宋体" w:hint="default"/>
                <w:sz w:val="18"/>
                <w:szCs w:val="18"/>
              </w:rPr>
              <w:t>年</w:t>
            </w:r>
          </w:p>
        </w:tc>
      </w:tr>
      <w:tr>
        <w:trPr>
          <w:trHeight w:val="332"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28" w:right="0"/>
              <w:jc w:val="left"/>
              <w:rPr>
                <w:rFonts w:ascii="宋体" w:hAnsi="宋体" w:cs="宋体" w:eastAsia="宋体" w:hint="default"/>
                <w:sz w:val="18"/>
                <w:szCs w:val="18"/>
              </w:rPr>
            </w:pPr>
            <w:r>
              <w:rPr>
                <w:rFonts w:ascii="宋体" w:hAnsi="宋体" w:cs="宋体" w:eastAsia="宋体" w:hint="default"/>
                <w:sz w:val="18"/>
                <w:szCs w:val="18"/>
              </w:rPr>
              <w:t>2-10</w:t>
            </w:r>
            <w:r>
              <w:rPr>
                <w:rFonts w:ascii="宋体" w:hAnsi="宋体" w:cs="宋体" w:eastAsia="宋体" w:hint="default"/>
                <w:sz w:val="18"/>
                <w:szCs w:val="18"/>
              </w:rPr>
              <w:t>年</w:t>
            </w:r>
          </w:p>
        </w:tc>
      </w:tr>
      <w:tr>
        <w:trPr>
          <w:trHeight w:val="256"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ind w:right="1033"/>
        <w:jc w:val="left"/>
      </w:pPr>
      <w:r>
        <w:rPr/>
        <w:t>使用寿命不确定的无形资产的判断依据</w:t>
      </w:r>
    </w:p>
    <w:p>
      <w:pPr>
        <w:spacing w:line="240" w:lineRule="auto" w:before="8"/>
        <w:rPr>
          <w:rFonts w:ascii="宋体" w:hAnsi="宋体" w:cs="宋体" w:eastAsia="宋体" w:hint="default"/>
          <w:sz w:val="28"/>
          <w:szCs w:val="28"/>
        </w:rPr>
      </w:pPr>
    </w:p>
    <w:p>
      <w:pPr>
        <w:pStyle w:val="BodyText"/>
        <w:spacing w:line="240" w:lineRule="auto"/>
        <w:ind w:left="154" w:right="1033"/>
        <w:jc w:val="left"/>
      </w:pPr>
      <w:r>
        <w:rPr/>
        <w:t>无法预见其为本集团带来经济利益期限的作为使用寿命不确定的无形资产。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left="153" w:right="1033"/>
        <w:jc w:val="left"/>
      </w:pPr>
      <w:r>
        <w:rPr/>
        <w:t>无形资产减值准备的计提</w:t>
      </w:r>
    </w:p>
    <w:p>
      <w:pPr>
        <w:spacing w:line="240" w:lineRule="auto" w:before="8"/>
        <w:rPr>
          <w:rFonts w:ascii="宋体" w:hAnsi="宋体" w:cs="宋体" w:eastAsia="宋体" w:hint="default"/>
          <w:sz w:val="28"/>
          <w:szCs w:val="28"/>
        </w:rPr>
      </w:pPr>
    </w:p>
    <w:p>
      <w:pPr>
        <w:pStyle w:val="BodyText"/>
        <w:spacing w:line="316" w:lineRule="auto"/>
        <w:ind w:right="1033"/>
        <w:jc w:val="left"/>
      </w:pPr>
      <w:r>
        <w:rPr>
          <w:spacing w:val="-2"/>
        </w:rPr>
        <w:t>本集团对除存货、递延所得税、金融资产、按成本法核算的在活跃市场中没有报价且其公允价值不能可靠计量的长期股权投</w:t>
      </w:r>
      <w:r>
        <w:rPr>
          <w:spacing w:val="-66"/>
        </w:rPr>
        <w:t> </w:t>
      </w:r>
      <w:r>
        <w:rPr>
          <w:spacing w:val="-66"/>
        </w:rPr>
      </w:r>
      <w:r>
        <w:rPr>
          <w:spacing w:val="-2"/>
        </w:rPr>
        <w:t>资外的资产减值，按以下方法确定：本集团于资产负债表日判断资产是否存在可能发生减值的迹象，存在减值迹象的，本集</w:t>
      </w:r>
      <w:r>
        <w:rPr>
          <w:spacing w:val="-66"/>
        </w:rPr>
        <w:t> </w:t>
      </w:r>
      <w:r>
        <w:rPr>
          <w:spacing w:val="-66"/>
        </w:rPr>
      </w:r>
      <w:r>
        <w:rPr>
          <w:spacing w:val="-5"/>
        </w:rPr>
        <w:t>团将估计其可收回金额，进行减值测试。对因企业合并所形成的商誉和使用寿命不确定的无形资产，无论是否存在减值迹象，</w:t>
      </w:r>
      <w:r>
        <w:rPr>
          <w:spacing w:val="-79"/>
        </w:rPr>
        <w:t> </w:t>
      </w:r>
      <w:r>
        <w:rPr>
          <w:spacing w:val="-79"/>
        </w:rPr>
      </w:r>
      <w:r>
        <w:rPr>
          <w:spacing w:val="-2"/>
        </w:rPr>
        <w:t>至少于每年末进行减值测试。对于尚未达到可使用状态的无形资产，也每年进行减值测试。可收回金额根据资产的公允价值</w:t>
      </w:r>
      <w:r>
        <w:rPr>
          <w:spacing w:val="-66"/>
        </w:rPr>
        <w:t> </w:t>
      </w:r>
      <w:r>
        <w:rPr>
          <w:spacing w:val="-66"/>
        </w:rPr>
      </w:r>
      <w:r>
        <w:rPr/>
        <w:t>减去处置费用后的净额与资产预计未来现金流量的现值两者之间较高者确定。本集团以单项资产为基础估计其可收回金额；</w:t>
      </w:r>
      <w:r>
        <w:rPr>
          <w:spacing w:val="-85"/>
        </w:rPr>
        <w:t> </w:t>
      </w:r>
      <w:r>
        <w:rPr>
          <w:spacing w:val="-85"/>
        </w:rPr>
      </w:r>
      <w:r>
        <w:rPr>
          <w:spacing w:val="-2"/>
        </w:rPr>
        <w:t>难以对单项资产的可收回金额进行估计的，以该资产所属的资产组为基础确定资产组的可收回金额。资产组的认定，以资产</w:t>
      </w:r>
      <w:r>
        <w:rPr>
          <w:spacing w:val="-66"/>
        </w:rPr>
        <w:t> </w:t>
      </w:r>
      <w:r>
        <w:rPr>
          <w:spacing w:val="-66"/>
        </w:rPr>
      </w:r>
      <w:r>
        <w:rPr>
          <w:spacing w:val="-2"/>
        </w:rPr>
        <w:t>组产生的主要现金流入是否独立于其他资产或者资产组的现金流入为依据。当资产或者资产组的可收回金额低于其账面价值</w:t>
      </w:r>
      <w:r>
        <w:rPr>
          <w:spacing w:val="-64"/>
        </w:rPr>
        <w:t> </w:t>
      </w:r>
      <w:r>
        <w:rPr>
          <w:spacing w:val="-64"/>
        </w:rPr>
      </w:r>
      <w:r>
        <w:rPr>
          <w:spacing w:val="-2"/>
        </w:rPr>
        <w:t>时，本集团将其账面价值减记至可收回金额，减记的金额计入当期损益，同时计提相应的资产减值准备。上述资产减值损失</w:t>
      </w:r>
      <w:r>
        <w:rPr>
          <w:spacing w:val="-66"/>
        </w:rPr>
        <w:t> </w:t>
      </w:r>
      <w:r>
        <w:rPr>
          <w:spacing w:val="-66"/>
        </w:rPr>
      </w:r>
      <w:r>
        <w:rPr/>
        <w:t>一经确认，在以后会计期间不再转回。</w:t>
      </w:r>
    </w:p>
    <w:p>
      <w:pPr>
        <w:spacing w:line="240" w:lineRule="auto" w:before="7"/>
        <w:rPr>
          <w:rFonts w:ascii="宋体" w:hAnsi="宋体" w:cs="宋体" w:eastAsia="宋体" w:hint="default"/>
          <w:sz w:val="22"/>
          <w:szCs w:val="22"/>
        </w:rPr>
      </w:pPr>
    </w:p>
    <w:p>
      <w:pPr>
        <w:pStyle w:val="Heading4"/>
        <w:spacing w:line="240" w:lineRule="auto"/>
        <w:ind w:left="153" w:right="1033"/>
        <w:jc w:val="left"/>
        <w:rPr>
          <w:b w:val="0"/>
          <w:bCs w:val="0"/>
        </w:rPr>
      </w:pPr>
      <w:bookmarkStart w:name="17、长期资产减值" w:id="178"/>
      <w:bookmarkEnd w:id="178"/>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 </w:t>
      </w:r>
      <w:r>
        <w:rPr>
          <w:spacing w:val="-2"/>
        </w:rPr>
        <w:t>本集团于资产负债表日判断资产是否存在可能发生减值的迹象，存在减值迹象的，本集团将估计其可收回金额，进行减值测</w:t>
      </w:r>
      <w:r>
        <w:rPr>
          <w:spacing w:val="-65"/>
        </w:rPr>
        <w:t> </w:t>
      </w:r>
      <w:r>
        <w:rPr>
          <w:spacing w:val="-65"/>
        </w:rPr>
      </w:r>
      <w:r>
        <w:rPr>
          <w:spacing w:val="-2"/>
        </w:rPr>
        <w:t>试。对因企业合并所形成的商誉和使用寿命不确定的无形资产，无论是否存在减值迹象，至少于每年末进行减值测试。对于</w:t>
      </w:r>
      <w:r>
        <w:rPr>
          <w:spacing w:val="-66"/>
        </w:rPr>
        <w:t> </w:t>
      </w:r>
      <w:r>
        <w:rPr>
          <w:spacing w:val="-66"/>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6"/>
        </w:rPr>
        <w:t> </w:t>
      </w:r>
      <w:r>
        <w:rPr>
          <w:spacing w:val="-66"/>
        </w:rPr>
      </w:r>
      <w:r>
        <w:rPr/>
        <w:t>时计提相应的资产减值准备。</w:t>
      </w:r>
    </w:p>
    <w:p>
      <w:pPr>
        <w:pStyle w:val="BodyText"/>
        <w:spacing w:line="240" w:lineRule="auto" w:before="19"/>
        <w:ind w:right="1033"/>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1033"/>
        <w:jc w:val="left"/>
        <w:rPr>
          <w:b w:val="0"/>
          <w:bCs w:val="0"/>
        </w:rPr>
      </w:pPr>
      <w:bookmarkStart w:name="18、长期待摊费用" w:id="179"/>
      <w:bookmarkEnd w:id="179"/>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3"/>
        <w:jc w:val="left"/>
      </w:pPr>
      <w:r>
        <w:rPr>
          <w:spacing w:val="-2"/>
        </w:rPr>
        <w:t>长期待摊费用包括预付经营租赁费用、经营租入固定资产改良及其他已经发生但应由本期和以后各期负担的分摊期限在一年</w:t>
      </w:r>
      <w:r>
        <w:rPr>
          <w:spacing w:val="-64"/>
        </w:rPr>
        <w:t> </w:t>
      </w:r>
      <w:r>
        <w:rPr>
          <w:spacing w:val="-64"/>
        </w:rPr>
      </w:r>
      <w:r>
        <w:rPr/>
        <w:t>以上的各项费用，按租赁期和预计受益期孰短平均摊销，并以实际支出减去累计摊销后的净额列示。</w:t>
      </w:r>
    </w:p>
    <w:p>
      <w:pPr>
        <w:spacing w:after="0" w:line="316"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0"/>
        <w:jc w:val="both"/>
        <w:rPr>
          <w:b w:val="0"/>
          <w:bCs w:val="0"/>
        </w:rPr>
      </w:pPr>
      <w:bookmarkStart w:name="19、职工薪酬" w:id="180"/>
      <w:bookmarkEnd w:id="180"/>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181"/>
      <w:bookmarkEnd w:id="18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职工薪酬，是指本集团为获得职工提供的服务或解除劳动关系而给予的除股份支付以外各种形式的报酬或补偿以及其他相关</w:t>
      </w:r>
      <w:r>
        <w:rPr>
          <w:spacing w:val="-64"/>
        </w:rPr>
        <w:t> </w:t>
      </w:r>
      <w:r>
        <w:rPr>
          <w:spacing w:val="-64"/>
        </w:rPr>
      </w:r>
      <w:r>
        <w:rPr>
          <w:spacing w:val="-2"/>
        </w:rPr>
        <w:t>支出。职工薪酬包括短期薪酬、离职后福利、辞退福利和其他长期职工福利。本集团提供给职工配偶、子女、受赡养人、已</w:t>
      </w:r>
      <w:r>
        <w:rPr>
          <w:spacing w:val="-71"/>
        </w:rPr>
        <w:t> </w:t>
      </w:r>
      <w:r>
        <w:rPr>
          <w:spacing w:val="-71"/>
        </w:rPr>
      </w:r>
      <w:r>
        <w:rPr/>
        <w:t>故员工遗属及其他受益人等的福利，也属于职工薪酬。</w:t>
      </w:r>
    </w:p>
    <w:p>
      <w:pPr>
        <w:pStyle w:val="BodyText"/>
        <w:spacing w:line="316" w:lineRule="auto" w:before="19"/>
        <w:ind w:left="154" w:right="2832"/>
        <w:jc w:val="left"/>
      </w:pPr>
      <w:r>
        <w:rPr/>
        <w:t>短期薪酬 在职工提供服务的会计期间，将实际发生的短期薪酬确认为负债，并计入当期损益或相关资产成本。</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离职后福利的会计处理方法" w:id="182"/>
      <w:bookmarkEnd w:id="18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3"/>
        <w:jc w:val="left"/>
      </w:pPr>
      <w:r>
        <w:rPr>
          <w:spacing w:val="-2"/>
        </w:rPr>
        <w:t>本集团的职工参加由当地政府管理的养老保险、医疗保险、失业保险等社会保险费和住房公积金，相应支出在发生时计入相</w:t>
      </w:r>
      <w:r>
        <w:rPr>
          <w:spacing w:val="-66"/>
        </w:rPr>
        <w:t> </w:t>
      </w:r>
      <w:r>
        <w:rPr>
          <w:spacing w:val="-66"/>
        </w:rPr>
      </w:r>
      <w:r>
        <w:rPr/>
        <w:t>关资产成本或当期损益。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辞退福利的会计处理方法" w:id="183"/>
      <w:bookmarkEnd w:id="18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对于本集团在职工劳动合同到期之前解除与职工的劳动关系，或为鼓励职工自愿接受裁减而提出给予补偿的建议，如果本集</w:t>
      </w:r>
      <w:r>
        <w:rPr>
          <w:spacing w:val="-64"/>
        </w:rPr>
        <w:t> </w:t>
      </w:r>
      <w:r>
        <w:rPr>
          <w:spacing w:val="-64"/>
        </w:rPr>
      </w:r>
      <w:r>
        <w:rPr>
          <w:spacing w:val="-2"/>
        </w:rPr>
        <w:t>团已经制定正式的解除劳动关系计划或提出自愿裁减建议并即将实施，同时本集团不能单方面撤回解除劳动关系计划或裁减</w:t>
      </w:r>
      <w:r>
        <w:rPr>
          <w:spacing w:val="-64"/>
        </w:rPr>
        <w:t> </w:t>
      </w:r>
      <w:r>
        <w:rPr>
          <w:spacing w:val="-64"/>
        </w:rPr>
      </w:r>
      <w:r>
        <w:rPr/>
        <w:t>建议的，确认因解除与职工劳动关系给予补偿产生的预计负债，并计入当期损益。</w:t>
      </w:r>
    </w:p>
    <w:p>
      <w:pPr>
        <w:spacing w:line="240" w:lineRule="auto" w:before="7"/>
        <w:rPr>
          <w:rFonts w:ascii="宋体" w:hAnsi="宋体" w:cs="宋体" w:eastAsia="宋体" w:hint="default"/>
          <w:sz w:val="22"/>
          <w:szCs w:val="22"/>
        </w:rPr>
      </w:pPr>
    </w:p>
    <w:p>
      <w:pPr>
        <w:pStyle w:val="Heading4"/>
        <w:spacing w:line="240" w:lineRule="auto"/>
        <w:ind w:left="153" w:right="0"/>
        <w:jc w:val="both"/>
        <w:rPr>
          <w:b w:val="0"/>
          <w:bCs w:val="0"/>
        </w:rPr>
      </w:pPr>
      <w:bookmarkStart w:name="（4）其他长期职工福利的会计处理方法" w:id="184"/>
      <w:bookmarkEnd w:id="18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4"/>
        <w:spacing w:line="240" w:lineRule="auto"/>
        <w:ind w:left="153" w:right="0"/>
        <w:jc w:val="both"/>
        <w:rPr>
          <w:b w:val="0"/>
          <w:bCs w:val="0"/>
        </w:rPr>
      </w:pPr>
      <w:bookmarkStart w:name="20、预计负债" w:id="185"/>
      <w:bookmarkEnd w:id="185"/>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pPr>
      <w:r>
        <w:rPr/>
        <w:t>（</w:t>
      </w:r>
      <w:r>
        <w:rPr>
          <w:rFonts w:ascii="Times New Roman" w:hAnsi="Times New Roman" w:cs="Times New Roman" w:eastAsia="Times New Roman" w:hint="default"/>
          <w:b/>
          <w:bCs/>
        </w:rPr>
        <w:t>1</w:t>
      </w:r>
      <w:r>
        <w:rPr/>
        <w:t>）预计负债的确认标准</w:t>
      </w:r>
    </w:p>
    <w:p>
      <w:pPr>
        <w:spacing w:line="240" w:lineRule="auto" w:before="5"/>
        <w:rPr>
          <w:rFonts w:ascii="宋体" w:hAnsi="宋体" w:cs="宋体" w:eastAsia="宋体" w:hint="default"/>
          <w:sz w:val="27"/>
          <w:szCs w:val="27"/>
        </w:rPr>
      </w:pPr>
    </w:p>
    <w:p>
      <w:pPr>
        <w:pStyle w:val="BodyText"/>
        <w:spacing w:line="309" w:lineRule="auto"/>
        <w:ind w:right="1132"/>
        <w:jc w:val="both"/>
      </w:pPr>
      <w:r>
        <w:rPr>
          <w:spacing w:val="-2"/>
        </w:rPr>
        <w:t>除非同一控制下企业合并中的或有对价及承担的或有负债之外，当与或有事项相关的义务同时符合以下条件，本集团将其确</w:t>
      </w:r>
      <w:r>
        <w:rPr>
          <w:spacing w:val="-64"/>
        </w:rPr>
        <w:t> </w:t>
      </w:r>
      <w:r>
        <w:rPr>
          <w:spacing w:val="-64"/>
        </w:rPr>
      </w:r>
      <w:r>
        <w:rPr/>
        <w:t>认为预计负债：</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该义务是本集团承担的现时义务；</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该义务的履行很可能导致经济利益流出本集团；</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该义务的金 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97" w:lineRule="auto" w:before="151"/>
        <w:ind w:left="154" w:right="1033"/>
        <w:jc w:val="left"/>
      </w:pPr>
      <w:r>
        <w:rPr>
          <w:sz w:val="21"/>
          <w:szCs w:val="21"/>
        </w:rPr>
        <w:t>（</w:t>
      </w:r>
      <w:r>
        <w:rPr>
          <w:rFonts w:ascii="Times New Roman" w:hAnsi="Times New Roman" w:cs="Times New Roman" w:eastAsia="Times New Roman" w:hint="default"/>
          <w:b/>
          <w:bCs/>
          <w:sz w:val="21"/>
          <w:szCs w:val="21"/>
        </w:rPr>
        <w:t>2</w:t>
      </w:r>
      <w:r>
        <w:rPr>
          <w:sz w:val="21"/>
          <w:szCs w:val="21"/>
        </w:rPr>
        <w:t>）预计负债的计量方法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时间价值等因素。每个资产负债表日对预计负债的账面价值进行复核。有确凿证据表明该账面价值不能反映当前最佳估计数</w:t>
      </w:r>
    </w:p>
    <w:p>
      <w:pPr>
        <w:pStyle w:val="BodyText"/>
        <w:spacing w:line="240" w:lineRule="auto" w:before="33"/>
        <w:ind w:left="154" w:right="0"/>
        <w:jc w:val="both"/>
      </w:pPr>
      <w:r>
        <w:rPr/>
        <w:t>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1、股份支付" w:id="186"/>
      <w:bookmarkEnd w:id="186"/>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pPr>
      <w:r>
        <w:rPr/>
        <w:t>（</w:t>
      </w:r>
      <w:r>
        <w:rPr>
          <w:rFonts w:ascii="Times New Roman" w:hAnsi="Times New Roman" w:cs="Times New Roman" w:eastAsia="Times New Roman" w:hint="default"/>
          <w:b/>
          <w:bCs/>
        </w:rPr>
        <w:t>1</w:t>
      </w:r>
      <w:r>
        <w:rPr/>
        <w:t>）股份支付的种类</w:t>
      </w:r>
    </w:p>
    <w:p>
      <w:pPr>
        <w:spacing w:line="240" w:lineRule="auto" w:before="4"/>
        <w:rPr>
          <w:rFonts w:ascii="宋体" w:hAnsi="宋体" w:cs="宋体" w:eastAsia="宋体" w:hint="default"/>
          <w:sz w:val="27"/>
          <w:szCs w:val="27"/>
        </w:rPr>
      </w:pPr>
    </w:p>
    <w:p>
      <w:pPr>
        <w:pStyle w:val="BodyText"/>
        <w:spacing w:line="240" w:lineRule="auto"/>
        <w:ind w:left="154" w:right="0"/>
        <w:jc w:val="both"/>
      </w:pPr>
      <w:r>
        <w:rPr/>
        <w:t>股份支付，分为以权益结算的股份支付和以现金结算的股份支付。以权益结算的股份支付，是指本集团为获取服务以股份或</w:t>
      </w:r>
    </w:p>
    <w:p>
      <w:pPr>
        <w:spacing w:after="0" w:line="240"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6"/>
        <w:ind w:left="154" w:right="0"/>
        <w:jc w:val="both"/>
      </w:pPr>
      <w:r>
        <w:rPr/>
        <w:t>其他权益工具作为对价进行结算的交易。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both"/>
      </w:pPr>
      <w:r>
        <w:rPr/>
        <w:t>（</w:t>
      </w:r>
      <w:r>
        <w:rPr>
          <w:rFonts w:ascii="Times New Roman" w:hAnsi="Times New Roman" w:cs="Times New Roman" w:eastAsia="Times New Roman" w:hint="default"/>
          <w:b/>
          <w:bCs/>
        </w:rPr>
        <w:t>2</w:t>
      </w:r>
      <w:r>
        <w:rPr/>
        <w:t>）权益工具公允价值的确定方法</w:t>
      </w:r>
    </w:p>
    <w:p>
      <w:pPr>
        <w:spacing w:line="240" w:lineRule="auto" w:before="6"/>
        <w:rPr>
          <w:rFonts w:ascii="宋体" w:hAnsi="宋体" w:cs="宋体" w:eastAsia="宋体" w:hint="default"/>
          <w:sz w:val="27"/>
          <w:szCs w:val="27"/>
        </w:rPr>
      </w:pPr>
    </w:p>
    <w:p>
      <w:pPr>
        <w:pStyle w:val="BodyText"/>
        <w:spacing w:line="240" w:lineRule="auto"/>
        <w:ind w:right="0"/>
        <w:jc w:val="both"/>
      </w:pPr>
      <w:r>
        <w:rPr/>
        <w:t>以权益结算的股份支付换取职工提供服务的，以授予职工权益工具的公允价值计量。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left="153" w:right="0"/>
        <w:jc w:val="both"/>
      </w:pPr>
      <w:r>
        <w:rPr/>
        <w:t>（</w:t>
      </w:r>
      <w:r>
        <w:rPr>
          <w:rFonts w:ascii="Times New Roman" w:hAnsi="Times New Roman" w:cs="Times New Roman" w:eastAsia="Times New Roman" w:hint="default"/>
          <w:b/>
          <w:bCs/>
        </w:rPr>
        <w:t>3</w:t>
      </w:r>
      <w:r>
        <w:rPr/>
        <w:t>）确认可行权权益工具最佳估计的依据</w:t>
      </w:r>
    </w:p>
    <w:p>
      <w:pPr>
        <w:spacing w:line="240" w:lineRule="auto" w:before="5"/>
        <w:rPr>
          <w:rFonts w:ascii="宋体" w:hAnsi="宋体" w:cs="宋体" w:eastAsia="宋体" w:hint="default"/>
          <w:sz w:val="27"/>
          <w:szCs w:val="27"/>
        </w:rPr>
      </w:pPr>
    </w:p>
    <w:p>
      <w:pPr>
        <w:pStyle w:val="BodyText"/>
        <w:spacing w:line="316" w:lineRule="auto"/>
        <w:ind w:right="1130"/>
        <w:jc w:val="both"/>
      </w:pPr>
      <w:r>
        <w:rPr>
          <w:spacing w:val="-2"/>
        </w:rPr>
        <w:t>完成等待期内的服务或达到规定业绩条件才可行权的，在等待期内每个资产负债表日，本集团根据最新取得的可行权职工人</w:t>
      </w:r>
      <w:r>
        <w:rPr>
          <w:spacing w:val="-64"/>
        </w:rPr>
        <w:t> </w:t>
      </w:r>
      <w:r>
        <w:rPr>
          <w:spacing w:val="-64"/>
        </w:rPr>
      </w:r>
      <w:r>
        <w:rPr>
          <w:spacing w:val="-2"/>
        </w:rPr>
        <w:t>数变动、是否达到规定业绩条件等后续信息对可行权权益工具数量作出最佳估计，以此为基础，按照授予日的公允价值，将</w:t>
      </w:r>
      <w:r>
        <w:rPr>
          <w:spacing w:val="-65"/>
        </w:rPr>
        <w:t> </w:t>
      </w:r>
      <w:r>
        <w:rPr>
          <w:spacing w:val="-65"/>
        </w:rPr>
      </w:r>
      <w:r>
        <w:rPr/>
        <w:t>当期取得的服务计入相关成本或费用，相应增加资本公积。权益工具的公允价值采用布莱克</w:t>
      </w:r>
      <w:r>
        <w:rPr>
          <w:rFonts w:ascii="Times New Roman" w:hAnsi="Times New Roman" w:cs="Times New Roman" w:eastAsia="Times New Roman" w:hint="default"/>
        </w:rPr>
        <w:t>-</w:t>
      </w:r>
      <w:r>
        <w:rPr/>
        <w:t>斯克尔斯权定价模型确定。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6"/>
        <w:ind w:left="153" w:right="0"/>
        <w:jc w:val="both"/>
      </w:pPr>
      <w:r>
        <w:rPr/>
        <w:t>（</w:t>
      </w:r>
      <w:r>
        <w:rPr>
          <w:rFonts w:ascii="Times New Roman" w:hAnsi="Times New Roman" w:cs="Times New Roman" w:eastAsia="Times New Roman" w:hint="default"/>
          <w:b/>
          <w:bCs/>
        </w:rPr>
        <w:t>4</w:t>
      </w:r>
      <w:r>
        <w:rPr/>
        <w:t>）实施、修改、终止股份支付计划的相关会计处理</w:t>
      </w:r>
    </w:p>
    <w:p>
      <w:pPr>
        <w:spacing w:line="240" w:lineRule="auto" w:before="5"/>
        <w:rPr>
          <w:rFonts w:ascii="宋体" w:hAnsi="宋体" w:cs="宋体" w:eastAsia="宋体" w:hint="default"/>
          <w:sz w:val="27"/>
          <w:szCs w:val="27"/>
        </w:rPr>
      </w:pPr>
    </w:p>
    <w:p>
      <w:pPr>
        <w:pStyle w:val="BodyText"/>
        <w:spacing w:line="316" w:lineRule="auto"/>
        <w:ind w:right="1128"/>
        <w:jc w:val="left"/>
      </w:pPr>
      <w:r>
        <w:rPr>
          <w:spacing w:val="-5"/>
        </w:rPr>
        <w:t>在满足业绩条件和服务期限条件的期间，应确认以权益结算的股份支付的成本或费用，并相应增加资本公积。可行权日之前，</w:t>
      </w:r>
      <w:r>
        <w:rPr>
          <w:spacing w:val="-79"/>
        </w:rPr>
        <w:t> </w:t>
      </w:r>
      <w:r>
        <w:rPr>
          <w:spacing w:val="-79"/>
        </w:rPr>
      </w:r>
      <w:r>
        <w:rPr/>
        <w:t>于每个资产负债表日为以权益结算的股份支付确认的累计金额反映了等待期已届满的部分以及本集团对最终可行权的权益 </w:t>
      </w:r>
      <w:r>
        <w:rPr>
          <w:spacing w:val="-2"/>
        </w:rPr>
        <w:t>工具数量的最佳估计。对于最终未能行权的股份支付，不确认成本或费用，除非行权条件是市场条件或非可行权条件，此时</w:t>
      </w:r>
      <w:r>
        <w:rPr>
          <w:spacing w:val="-66"/>
        </w:rPr>
        <w:t> </w:t>
      </w:r>
      <w:r>
        <w:rPr>
          <w:spacing w:val="-66"/>
        </w:rPr>
      </w:r>
      <w:r>
        <w:rPr>
          <w:spacing w:val="-2"/>
        </w:rPr>
        <w:t>无论是否满足市场条件或非可行权条件，只要满足所有可行权条件中的非市场条件，即视为可行权。如果修改了以权益结算</w:t>
      </w:r>
      <w:r>
        <w:rPr>
          <w:spacing w:val="-66"/>
        </w:rPr>
        <w:t> </w:t>
      </w:r>
      <w:r>
        <w:rPr>
          <w:spacing w:val="-66"/>
        </w:rPr>
      </w:r>
      <w:r>
        <w:rPr>
          <w:spacing w:val="-2"/>
        </w:rPr>
        <w:t>的股份支付的条款，至少按照未修改条款的情况确认取得的服务。此外，任何增加所授予权益工具公允价值的修改，或在修</w:t>
      </w:r>
      <w:r>
        <w:rPr>
          <w:spacing w:val="-65"/>
        </w:rPr>
        <w:t> </w:t>
      </w:r>
      <w:r>
        <w:rPr>
          <w:spacing w:val="-65"/>
        </w:rPr>
      </w:r>
      <w:r>
        <w:rPr>
          <w:spacing w:val="-2"/>
        </w:rPr>
        <w:t>改日对职工有利的变更，均确认取得服务的增加。如果取消了以权益结算的股份支付，则于取消日作为加速行权处理，立即</w:t>
      </w:r>
      <w:r>
        <w:rPr>
          <w:spacing w:val="-66"/>
        </w:rPr>
        <w:t> </w:t>
      </w:r>
      <w:r>
        <w:rPr>
          <w:spacing w:val="-66"/>
        </w:rPr>
      </w:r>
      <w:r>
        <w:rPr>
          <w:spacing w:val="-2"/>
        </w:rPr>
        <w:t>确认尚未确认的金额。职工或其他方能够选择满足非可行权条件但在等待期内未满足的，作为取消以权益结算的股份支付处</w:t>
      </w:r>
      <w:r>
        <w:rPr>
          <w:spacing w:val="-64"/>
        </w:rPr>
        <w:t> </w:t>
      </w:r>
      <w:r>
        <w:rPr>
          <w:spacing w:val="-64"/>
        </w:rPr>
      </w:r>
      <w:r>
        <w:rPr>
          <w:spacing w:val="-2"/>
        </w:rPr>
        <w:t>理。但是，如果授予新的权益工具，并在新权益工具授予日认定所授予的新权益工具是用于替代被取消的权益工具的，则以</w:t>
      </w:r>
      <w:r>
        <w:rPr>
          <w:spacing w:val="-66"/>
        </w:rPr>
        <w:t> </w:t>
      </w:r>
      <w:r>
        <w:rPr>
          <w:spacing w:val="-66"/>
        </w:rPr>
      </w:r>
      <w:r>
        <w:rPr/>
        <w:t>与处理原权益工具条款和条件修改相同的方式，对所授予的替代权益工具进行处理。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3" w:right="0"/>
        <w:jc w:val="both"/>
        <w:rPr>
          <w:b w:val="0"/>
          <w:bCs w:val="0"/>
        </w:rPr>
      </w:pPr>
      <w:bookmarkStart w:name="22、收入" w:id="187"/>
      <w:bookmarkEnd w:id="187"/>
      <w:r>
        <w:rPr>
          <w:b w:val="0"/>
          <w:bCs w:val="0"/>
        </w:rPr>
      </w: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收入在经济利益很可能流入本集团、且金额能够可靠计量，并同时满足下列条件时予以确认。</w:t>
      </w:r>
    </w:p>
    <w:p>
      <w:pPr>
        <w:spacing w:line="240" w:lineRule="auto" w:before="0"/>
        <w:rPr>
          <w:rFonts w:ascii="宋体" w:hAnsi="宋体" w:cs="宋体" w:eastAsia="宋体" w:hint="default"/>
          <w:sz w:val="18"/>
          <w:szCs w:val="18"/>
        </w:rPr>
      </w:pPr>
    </w:p>
    <w:p>
      <w:pPr>
        <w:pStyle w:val="Heading5"/>
        <w:spacing w:line="240" w:lineRule="auto" w:before="127"/>
        <w:ind w:left="153" w:right="0"/>
        <w:jc w:val="both"/>
      </w:pPr>
      <w:r>
        <w:rPr/>
        <w:t>（</w:t>
      </w:r>
      <w:r>
        <w:rPr>
          <w:rFonts w:ascii="Times New Roman" w:hAnsi="Times New Roman" w:cs="Times New Roman" w:eastAsia="Times New Roman" w:hint="default"/>
        </w:rPr>
        <w:t>1</w:t>
      </w:r>
      <w:r>
        <w:rPr/>
        <w:t>）销售商品收入确认时间的具体判断标准</w:t>
      </w:r>
    </w:p>
    <w:p>
      <w:pPr>
        <w:spacing w:line="240" w:lineRule="auto" w:before="5"/>
        <w:rPr>
          <w:rFonts w:ascii="宋体" w:hAnsi="宋体" w:cs="宋体" w:eastAsia="宋体" w:hint="default"/>
          <w:sz w:val="27"/>
          <w:szCs w:val="27"/>
        </w:rPr>
      </w:pPr>
    </w:p>
    <w:p>
      <w:pPr>
        <w:pStyle w:val="BodyText"/>
        <w:spacing w:line="316" w:lineRule="auto"/>
        <w:ind w:right="1131"/>
        <w:jc w:val="both"/>
      </w:pPr>
      <w:r>
        <w:rPr>
          <w:spacing w:val="-2"/>
        </w:rPr>
        <w:t>本集团已将商品所有权上的主要风险和报酬转移给购货方，并不再对该商品保留通常与所有权相联系的继续管理权和实施有</w:t>
      </w:r>
      <w:r>
        <w:rPr>
          <w:spacing w:val="-64"/>
        </w:rPr>
        <w:t> </w:t>
      </w:r>
      <w:r>
        <w:rPr>
          <w:spacing w:val="-64"/>
        </w:rPr>
      </w:r>
      <w:r>
        <w:rPr>
          <w:spacing w:val="-2"/>
        </w:rPr>
        <w:t>效控制，且相关的已发生或将发生的成本能够可靠地计量，确认为收入的实现。销售商品收入金额，按照从购货方已收或应</w:t>
      </w:r>
      <w:r>
        <w:rPr>
          <w:spacing w:val="-66"/>
        </w:rPr>
        <w:t> </w:t>
      </w:r>
      <w:r>
        <w:rPr>
          <w:spacing w:val="-66"/>
        </w:rPr>
      </w:r>
      <w:r>
        <w:rPr>
          <w:spacing w:val="-2"/>
        </w:rPr>
        <w:t>收的合同或协议价款确定，但已收或应收的合同或协议价款不公允的除外；合同或协议价款的收取采用递延方式，实质上具</w:t>
      </w:r>
      <w:r>
        <w:rPr>
          <w:spacing w:val="-66"/>
        </w:rPr>
        <w:t> </w:t>
      </w:r>
      <w:r>
        <w:rPr>
          <w:spacing w:val="-66"/>
        </w:rPr>
      </w:r>
      <w:r>
        <w:rPr/>
        <w:t>有融资性质的，按照应收的合同或协议价款的公允价值确定。</w:t>
      </w:r>
    </w:p>
    <w:p>
      <w:pPr>
        <w:spacing w:line="240" w:lineRule="auto" w:before="4"/>
        <w:rPr>
          <w:rFonts w:ascii="宋体" w:hAnsi="宋体" w:cs="宋体" w:eastAsia="宋体" w:hint="default"/>
          <w:sz w:val="25"/>
          <w:szCs w:val="25"/>
        </w:rPr>
      </w:pPr>
    </w:p>
    <w:p>
      <w:pPr>
        <w:pStyle w:val="BodyText"/>
        <w:spacing w:line="300" w:lineRule="auto"/>
        <w:ind w:right="1123"/>
        <w:jc w:val="left"/>
      </w:pPr>
      <w:r>
        <w:rPr/>
        <w:t>公司具体的销售商品收入确认原则如下：</w:t>
      </w:r>
      <w:r>
        <w:rPr>
          <w:rFonts w:ascii="Times New Roman" w:hAnsi="Times New Roman" w:cs="Times New Roman" w:eastAsia="Times New Roman" w:hint="default"/>
        </w:rPr>
        <w:t>1.</w:t>
      </w:r>
      <w:r>
        <w:rPr/>
        <w:t>对加盟商的销售：于向加盟商发出货物时，确认销售收入。</w:t>
      </w:r>
      <w:r>
        <w:rPr>
          <w:rFonts w:ascii="Times New Roman" w:hAnsi="Times New Roman" w:cs="Times New Roman" w:eastAsia="Times New Roman" w:hint="default"/>
        </w:rPr>
        <w:t>2.</w:t>
      </w:r>
      <w:r>
        <w:rPr/>
        <w:t>直营店销售：于商 品交付给消费者并收取价款时，确认销售收入。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9"/>
        <w:ind w:left="153" w:right="0"/>
        <w:jc w:val="both"/>
      </w:pPr>
      <w:r>
        <w:rPr/>
        <w:t>（</w:t>
      </w:r>
      <w:r>
        <w:rPr>
          <w:rFonts w:ascii="Times New Roman" w:hAnsi="Times New Roman" w:cs="Times New Roman" w:eastAsia="Times New Roman" w:hint="default"/>
          <w:b/>
          <w:bCs/>
        </w:rPr>
        <w:t>2</w:t>
      </w:r>
      <w:r>
        <w:rPr/>
        <w:t>）确认让渡资产使用权收入的依据</w:t>
      </w:r>
    </w:p>
    <w:p>
      <w:pPr>
        <w:spacing w:after="0" w:line="240" w:lineRule="auto"/>
        <w:jc w:val="both"/>
        <w:sectPr>
          <w:pgSz w:w="11910" w:h="16840"/>
          <w:pgMar w:header="851" w:footer="979" w:top="1320" w:bottom="1160" w:left="980" w:right="0"/>
        </w:sectPr>
      </w:pPr>
    </w:p>
    <w:p>
      <w:pPr>
        <w:spacing w:line="240" w:lineRule="auto" w:before="3"/>
        <w:rPr>
          <w:rFonts w:ascii="宋体" w:hAnsi="宋体" w:cs="宋体" w:eastAsia="宋体" w:hint="default"/>
          <w:sz w:val="29"/>
          <w:szCs w:val="29"/>
        </w:rPr>
      </w:pPr>
    </w:p>
    <w:p>
      <w:pPr>
        <w:pStyle w:val="BodyText"/>
        <w:spacing w:line="300" w:lineRule="auto" w:before="44"/>
        <w:ind w:left="154" w:right="6072"/>
        <w:jc w:val="left"/>
      </w:pPr>
      <w:r>
        <w:rPr>
          <w:rFonts w:ascii="Times New Roman" w:hAnsi="Times New Roman" w:cs="Times New Roman" w:eastAsia="Times New Roman" w:hint="default"/>
        </w:rPr>
        <w:t>(a)</w:t>
      </w:r>
      <w:r>
        <w:rPr/>
        <w:t>利息收入</w:t>
      </w:r>
      <w:r>
        <w:rPr>
          <w:w w:val="99"/>
        </w:rPr>
        <w:t> </w:t>
      </w:r>
      <w:r>
        <w:rPr/>
        <w:t>按照他人使用本集团货币资金的时间和实际利率计算确定。</w:t>
      </w:r>
    </w:p>
    <w:p>
      <w:pPr>
        <w:spacing w:line="240" w:lineRule="auto" w:before="4"/>
        <w:rPr>
          <w:rFonts w:ascii="宋体" w:hAnsi="宋体" w:cs="宋体" w:eastAsia="宋体" w:hint="default"/>
          <w:sz w:val="26"/>
          <w:szCs w:val="26"/>
        </w:rPr>
      </w:pPr>
    </w:p>
    <w:p>
      <w:pPr>
        <w:pStyle w:val="BodyText"/>
        <w:spacing w:line="300" w:lineRule="auto"/>
        <w:ind w:left="154" w:right="3012"/>
        <w:jc w:val="left"/>
      </w:pPr>
      <w:r>
        <w:rPr>
          <w:rFonts w:ascii="Times New Roman" w:hAnsi="Times New Roman" w:cs="Times New Roman" w:eastAsia="Times New Roman" w:hint="default"/>
        </w:rPr>
        <w:t>(b)</w:t>
      </w:r>
      <w:r>
        <w:rPr/>
        <w:t>租赁收入</w:t>
      </w:r>
      <w:r>
        <w:rPr>
          <w:w w:val="99"/>
        </w:rPr>
        <w:t> </w:t>
      </w:r>
      <w:r>
        <w:rPr/>
        <w:t>经营租赁的租金收入在租赁期内各个期间按照直线法确认，或有租金在实际发生时计入当期损益。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9"/>
        <w:ind w:right="1033"/>
        <w:jc w:val="left"/>
      </w:pPr>
      <w:r>
        <w:rPr/>
        <w:t>（</w:t>
      </w:r>
      <w:r>
        <w:rPr>
          <w:rFonts w:ascii="Times New Roman" w:hAnsi="Times New Roman" w:cs="Times New Roman" w:eastAsia="Times New Roman" w:hint="default"/>
          <w:b/>
          <w:bCs/>
        </w:rPr>
        <w:t>3</w:t>
      </w:r>
      <w:r>
        <w:rPr/>
        <w:t>）确认提供劳务收入的依据</w:t>
      </w:r>
    </w:p>
    <w:p>
      <w:pPr>
        <w:spacing w:line="240" w:lineRule="auto" w:before="5"/>
        <w:rPr>
          <w:rFonts w:ascii="宋体" w:hAnsi="宋体" w:cs="宋体" w:eastAsia="宋体" w:hint="default"/>
          <w:sz w:val="27"/>
          <w:szCs w:val="27"/>
        </w:rPr>
      </w:pPr>
    </w:p>
    <w:p>
      <w:pPr>
        <w:pStyle w:val="BodyText"/>
        <w:spacing w:line="240" w:lineRule="auto"/>
        <w:ind w:right="1033"/>
        <w:jc w:val="left"/>
      </w:pPr>
      <w:r>
        <w:rPr/>
        <w:t>在劳务已经提供，收到价款或取得收取价款的依据时，确认劳务收入的实现。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left="153" w:right="1033"/>
        <w:jc w:val="left"/>
      </w:pPr>
      <w:r>
        <w:rPr/>
        <w:t>（</w:t>
      </w:r>
      <w:r>
        <w:rPr>
          <w:rFonts w:ascii="Times New Roman" w:hAnsi="Times New Roman" w:cs="Times New Roman" w:eastAsia="Times New Roman" w:hint="default"/>
          <w:b/>
          <w:bCs/>
        </w:rPr>
        <w:t>4</w:t>
      </w:r>
      <w:r>
        <w:rPr/>
        <w:t>）按完工百分比法确认提供劳务的收入和建造合同收入时，确定合同完工进度的依据和方法</w:t>
      </w:r>
    </w:p>
    <w:p>
      <w:pPr>
        <w:spacing w:line="240" w:lineRule="auto" w:before="5"/>
        <w:rPr>
          <w:rFonts w:ascii="宋体" w:hAnsi="宋体" w:cs="宋体" w:eastAsia="宋体" w:hint="default"/>
          <w:sz w:val="27"/>
          <w:szCs w:val="27"/>
        </w:rPr>
      </w:pPr>
    </w:p>
    <w:p>
      <w:pPr>
        <w:pStyle w:val="BodyText"/>
        <w:spacing w:line="240" w:lineRule="auto"/>
        <w:ind w:left="154" w:right="1033"/>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033"/>
        <w:jc w:val="left"/>
        <w:rPr>
          <w:b w:val="0"/>
          <w:bCs w:val="0"/>
        </w:rPr>
      </w:pPr>
      <w:bookmarkStart w:name="23、政府补助" w:id="188"/>
      <w:bookmarkEnd w:id="188"/>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与资产相关的政府补助判断依据及会计处理方法" w:id="189"/>
      <w:bookmarkEnd w:id="18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政府文件规定用于购建或以其他方式形成长期资产的，作为与资产相关的政府补助；政府文件不明确的，以取得该补助必须</w:t>
      </w:r>
      <w:r>
        <w:rPr>
          <w:spacing w:val="-66"/>
        </w:rPr>
        <w:t> </w:t>
      </w:r>
      <w:r>
        <w:rPr>
          <w:spacing w:val="-66"/>
        </w:rPr>
      </w:r>
      <w:r>
        <w:rPr/>
        <w:t>具备的基本条件为基础进行判断，以购建或其他方式形成长期资产为基本条件的作为与资产相关的政府补助。 </w:t>
      </w:r>
      <w:r>
        <w:rPr>
          <w:spacing w:val="-2"/>
        </w:rPr>
        <w:t>与资产相关的政府补助，确认为递延收益，在相关资产使用寿命内平均分配，计入当期损益。但按照名义金额计量的政府补</w:t>
      </w:r>
      <w:r>
        <w:rPr>
          <w:spacing w:val="-66"/>
        </w:rPr>
        <w:t> </w:t>
      </w:r>
      <w:r>
        <w:rPr>
          <w:spacing w:val="-66"/>
        </w:rPr>
      </w:r>
      <w:r>
        <w:rPr/>
        <w:t>助，直接计入当期损益。</w:t>
      </w:r>
    </w:p>
    <w:p>
      <w:pPr>
        <w:spacing w:line="240" w:lineRule="auto" w:before="7"/>
        <w:rPr>
          <w:rFonts w:ascii="宋体" w:hAnsi="宋体" w:cs="宋体" w:eastAsia="宋体" w:hint="default"/>
          <w:sz w:val="22"/>
          <w:szCs w:val="22"/>
        </w:rPr>
      </w:pPr>
    </w:p>
    <w:p>
      <w:pPr>
        <w:pStyle w:val="Heading4"/>
        <w:spacing w:line="240" w:lineRule="auto"/>
        <w:ind w:left="153" w:right="1033"/>
        <w:jc w:val="left"/>
        <w:rPr>
          <w:b w:val="0"/>
          <w:bCs w:val="0"/>
        </w:rPr>
      </w:pPr>
      <w:bookmarkStart w:name="（2）与收益相关的政府补助判断依据及会计处理方法" w:id="190"/>
      <w:bookmarkEnd w:id="19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jc w:val="left"/>
      </w:pPr>
      <w:r>
        <w:rPr/>
        <w:t>除第</w:t>
      </w:r>
      <w:r>
        <w:rPr>
          <w:rFonts w:ascii="Times New Roman" w:hAnsi="Times New Roman" w:cs="Times New Roman" w:eastAsia="Times New Roman" w:hint="default"/>
        </w:rPr>
        <w:t>(1)</w:t>
      </w:r>
      <w:r>
        <w:rPr/>
        <w:t>项认定为与资产相关的政府补助之外的，作为与收益相关的政府补助。 </w:t>
      </w:r>
      <w:r>
        <w:rPr>
          <w:spacing w:val="-5"/>
        </w:rPr>
        <w:t>与收益相关的政府补助，用于补偿以后期间的相关费用或损失的，确认为递延收益，并在确认相关费用的期间计入当期损益；</w:t>
      </w:r>
      <w:r>
        <w:rPr>
          <w:spacing w:val="-79"/>
        </w:rPr>
        <w:t> </w:t>
      </w:r>
      <w:r>
        <w:rPr>
          <w:spacing w:val="-79"/>
        </w:rPr>
      </w:r>
      <w:r>
        <w:rPr/>
        <w:t>用于补偿已发生的相关费用或损失的，直接计入当期损益。</w:t>
      </w:r>
    </w:p>
    <w:p>
      <w:pPr>
        <w:spacing w:line="240" w:lineRule="auto" w:before="12"/>
        <w:rPr>
          <w:rFonts w:ascii="宋体" w:hAnsi="宋体" w:cs="宋体" w:eastAsia="宋体" w:hint="default"/>
          <w:sz w:val="22"/>
          <w:szCs w:val="22"/>
        </w:rPr>
      </w:pPr>
    </w:p>
    <w:p>
      <w:pPr>
        <w:pStyle w:val="Heading4"/>
        <w:spacing w:line="240" w:lineRule="auto"/>
        <w:ind w:right="1033"/>
        <w:jc w:val="left"/>
        <w:rPr>
          <w:b w:val="0"/>
          <w:bCs w:val="0"/>
        </w:rPr>
      </w:pPr>
      <w:bookmarkStart w:name="（3）政府补助的确认和计量" w:id="191"/>
      <w:bookmarkEnd w:id="191"/>
      <w:r>
        <w:rPr>
          <w:b w:val="0"/>
          <w:bCs w:val="0"/>
        </w:rPr>
      </w:r>
      <w:r>
        <w:rPr/>
        <w:t>（</w:t>
      </w:r>
      <w:r>
        <w:rPr>
          <w:rFonts w:ascii="Times New Roman" w:hAnsi="Times New Roman" w:cs="Times New Roman" w:eastAsia="Times New Roman" w:hint="default"/>
        </w:rPr>
        <w:t>3</w:t>
      </w:r>
      <w:r>
        <w:rPr/>
        <w:t>）政府补助的确认和计量</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w:t>
      </w:r>
    </w:p>
    <w:p>
      <w:pPr>
        <w:spacing w:line="240" w:lineRule="auto" w:before="7"/>
        <w:rPr>
          <w:rFonts w:ascii="宋体" w:hAnsi="宋体" w:cs="宋体" w:eastAsia="宋体" w:hint="default"/>
          <w:sz w:val="22"/>
          <w:szCs w:val="22"/>
        </w:rPr>
      </w:pPr>
    </w:p>
    <w:p>
      <w:pPr>
        <w:pStyle w:val="Heading4"/>
        <w:spacing w:line="240" w:lineRule="auto"/>
        <w:ind w:left="153" w:right="1033"/>
        <w:jc w:val="left"/>
        <w:rPr>
          <w:b w:val="0"/>
          <w:bCs w:val="0"/>
        </w:rPr>
      </w:pPr>
      <w:bookmarkStart w:name="24、递延所得税资产/递延所得税负债" w:id="192"/>
      <w:bookmarkEnd w:id="192"/>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033"/>
        <w:jc w:val="left"/>
      </w:pPr>
      <w:r>
        <w:rPr/>
        <w:t>（</w:t>
      </w:r>
      <w:r>
        <w:rPr>
          <w:rFonts w:ascii="Times New Roman" w:hAnsi="Times New Roman" w:cs="Times New Roman" w:eastAsia="Times New Roman" w:hint="default"/>
          <w:b/>
          <w:bCs/>
        </w:rPr>
        <w:t>1</w:t>
      </w:r>
      <w:r>
        <w:rPr/>
        <w:t>）确认递延所得税资产的依据</w:t>
      </w:r>
    </w:p>
    <w:p>
      <w:pPr>
        <w:spacing w:line="240" w:lineRule="auto" w:before="5"/>
        <w:rPr>
          <w:rFonts w:ascii="宋体" w:hAnsi="宋体" w:cs="宋体" w:eastAsia="宋体" w:hint="default"/>
          <w:sz w:val="27"/>
          <w:szCs w:val="27"/>
        </w:rPr>
      </w:pPr>
    </w:p>
    <w:p>
      <w:pPr>
        <w:pStyle w:val="BodyText"/>
        <w:spacing w:line="316" w:lineRule="auto"/>
        <w:ind w:right="1117"/>
        <w:jc w:val="left"/>
      </w:pPr>
      <w:r>
        <w:rPr>
          <w:spacing w:val="-2"/>
        </w:rPr>
        <w:t>对于可抵扣暂时性差异、能够结转以后年度的可抵扣亏损和税款抵减，本集团以很可能取得用来抵扣可抵扣暂时性差异、可</w:t>
      </w:r>
      <w:r>
        <w:rPr>
          <w:spacing w:val="-66"/>
        </w:rPr>
        <w:t> </w:t>
      </w:r>
      <w:r>
        <w:rPr>
          <w:spacing w:val="-66"/>
        </w:rPr>
      </w:r>
      <w:r>
        <w:rPr/>
        <w:t>抵扣亏损和税款抵减的未来应纳税所得额为限，确认由此产生的递延所得税资产，除非：</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可抵扣暂时性差异是在以下交</w:t>
      </w:r>
    </w:p>
    <w:p>
      <w:pPr>
        <w:pStyle w:val="BodyText"/>
        <w:spacing w:line="248" w:lineRule="exact"/>
        <w:ind w:right="1033"/>
        <w:jc w:val="left"/>
      </w:pPr>
      <w:r>
        <w:rPr/>
        <w:t>易中产生的：该交易不是企业合并，并且交易发生时既不影响会计利润也不影响应纳税所得额或可抵扣亏损。</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对于与子</w:t>
      </w:r>
    </w:p>
    <w:p>
      <w:pPr>
        <w:spacing w:after="0" w:line="248" w:lineRule="exact"/>
        <w:jc w:val="left"/>
        <w:sectPr>
          <w:pgSz w:w="11910" w:h="16840"/>
          <w:pgMar w:header="851" w:footer="979" w:top="1320" w:bottom="1160" w:left="980" w:right="0"/>
        </w:sectPr>
      </w:pPr>
    </w:p>
    <w:p>
      <w:pPr>
        <w:pStyle w:val="BodyText"/>
        <w:spacing w:line="319" w:lineRule="auto" w:before="114"/>
        <w:ind w:left="154" w:right="1131"/>
        <w:jc w:val="both"/>
      </w:pPr>
      <w:r>
        <w:rPr>
          <w:spacing w:val="-2"/>
        </w:rPr>
        <w:t>公司、合营企业及联营企业投资相关的可抵扣暂时性差异，同时满足下列条件的，确认相应的递延所得税资产：暂时性差异</w:t>
      </w:r>
      <w:r>
        <w:rPr>
          <w:spacing w:val="-66"/>
        </w:rPr>
        <w:t> </w:t>
      </w:r>
      <w:r>
        <w:rPr>
          <w:spacing w:val="-66"/>
        </w:rPr>
      </w:r>
      <w:r>
        <w:rPr>
          <w:spacing w:val="-2"/>
        </w:rPr>
        <w:t>在可预见的未来很可能转回，且未来很可能获得用来抵扣可抵扣暂时性差异的应纳税所得额。于资产负债表日，本集团对递</w:t>
      </w:r>
      <w:r>
        <w:rPr>
          <w:spacing w:val="-66"/>
        </w:rPr>
        <w:t> </w:t>
      </w:r>
      <w:r>
        <w:rPr>
          <w:spacing w:val="-66"/>
        </w:rPr>
      </w:r>
      <w:r>
        <w:rPr>
          <w:spacing w:val="-2"/>
        </w:rPr>
        <w:t>延所得税资产的账面价值进行复核，如果未来期间很可能无法获得足够的应纳税所得额用以抵扣递延所得税资产的利益，减</w:t>
      </w:r>
      <w:r>
        <w:rPr>
          <w:spacing w:val="-64"/>
        </w:rPr>
        <w:t> </w:t>
      </w:r>
      <w:r>
        <w:rPr>
          <w:spacing w:val="-64"/>
        </w:rPr>
      </w:r>
      <w:r>
        <w:rPr>
          <w:spacing w:val="-2"/>
        </w:rPr>
        <w:t>记递延所得税资产的账面价值。于资产负债表日，本集团重新评估未确认的递延所得税资产，在很可能获得足够的应纳税所</w:t>
      </w:r>
      <w:r>
        <w:rPr>
          <w:spacing w:val="-66"/>
        </w:rPr>
        <w:t> </w:t>
      </w:r>
      <w:r>
        <w:rPr>
          <w:spacing w:val="-66"/>
        </w:rPr>
      </w:r>
      <w:r>
        <w:rPr/>
        <w:t>得额可供所有或部分递延所得税资产转回的限度内，确认递延所得税资产。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4"/>
        <w:ind w:left="153" w:right="1033"/>
        <w:jc w:val="left"/>
      </w:pPr>
      <w:r>
        <w:rPr/>
        <w:t>（</w:t>
      </w:r>
      <w:r>
        <w:rPr>
          <w:rFonts w:ascii="Times New Roman" w:hAnsi="Times New Roman" w:cs="Times New Roman" w:eastAsia="Times New Roman" w:hint="default"/>
          <w:b/>
          <w:bCs/>
        </w:rPr>
        <w:t>2</w:t>
      </w:r>
      <w:r>
        <w:rPr/>
        <w:t>）确认递延所得税负债的依据</w:t>
      </w:r>
    </w:p>
    <w:p>
      <w:pPr>
        <w:spacing w:line="240" w:lineRule="auto" w:before="5"/>
        <w:rPr>
          <w:rFonts w:ascii="宋体" w:hAnsi="宋体" w:cs="宋体" w:eastAsia="宋体" w:hint="default"/>
          <w:sz w:val="27"/>
          <w:szCs w:val="27"/>
        </w:rPr>
      </w:pPr>
    </w:p>
    <w:p>
      <w:pPr>
        <w:pStyle w:val="BodyText"/>
        <w:spacing w:line="312" w:lineRule="auto"/>
        <w:ind w:right="0"/>
        <w:jc w:val="left"/>
      </w:pPr>
      <w:r>
        <w:rPr>
          <w:spacing w:val="-2"/>
        </w:rPr>
        <w:t>本集团根据资产与负债于资产负债表日的账面价值与计税基础之间的暂时性差异，以及未作为资产和负债确认但按照税法规</w:t>
      </w:r>
      <w:r>
        <w:rPr>
          <w:spacing w:val="-64"/>
        </w:rPr>
        <w:t> </w:t>
      </w:r>
      <w:r>
        <w:rPr>
          <w:spacing w:val="-64"/>
        </w:rPr>
      </w:r>
      <w:r>
        <w:rPr>
          <w:spacing w:val="-2"/>
        </w:rPr>
        <w:t>定可以确定其计税基础的项目的账面价值与计税基础之间的差额产生的暂时性差异，采用资产负债表债务法计提递延所得税。</w:t>
      </w:r>
      <w:r>
        <w:rPr>
          <w:spacing w:val="-62"/>
        </w:rPr>
        <w:t> </w:t>
      </w:r>
      <w:r>
        <w:rPr>
          <w:spacing w:val="-62"/>
        </w:rPr>
      </w:r>
      <w:r>
        <w:rPr>
          <w:spacing w:val="-5"/>
        </w:rPr>
        <w:t>各种应纳税暂时性差异均据以确认递延所得税负债，除非：</w:t>
      </w:r>
      <w:r>
        <w:rPr>
          <w:rFonts w:ascii="Times New Roman" w:hAnsi="Times New Roman" w:cs="Times New Roman" w:eastAsia="Times New Roman" w:hint="default"/>
          <w:spacing w:val="-5"/>
        </w:rPr>
        <w:t>(1) </w:t>
      </w:r>
      <w:r>
        <w:rPr>
          <w:spacing w:val="-3"/>
        </w:rPr>
        <w:t>应纳税暂时性差异是在以下交易中产生的：商誉的初始确认，</w:t>
      </w:r>
      <w:r>
        <w:rPr>
          <w:spacing w:val="-58"/>
        </w:rPr>
        <w:t> </w:t>
      </w:r>
      <w:r>
        <w:rPr>
          <w:spacing w:val="-58"/>
        </w:rPr>
      </w:r>
      <w:r>
        <w:rPr/>
        <w:t>或者具有以下特征的交易中产生的资产或负债的初始确认：该交易不是企业合并，并且交易发生时既不影响会计利润也不影</w:t>
      </w:r>
      <w:r>
        <w:rPr/>
        <w:t> 响应纳税所得额或可抵扣亏损。</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对于与子公司、合营企业及联营企业投资相关的应纳税暂时性差异，该暂时性差异转回 的时间能够控制并且该暂时性差异在可预见的未来很可能不会转回。本集团于资产负债表日，对于递延所得税资产和递延所 得税负债，依据税法规定，按照预期收回该资产或清偿该负债期间的适用税率计量，并反映资产负债表日预期收回资产或清 偿负债方式的所得税影响。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033"/>
        <w:jc w:val="left"/>
        <w:rPr>
          <w:b w:val="0"/>
          <w:bCs w:val="0"/>
        </w:rPr>
      </w:pPr>
      <w:bookmarkStart w:name="25、租赁" w:id="193"/>
      <w:bookmarkEnd w:id="193"/>
      <w:r>
        <w:rPr>
          <w:b w:val="0"/>
          <w:bCs w:val="0"/>
        </w:rPr>
      </w:r>
      <w:r>
        <w:rPr>
          <w:rFonts w:ascii="Times New Roman" w:hAnsi="Times New Roman" w:cs="Times New Roman" w:eastAsia="Times New Roman" w:hint="default"/>
        </w:rPr>
        <w:t>25</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经营租赁的会计处理方法" w:id="194"/>
      <w:bookmarkEnd w:id="19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013"/>
        <w:jc w:val="left"/>
      </w:pPr>
      <w:r>
        <w:rPr/>
        <w:t>实质上转移了与资产所有权有关的全部风险和报酬的租赁为融资租赁，除此之外的均为经营租赁。 作为经营租赁承租人</w:t>
      </w:r>
    </w:p>
    <w:p>
      <w:pPr>
        <w:pStyle w:val="BodyText"/>
        <w:spacing w:line="316" w:lineRule="auto" w:before="19"/>
        <w:ind w:right="1033"/>
        <w:jc w:val="left"/>
      </w:pPr>
      <w:r>
        <w:rPr>
          <w:spacing w:val="-2"/>
        </w:rPr>
        <w:t>经营租赁的租金支出，在租赁期内各个期间按照直线法计入相关的资产成本或当期损益，或有租金在实际发生时计入当期损</w:t>
      </w:r>
      <w:r>
        <w:rPr>
          <w:spacing w:val="-64"/>
        </w:rPr>
        <w:t> </w:t>
      </w:r>
      <w:r>
        <w:rPr>
          <w:spacing w:val="-64"/>
        </w:rPr>
      </w:r>
      <w:r>
        <w:rPr/>
        <w:t>益。</w:t>
      </w:r>
    </w:p>
    <w:p>
      <w:pPr>
        <w:pStyle w:val="BodyText"/>
        <w:spacing w:line="316" w:lineRule="auto" w:before="19"/>
        <w:ind w:right="2293"/>
        <w:jc w:val="left"/>
      </w:pPr>
      <w:r>
        <w:rPr/>
        <w:t>作为经营租赁出租人 经营租赁的租金收入在租赁期内各个期间按直线法确认为当期损益，或有租金在实际发生时计入当期损益。</w:t>
      </w:r>
    </w:p>
    <w:p>
      <w:pPr>
        <w:spacing w:line="240" w:lineRule="auto" w:before="7"/>
        <w:rPr>
          <w:rFonts w:ascii="宋体" w:hAnsi="宋体" w:cs="宋体" w:eastAsia="宋体" w:hint="default"/>
          <w:sz w:val="22"/>
          <w:szCs w:val="22"/>
        </w:rPr>
      </w:pPr>
    </w:p>
    <w:p>
      <w:pPr>
        <w:pStyle w:val="Heading4"/>
        <w:spacing w:line="240" w:lineRule="auto"/>
        <w:ind w:left="153" w:right="1033"/>
        <w:jc w:val="left"/>
        <w:rPr>
          <w:b w:val="0"/>
          <w:bCs w:val="0"/>
        </w:rPr>
      </w:pPr>
      <w:bookmarkStart w:name="26、其他重要的会计政策和会计估计" w:id="195"/>
      <w:bookmarkEnd w:id="195"/>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rFonts w:ascii="宋体" w:hAnsi="宋体" w:cs="宋体" w:eastAsia="宋体" w:hint="default"/>
          <w:b/>
          <w:bCs/>
        </w:rPr>
        <w:t>重大会计判断和估计</w:t>
      </w:r>
      <w:r>
        <w:rPr>
          <w:rFonts w:ascii="宋体" w:hAnsi="宋体" w:cs="宋体" w:eastAsia="宋体" w:hint="default"/>
          <w:b/>
          <w:bCs/>
          <w:w w:val="99"/>
        </w:rPr>
        <w:t> </w:t>
      </w:r>
      <w:r>
        <w:rPr/>
        <w:t>编制财务报表要求管理层作出判断估计和假设，这些判断估计和假设会影响收入、费用、资产和负债的列报金额及其披露，</w:t>
      </w:r>
      <w:r>
        <w:rPr>
          <w:spacing w:val="-85"/>
        </w:rPr>
        <w:t> </w:t>
      </w:r>
      <w:r>
        <w:rPr>
          <w:spacing w:val="-85"/>
        </w:rPr>
      </w:r>
      <w:r>
        <w:rPr>
          <w:spacing w:val="-2"/>
        </w:rPr>
        <w:t>以及资产负债表日或有负债的披露。然而，这些假设和估计的不确定性所导致的结果可能造成对未来受影响的资产或负债的</w:t>
      </w:r>
      <w:r>
        <w:rPr>
          <w:spacing w:val="-64"/>
        </w:rPr>
        <w:t> </w:t>
      </w:r>
      <w:r>
        <w:rPr>
          <w:spacing w:val="-64"/>
        </w:rPr>
      </w:r>
      <w:r>
        <w:rPr/>
        <w:t>账面金额进行重大调整。</w:t>
      </w:r>
    </w:p>
    <w:p>
      <w:pPr>
        <w:spacing w:line="240" w:lineRule="auto" w:before="4"/>
        <w:rPr>
          <w:rFonts w:ascii="宋体" w:hAnsi="宋体" w:cs="宋体" w:eastAsia="宋体" w:hint="default"/>
          <w:sz w:val="25"/>
          <w:szCs w:val="25"/>
        </w:rPr>
      </w:pPr>
    </w:p>
    <w:p>
      <w:pPr>
        <w:pStyle w:val="BodyText"/>
        <w:spacing w:line="316" w:lineRule="auto"/>
        <w:ind w:right="2653"/>
        <w:jc w:val="left"/>
      </w:pPr>
      <w:r>
        <w:rPr>
          <w:rFonts w:ascii="宋体" w:hAnsi="宋体" w:cs="宋体" w:eastAsia="宋体" w:hint="default"/>
          <w:b/>
          <w:bCs/>
        </w:rPr>
        <w:t>判断</w:t>
      </w:r>
      <w:r>
        <w:rPr>
          <w:rFonts w:ascii="宋体" w:hAnsi="宋体" w:cs="宋体" w:eastAsia="宋体" w:hint="default"/>
          <w:b/>
          <w:bCs/>
          <w:spacing w:val="1"/>
          <w:w w:val="99"/>
        </w:rPr>
        <w:t> </w:t>
      </w:r>
      <w:r>
        <w:rPr/>
        <w:t>在应用本集团的会计政策的过程中，管理层作出了以下对财务报表所确认的金额具有重大影响的判断：</w:t>
      </w:r>
    </w:p>
    <w:p>
      <w:pPr>
        <w:spacing w:line="240" w:lineRule="auto" w:before="4"/>
        <w:rPr>
          <w:rFonts w:ascii="宋体" w:hAnsi="宋体" w:cs="宋体" w:eastAsia="宋体" w:hint="default"/>
          <w:sz w:val="25"/>
          <w:szCs w:val="25"/>
        </w:rPr>
      </w:pPr>
    </w:p>
    <w:p>
      <w:pPr>
        <w:pStyle w:val="BodyText"/>
        <w:spacing w:line="309" w:lineRule="auto"/>
        <w:ind w:left="154" w:right="1033"/>
        <w:jc w:val="left"/>
      </w:pPr>
      <w:r>
        <w:rPr/>
      </w:r>
      <w:r>
        <w:rPr>
          <w:u w:val="single" w:color="000000"/>
        </w:rPr>
        <w:t>经营租赁</w:t>
      </w:r>
      <w:r>
        <w:rPr>
          <w:rFonts w:ascii="Times New Roman" w:hAnsi="Times New Roman" w:cs="Times New Roman" w:eastAsia="Times New Roman" w:hint="default"/>
          <w:u w:val="single" w:color="000000"/>
        </w:rPr>
        <w:t>——</w:t>
      </w:r>
      <w:r>
        <w:rPr>
          <w:u w:val="single" w:color="000000"/>
        </w:rPr>
        <w:t>作为出租人</w:t>
      </w:r>
      <w:r>
        <w:rPr/>
      </w:r>
      <w:r>
        <w:rPr/>
        <w:t> </w:t>
      </w:r>
      <w:r>
        <w:rPr>
          <w:spacing w:val="-2"/>
        </w:rPr>
        <w:t>本集团就投资性房地产签订了租赁合同。本集团认为，根据租赁合同的条款，本集团保留了这些房地产所有权上的所有重大</w:t>
      </w:r>
      <w:r>
        <w:rPr>
          <w:spacing w:val="-66"/>
        </w:rPr>
        <w:t> </w:t>
      </w:r>
      <w:r>
        <w:rPr>
          <w:spacing w:val="-66"/>
        </w:rPr>
      </w:r>
      <w:r>
        <w:rPr/>
        <w:t>风险和报酬，因此作为经营租赁处理。</w:t>
      </w:r>
    </w:p>
    <w:p>
      <w:pPr>
        <w:spacing w:line="240" w:lineRule="auto" w:before="9"/>
        <w:rPr>
          <w:rFonts w:ascii="宋体" w:hAnsi="宋体" w:cs="宋体" w:eastAsia="宋体" w:hint="default"/>
          <w:sz w:val="25"/>
          <w:szCs w:val="25"/>
        </w:rPr>
      </w:pPr>
    </w:p>
    <w:p>
      <w:pPr>
        <w:pStyle w:val="Heading6"/>
        <w:spacing w:line="240" w:lineRule="auto"/>
        <w:ind w:left="154" w:right="1033"/>
        <w:jc w:val="left"/>
        <w:rPr>
          <w:b w:val="0"/>
          <w:bCs w:val="0"/>
        </w:rPr>
      </w:pPr>
      <w:r>
        <w:rPr/>
        <w:t>估计的不确定性</w:t>
      </w:r>
      <w:r>
        <w:rPr>
          <w:b w:val="0"/>
          <w:bCs w:val="0"/>
        </w:rPr>
      </w:r>
    </w:p>
    <w:p>
      <w:pPr>
        <w:spacing w:after="0" w:line="240" w:lineRule="auto"/>
        <w:jc w:val="left"/>
        <w:sectPr>
          <w:pgSz w:w="11910" w:h="16840"/>
          <w:pgMar w:header="851" w:footer="979" w:top="1320" w:bottom="1160" w:left="980" w:right="0"/>
        </w:sectPr>
      </w:pPr>
    </w:p>
    <w:p>
      <w:pPr>
        <w:pStyle w:val="BodyText"/>
        <w:spacing w:line="316" w:lineRule="auto" w:before="114"/>
        <w:ind w:left="154" w:right="1033"/>
        <w:jc w:val="left"/>
      </w:pPr>
      <w:r>
        <w:rPr>
          <w:spacing w:val="-2"/>
        </w:rPr>
        <w:t>以下为于资产负债表日有关未来的关键假设以及估计不确定性的其他关键来源，可能会导致未来会计期间资产和负债账面金</w:t>
      </w:r>
      <w:r>
        <w:rPr>
          <w:spacing w:val="-64"/>
        </w:rPr>
        <w:t> </w:t>
      </w:r>
      <w:r>
        <w:rPr>
          <w:spacing w:val="-64"/>
        </w:rPr>
      </w:r>
      <w:r>
        <w:rPr/>
        <w:t>额重大调整。</w:t>
      </w:r>
    </w:p>
    <w:p>
      <w:pPr>
        <w:spacing w:line="240" w:lineRule="auto" w:before="4"/>
        <w:rPr>
          <w:rFonts w:ascii="宋体" w:hAnsi="宋体" w:cs="宋体" w:eastAsia="宋体" w:hint="default"/>
          <w:sz w:val="25"/>
          <w:szCs w:val="25"/>
        </w:rPr>
      </w:pPr>
    </w:p>
    <w:p>
      <w:pPr>
        <w:pStyle w:val="BodyText"/>
        <w:spacing w:line="314" w:lineRule="auto"/>
        <w:ind w:left="154" w:right="1032"/>
        <w:jc w:val="left"/>
      </w:pPr>
      <w:r>
        <w:rPr/>
      </w:r>
      <w:r>
        <w:rPr>
          <w:u w:val="single" w:color="000000"/>
        </w:rPr>
        <w:t>除金融资产之外的非流动资产减值</w:t>
      </w:r>
      <w:r>
        <w:rPr>
          <w:rFonts w:ascii="Times New Roman" w:hAnsi="Times New Roman" w:cs="Times New Roman" w:eastAsia="Times New Roman" w:hint="default"/>
          <w:u w:val="single" w:color="000000"/>
        </w:rPr>
        <w:t>(</w:t>
      </w:r>
      <w:r>
        <w:rPr>
          <w:u w:val="single" w:color="000000"/>
        </w:rPr>
        <w:t>除商誉外</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r>
        <w:rPr>
          <w:rFonts w:ascii="Times New Roman" w:hAnsi="Times New Roman" w:cs="Times New Roman" w:eastAsia="Times New Roman" w:hint="default"/>
        </w:rPr>
        <w:t> </w:t>
      </w:r>
      <w:r>
        <w:rPr/>
        <w:t>本集团于资产负债表日对除金融资产之外的非流动资产判断是否存在可能发生减值的迹象。对使用寿命不确定的无形资产，</w:t>
      </w:r>
      <w:r>
        <w:rPr>
          <w:spacing w:val="-85"/>
        </w:rPr>
        <w:t> </w:t>
      </w:r>
      <w:r>
        <w:rPr>
          <w:spacing w:val="-85"/>
        </w:rPr>
      </w:r>
      <w:r>
        <w:rPr>
          <w:spacing w:val="-2"/>
        </w:rPr>
        <w:t>除每年进行的减值测试外，当其存在减值迹象时，也进行减值测试。其他除金融资产之外的非流动资产，当存在迹象表明其</w:t>
      </w:r>
      <w:r>
        <w:rPr>
          <w:spacing w:val="-66"/>
        </w:rPr>
        <w:t> </w:t>
      </w:r>
      <w:r>
        <w:rPr>
          <w:spacing w:val="-66"/>
        </w:rPr>
      </w:r>
      <w:r>
        <w:rPr>
          <w:spacing w:val="-2"/>
        </w:rPr>
        <w:t>账面金额不可收回时，进行减值测试。当资产或资产组的账面价值高于可收回金额，即公允价值减去处置费用后的净额和预</w:t>
      </w:r>
      <w:r>
        <w:rPr>
          <w:spacing w:val="-66"/>
        </w:rPr>
        <w:t> </w:t>
      </w:r>
      <w:r>
        <w:rPr>
          <w:spacing w:val="-66"/>
        </w:rPr>
      </w:r>
      <w:r>
        <w:rPr>
          <w:spacing w:val="-2"/>
        </w:rPr>
        <w:t>计未来现金流量的现值中的较高者，表明发生了减值。公允价值减去处置费用后的净额，参考公平交易中类似资产的销售协</w:t>
      </w:r>
      <w:r>
        <w:rPr>
          <w:spacing w:val="-66"/>
        </w:rPr>
        <w:t> </w:t>
      </w:r>
      <w:r>
        <w:rPr>
          <w:spacing w:val="-66"/>
        </w:rPr>
      </w:r>
      <w:r>
        <w:rPr>
          <w:spacing w:val="-2"/>
        </w:rPr>
        <w:t>议价格或可观察到的市场价格，减去可直接归属于该资产处置的增量成本确定。预计未来现金流量现值时，管理层必须估计</w:t>
      </w:r>
      <w:r>
        <w:rPr>
          <w:spacing w:val="-65"/>
        </w:rPr>
        <w:t> </w:t>
      </w:r>
      <w:r>
        <w:rPr>
          <w:spacing w:val="-65"/>
        </w:rPr>
      </w:r>
      <w:r>
        <w:rPr/>
        <w:t>该项资产或资产组的预计未来现金流量，并选择恰当的折现率确定未来现金流量的现值。</w:t>
      </w:r>
    </w:p>
    <w:p>
      <w:pPr>
        <w:spacing w:line="240" w:lineRule="auto" w:before="6"/>
        <w:rPr>
          <w:rFonts w:ascii="宋体" w:hAnsi="宋体" w:cs="宋体" w:eastAsia="宋体" w:hint="default"/>
          <w:sz w:val="25"/>
          <w:szCs w:val="25"/>
        </w:rPr>
      </w:pPr>
    </w:p>
    <w:p>
      <w:pPr>
        <w:pStyle w:val="BodyText"/>
        <w:spacing w:line="316" w:lineRule="auto"/>
        <w:ind w:left="154" w:right="1033"/>
        <w:jc w:val="left"/>
      </w:pPr>
      <w:r>
        <w:rPr/>
      </w:r>
      <w:r>
        <w:rPr>
          <w:u w:val="single" w:color="000000"/>
        </w:rPr>
        <w:t>递延所得税资产</w:t>
      </w:r>
      <w:r>
        <w:rPr/>
      </w:r>
      <w:r>
        <w:rPr/>
        <w:t> </w:t>
      </w:r>
      <w:r>
        <w:rPr>
          <w:spacing w:val="-2"/>
        </w:rPr>
        <w:t>在很可能有足够的应纳税所得额用以抵扣预提费用、抵销的内部未实现销售毛利和可抵扣亏损的限度内，确认递延所得税资</w:t>
      </w:r>
      <w:r>
        <w:rPr>
          <w:spacing w:val="-64"/>
        </w:rPr>
        <w:t> </w:t>
      </w:r>
      <w:r>
        <w:rPr>
          <w:spacing w:val="-64"/>
        </w:rPr>
      </w:r>
      <w:r>
        <w:rPr>
          <w:spacing w:val="-2"/>
        </w:rPr>
        <w:t>产。这需要管理层运用大量的判断来估计未来取得应纳税所得额的时间和金额，结合纳税筹划策略，以决定应确认的递延所</w:t>
      </w:r>
      <w:r>
        <w:rPr>
          <w:spacing w:val="-66"/>
        </w:rPr>
        <w:t> </w:t>
      </w:r>
      <w:r>
        <w:rPr>
          <w:spacing w:val="-66"/>
        </w:rPr>
      </w:r>
      <w:r>
        <w:rPr/>
        <w:t>得税资产的金额。</w:t>
      </w:r>
    </w:p>
    <w:p>
      <w:pPr>
        <w:spacing w:line="240" w:lineRule="auto" w:before="4"/>
        <w:rPr>
          <w:rFonts w:ascii="宋体" w:hAnsi="宋体" w:cs="宋体" w:eastAsia="宋体" w:hint="default"/>
          <w:sz w:val="25"/>
          <w:szCs w:val="25"/>
        </w:rPr>
      </w:pPr>
    </w:p>
    <w:p>
      <w:pPr>
        <w:pStyle w:val="BodyText"/>
        <w:spacing w:line="316" w:lineRule="auto"/>
        <w:ind w:left="154" w:right="1033"/>
        <w:jc w:val="left"/>
      </w:pPr>
      <w:r>
        <w:rPr/>
      </w:r>
      <w:r>
        <w:rPr>
          <w:u w:val="single" w:color="000000"/>
        </w:rPr>
        <w:t>对投资性房地产及固定资产使用寿命的评估</w:t>
      </w:r>
      <w:r>
        <w:rPr/>
      </w:r>
      <w:r>
        <w:rPr/>
        <w:t> </w:t>
      </w:r>
      <w:r>
        <w:rPr>
          <w:spacing w:val="-2"/>
        </w:rPr>
        <w:t>本集团基于对投资性房地产及固定资产预计使用寿命的预测确定投资性房地产及固定资产的折旧年限，这需要管理层运用大</w:t>
      </w:r>
      <w:r>
        <w:rPr>
          <w:spacing w:val="-64"/>
        </w:rPr>
        <w:t> </w:t>
      </w:r>
      <w:r>
        <w:rPr>
          <w:spacing w:val="-64"/>
        </w:rPr>
      </w:r>
      <w:r>
        <w:rPr/>
        <w:t>量的判断和估计，以决定适用的折旧年限。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033"/>
        <w:jc w:val="left"/>
        <w:rPr>
          <w:b w:val="0"/>
          <w:bCs w:val="0"/>
        </w:rPr>
      </w:pPr>
      <w:bookmarkStart w:name="27、重要会计政策和会计估计变更" w:id="196"/>
      <w:bookmarkEnd w:id="196"/>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重要会计政策变更" w:id="197"/>
      <w:bookmarkEnd w:id="19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重要会计估计变更" w:id="198"/>
      <w:bookmarkEnd w:id="19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六、税项" w:id="199"/>
      <w:bookmarkEnd w:id="19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主要税种及税率" w:id="200"/>
      <w:bookmarkEnd w:id="20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6%-17%</w:t>
            </w:r>
            <w:r>
              <w:rPr>
                <w:rFonts w:ascii="宋体" w:hAnsi="宋体" w:cs="宋体" w:eastAsia="宋体" w:hint="default"/>
                <w:spacing w:val="-5"/>
                <w:sz w:val="18"/>
                <w:szCs w:val="18"/>
              </w:rPr>
              <w:t>计算销项税，并按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扣除当期允许抵扣的进项税额后的差额 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50"/>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计缴城市维 护建设税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2"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spacing w:line="240" w:lineRule="auto" w:before="1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计缴企业所得税 </w:t>
            </w:r>
            <w:r>
              <w:rPr>
                <w:rFonts w:ascii="Times New Roman" w:hAnsi="Times New Roman" w:cs="Times New Roman" w:eastAsia="Times New Roman" w:hint="default"/>
                <w:sz w:val="18"/>
                <w:szCs w:val="18"/>
              </w:rPr>
              <w:t>(</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r>
    </w:tbl>
    <w:p>
      <w:pPr>
        <w:pStyle w:val="BodyText"/>
        <w:spacing w:line="240" w:lineRule="auto" w:before="51"/>
        <w:ind w:left="154" w:right="103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税收优惠" w:id="201"/>
      <w:bookmarkEnd w:id="20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spacing w:val="-1"/>
        </w:rPr>
        <w:t>本公司下属上海邦购信息科技有限公司，按《财税</w:t>
      </w:r>
      <w:r>
        <w:rPr>
          <w:rFonts w:ascii="Times New Roman" w:hAnsi="Times New Roman" w:cs="Times New Roman" w:eastAsia="Times New Roman" w:hint="default"/>
          <w:spacing w:val="-1"/>
        </w:rPr>
        <w:t>[2000]25</w:t>
      </w:r>
      <w:r>
        <w:rPr>
          <w:spacing w:val="-1"/>
        </w:rPr>
        <w:t>号关于鼓励软件产业和集成电路产业发展有关税收政策问题的通</w:t>
      </w:r>
      <w:r>
        <w:rPr>
          <w:spacing w:val="-55"/>
        </w:rPr>
        <w:t> </w:t>
      </w:r>
      <w:r>
        <w:rPr>
          <w:spacing w:val="-2"/>
        </w:rPr>
        <w:t>知》的有关规定享受企业所得税优惠政策，即自首个获利年度起，</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2011</w:t>
      </w:r>
      <w:r>
        <w:rPr>
          <w:spacing w:val="-2"/>
        </w:rPr>
        <w:t>年免缴企业所得税，自</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2014</w:t>
      </w:r>
      <w:r>
        <w:rPr>
          <w:spacing w:val="-2"/>
        </w:rPr>
        <w:t>年减半</w:t>
      </w:r>
      <w:r>
        <w:rPr>
          <w:spacing w:val="-49"/>
        </w:rPr>
        <w:t> </w:t>
      </w:r>
      <w:r>
        <w:rPr/>
        <w:t>缴纳企业所得税，本年度适用税率为</w:t>
      </w:r>
      <w:r>
        <w:rPr>
          <w:rFonts w:ascii="Times New Roman" w:hAnsi="Times New Roman" w:cs="Times New Roman" w:eastAsia="Times New Roman" w:hint="default"/>
        </w:rPr>
        <w:t>12.5%</w:t>
      </w:r>
      <w:r>
        <w:rPr/>
        <w:t>。</w:t>
      </w:r>
    </w:p>
    <w:p>
      <w:pPr>
        <w:spacing w:line="240" w:lineRule="auto" w:before="11"/>
        <w:rPr>
          <w:rFonts w:ascii="宋体" w:hAnsi="宋体" w:cs="宋体" w:eastAsia="宋体" w:hint="default"/>
          <w:sz w:val="24"/>
          <w:szCs w:val="24"/>
        </w:rPr>
      </w:pPr>
    </w:p>
    <w:p>
      <w:pPr>
        <w:pStyle w:val="BodyText"/>
        <w:spacing w:line="300" w:lineRule="auto"/>
        <w:ind w:right="1033"/>
        <w:jc w:val="left"/>
      </w:pPr>
      <w:r>
        <w:rPr>
          <w:spacing w:val="-1"/>
        </w:rPr>
        <w:t>本公司下属上海华邦科创信息科技有限公司，按《财税</w:t>
      </w:r>
      <w:r>
        <w:rPr>
          <w:rFonts w:ascii="Times New Roman" w:hAnsi="Times New Roman" w:cs="Times New Roman" w:eastAsia="Times New Roman" w:hint="default"/>
          <w:spacing w:val="-1"/>
        </w:rPr>
        <w:t>[2000]25</w:t>
      </w:r>
      <w:r>
        <w:rPr>
          <w:spacing w:val="-1"/>
        </w:rPr>
        <w:t>号关于鼓励软件产业和集成电路产业发展有关税收政策问题</w:t>
      </w:r>
      <w:r>
        <w:rPr>
          <w:spacing w:val="-55"/>
        </w:rPr>
        <w:t> </w:t>
      </w:r>
      <w:r>
        <w:rPr>
          <w:spacing w:val="-55"/>
        </w:rPr>
      </w:r>
      <w:r>
        <w:rPr/>
        <w:t>的通知》的有关规定享受企业所得税优惠政策，即自首个获利年度起，</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2013</w:t>
      </w:r>
      <w:r>
        <w:rPr/>
        <w:t>年免缴企业所得税，自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 </w:t>
      </w:r>
      <w:r>
        <w:rPr/>
        <w:t>年减半缴纳企业所得税，本年度适用税率为</w:t>
      </w:r>
      <w:r>
        <w:rPr>
          <w:rFonts w:ascii="Times New Roman" w:hAnsi="Times New Roman" w:cs="Times New Roman" w:eastAsia="Times New Roman" w:hint="default"/>
        </w:rPr>
        <w:t>12.5%</w:t>
      </w:r>
      <w:r>
        <w:rPr/>
        <w:t>。</w:t>
      </w:r>
    </w:p>
    <w:p>
      <w:pPr>
        <w:spacing w:line="240" w:lineRule="auto" w:before="4"/>
        <w:rPr>
          <w:rFonts w:ascii="宋体" w:hAnsi="宋体" w:cs="宋体" w:eastAsia="宋体" w:hint="default"/>
          <w:sz w:val="20"/>
          <w:szCs w:val="20"/>
        </w:rPr>
      </w:pPr>
    </w:p>
    <w:p>
      <w:pPr>
        <w:pStyle w:val="Heading3"/>
        <w:spacing w:line="240" w:lineRule="auto"/>
        <w:ind w:left="154" w:right="1033"/>
        <w:jc w:val="left"/>
        <w:rPr>
          <w:b w:val="0"/>
          <w:bCs w:val="0"/>
        </w:rPr>
      </w:pPr>
      <w:bookmarkStart w:name="七、合并财务报表项目注释" w:id="202"/>
      <w:bookmarkEnd w:id="20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货币资金" w:id="203"/>
      <w:bookmarkEnd w:id="20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2,773,571.00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1,393,339,115.00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1,066,791,565.00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11,512,153.00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5,033,733.00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1,407,459,236.00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1,074,598,869.00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其他说明</w:t>
      </w:r>
    </w:p>
    <w:p>
      <w:pPr>
        <w:pStyle w:val="BodyText"/>
        <w:spacing w:line="300" w:lineRule="auto" w:before="116"/>
        <w:ind w:left="154" w:right="1033"/>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日，本集团的使用权受到限制的货币资金为人民币</w:t>
      </w:r>
      <w:r>
        <w:rPr>
          <w:rFonts w:ascii="Times New Roman" w:hAnsi="Times New Roman" w:cs="Times New Roman" w:eastAsia="Times New Roman" w:hint="default"/>
        </w:rPr>
        <w:t>11,512,153 </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5,033,733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 银行活期存款按照银行活期存款利率取得利息收入。</w:t>
      </w:r>
    </w:p>
    <w:p>
      <w:pPr>
        <w:spacing w:line="240" w:lineRule="auto" w:before="6"/>
        <w:rPr>
          <w:rFonts w:ascii="宋体" w:hAnsi="宋体" w:cs="宋体" w:eastAsia="宋体" w:hint="default"/>
          <w:sz w:val="23"/>
          <w:szCs w:val="23"/>
        </w:rPr>
      </w:pPr>
    </w:p>
    <w:p>
      <w:pPr>
        <w:pStyle w:val="Heading4"/>
        <w:spacing w:line="240" w:lineRule="auto"/>
        <w:ind w:right="1033"/>
        <w:jc w:val="left"/>
        <w:rPr>
          <w:b w:val="0"/>
          <w:bCs w:val="0"/>
        </w:rPr>
      </w:pPr>
      <w:bookmarkStart w:name="2、应收票据" w:id="204"/>
      <w:bookmarkEnd w:id="20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收票据分类列示" w:id="205"/>
      <w:bookmarkEnd w:id="20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期末公司已质押的应收票据" w:id="206"/>
      <w:bookmarkEnd w:id="20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期末公司已背书或贴现且在资产负债表日尚未到期的应收票据" w:id="207"/>
      <w:bookmarkEnd w:id="20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328,610,000.00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328,610,000.00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期末公司因出票人未履约而将其转应收账款的票据" w:id="208"/>
      <w:bookmarkEnd w:id="20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7862"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18"/>
          <w:szCs w:val="18"/>
        </w:rPr>
        <w:t>已贴现或质押的商业承兑票据的说明</w:t>
      </w:r>
      <w:r>
        <w:rPr>
          <w:rFonts w:ascii="宋体" w:hAnsi="宋体" w:cs="宋体" w:eastAsia="宋体" w:hint="default"/>
          <w:sz w:val="18"/>
          <w:szCs w:val="18"/>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328,610,000</w:t>
      </w:r>
      <w:r>
        <w:rPr/>
        <w:t>元的商业承兑汇票已贴现取得短期借款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11,950,000</w:t>
      </w:r>
      <w:r>
        <w:rPr/>
        <w:t>元</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left="153" w:right="1033"/>
        <w:jc w:val="left"/>
        <w:rPr>
          <w:b w:val="0"/>
          <w:bCs w:val="0"/>
        </w:rPr>
      </w:pPr>
      <w:bookmarkStart w:name="3、应收账款" w:id="209"/>
      <w:bookmarkEnd w:id="20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分类披露" w:id="210"/>
      <w:bookmarkEnd w:id="2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96,030,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96,030,913.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256,879,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22,343,7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234,536,1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232,082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,651.00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8,308,778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223,773,87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256,879,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22,343,7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234,536,1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328,113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,564.00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8,308,778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319,804,78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6.00</w:t>
            </w:r>
          </w:p>
        </w:tc>
      </w:tr>
    </w:tbl>
    <w:p>
      <w:pPr>
        <w:pStyle w:val="BodyText"/>
        <w:spacing w:line="240" w:lineRule="auto" w:before="51"/>
        <w:ind w:left="154" w:right="1033"/>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09" w:lineRule="auto" w:before="39"/>
        <w:ind w:right="1243"/>
        <w:jc w:val="left"/>
        <w:rPr>
          <w:rFonts w:ascii="Times New Roman" w:hAnsi="Times New Roman" w:cs="Times New Roman" w:eastAsia="Times New Roman" w:hint="default"/>
        </w:rPr>
      </w:pPr>
      <w:r>
        <w:rPr/>
        <w:t>本集团的应收账款主要包括对加盟商和百货公司专柜的产品销售而产生的应收货款。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日，单项金额虽不重大但单独进行减值测试的应收账款坏账计提准备为人民币</w:t>
      </w:r>
      <w:r>
        <w:rPr>
          <w:rFonts w:ascii="Times New Roman" w:hAnsi="Times New Roman" w:cs="Times New Roman" w:eastAsia="Times New Roman" w:hint="default"/>
        </w:rPr>
        <w:t>22,343,771</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日：人民币</w:t>
      </w:r>
      <w:r>
        <w:rPr>
          <w:rFonts w:ascii="Times New Roman" w:hAnsi="Times New Roman" w:cs="Times New Roman" w:eastAsia="Times New Roman" w:hint="default"/>
        </w:rPr>
        <w:t>8,308,778</w:t>
      </w:r>
      <w:r>
        <w:rPr/>
        <w:t>元</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24"/>
          <w:szCs w:val="24"/>
        </w:rPr>
      </w:pPr>
    </w:p>
    <w:p>
      <w:pPr>
        <w:pStyle w:val="Heading4"/>
        <w:spacing w:line="240" w:lineRule="auto"/>
        <w:ind w:right="1033"/>
        <w:jc w:val="left"/>
        <w:rPr>
          <w:b w:val="0"/>
          <w:bCs w:val="0"/>
        </w:rPr>
      </w:pPr>
      <w:bookmarkStart w:name="（2）本期计提、收回或转回的坏账准备情况" w:id="211"/>
      <w:bookmarkEnd w:id="2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338" w:lineRule="auto" w:before="44"/>
        <w:ind w:left="154" w:right="-13"/>
        <w:jc w:val="left"/>
      </w:pPr>
      <w:r>
        <w:rPr/>
        <w:t>本期计提坏账准备金额</w:t>
      </w:r>
      <w:r>
        <w:rPr>
          <w:spacing w:val="-47"/>
        </w:rPr>
        <w:t> </w:t>
      </w:r>
      <w:r>
        <w:rPr>
          <w:rFonts w:ascii="Times New Roman" w:hAnsi="Times New Roman" w:cs="Times New Roman" w:eastAsia="Times New Roman" w:hint="default"/>
        </w:rPr>
        <w:t>20,864,719.00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52,285.00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单位：元</w:t>
      </w:r>
    </w:p>
    <w:p>
      <w:pPr>
        <w:spacing w:after="0" w:line="240" w:lineRule="auto"/>
        <w:jc w:val="left"/>
        <w:sectPr>
          <w:type w:val="continuous"/>
          <w:pgSz w:w="11910" w:h="16840"/>
          <w:pgMar w:top="1580" w:bottom="1160" w:left="980" w:right="0"/>
          <w:cols w:num="2" w:equalWidth="0">
            <w:col w:w="6950" w:space="1970"/>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52,285.00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52,285.00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10"/>
        <w:ind w:left="154" w:right="1033"/>
        <w:jc w:val="left"/>
      </w:pPr>
      <w:r>
        <w:rPr>
          <w:spacing w:val="-2"/>
        </w:rPr>
        <w:t>于资产负债表日，本公司获取客观证据表明应收账款的可回收金额大于账面价值，原确认的减值损失予以转回，计入当期损</w:t>
      </w:r>
      <w:r>
        <w:rPr>
          <w:spacing w:val="-66"/>
        </w:rPr>
        <w:t> </w:t>
      </w:r>
      <w:r>
        <w:rPr>
          <w:spacing w:val="-66"/>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033"/>
        <w:jc w:val="left"/>
        <w:rPr>
          <w:b w:val="0"/>
          <w:bCs w:val="0"/>
        </w:rPr>
      </w:pPr>
      <w:bookmarkStart w:name="（3）本期实际核销的应收账款情况" w:id="212"/>
      <w:bookmarkEnd w:id="2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6,777,441.00</w:t>
            </w:r>
          </w:p>
        </w:tc>
      </w:tr>
    </w:tbl>
    <w:p>
      <w:pPr>
        <w:pStyle w:val="BodyText"/>
        <w:spacing w:line="240" w:lineRule="auto" w:before="51"/>
        <w:ind w:left="154" w:right="1033"/>
        <w:jc w:val="left"/>
      </w:pPr>
      <w:r>
        <w:rPr/>
        <w:t>其中重要的应收账款核销情况：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逾期不可收回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6,777,441.00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1160" w:left="980" w:right="0"/>
        </w:sectPr>
      </w:pPr>
    </w:p>
    <w:p>
      <w:pPr>
        <w:pStyle w:val="BodyText"/>
        <w:spacing w:line="357" w:lineRule="auto" w:before="116"/>
        <w:ind w:left="254" w:right="9132"/>
        <w:jc w:val="left"/>
      </w:pPr>
      <w:r>
        <w:rPr/>
        <w:t>应收账款核销说明： 无</w:t>
      </w:r>
    </w:p>
    <w:p>
      <w:pPr>
        <w:spacing w:line="240" w:lineRule="auto" w:before="2"/>
        <w:rPr>
          <w:rFonts w:ascii="宋体" w:hAnsi="宋体" w:cs="宋体" w:eastAsia="宋体" w:hint="default"/>
          <w:sz w:val="20"/>
          <w:szCs w:val="20"/>
        </w:rPr>
      </w:pPr>
    </w:p>
    <w:p>
      <w:pPr>
        <w:pStyle w:val="Heading4"/>
        <w:spacing w:line="240" w:lineRule="auto"/>
        <w:ind w:left="254" w:right="4902"/>
        <w:jc w:val="left"/>
        <w:rPr>
          <w:b w:val="0"/>
          <w:bCs w:val="0"/>
        </w:rPr>
      </w:pPr>
      <w:bookmarkStart w:name="（4）按欠款方归集的期末余额前五吊的应收账款情况" w:id="213"/>
      <w:bookmarkEnd w:id="2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9132"/>
        <w:jc w:val="left"/>
      </w:pPr>
      <w:r>
        <w:rPr/>
        <w:t>单位：元</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046"/>
        <w:gridCol w:w="1904"/>
        <w:gridCol w:w="1904"/>
        <w:gridCol w:w="1905"/>
        <w:gridCol w:w="1903"/>
      </w:tblGrid>
      <w:tr>
        <w:trPr>
          <w:trHeight w:val="729" w:hRule="exact"/>
        </w:trPr>
        <w:tc>
          <w:tcPr>
            <w:tcW w:w="2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19,537,106.00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8%</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11,060,991.00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4%</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5,303,926.00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4,835,693.00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4,644,935.00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45,382,651.00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254" w:right="4902"/>
        <w:jc w:val="left"/>
        <w:rPr>
          <w:b w:val="0"/>
          <w:bCs w:val="0"/>
        </w:rPr>
      </w:pPr>
      <w:bookmarkStart w:name="（5）因金融资产转移而终止确认的应收账款" w:id="214"/>
      <w:bookmarkEnd w:id="2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9132"/>
        <w:jc w:val="left"/>
      </w:pPr>
      <w:r>
        <w:rPr/>
        <w:t>不适用</w:t>
      </w:r>
    </w:p>
    <w:p>
      <w:pPr>
        <w:spacing w:line="240" w:lineRule="auto" w:before="12"/>
        <w:rPr>
          <w:rFonts w:ascii="宋体" w:hAnsi="宋体" w:cs="宋体" w:eastAsia="宋体" w:hint="default"/>
          <w:sz w:val="26"/>
          <w:szCs w:val="26"/>
        </w:rPr>
      </w:pPr>
    </w:p>
    <w:p>
      <w:pPr>
        <w:pStyle w:val="Heading4"/>
        <w:spacing w:line="240" w:lineRule="auto"/>
        <w:ind w:left="254" w:right="4902"/>
        <w:jc w:val="left"/>
        <w:rPr>
          <w:b w:val="0"/>
          <w:bCs w:val="0"/>
        </w:rPr>
      </w:pPr>
      <w:bookmarkStart w:name="（6）转移应收账款且继续涉入形成的资产、负债金额" w:id="215"/>
      <w:bookmarkEnd w:id="2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254" w:right="9852"/>
        <w:jc w:val="left"/>
      </w:pPr>
      <w:r>
        <w:rPr/>
        <w:t>不适用 其他说明： 无</w:t>
      </w:r>
    </w:p>
    <w:p>
      <w:pPr>
        <w:spacing w:line="240" w:lineRule="auto" w:before="2"/>
        <w:rPr>
          <w:rFonts w:ascii="宋体" w:hAnsi="宋体" w:cs="宋体" w:eastAsia="宋体" w:hint="default"/>
          <w:sz w:val="20"/>
          <w:szCs w:val="20"/>
        </w:rPr>
      </w:pPr>
    </w:p>
    <w:p>
      <w:pPr>
        <w:pStyle w:val="Heading4"/>
        <w:spacing w:line="240" w:lineRule="auto"/>
        <w:ind w:left="254" w:right="9132"/>
        <w:jc w:val="left"/>
        <w:rPr>
          <w:b w:val="0"/>
          <w:bCs w:val="0"/>
        </w:rPr>
      </w:pPr>
      <w:bookmarkStart w:name="4、预付款项" w:id="216"/>
      <w:bookmarkEnd w:id="21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4902"/>
        <w:jc w:val="left"/>
        <w:rPr>
          <w:b w:val="0"/>
          <w:bCs w:val="0"/>
        </w:rPr>
      </w:pPr>
      <w:bookmarkStart w:name="（1）预付款项按账龄列示" w:id="217"/>
      <w:bookmarkEnd w:id="21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158,830,563.00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346,833,523.00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24,315,452.00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3,073,515.00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183,146,015.00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349,907,038.00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254" w:right="490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为获得尽量多的租金优惠金额，部分店铺提前支付了多于</w:t>
      </w:r>
      <w:r>
        <w:rPr>
          <w:rFonts w:ascii="Times New Roman" w:hAnsi="Times New Roman" w:cs="Times New Roman" w:eastAsia="Times New Roman" w:hint="default"/>
        </w:rPr>
        <w:t>1</w:t>
      </w:r>
      <w:r>
        <w:rPr/>
        <w:t>年的租金费用。</w:t>
      </w:r>
    </w:p>
    <w:p>
      <w:pPr>
        <w:spacing w:after="0" w:line="338" w:lineRule="auto"/>
        <w:jc w:val="left"/>
        <w:sectPr>
          <w:pgSz w:w="11910" w:h="16840"/>
          <w:pgMar w:header="851" w:footer="979" w:top="1320" w:bottom="1160" w:left="8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按预付对象归集的期末余额前五吊的预付款情况" w:id="218"/>
      <w:bookmarkEnd w:id="21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22"/>
        <w:gridCol w:w="2423"/>
        <w:gridCol w:w="2426"/>
        <w:gridCol w:w="2426"/>
      </w:tblGrid>
      <w:tr>
        <w:trPr>
          <w:trHeight w:val="356" w:hRule="exact"/>
        </w:trPr>
        <w:tc>
          <w:tcPr>
            <w:tcW w:w="24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2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left="57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56" w:hRule="exact"/>
        </w:trPr>
        <w:tc>
          <w:tcPr>
            <w:tcW w:w="2422" w:type="dxa"/>
            <w:tcBorders>
              <w:top w:val="single" w:sz="10"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12,344,086</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7%</w:t>
            </w:r>
          </w:p>
        </w:tc>
      </w:tr>
      <w:tr>
        <w:trPr>
          <w:trHeight w:val="35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10,000,000</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5%</w:t>
            </w:r>
          </w:p>
        </w:tc>
      </w:tr>
      <w:tr>
        <w:trPr>
          <w:trHeight w:val="3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8,850,934</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5%</w:t>
            </w:r>
          </w:p>
        </w:tc>
      </w:tr>
      <w:tr>
        <w:trPr>
          <w:trHeight w:val="371"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8,750,000</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5%</w:t>
            </w:r>
          </w:p>
        </w:tc>
      </w:tr>
      <w:tr>
        <w:trPr>
          <w:trHeight w:val="3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7,026,007</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4%</w:t>
            </w:r>
          </w:p>
        </w:tc>
      </w:tr>
      <w:tr>
        <w:trPr>
          <w:trHeight w:val="346" w:hRule="exact"/>
        </w:trPr>
        <w:tc>
          <w:tcPr>
            <w:tcW w:w="24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3"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46,971,027</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26%</w:t>
            </w:r>
          </w:p>
        </w:tc>
      </w:tr>
    </w:tbl>
    <w:p>
      <w:pPr>
        <w:spacing w:line="240" w:lineRule="auto" w:before="2"/>
        <w:rPr>
          <w:rFonts w:ascii="宋体" w:hAnsi="宋体" w:cs="宋体" w:eastAsia="宋体" w:hint="default"/>
          <w:b/>
          <w:bCs/>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5、其他应收款" w:id="219"/>
      <w:bookmarkEnd w:id="21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其他应收款分类披露" w:id="220"/>
      <w:bookmarkEnd w:id="22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16,052,9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14.00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16,052,91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820.00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50,165,820.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66,597,2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1,837,20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64,760,07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81,675,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397.00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81,675,397.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82,650,1</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86.00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1,837,20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80,812,98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131,841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,217.00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131,841,21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4"/>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1,837,200.00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6454" w:space="2465"/>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3）本期实际核销的其他应收款情况" w:id="222"/>
      <w:bookmarkEnd w:id="22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其中重要的其他应收款核销情况：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其他应收款按款项性质分类情况" w:id="223"/>
      <w:bookmarkEnd w:id="22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7,217,246.00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7,433,341.00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30,648,358.00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39,752,694.00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直营店营业款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18,038,849.00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21,819,437.00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50,165,820.00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22,722,106.00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2,770,566.00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4,023,627.00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9,899,359.00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82,650,186.00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131,841,217.00</w:t>
            </w: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5）按欠款方归集的期末余额前五吊的其他应收款情况" w:id="224"/>
      <w:bookmarkEnd w:id="22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type w:val="continuous"/>
          <w:pgSz w:w="11910" w:h="16840"/>
          <w:pgMar w:top="158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16,052,914.00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24,452,106.00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6）涉及政府补助的应收款项" w:id="225"/>
      <w:bookmarkEnd w:id="22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1033"/>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6、存货" w:id="226"/>
      <w:bookmarkEnd w:id="226"/>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29,363,418.00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29,363,418.00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35,106,953.00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35,106,953.00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1,715,976,506.00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1,403,314,570.00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1,682,112,863.00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141,116,428.00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1,540,996,435.00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2,957,563.00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2,957,563.00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3,644,837.00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3,644,837.00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1,748,297,487.00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1,435,635,551.00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1,720,864,653.00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141,116,428.00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1,579,748,225.00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存货跌价准备" w:id="228"/>
      <w:bookmarkEnd w:id="22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141,116,428.00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216,658,543.00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45,113,035.00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312,661,936.00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141,116,428.00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216,658,543.00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45,113,035.00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312,661,936.00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pStyle w:val="BodyText"/>
        <w:spacing w:line="319" w:lineRule="auto" w:before="114"/>
        <w:ind w:right="1033"/>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 </w:t>
      </w: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 对已经计提跌价准备的存货，如果有部分已经销售，则在结转销售成本时同时结转对其已计提的存货跌价准备。</w:t>
      </w:r>
    </w:p>
    <w:p>
      <w:pPr>
        <w:spacing w:line="240" w:lineRule="auto" w:before="5"/>
        <w:rPr>
          <w:rFonts w:ascii="宋体" w:hAnsi="宋体" w:cs="宋体" w:eastAsia="宋体" w:hint="default"/>
          <w:sz w:val="22"/>
          <w:szCs w:val="22"/>
        </w:rPr>
      </w:pPr>
    </w:p>
    <w:p>
      <w:pPr>
        <w:pStyle w:val="Heading4"/>
        <w:spacing w:line="240" w:lineRule="auto"/>
        <w:ind w:left="153" w:right="1033"/>
        <w:jc w:val="left"/>
        <w:rPr>
          <w:b w:val="0"/>
          <w:bCs w:val="0"/>
        </w:rPr>
      </w:pPr>
      <w:bookmarkStart w:name="7、其他流动资产" w:id="229"/>
      <w:bookmarkEnd w:id="22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11,109,140.00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98,517,455.00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持有待售长期股权投资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42,035,143.00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4,178,582.00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10,666,137.00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15,287,722.00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151,218,735.00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8、长期应收款" w:id="230"/>
      <w:bookmarkEnd w:id="230"/>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长期应收款情况" w:id="231"/>
      <w:bookmarkEnd w:id="23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227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商铺保证金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117,456,829.0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117,456,829.0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141,272,858.0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141,272,858.0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年长期应 收款采用的折 现率区间为 </w:t>
            </w:r>
            <w:r>
              <w:rPr>
                <w:rFonts w:ascii="Times New Roman" w:hAnsi="Times New Roman" w:cs="Times New Roman" w:eastAsia="Times New Roman" w:hint="default"/>
                <w:sz w:val="18"/>
                <w:szCs w:val="18"/>
              </w:rPr>
              <w:t>5.60%</w:t>
            </w:r>
            <w:r>
              <w:rPr>
                <w:rFonts w:ascii="宋体" w:hAnsi="宋体" w:cs="宋体" w:eastAsia="宋体" w:hint="default"/>
                <w:sz w:val="18"/>
                <w:szCs w:val="18"/>
              </w:rPr>
              <w:t>至</w:t>
            </w:r>
          </w:p>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6.56%(2013</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6.15%</w:t>
            </w:r>
            <w:r>
              <w:rPr>
                <w:rFonts w:ascii="宋体" w:hAnsi="宋体" w:cs="宋体" w:eastAsia="宋体" w:hint="default"/>
                <w:sz w:val="18"/>
                <w:szCs w:val="18"/>
              </w:rPr>
              <w:t>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6.56%)</w:t>
            </w:r>
            <w:r>
              <w:rPr>
                <w:rFonts w:ascii="宋体" w:hAnsi="宋体" w:cs="宋体" w:eastAsia="宋体" w:hint="default"/>
                <w:sz w:val="18"/>
                <w:szCs w:val="18"/>
              </w:rPr>
              <w:t>。</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加盟商借款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1,825,000.00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1,825,000.00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117,456,829.0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117,456,829.0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143,097,858.0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143,097,858.0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9、投资性房地产" w:id="232"/>
      <w:bookmarkEnd w:id="232"/>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采用成本计量模式的投资性房地产" w:id="233"/>
      <w:bookmarkEnd w:id="23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153,077,755.00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156,353,249.00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6,554,055.00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6,554,055.00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2,856,464.00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2,856,464.00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3,697,591.00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3,697,591.00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159,631,810.00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162,907,304.00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26,347,840.00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623,673.00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26,971,513.00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4,310,454.00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3,113,697.00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3,174,080.00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1,136,374.00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1,136,374.00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30,597,911.00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31,281,967.00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129,033,899.00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2,591,438.00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131,625,337.00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126,729,915.00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2,651,821.00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129,381,736.00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采用公允价值计量模式的投资性房地产" w:id="234"/>
      <w:bookmarkEnd w:id="23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53" w:right="1033"/>
        <w:jc w:val="left"/>
        <w:rPr>
          <w:b w:val="0"/>
          <w:bCs w:val="0"/>
        </w:rPr>
      </w:pPr>
      <w:bookmarkStart w:name="（3）未办妥产权证书的投资性房地产情况" w:id="235"/>
      <w:bookmarkEnd w:id="23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昆明龙城国际的房产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16,641,597.00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10、固定资产" w:id="236"/>
      <w:bookmarkEnd w:id="236"/>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固定资产情况" w:id="237"/>
      <w:bookmarkEnd w:id="23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2"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2,033,266,088.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37,246,175.00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82,216,070.00</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284,960,168.00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2,437,688,501.00</w:t>
            </w:r>
          </w:p>
        </w:tc>
      </w:tr>
      <w:tr>
        <w:trPr>
          <w:trHeight w:val="391"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15,648,399.00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827,278.00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1,542,406.00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21,623,260.00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39,641,343.00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972,672.00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827,278.00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1,542,406.00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21,623,260.00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24,965,616.00</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14,675,727.00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14,675,727.00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29,581,425.00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1,708,234.00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6,192,188.00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18,328,478.00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55,810,325.00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25,883,834.00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1,708,234.00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6,192,188.00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18,328,478.00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52,112,734.00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3,697,591.00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3,697,591.00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2,019,333,062.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36,365,219.00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77,566,288.00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288,254,950.00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2,421,519,519.00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235,973,080.00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31,522,144.00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47,747,455.00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173,287,922.00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488,530,601.00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47,568,863.00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1,915,994.00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5,539,809.00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37,918,547.00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92,943,213.00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47,568,863.00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1,915,994.00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5,539,809.00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37,918,547.00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92,943,213.00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5,001,470.00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1,266,808.00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4,640,962.00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13,579,941.00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24,489,181.00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3,865,096.00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1,266,808.00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4,640,962.00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13,579,941.00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23,352,807.00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1,136,374.00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1,136,374.00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278,540,473.00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32,171,330.00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48,646,302.00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197,626,528.00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556,984,633.00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1,740,792,589.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4,193,889.00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28,919,986.00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90,628,422.00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1,864,534,886.00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1,797,293,008.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5,724,031.00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34,468,615.00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111,672,246.00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1,949,157,900.00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暂时闲置的固定资产情况" w:id="238"/>
      <w:bookmarkEnd w:id="23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通过融资租赁租入的固定资产情况" w:id="239"/>
      <w:bookmarkEnd w:id="23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通过经营租赁租出的固定资产" w:id="240"/>
      <w:bookmarkEnd w:id="24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5）未办妥产权证书的固定资产情况" w:id="241"/>
      <w:bookmarkEnd w:id="24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西安万达的房产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49,769,839.00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11、在建工程" w:id="242"/>
      <w:bookmarkEnd w:id="242"/>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在建工程情况" w:id="243"/>
      <w:bookmarkEnd w:id="24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4,921,243.00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4,921,243.00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8,256,727.00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8,256,727.00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8,085,592.00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8,085,592.00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4,534,538.00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4,534,538.00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六灶工业园区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2,302,885.00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2,302,885.00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东莞办公室改良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176,242.00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176,242.00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250,844.00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250,844.00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990,117.00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990,117.00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4,463,715.00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4,463,715.00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14,397,796.00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14,397,796.00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19,734,107.00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19,734,107.00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重要在建工程项目本期变动情况" w:id="244"/>
      <w:bookmarkEnd w:id="24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六灶工 业园区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2,302,88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69,142.0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2,133,27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2,302,88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69,142.0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2,133,27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本期计提在建工程减值准备情况" w:id="245"/>
      <w:bookmarkEnd w:id="24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after="0" w:line="357"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12、无形资产" w:id="246"/>
      <w:bookmarkEnd w:id="246"/>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无形资产情况" w:id="247"/>
      <w:bookmarkEnd w:id="24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85,595,346.00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156,874,062.00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242,469,408.00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9,796,599.00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9,796,599.00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9,796,599.00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9,796,599.00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609,184.00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609,184.00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609,184.00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609,184.00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85,595,346.00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166,061,477.00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251,656,823.00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13,383,037.00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59,201,595.00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72,584,632.00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1,693,872.00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16,909,026.00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18,602,898.00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1,693,872.00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16,909,026.00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18,602,898.00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463,283.00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463,283.00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463,283.00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463,283.00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15,076,909.00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75,647,338.00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90,724,247.00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70,518,437.00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90,414,139.00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160,932,576.00</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72,212,309.00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97,672,467.00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169,884,776.00</w:t>
            </w:r>
          </w:p>
        </w:tc>
      </w:tr>
    </w:tbl>
    <w:p>
      <w:pPr>
        <w:pStyle w:val="BodyText"/>
        <w:spacing w:line="240" w:lineRule="auto" w:before="51"/>
        <w:ind w:left="154" w:right="10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未办妥产权证书的土地使用权情况" w:id="248"/>
      <w:bookmarkEnd w:id="24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13、开发支出" w:id="249"/>
      <w:bookmarkEnd w:id="249"/>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信息技术研发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47,561,557.00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47,561,557.00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86"/>
        <w:gridCol w:w="1208"/>
        <w:gridCol w:w="1196"/>
        <w:gridCol w:w="1197"/>
        <w:gridCol w:w="1195"/>
        <w:gridCol w:w="1197"/>
        <w:gridCol w:w="1196"/>
        <w:gridCol w:w="1195"/>
      </w:tblGrid>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47,561,557.00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47,561,557.00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83"/>
        <w:jc w:val="left"/>
      </w:pPr>
      <w:r>
        <w:rPr/>
        <w:t>其他说明 本期开发支出占本期研究开发项目支出总额的比例</w:t>
      </w:r>
      <w:r>
        <w:rPr>
          <w:rFonts w:ascii="Times New Roman" w:hAnsi="Times New Roman" w:cs="Times New Roman" w:eastAsia="Times New Roman" w:hint="default"/>
        </w:rPr>
        <w:t>49%</w:t>
      </w:r>
      <w:r>
        <w:rPr/>
        <w:t>。</w:t>
      </w:r>
    </w:p>
    <w:p>
      <w:pPr>
        <w:pStyle w:val="BodyText"/>
        <w:spacing w:line="214" w:lineRule="exact"/>
        <w:ind w:left="154" w:right="1033"/>
        <w:jc w:val="left"/>
      </w:pPr>
      <w:r>
        <w:rPr/>
        <w:t>通过公司内部研发形成的无形资产占无形资产期末账面价值的比例</w:t>
      </w:r>
      <w:r>
        <w:rPr>
          <w:rFonts w:ascii="Times New Roman" w:hAnsi="Times New Roman" w:cs="Times New Roman" w:eastAsia="Times New Roman" w:hint="default"/>
        </w:rPr>
        <w:t>0%</w:t>
      </w:r>
      <w:r>
        <w:rPr/>
        <w:t>。</w:t>
      </w:r>
    </w:p>
    <w:p>
      <w:pPr>
        <w:spacing w:line="240" w:lineRule="auto" w:before="12"/>
        <w:rPr>
          <w:rFonts w:ascii="宋体" w:hAnsi="宋体" w:cs="宋体" w:eastAsia="宋体" w:hint="default"/>
          <w:sz w:val="25"/>
          <w:szCs w:val="25"/>
        </w:rPr>
      </w:pPr>
    </w:p>
    <w:p>
      <w:pPr>
        <w:pStyle w:val="Heading4"/>
        <w:spacing w:line="240" w:lineRule="auto"/>
        <w:ind w:left="153" w:right="1033"/>
        <w:jc w:val="left"/>
        <w:rPr>
          <w:b w:val="0"/>
          <w:bCs w:val="0"/>
        </w:rPr>
      </w:pPr>
      <w:bookmarkStart w:name="14、长期待摊费用" w:id="250"/>
      <w:bookmarkEnd w:id="25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152,580,042.00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78,615,459.00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98,137,809.00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40,497,640.00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92,560,052.00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预付租金一年以上 部分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30,680,377.00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24,084,234.00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22,610,505.00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32,154,106.00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183,260,419.00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102,699,693.00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120,748,314.00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40,497,640.00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124,714,158.00</w:t>
            </w:r>
          </w:p>
        </w:tc>
      </w:tr>
    </w:tbl>
    <w:p>
      <w:pPr>
        <w:pStyle w:val="BodyText"/>
        <w:spacing w:line="357" w:lineRule="auto" w:before="51"/>
        <w:ind w:right="4723"/>
        <w:jc w:val="left"/>
      </w:pPr>
      <w:r>
        <w:rPr/>
        <w:t>其他说明 其他减少额中包含本年计提的长期待摊费用中装修费减值准备</w:t>
      </w:r>
      <w:r>
        <w:rPr>
          <w:rFonts w:ascii="Times New Roman" w:hAnsi="Times New Roman" w:cs="Times New Roman" w:eastAsia="Times New Roman" w:hint="default"/>
        </w:rPr>
        <w:t>16,905,705</w:t>
      </w:r>
      <w:r>
        <w:rPr/>
        <w:t>元。</w:t>
      </w:r>
    </w:p>
    <w:p>
      <w:pPr>
        <w:spacing w:line="240" w:lineRule="auto" w:before="5"/>
        <w:rPr>
          <w:rFonts w:ascii="宋体" w:hAnsi="宋体" w:cs="宋体" w:eastAsia="宋体" w:hint="default"/>
          <w:sz w:val="18"/>
          <w:szCs w:val="18"/>
        </w:rPr>
      </w:pPr>
    </w:p>
    <w:p>
      <w:pPr>
        <w:pStyle w:val="Heading4"/>
        <w:spacing w:line="240" w:lineRule="auto"/>
        <w:ind w:left="153" w:right="1033"/>
        <w:jc w:val="left"/>
        <w:rPr>
          <w:b w:val="0"/>
          <w:bCs w:val="0"/>
        </w:rPr>
      </w:pPr>
      <w:bookmarkStart w:name="15、递延所得税资产/递延所得税负债" w:id="251"/>
      <w:bookmarkEnd w:id="251"/>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未经抵销的递延所得税资产" w:id="252"/>
      <w:bookmarkEnd w:id="25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45,324,622.00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11,331,156.00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145,123,008.00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36,275,341.00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362,713,028.00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90,678,257.00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450,119,400.00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112,529,850.00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1,215,561,211.00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303,890,303.00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1,261,718,309.00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315,429,577.00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96,463,775.00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23,858,038.00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86,591,520.00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21,647,880.00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1,720,062,636.00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1,943,552,237.00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485,882,648.00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以抵销后净额列示的递延所得税资产或负债" w:id="253"/>
      <w:bookmarkEnd w:id="253"/>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429,757,754.00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429,757,754.00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485,882,648.00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485,882,648.00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未确认递延所得税资产明细" w:id="254"/>
      <w:bookmarkEnd w:id="254"/>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footerReference w:type="default" r:id="rId24"/>
          <w:pgSz w:w="11910" w:h="16840"/>
          <w:pgMar w:footer="979" w:header="851"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501,976,893.00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59,868,117.00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546,576,153.00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681,492,947.00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抵消内部交易未实现利润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24,479,388.00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33,304,795.00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1,073,032,434.00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774,665,859.00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未确认递延所得税资产的可抵扣亏损将于以下年度到期" w:id="255"/>
      <w:bookmarkEnd w:id="255"/>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54,482,001.00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68,434,413.00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128,409,948.00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235,708,524.00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245,623,219.00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179,372,214.00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195,862,112.00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39,443,650.00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57,115,667.00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23,617,352.00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546,576,153.00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681,492,947.00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16、其他非流动资产" w:id="256"/>
      <w:bookmarkEnd w:id="256"/>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bl>
    <w:p>
      <w:pPr>
        <w:pStyle w:val="BodyText"/>
        <w:spacing w:line="240" w:lineRule="auto" w:before="51"/>
        <w:ind w:left="154" w:right="1033"/>
        <w:jc w:val="left"/>
      </w:pPr>
      <w:r>
        <w:rPr/>
        <w:t>其他说明：</w:t>
      </w:r>
    </w:p>
    <w:p>
      <w:pPr>
        <w:pStyle w:val="BodyText"/>
        <w:spacing w:line="240" w:lineRule="auto" w:before="116"/>
        <w:ind w:right="1033"/>
        <w:jc w:val="left"/>
        <w:rPr>
          <w:rFonts w:ascii="Times New Roman" w:hAnsi="Times New Roman" w:cs="Times New Roman" w:eastAsia="Times New Roman" w:hint="default"/>
        </w:rPr>
      </w:pPr>
      <w:r>
        <w:rPr/>
        <w:t>本集团于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日出资人民币</w:t>
      </w:r>
      <w:r>
        <w:rPr>
          <w:spacing w:val="-46"/>
        </w:rPr>
        <w:t> </w:t>
      </w:r>
      <w:r>
        <w:rPr>
          <w:rFonts w:ascii="Times New Roman" w:hAnsi="Times New Roman" w:cs="Times New Roman" w:eastAsia="Times New Roman" w:hint="default"/>
        </w:rPr>
        <w:t>450,000,000 </w:t>
      </w:r>
      <w:r>
        <w:rPr/>
        <w:t>元认缴上海华瑞银行股份有限公司</w:t>
      </w:r>
      <w:r>
        <w:rPr>
          <w:spacing w:val="-46"/>
        </w:rPr>
        <w:t> </w:t>
      </w:r>
      <w:r>
        <w:rPr>
          <w:rFonts w:ascii="Times New Roman" w:hAnsi="Times New Roman" w:cs="Times New Roman" w:eastAsia="Times New Roman" w:hint="default"/>
        </w:rPr>
        <w:t>15%</w:t>
      </w:r>
      <w:r>
        <w:rPr/>
        <w:t>的股权。截至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p>
    <w:p>
      <w:pPr>
        <w:pStyle w:val="BodyText"/>
        <w:spacing w:line="240" w:lineRule="auto" w:before="64"/>
        <w:ind w:left="154" w:right="1033"/>
        <w:jc w:val="left"/>
      </w:pPr>
      <w:r>
        <w:rPr/>
        <w:t>日，上海华瑞银行股份有限公司尚未正式注册成立，本集团将该投资款作为其他非流动资产核算。</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17、短期借款" w:id="257"/>
      <w:bookmarkEnd w:id="257"/>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短期借款分类" w:id="258"/>
      <w:bookmarkEnd w:id="25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300,000,000.00</w:t>
            </w:r>
          </w:p>
        </w:tc>
      </w:tr>
    </w:tbl>
    <w:p>
      <w:pPr>
        <w:spacing w:after="0" w:line="240" w:lineRule="auto"/>
        <w:jc w:val="left"/>
        <w:rPr>
          <w:rFonts w:ascii="Times New Roman" w:hAnsi="Times New Roman" w:cs="Times New Roman" w:eastAsia="Times New Roman" w:hint="default"/>
          <w:sz w:val="18"/>
          <w:szCs w:val="18"/>
        </w:rPr>
        <w:sectPr>
          <w:footerReference w:type="default" r:id="rId25"/>
          <w:pgSz w:w="11910" w:h="16840"/>
          <w:pgMar w:footer="979" w:header="851" w:top="1320" w:bottom="1160" w:left="980" w:right="0"/>
          <w:pgNumType w:start="101"/>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50,020,418.00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187,728,458.00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778,630,418.00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499,678,458.00</w:t>
            </w:r>
          </w:p>
        </w:tc>
      </w:tr>
    </w:tbl>
    <w:p>
      <w:pPr>
        <w:pStyle w:val="BodyText"/>
        <w:spacing w:line="357" w:lineRule="auto" w:before="51"/>
        <w:ind w:left="154" w:right="8952"/>
        <w:jc w:val="left"/>
      </w:pPr>
      <w:r>
        <w:rPr/>
        <w:t>短期借款分类的说明：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已逾期未偿还的短期借款情况" w:id="259"/>
      <w:bookmarkEnd w:id="25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893"/>
        <w:jc w:val="left"/>
      </w:pPr>
      <w:r>
        <w:rPr/>
        <w:t>其他说明：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日，本集团没有已到期但未偿还的短期借款。</w:t>
      </w:r>
    </w:p>
    <w:p>
      <w:pPr>
        <w:pStyle w:val="BodyText"/>
        <w:spacing w:line="214" w:lineRule="exact"/>
        <w:ind w:left="154" w:right="1033"/>
        <w:jc w:val="left"/>
      </w:pPr>
      <w:r>
        <w:rPr/>
        <w:t>本集团的抵押借款是以本集团所拥有的投资性房地产</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49,161,749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40" w:lineRule="auto" w:before="63"/>
        <w:ind w:right="1033"/>
        <w:jc w:val="left"/>
      </w:pPr>
      <w:r>
        <w:rPr>
          <w:rFonts w:ascii="Times New Roman" w:hAnsi="Times New Roman" w:cs="Times New Roman" w:eastAsia="Times New Roman" w:hint="default"/>
        </w:rPr>
        <w:t>50,569,387</w:t>
      </w:r>
      <w:r>
        <w:rPr/>
        <w:t>元</w:t>
      </w:r>
      <w:r>
        <w:rPr>
          <w:rFonts w:ascii="Times New Roman" w:hAnsi="Times New Roman" w:cs="Times New Roman" w:eastAsia="Times New Roman" w:hint="default"/>
        </w:rPr>
        <w:t>)</w:t>
      </w:r>
      <w:r>
        <w:rPr/>
        <w:t>、房屋建筑物</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1,179,495,757</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p>
    <w:p>
      <w:pPr>
        <w:pStyle w:val="BodyText"/>
        <w:spacing w:line="240" w:lineRule="auto" w:before="63"/>
        <w:ind w:left="154" w:right="1033"/>
        <w:jc w:val="left"/>
      </w:pPr>
      <w:r>
        <w:rPr>
          <w:rFonts w:ascii="Times New Roman" w:hAnsi="Times New Roman" w:cs="Times New Roman" w:eastAsia="Times New Roman" w:hint="default"/>
        </w:rPr>
        <w:t>1,196,353,674</w:t>
      </w:r>
      <w:r>
        <w:rPr/>
        <w:t>元</w:t>
      </w:r>
      <w:r>
        <w:rPr>
          <w:rFonts w:ascii="Times New Roman" w:hAnsi="Times New Roman" w:cs="Times New Roman" w:eastAsia="Times New Roman" w:hint="default"/>
        </w:rPr>
        <w:t>)</w:t>
      </w:r>
      <w:r>
        <w:rPr/>
        <w:t>和土地使用权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70,518,435</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p>
    <w:p>
      <w:pPr>
        <w:pStyle w:val="BodyText"/>
        <w:spacing w:line="240" w:lineRule="auto" w:before="63"/>
        <w:ind w:right="1033"/>
        <w:jc w:val="left"/>
      </w:pPr>
      <w:r>
        <w:rPr>
          <w:rFonts w:ascii="Times New Roman" w:hAnsi="Times New Roman" w:cs="Times New Roman" w:eastAsia="Times New Roman" w:hint="default"/>
          <w:spacing w:val="-3"/>
        </w:rPr>
        <w:t>72,212,309</w:t>
      </w:r>
      <w:r>
        <w:rPr>
          <w:spacing w:val="-3"/>
        </w:rPr>
        <w:t>元</w:t>
      </w:r>
      <w:r>
        <w:rPr>
          <w:rFonts w:ascii="Times New Roman" w:hAnsi="Times New Roman" w:cs="Times New Roman" w:eastAsia="Times New Roman" w:hint="default"/>
          <w:spacing w:val="-3"/>
        </w:rPr>
        <w:t>)</w:t>
      </w:r>
      <w:r>
        <w:rPr>
          <w:spacing w:val="-3"/>
        </w:rPr>
        <w:t>作抵押。于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日，本集团实际取得的抵押借款余额为人民币</w:t>
      </w:r>
      <w:r>
        <w:rPr>
          <w:rFonts w:ascii="Times New Roman" w:hAnsi="Times New Roman" w:cs="Times New Roman" w:eastAsia="Times New Roman" w:hint="default"/>
          <w:spacing w:val="-3"/>
        </w:rPr>
        <w:t>4</w:t>
      </w:r>
      <w:r>
        <w:rPr>
          <w:spacing w:val="-3"/>
        </w:rPr>
        <w:t>亿元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3</w:t>
      </w:r>
      <w:r>
        <w:rPr>
          <w:spacing w:val="-3"/>
        </w:rPr>
        <w:t>亿元</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left="153" w:right="1033"/>
        <w:jc w:val="left"/>
        <w:rPr>
          <w:b w:val="0"/>
          <w:bCs w:val="0"/>
        </w:rPr>
      </w:pPr>
      <w:bookmarkStart w:name="18、应付票据" w:id="260"/>
      <w:bookmarkEnd w:id="260"/>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18,336,468.00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16,166,461.00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18,336,468.00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16,166,461.00</w:t>
            </w:r>
          </w:p>
        </w:tc>
      </w:tr>
    </w:tbl>
    <w:p>
      <w:pPr>
        <w:pStyle w:val="BodyText"/>
        <w:spacing w:line="240" w:lineRule="auto" w:before="51"/>
        <w:ind w:left="154" w:right="1033"/>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19、应付账款" w:id="261"/>
      <w:bookmarkEnd w:id="261"/>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应付账款列示" w:id="262"/>
      <w:bookmarkEnd w:id="26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272,405,652.00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155,083,703.00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42,919,623.00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10,732,986.00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33,515,523.00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42,940,156.00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348,840,798.00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208,756,845.00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账龄超过1年的重要应付账款" w:id="263"/>
      <w:bookmarkEnd w:id="26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0、预收款项" w:id="264"/>
      <w:bookmarkEnd w:id="264"/>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预收款项列示" w:id="265"/>
      <w:bookmarkEnd w:id="26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63,122,521.00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66,610,401.00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63,122,521.00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66,610,401.00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账龄超过1年的重要预收款项" w:id="266"/>
      <w:bookmarkEnd w:id="26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1、应付职工薪酬" w:id="267"/>
      <w:bookmarkEnd w:id="267"/>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付职工薪酬列示" w:id="268"/>
      <w:bookmarkEnd w:id="26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122,732,457.00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776,007,434.00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772,231,260.00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126,508,631.00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2,756,316.00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80,324,963.00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80,111,765.00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2,969,514.00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125,488,773.00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856,332,397.00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852,343,025.00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129,478,145.00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短期薪酬列示" w:id="269"/>
      <w:bookmarkEnd w:id="26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101,335,712.00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646,699,293.00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643,281,893.00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1" w:right="0"/>
              <w:jc w:val="left"/>
              <w:rPr>
                <w:rFonts w:ascii="Times New Roman" w:hAnsi="Times New Roman" w:cs="Times New Roman" w:eastAsia="Times New Roman" w:hint="default"/>
                <w:sz w:val="18"/>
                <w:szCs w:val="18"/>
              </w:rPr>
            </w:pPr>
            <w:r>
              <w:rPr>
                <w:rFonts w:ascii="Times New Roman"/>
                <w:sz w:val="18"/>
              </w:rPr>
              <w:t>104,753,112.00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65,767,866.00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65,786,226.00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41,077,808.00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40,865,824.00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2,021,264.00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1,625,123.00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35,980,917.00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35,741,580.00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1,864,460.00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2,209,889.00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44,105.00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2,915,611.00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488,770.00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17,027,917.00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16,964,405.00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552,282.00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19,080,335.00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5,332,912.00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19,181,973.00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122,732,457.00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776,007,434.00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772,231,260.00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126,508,631.00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设定提存计划列示" w:id="270"/>
      <w:bookmarkEnd w:id="27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2,444,183.00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74,559,255.00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74,286,696.00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2,716,742.00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312,133.00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5,765,708.00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5,825,069.00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2,756,316.00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80,324,963.00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80,111,765.00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2,969,514.00</w:t>
            </w:r>
          </w:p>
        </w:tc>
      </w:tr>
    </w:tbl>
    <w:p>
      <w:pPr>
        <w:pStyle w:val="BodyText"/>
        <w:spacing w:line="240" w:lineRule="auto" w:before="51"/>
        <w:ind w:left="154" w:right="1033"/>
        <w:jc w:val="left"/>
      </w:pPr>
      <w:r>
        <w:rPr/>
        <w:t>其他说明：</w:t>
      </w:r>
    </w:p>
    <w:p>
      <w:pPr>
        <w:pStyle w:val="BodyText"/>
        <w:spacing w:line="240" w:lineRule="auto" w:before="116"/>
        <w:ind w:right="1033"/>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日，本集团无属于拖欠性质的应付职工薪酬</w:t>
      </w:r>
      <w:r>
        <w:rPr>
          <w:spacing w:val="-2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240" w:lineRule="auto" w:before="139"/>
        <w:ind w:right="1033"/>
        <w:jc w:val="left"/>
      </w:pPr>
      <w:r>
        <w:rPr>
          <w:rFonts w:ascii="Times New Roman" w:hAnsi="Times New Roman" w:cs="Times New Roman" w:eastAsia="Times New Roman" w:hint="default"/>
        </w:rPr>
        <w:t>2014</w:t>
      </w:r>
      <w:r>
        <w:rPr/>
        <w:t>年工会经费和职工教育经费发生额为人民币</w:t>
      </w:r>
      <w:r>
        <w:rPr>
          <w:rFonts w:ascii="Times New Roman" w:hAnsi="Times New Roman" w:cs="Times New Roman" w:eastAsia="Times New Roman" w:hint="default"/>
        </w:rPr>
        <w:t>5,434,550</w:t>
      </w:r>
      <w:r>
        <w:rPr/>
        <w:t>元</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16,656,096</w:t>
      </w:r>
      <w:r>
        <w:rPr/>
        <w:t>元</w:t>
      </w:r>
      <w:r>
        <w:rPr>
          <w:rFonts w:ascii="Times New Roman" w:hAnsi="Times New Roman" w:cs="Times New Roman" w:eastAsia="Times New Roman" w:hint="default"/>
        </w:rPr>
        <w:t>)</w:t>
      </w:r>
      <w:r>
        <w:rPr/>
        <w:t>，非货币性福利发生额为人民币</w:t>
      </w:r>
    </w:p>
    <w:p>
      <w:pPr>
        <w:pStyle w:val="BodyText"/>
        <w:spacing w:line="240" w:lineRule="auto" w:before="63"/>
        <w:ind w:right="1033"/>
        <w:jc w:val="left"/>
      </w:pPr>
      <w:r>
        <w:rPr>
          <w:rFonts w:ascii="Times New Roman" w:hAnsi="Times New Roman" w:cs="Times New Roman" w:eastAsia="Times New Roman" w:hint="default"/>
        </w:rPr>
        <w:t>65,767,866</w:t>
      </w:r>
      <w:r>
        <w:rPr/>
        <w:t>元</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68,319,539</w:t>
      </w:r>
      <w:r>
        <w:rPr/>
        <w:t>元</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240" w:lineRule="auto" w:before="139"/>
        <w:ind w:right="1033"/>
        <w:jc w:val="left"/>
      </w:pPr>
      <w:r>
        <w:rPr>
          <w:rFonts w:ascii="Times New Roman" w:hAnsi="Times New Roman" w:cs="Times New Roman" w:eastAsia="Times New Roman" w:hint="default"/>
        </w:rPr>
        <w:t>2014</w:t>
      </w:r>
      <w:r>
        <w:rPr/>
        <w:t>年因解除劳动关系给予补偿人民币</w:t>
      </w:r>
      <w:r>
        <w:rPr>
          <w:rFonts w:ascii="Times New Roman" w:hAnsi="Times New Roman" w:cs="Times New Roman" w:eastAsia="Times New Roman" w:hint="default"/>
        </w:rPr>
        <w:t>6,718,885</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26,543,333</w:t>
      </w:r>
      <w:r>
        <w:rPr/>
        <w:t>元）。</w:t>
      </w:r>
    </w:p>
    <w:p>
      <w:pPr>
        <w:spacing w:line="240" w:lineRule="auto" w:before="11"/>
        <w:rPr>
          <w:rFonts w:ascii="宋体" w:hAnsi="宋体" w:cs="宋体" w:eastAsia="宋体" w:hint="default"/>
          <w:sz w:val="25"/>
          <w:szCs w:val="25"/>
        </w:rPr>
      </w:pPr>
    </w:p>
    <w:p>
      <w:pPr>
        <w:pStyle w:val="Heading4"/>
        <w:spacing w:line="240" w:lineRule="auto"/>
        <w:ind w:left="153" w:right="1033"/>
        <w:jc w:val="left"/>
        <w:rPr>
          <w:b w:val="0"/>
          <w:bCs w:val="0"/>
        </w:rPr>
      </w:pPr>
      <w:bookmarkStart w:name="22、应交税费" w:id="271"/>
      <w:bookmarkEnd w:id="271"/>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42,200,312.00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102,991,741.00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108,122,812.00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3,268,703.00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2,539,084.00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2,690,199.00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4,486,145.00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3,728,317.00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18,700,124.00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16,136,951.00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509,763.00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958,387.00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130,487,918.00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178,172,008.00</w:t>
            </w:r>
          </w:p>
        </w:tc>
      </w:tr>
    </w:tbl>
    <w:p>
      <w:pPr>
        <w:pStyle w:val="BodyText"/>
        <w:spacing w:line="240" w:lineRule="auto" w:before="51"/>
        <w:ind w:left="154" w:right="1033"/>
        <w:jc w:val="left"/>
      </w:pPr>
      <w:r>
        <w:rPr/>
        <w:t>其他说明：</w:t>
      </w:r>
    </w:p>
    <w:p>
      <w:pPr>
        <w:spacing w:after="0" w:line="240" w:lineRule="auto"/>
        <w:jc w:val="left"/>
        <w:sectPr>
          <w:pgSz w:w="11910" w:h="16840"/>
          <w:pgMar w:header="851" w:footer="979" w:top="1320" w:bottom="1160" w:left="980" w:right="0"/>
        </w:sectPr>
      </w:pPr>
    </w:p>
    <w:p>
      <w:pPr>
        <w:pStyle w:val="BodyText"/>
        <w:spacing w:line="240" w:lineRule="auto" w:before="114"/>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23、应付股利" w:id="272"/>
      <w:bookmarkEnd w:id="272"/>
      <w:r>
        <w:rPr>
          <w:b w:val="0"/>
          <w:bCs w:val="0"/>
        </w:rPr>
      </w:r>
      <w:r>
        <w:rPr>
          <w:rFonts w:ascii="Times New Roman" w:hAnsi="Times New Roman" w:cs="Times New Roman" w:eastAsia="Times New Roman" w:hint="default"/>
        </w:rPr>
        <w:t>23</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4"/>
        <w:spacing w:line="240" w:lineRule="auto"/>
        <w:ind w:left="153" w:right="1033"/>
        <w:jc w:val="left"/>
        <w:rPr>
          <w:b w:val="0"/>
          <w:bCs w:val="0"/>
        </w:rPr>
      </w:pPr>
      <w:bookmarkStart w:name="24、其他应付款" w:id="273"/>
      <w:bookmarkEnd w:id="27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按款项性质列示其他应付款" w:id="274"/>
      <w:bookmarkEnd w:id="27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95,849,869.00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88,276,319.00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11,073,316.00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8,694,430.00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53,213,729.00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51,109,357.00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80,268,204.00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33,844,408.00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32,258,618.00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23,166,598.00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272,663,736.00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205,091,112.00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账龄超过1年的重要其他应付款" w:id="275"/>
      <w:bookmarkEnd w:id="27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5、其他流动负债" w:id="276"/>
      <w:bookmarkEnd w:id="276"/>
      <w:r>
        <w:rPr>
          <w:b w:val="0"/>
          <w:bCs w:val="0"/>
        </w:rPr>
      </w:r>
      <w:r>
        <w:rPr>
          <w:rFonts w:ascii="Times New Roman" w:hAnsi="Times New Roman" w:cs="Times New Roman" w:eastAsia="Times New Roman" w:hint="default"/>
        </w:rPr>
        <w:t>25</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828,992,877.00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828,992,877.00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pStyle w:val="BodyText"/>
        <w:spacing w:line="240" w:lineRule="auto" w:before="116"/>
        <w:ind w:left="154" w:right="1033"/>
        <w:jc w:val="left"/>
      </w:pPr>
      <w:r>
        <w:rPr/>
        <w:t>短期应付债券的增减变动：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 第一期短 期融资券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697,200,0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697,200,0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32,685,20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1,894,795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731,780,0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 第一期短 期融资券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796,800,0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828,992,8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5,689,863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835,200,0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1,494,000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828,992,8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697,200,0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38,375,06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835,200,0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731,780,0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bl>
    <w:p>
      <w:pPr>
        <w:pStyle w:val="BodyText"/>
        <w:spacing w:line="240" w:lineRule="auto" w:before="51"/>
        <w:ind w:left="154" w:right="1033"/>
        <w:jc w:val="left"/>
      </w:pPr>
      <w:r>
        <w:rPr/>
        <w:t>其他说明：</w:t>
      </w:r>
    </w:p>
    <w:p>
      <w:pPr>
        <w:pStyle w:val="BodyText"/>
        <w:spacing w:line="300" w:lineRule="auto" w:before="116"/>
        <w:ind w:right="1123"/>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日公开发行了</w:t>
      </w:r>
      <w:r>
        <w:rPr>
          <w:rFonts w:ascii="Times New Roman" w:hAnsi="Times New Roman" w:cs="Times New Roman" w:eastAsia="Times New Roman" w:hint="default"/>
        </w:rPr>
        <w:t>7,000,000</w:t>
      </w:r>
      <w:r>
        <w:rPr/>
        <w:t>份短期融资债券，每份面值人民币</w:t>
      </w:r>
      <w:r>
        <w:rPr>
          <w:rFonts w:ascii="Times New Roman" w:hAnsi="Times New Roman" w:cs="Times New Roman" w:eastAsia="Times New Roman" w:hint="default"/>
        </w:rPr>
        <w:t>100</w:t>
      </w:r>
      <w:r>
        <w:rPr/>
        <w:t>元，发行总额为人民币</w:t>
      </w:r>
      <w:r>
        <w:rPr>
          <w:rFonts w:ascii="Times New Roman" w:hAnsi="Times New Roman" w:cs="Times New Roman" w:eastAsia="Times New Roman" w:hint="default"/>
        </w:rPr>
        <w:t>7</w:t>
      </w:r>
      <w:r>
        <w:rPr/>
        <w:t>亿元，期限为一 年，年利率为</w:t>
      </w:r>
      <w:r>
        <w:rPr>
          <w:rFonts w:ascii="Times New Roman" w:hAnsi="Times New Roman" w:cs="Times New Roman" w:eastAsia="Times New Roman" w:hint="default"/>
        </w:rPr>
        <w:t>6.90%</w:t>
      </w:r>
      <w:r>
        <w:rPr/>
        <w:t>，该短期融资债券到期时一次性偿付本息。</w:t>
      </w:r>
    </w:p>
    <w:p>
      <w:pPr>
        <w:spacing w:line="240" w:lineRule="auto" w:before="1"/>
        <w:rPr>
          <w:rFonts w:ascii="宋体" w:hAnsi="宋体" w:cs="宋体" w:eastAsia="宋体" w:hint="default"/>
          <w:sz w:val="22"/>
          <w:szCs w:val="22"/>
        </w:rPr>
      </w:pPr>
    </w:p>
    <w:p>
      <w:pPr>
        <w:pStyle w:val="Heading4"/>
        <w:spacing w:line="240" w:lineRule="auto"/>
        <w:ind w:right="1033"/>
        <w:jc w:val="left"/>
        <w:rPr>
          <w:b w:val="0"/>
          <w:bCs w:val="0"/>
        </w:rPr>
      </w:pPr>
      <w:bookmarkStart w:name="26、应付债券" w:id="277"/>
      <w:bookmarkEnd w:id="277"/>
      <w:r>
        <w:rPr>
          <w:b w:val="0"/>
          <w:bCs w:val="0"/>
        </w:rPr>
      </w:r>
      <w:r>
        <w:rPr>
          <w:rFonts w:ascii="Times New Roman" w:hAnsi="Times New Roman" w:cs="Times New Roman" w:eastAsia="Times New Roman" w:hint="default"/>
        </w:rPr>
        <w:t>26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付债券" w:id="278"/>
      <w:bookmarkEnd w:id="27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805,494,932.00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805,494,932.00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804,375,824.00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应付债券的增减变动（上包括划分为金融负债的优先股、永续债等其他金融工具）" w:id="279"/>
      <w:bookmarkEnd w:id="27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804,375,8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1,119,108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805,494,9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804,375,8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805,494,9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应付债券说明" w:id="280"/>
      <w:bookmarkEnd w:id="280"/>
      <w:r>
        <w:rPr>
          <w:b w:val="0"/>
          <w:bCs w:val="0"/>
        </w:rPr>
      </w:r>
      <w:r>
        <w:rPr/>
        <w:t>（</w:t>
      </w:r>
      <w:r>
        <w:rPr>
          <w:rFonts w:ascii="Times New Roman" w:hAnsi="Times New Roman" w:cs="Times New Roman" w:eastAsia="Times New Roman" w:hint="default"/>
        </w:rPr>
        <w:t>3</w:t>
      </w:r>
      <w:r>
        <w:rPr/>
        <w:t>）应付债券说明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日公开发行了</w:t>
      </w:r>
      <w:r>
        <w:rPr>
          <w:rFonts w:ascii="Times New Roman" w:hAnsi="Times New Roman" w:cs="Times New Roman" w:eastAsia="Times New Roman" w:hint="default"/>
        </w:rPr>
        <w:t>8,000,000</w:t>
      </w:r>
      <w:r>
        <w:rPr/>
        <w:t>份公司债券，每份面值人民币</w:t>
      </w:r>
      <w:r>
        <w:rPr>
          <w:rFonts w:ascii="Times New Roman" w:hAnsi="Times New Roman" w:cs="Times New Roman" w:eastAsia="Times New Roman" w:hint="default"/>
        </w:rPr>
        <w:t>100</w:t>
      </w:r>
      <w:r>
        <w:rPr/>
        <w:t>元，发行总额为人民币</w:t>
      </w:r>
      <w:r>
        <w:rPr>
          <w:rFonts w:ascii="Times New Roman" w:hAnsi="Times New Roman" w:cs="Times New Roman" w:eastAsia="Times New Roman" w:hint="default"/>
        </w:rPr>
        <w:t>8</w:t>
      </w:r>
      <w:r>
        <w:rPr/>
        <w:t>亿元，期限为</w:t>
      </w:r>
      <w:r>
        <w:rPr>
          <w:rFonts w:ascii="Times New Roman" w:hAnsi="Times New Roman" w:cs="Times New Roman" w:eastAsia="Times New Roman" w:hint="default"/>
        </w:rPr>
        <w:t>5</w:t>
      </w:r>
      <w:r>
        <w:rPr/>
        <w:t>年期， 附第</w:t>
      </w:r>
      <w:r>
        <w:rPr>
          <w:rFonts w:ascii="Times New Roman" w:hAnsi="Times New Roman" w:cs="Times New Roman" w:eastAsia="Times New Roman" w:hint="default"/>
        </w:rPr>
        <w:t>3</w:t>
      </w:r>
      <w:r>
        <w:rPr/>
        <w:t>年末发行人上调票面利率选择权及投资者回售选择权。年利率为</w:t>
      </w:r>
      <w:r>
        <w:rPr>
          <w:rFonts w:ascii="Times New Roman" w:hAnsi="Times New Roman" w:cs="Times New Roman" w:eastAsia="Times New Roman" w:hint="default"/>
        </w:rPr>
        <w:t>7.20%</w:t>
      </w:r>
      <w:r>
        <w:rPr/>
        <w:t>，该债券按年付息到期一次还本。</w:t>
      </w:r>
    </w:p>
    <w:p>
      <w:pPr>
        <w:spacing w:after="0" w:line="30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7、其他非流动负债" w:id="281"/>
      <w:bookmarkEnd w:id="281"/>
      <w:r>
        <w:rPr>
          <w:b w:val="0"/>
          <w:bCs w:val="0"/>
        </w:rPr>
      </w:r>
      <w:r>
        <w:rPr>
          <w:rFonts w:ascii="Times New Roman" w:hAnsi="Times New Roman" w:cs="Times New Roman" w:eastAsia="Times New Roman" w:hint="default"/>
        </w:rPr>
        <w:t>27</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1"/>
        <w:ind w:right="1123"/>
        <w:jc w:val="left"/>
      </w:pPr>
      <w:r>
        <w:rPr/>
        <w:t>其他说明： 本公司在限制性股权激励计划实施后，因发生公开</w:t>
      </w:r>
      <w:r>
        <w:rPr>
          <w:rFonts w:ascii="宋体" w:hAnsi="宋体" w:cs="宋体" w:eastAsia="宋体" w:hint="default"/>
        </w:rPr>
        <w:t>/</w:t>
      </w:r>
      <w:r>
        <w:rPr/>
        <w:t>非公开发行或并购重组产生的净资产增加值不计入该年度的公司业绩考 </w:t>
      </w:r>
      <w:r>
        <w:rPr>
          <w:spacing w:val="-2"/>
        </w:rPr>
        <w:t>核要求的计算。若解锁条件未达成，则公司按照本计划，以激励对象购买价格回购限制性股票并注销。据此，将本公司由于</w:t>
      </w:r>
    </w:p>
    <w:p>
      <w:pPr>
        <w:pStyle w:val="BodyText"/>
        <w:spacing w:line="240" w:lineRule="auto" w:before="2"/>
        <w:ind w:left="154" w:right="1033"/>
        <w:jc w:val="left"/>
      </w:pPr>
      <w:r>
        <w:rPr/>
        <w:t>发行限制性股票而募集的金额</w:t>
      </w:r>
      <w:r>
        <w:rPr>
          <w:rFonts w:ascii="宋体" w:hAnsi="宋体" w:cs="宋体" w:eastAsia="宋体" w:hint="default"/>
        </w:rPr>
        <w:t>69,780,000</w:t>
      </w:r>
      <w:r>
        <w:rPr/>
        <w:t>元确认为其他非流动负债。</w:t>
      </w:r>
    </w:p>
    <w:p>
      <w:pPr>
        <w:spacing w:line="240" w:lineRule="auto" w:before="12"/>
        <w:rPr>
          <w:rFonts w:ascii="宋体" w:hAnsi="宋体" w:cs="宋体" w:eastAsia="宋体" w:hint="default"/>
          <w:sz w:val="26"/>
          <w:szCs w:val="26"/>
        </w:rPr>
      </w:pPr>
    </w:p>
    <w:p>
      <w:pPr>
        <w:pStyle w:val="Heading4"/>
        <w:spacing w:line="240" w:lineRule="auto"/>
        <w:ind w:left="153" w:right="1033"/>
        <w:jc w:val="left"/>
        <w:rPr>
          <w:b w:val="0"/>
          <w:bCs w:val="0"/>
        </w:rPr>
      </w:pPr>
      <w:bookmarkStart w:name="28、股本" w:id="282"/>
      <w:bookmarkEnd w:id="282"/>
      <w:r>
        <w:rPr>
          <w:b w:val="0"/>
          <w:bCs w:val="0"/>
        </w:rPr>
      </w:r>
      <w:r>
        <w:rPr>
          <w:rFonts w:ascii="Times New Roman" w:hAnsi="Times New Roman" w:cs="Times New Roman" w:eastAsia="Times New Roman" w:hint="default"/>
        </w:rPr>
        <w:t>28</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6,000,000.00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6"/>
        <w:ind w:right="1129"/>
        <w:jc w:val="both"/>
      </w:pPr>
      <w:r>
        <w:rPr/>
        <w:t>根据本公司</w:t>
      </w:r>
      <w:r>
        <w:rPr>
          <w:rFonts w:ascii="Times New Roman" w:hAnsi="Times New Roman" w:cs="Times New Roman" w:eastAsia="Times New Roman" w:hint="default"/>
        </w:rPr>
        <w:t>2014</w:t>
      </w:r>
      <w:r>
        <w:rPr/>
        <w:t>年第一次临时股东大会决议，本公司向激励对象定向增发本公司</w:t>
      </w:r>
      <w:r>
        <w:rPr>
          <w:rFonts w:ascii="Times New Roman" w:hAnsi="Times New Roman" w:cs="Times New Roman" w:eastAsia="Times New Roman" w:hint="default"/>
        </w:rPr>
        <w:t>A</w:t>
      </w:r>
      <w:r>
        <w:rPr/>
        <w:t>股限制性普通股，共授予</w:t>
      </w:r>
      <w:r>
        <w:rPr>
          <w:rFonts w:ascii="Times New Roman" w:hAnsi="Times New Roman" w:cs="Times New Roman" w:eastAsia="Times New Roman" w:hint="default"/>
        </w:rPr>
        <w:t>600</w:t>
      </w:r>
      <w:r>
        <w:rPr/>
        <w:t>万股。该限 制性股票的授予日为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日，激励对象为</w:t>
      </w:r>
      <w:r>
        <w:rPr>
          <w:rFonts w:ascii="Times New Roman" w:hAnsi="Times New Roman" w:cs="Times New Roman" w:eastAsia="Times New Roman" w:hint="default"/>
        </w:rPr>
        <w:t>2</w:t>
      </w:r>
      <w:r>
        <w:rPr/>
        <w:t>人，授予价格为</w:t>
      </w:r>
      <w:r>
        <w:rPr>
          <w:rFonts w:ascii="Times New Roman" w:hAnsi="Times New Roman" w:cs="Times New Roman" w:eastAsia="Times New Roman" w:hint="default"/>
        </w:rPr>
        <w:t>11.63</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月底，公司已经完成授予事宜的 </w:t>
      </w:r>
      <w:r>
        <w:rPr>
          <w:spacing w:val="-6"/>
        </w:rPr>
        <w:t>登记工作，新股增发已完成。激励对象已于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21</w:t>
      </w:r>
      <w:r>
        <w:rPr>
          <w:spacing w:val="-6"/>
        </w:rPr>
        <w:t>日按期足额出资，本次增资经众华会计师事务所出具众会验字（</w:t>
      </w:r>
      <w:r>
        <w:rPr>
          <w:rFonts w:ascii="Times New Roman" w:hAnsi="Times New Roman" w:cs="Times New Roman" w:eastAsia="Times New Roman" w:hint="default"/>
          <w:spacing w:val="-6"/>
        </w:rPr>
        <w:t>2014</w:t>
      </w:r>
      <w:r>
        <w:rPr>
          <w:spacing w:val="-6"/>
        </w:rPr>
        <w:t>）</w:t>
      </w:r>
      <w:r>
        <w:rPr>
          <w:spacing w:val="-76"/>
        </w:rPr>
        <w:t> </w:t>
      </w:r>
      <w:r>
        <w:rPr/>
        <w:t>第</w:t>
      </w:r>
      <w:r>
        <w:rPr>
          <w:rFonts w:ascii="Times New Roman" w:hAnsi="Times New Roman" w:cs="Times New Roman" w:eastAsia="Times New Roman" w:hint="default"/>
        </w:rPr>
        <w:t>1801</w:t>
      </w:r>
      <w:r>
        <w:rPr/>
        <w:t>号验资报告审验。本次定向增发后，本公司注册资本增加至人民币</w:t>
      </w:r>
      <w:r>
        <w:rPr>
          <w:rFonts w:ascii="Times New Roman" w:hAnsi="Times New Roman" w:cs="Times New Roman" w:eastAsia="Times New Roman" w:hint="default"/>
        </w:rPr>
        <w:t>10.11</w:t>
      </w:r>
      <w:r>
        <w:rPr/>
        <w:t>亿元。</w:t>
      </w:r>
    </w:p>
    <w:p>
      <w:pPr>
        <w:spacing w:line="240" w:lineRule="auto" w:before="1"/>
        <w:rPr>
          <w:rFonts w:ascii="宋体" w:hAnsi="宋体" w:cs="宋体" w:eastAsia="宋体" w:hint="default"/>
          <w:sz w:val="22"/>
          <w:szCs w:val="22"/>
        </w:rPr>
      </w:pPr>
    </w:p>
    <w:p>
      <w:pPr>
        <w:pStyle w:val="Heading4"/>
        <w:spacing w:line="240" w:lineRule="auto"/>
        <w:ind w:left="153" w:right="0"/>
        <w:jc w:val="both"/>
        <w:rPr>
          <w:b w:val="0"/>
          <w:bCs w:val="0"/>
        </w:rPr>
      </w:pPr>
      <w:bookmarkStart w:name="29、资本公积" w:id="283"/>
      <w:bookmarkEnd w:id="283"/>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930,332,190.00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994,112,190.00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129,761,355.00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129,761,355.00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1,060,093,545.00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1,123,873,545.00</w:t>
            </w:r>
          </w:p>
        </w:tc>
      </w:tr>
    </w:tbl>
    <w:p>
      <w:pPr>
        <w:pStyle w:val="BodyText"/>
        <w:spacing w:line="357" w:lineRule="auto" w:before="51"/>
        <w:ind w:left="154" w:right="6612"/>
        <w:jc w:val="left"/>
      </w:pPr>
      <w:r>
        <w:rPr/>
        <w:t>其他说明，包括本期增减变动情况、变动原因说明： 本年资本公积增加系限制性股票溢价。</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30、库存股" w:id="284"/>
      <w:bookmarkEnd w:id="284"/>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69,780,000.00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69,780,000.00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69,780,000.00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69,780,000.00</w:t>
            </w:r>
          </w:p>
        </w:tc>
      </w:tr>
    </w:tbl>
    <w:p>
      <w:pPr>
        <w:pStyle w:val="BodyText"/>
        <w:spacing w:line="357" w:lineRule="auto" w:before="51"/>
        <w:ind w:left="154" w:right="6612"/>
        <w:jc w:val="left"/>
      </w:pPr>
      <w:r>
        <w:rPr/>
        <w:t>其他说明，包括本期增减变动情况、变动原因说明： 详见附注</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r>
        <w:rPr/>
        <w:t>说明。</w:t>
      </w:r>
    </w:p>
    <w:p>
      <w:pPr>
        <w:spacing w:line="240" w:lineRule="auto" w:before="6"/>
        <w:rPr>
          <w:rFonts w:ascii="宋体" w:hAnsi="宋体" w:cs="宋体" w:eastAsia="宋体" w:hint="default"/>
          <w:sz w:val="18"/>
          <w:szCs w:val="18"/>
        </w:rPr>
      </w:pPr>
    </w:p>
    <w:p>
      <w:pPr>
        <w:pStyle w:val="Heading4"/>
        <w:spacing w:line="240" w:lineRule="auto"/>
        <w:ind w:right="1033"/>
        <w:jc w:val="left"/>
        <w:rPr>
          <w:b w:val="0"/>
          <w:bCs w:val="0"/>
        </w:rPr>
      </w:pPr>
      <w:bookmarkStart w:name="31、盈余公积" w:id="285"/>
      <w:bookmarkEnd w:id="285"/>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613,685,062.00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8,084,145.00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621,769,207.00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613,685,062.00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8,084,145.00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621,769,207.00</w:t>
            </w:r>
          </w:p>
        </w:tc>
      </w:tr>
    </w:tbl>
    <w:p>
      <w:pPr>
        <w:pStyle w:val="BodyText"/>
        <w:spacing w:line="240" w:lineRule="auto" w:before="51"/>
        <w:ind w:left="154" w:right="1033"/>
        <w:jc w:val="left"/>
      </w:pPr>
      <w:r>
        <w:rPr/>
        <w:t>盈余公积说明，包括本期增减变动情况、变动原因说明：</w:t>
      </w:r>
    </w:p>
    <w:p>
      <w:pPr>
        <w:pStyle w:val="BodyText"/>
        <w:spacing w:line="300" w:lineRule="auto" w:before="115"/>
        <w:ind w:right="1118"/>
        <w:jc w:val="left"/>
      </w:pPr>
      <w:r>
        <w:rPr>
          <w:spacing w:val="-1"/>
        </w:rPr>
        <w:t>根据公司法、本公司及本公司子公司的公司章程的规定，本公司和本公司子公司需按弥补累计亏损后净利润的</w:t>
      </w:r>
      <w:r>
        <w:rPr>
          <w:rFonts w:ascii="Times New Roman" w:hAnsi="Times New Roman" w:cs="Times New Roman" w:eastAsia="Times New Roman" w:hint="default"/>
          <w:spacing w:val="-1"/>
        </w:rPr>
        <w:t>10%</w:t>
      </w:r>
      <w:r>
        <w:rPr>
          <w:spacing w:val="-1"/>
        </w:rPr>
        <w:t>提取法定</w:t>
      </w:r>
      <w:r>
        <w:rPr>
          <w:spacing w:val="-88"/>
        </w:rPr>
        <w:t> </w:t>
      </w:r>
      <w:r>
        <w:rPr/>
        <w:t>盈余公积。法定盈余公积累计额达到本公司和本公司子公司的注册资本</w:t>
      </w:r>
      <w:r>
        <w:rPr>
          <w:rFonts w:ascii="Times New Roman" w:hAnsi="Times New Roman" w:cs="Times New Roman" w:eastAsia="Times New Roman" w:hint="default"/>
        </w:rPr>
        <w:t>50%</w:t>
      </w:r>
      <w:r>
        <w:rPr/>
        <w:t>以上的，可不再提取。</w:t>
      </w:r>
    </w:p>
    <w:p>
      <w:pPr>
        <w:spacing w:line="240" w:lineRule="auto" w:before="1"/>
        <w:rPr>
          <w:rFonts w:ascii="宋体" w:hAnsi="宋体" w:cs="宋体" w:eastAsia="宋体" w:hint="default"/>
          <w:sz w:val="22"/>
          <w:szCs w:val="22"/>
        </w:rPr>
      </w:pPr>
    </w:p>
    <w:p>
      <w:pPr>
        <w:pStyle w:val="Heading4"/>
        <w:spacing w:line="240" w:lineRule="auto"/>
        <w:ind w:left="153" w:right="1033"/>
        <w:jc w:val="left"/>
        <w:rPr>
          <w:b w:val="0"/>
          <w:bCs w:val="0"/>
        </w:rPr>
      </w:pPr>
      <w:bookmarkStart w:name="32、未分配利润" w:id="286"/>
      <w:bookmarkEnd w:id="286"/>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1,095,192,672.00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1,448,608,006.00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1,095,192,672.00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1,448,608,006.00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8,084,145.00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5,141,698.00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283,080,000.00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949,669,040.00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1,095,192,672.00</w:t>
            </w:r>
          </w:p>
        </w:tc>
      </w:tr>
    </w:tbl>
    <w:p>
      <w:pPr>
        <w:pStyle w:val="BodyText"/>
        <w:spacing w:line="240" w:lineRule="auto" w:before="51"/>
        <w:ind w:left="154" w:right="1033"/>
        <w:jc w:val="left"/>
      </w:pPr>
      <w:r>
        <w:rPr/>
        <w:t>调整期初未分配利润明细：</w:t>
      </w:r>
    </w:p>
    <w:p>
      <w:pPr>
        <w:pStyle w:val="BodyText"/>
        <w:spacing w:line="240" w:lineRule="auto" w:before="117"/>
        <w:ind w:left="154" w:right="10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033"/>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3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3、营业收入和营业成本" w:id="287"/>
      <w:bookmarkEnd w:id="287"/>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6,559,617,235.00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3,587,654,782.00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7,827,889,774.00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4,318,175,080.00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61,150,242.00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42,204,735.00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61,728,310.00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50,140,168.00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6,620,767,477.00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3,629,859,517.00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7,889,618,084.00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4,368,315,248.00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4、营业税金及附加" w:id="288"/>
      <w:bookmarkEnd w:id="288"/>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3,250,753.00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2,239,216.00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25,833,817.00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26,716,129.00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23,820,266.00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27,825,927.00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2,939,550.00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3,593,149.00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2,113,194.00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1,493,216.00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57,957,580.00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61,867,637.00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35、销售费用" w:id="289"/>
      <w:bookmarkEnd w:id="289"/>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758,659,158.00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956,935,299.00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795,736,232.00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856,347,573.00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134,944,180.00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190,274,994.00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76,342,014.00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92,423,298.00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74,588,399.00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86,716,795.00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80,704,953.00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68,410,432.00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43,242,724.00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52,906,932.00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49,630,708.00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37,541,050.00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30,691,329.00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27,822,049.00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7,357,136.00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11,367,268.00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114,236,745.00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100,483,245.00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2,166,133,578.00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2,481,228,935.00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033"/>
        <w:jc w:val="left"/>
        <w:rPr>
          <w:b w:val="0"/>
          <w:bCs w:val="0"/>
        </w:rPr>
      </w:pPr>
      <w:bookmarkStart w:name="36、管理费用" w:id="290"/>
      <w:bookmarkEnd w:id="290"/>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106,095,852.00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114,984,742.00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36,957,712.00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41,512,394.00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12,766,407.00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35,016,803.00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10,017,017.00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11,259,005.00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12,255,215.00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12,113,687.00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9,872,494.00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11,263,738.00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4,839,690.00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3,090,625.00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4,477,964.00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4,792,890.00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12,294,466.00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8,603,104.00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17,574,911.00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18,450,276.00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227,151,728.00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261,087,264.00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37、财务费用" w:id="291"/>
      <w:bookmarkEnd w:id="291"/>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148,864,789.00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127,174,167.00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-20,931,030.00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-16,935,125.00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2,276,907.00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129,165,859.00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112,515,949.00</w:t>
            </w:r>
          </w:p>
        </w:tc>
      </w:tr>
    </w:tbl>
    <w:p>
      <w:pPr>
        <w:pStyle w:val="BodyText"/>
        <w:spacing w:line="240" w:lineRule="auto" w:before="51"/>
        <w:ind w:left="154"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38、资产减值损失" w:id="292"/>
      <w:bookmarkEnd w:id="292"/>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22,649,634.00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5,191,947.00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216,658,543.00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74,386,316.00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16,905,705.00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3,170,137.00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256,213,882.00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82,748,400.00</w:t>
            </w:r>
          </w:p>
        </w:tc>
      </w:tr>
    </w:tbl>
    <w:p>
      <w:pPr>
        <w:pStyle w:val="BodyText"/>
        <w:spacing w:line="357" w:lineRule="auto" w:before="51"/>
        <w:ind w:right="9853"/>
        <w:jc w:val="left"/>
      </w:pPr>
      <w:r>
        <w:rPr/>
        <w:t>其他说明： 无</w:t>
      </w:r>
    </w:p>
    <w:p>
      <w:pPr>
        <w:spacing w:after="0" w:line="357"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9、投资收益" w:id="293"/>
      <w:bookmarkEnd w:id="293"/>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-4,134,628.00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23,964,857.00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23,964,857.00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-4,134,628.00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0、营业外收入" w:id="294"/>
      <w:bookmarkEnd w:id="294"/>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350,228.00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5,236,990.00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350,228.00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5,236,990.00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61,855,168.00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13,229,497.00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29,680,348.00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30,583,390.00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36,101,728.00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22,937,542.00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不能支付的应付账款核销及 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6,617,654.00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5,589,145.00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4,964,057.00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106,038,866.00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55,270,598.00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62,818,937.00</w:t>
            </w:r>
          </w:p>
        </w:tc>
      </w:tr>
    </w:tbl>
    <w:p>
      <w:pPr>
        <w:pStyle w:val="BodyText"/>
        <w:spacing w:line="240" w:lineRule="auto" w:before="51"/>
        <w:ind w:left="154" w:right="1033"/>
        <w:jc w:val="left"/>
      </w:pPr>
      <w:r>
        <w:rPr/>
        <w:t>计入当期损益的政府补助：</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地方政府财政支持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61,855,168.00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13,229,497.00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61,855,168.00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13,229,497.00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1、营业外支出" w:id="295"/>
      <w:bookmarkEnd w:id="295"/>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26,190,592.00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74,959,372.00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19,642,944.00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2,452,756.00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6,517,959.00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1,839,567.00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145,901.00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109,426.00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2,441,670.00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4,347,940.00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2,441,670.00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434,985.00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336,249.00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434,985.00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8,944,116.00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5,928,723.00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6,708,086.00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38,011,363.00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85,572,284.00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29,227,685.00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2、所得税费用" w:id="296"/>
      <w:bookmarkEnd w:id="296"/>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所得税费用表" w:id="297"/>
      <w:bookmarkEnd w:id="29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44,512,286.00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109,877,480.00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56,124,894.00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-27,935,507.00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100,637,180.00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81,941,973.00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会计利润与所得税费用调整过程" w:id="298"/>
      <w:bookmarkEnd w:id="29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246,277,693.00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61,569,423.00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-10,800,404.00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1,149,592.00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-10,037,608.00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8,240,657.00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-17,193,882.00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67,709,402.00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100,637,180.00</w:t>
            </w:r>
          </w:p>
        </w:tc>
      </w:tr>
    </w:tbl>
    <w:p>
      <w:pPr>
        <w:pStyle w:val="BodyText"/>
        <w:spacing w:line="357" w:lineRule="auto" w:before="51"/>
        <w:ind w:right="1693"/>
        <w:jc w:val="left"/>
      </w:pPr>
      <w:r>
        <w:rPr/>
        <w:t>其他说明 本集团所得税按在中国境内取得的估计应纳税所得额及法定税率计提，</w:t>
      </w:r>
      <w:r>
        <w:rPr>
          <w:rFonts w:ascii="Times New Roman" w:hAnsi="Times New Roman" w:cs="Times New Roman" w:eastAsia="Times New Roman" w:hint="default"/>
        </w:rPr>
        <w:t>2014</w:t>
      </w:r>
      <w:r>
        <w:rPr/>
        <w:t>年度法定税率为</w:t>
      </w:r>
      <w:r>
        <w:rPr>
          <w:rFonts w:ascii="Times New Roman" w:hAnsi="Times New Roman" w:cs="Times New Roman" w:eastAsia="Times New Roman" w:hint="default"/>
        </w:rPr>
        <w:t>25%(2013</w:t>
      </w:r>
      <w:r>
        <w:rPr/>
        <w:t>年度：</w:t>
      </w:r>
      <w:r>
        <w:rPr>
          <w:rFonts w:ascii="Times New Roman" w:hAnsi="Times New Roman" w:cs="Times New Roman" w:eastAsia="Times New Roman" w:hint="default"/>
        </w:rPr>
        <w:t>25%)</w:t>
      </w:r>
      <w:r>
        <w:rPr/>
        <w:t>。</w:t>
      </w:r>
    </w:p>
    <w:p>
      <w:pPr>
        <w:spacing w:after="0" w:line="357"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43、现金流量表项目" w:id="299"/>
      <w:bookmarkEnd w:id="299"/>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收到的其他与经营活动有关的现金" w:id="300"/>
      <w:bookmarkEnd w:id="30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20,931,030.00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16,935,125.00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87,740,969.00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126,993,853.00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16,677,886.00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22,518,529.00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37,201,043.00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41,690,873.00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162,550,928.00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208,138,380.00</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支付的其他与经营活动有关的现金" w:id="301"/>
      <w:bookmarkEnd w:id="30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691,028,023.00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982,058,337.00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36,429,417.00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36,774,591.00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道具费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15,140,266.00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18,116,964.00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87,470,434.00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106,449,307.00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36,465,071.00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33,806,589.00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36,303,352.00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14,696,540.00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22,174,922.00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22,096,388.00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15,210,807.00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17,991,188.00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17,271,277.00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16,365,046.00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60,074,965.00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58,629,017.00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40,276,976.00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54,760,059.00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10,794,501.00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7,472,142.00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11,145,185.00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60,297,450.00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71,620,322.00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1,128,025,477.00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1,455,304,034.00</w:t>
            </w:r>
          </w:p>
        </w:tc>
      </w:tr>
    </w:tbl>
    <w:p>
      <w:pPr>
        <w:pStyle w:val="BodyText"/>
        <w:spacing w:line="357" w:lineRule="auto" w:before="51"/>
        <w:ind w:left="154" w:right="7512"/>
        <w:jc w:val="left"/>
      </w:pPr>
      <w:r>
        <w:rPr/>
        <w:t>支付的其他与经营活动有关的现金说明： 无</w:t>
      </w:r>
    </w:p>
    <w:p>
      <w:pPr>
        <w:spacing w:after="0" w:line="357"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收到的其他与投资活动有关的现金" w:id="302"/>
      <w:bookmarkEnd w:id="30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支付的其他与投资活动有关的现金" w:id="303"/>
      <w:bookmarkEnd w:id="30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5）收到的其他与筹资活动有关的现金" w:id="304"/>
      <w:bookmarkEnd w:id="30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26,657,754.00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40,352,576.00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26,657,754.00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40,352,576.00</w:t>
            </w:r>
          </w:p>
        </w:tc>
      </w:tr>
    </w:tbl>
    <w:p>
      <w:pPr>
        <w:pStyle w:val="BodyText"/>
        <w:spacing w:line="357" w:lineRule="auto" w:before="51"/>
        <w:ind w:left="15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6）支付的其他与筹资活动有关的现金" w:id="305"/>
      <w:bookmarkEnd w:id="30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33,136,174.00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32,117,602.00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35,936,174.00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41,717,602.00</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4、现金流量表补充资料" w:id="306"/>
      <w:bookmarkEnd w:id="306"/>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现金流量表补充资料" w:id="307"/>
      <w:bookmarkEnd w:id="30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2"/>
          <w:szCs w:val="2"/>
        </w:rPr>
      </w:pPr>
      <w:r>
        <w:rPr/>
        <w:pict>
          <v:group style="position:absolute;margin-left:223.339996pt;margin-top:304.129974pt;width:151.25pt;height:20.8pt;mso-position-horizontal-relative:page;mso-position-vertical-relative:page;z-index:-780064" coordorigin="4467,6083" coordsize="3025,416">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05"/>
        <w:gridCol w:w="1040"/>
        <w:gridCol w:w="202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145,640,513.00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256,213,881.00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82,748,400.00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96,117,293.00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110,930,936.00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18,602,898.00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19,513,741.00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120,748,314.00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149,260,472.00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19,207,938.00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74,609,144.00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148,864,789.00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127,174,167.00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-23,964,857.00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4,134,628.00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56,124,894.00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-27,935,507.00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-72,545,869.00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351,816,708.00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397,396,596.00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161,533,277.00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159,767,573.00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-465,425,654.00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-9,636,609.00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1,322,173,963.00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984,200,067.00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1,395,947,083.00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1,069,565,136.00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615,349,184.00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326,381,947.00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454,215,952.00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现金和现金等价物的构成" w:id="308"/>
      <w:bookmarkEnd w:id="308"/>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2,607,968.00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2,773,571.00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1,393,339,115.00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1,066,791,565.00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bl>
    <w:p>
      <w:pPr>
        <w:pStyle w:val="BodyText"/>
        <w:spacing w:line="240" w:lineRule="auto" w:before="51"/>
        <w:ind w:left="154" w:right="1033"/>
        <w:jc w:val="left"/>
      </w:pPr>
      <w:r>
        <w:rPr/>
        <w:t>其他说明：</w:t>
      </w:r>
    </w:p>
    <w:p>
      <w:pPr>
        <w:spacing w:after="0" w:line="240" w:lineRule="auto"/>
        <w:jc w:val="left"/>
        <w:sectPr>
          <w:pgSz w:w="11910" w:h="16840"/>
          <w:pgMar w:header="851" w:footer="979" w:top="1320" w:bottom="1160" w:left="980" w:right="0"/>
        </w:sectPr>
      </w:pPr>
    </w:p>
    <w:p>
      <w:pPr>
        <w:pStyle w:val="BodyText"/>
        <w:spacing w:line="240" w:lineRule="auto" w:before="114"/>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45、所有者权益变动表项目注释" w:id="309"/>
      <w:bookmarkEnd w:id="309"/>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不适用</w:t>
      </w:r>
    </w:p>
    <w:p>
      <w:pPr>
        <w:spacing w:line="240" w:lineRule="auto" w:before="4"/>
        <w:rPr>
          <w:rFonts w:ascii="宋体" w:hAnsi="宋体" w:cs="宋体" w:eastAsia="宋体" w:hint="default"/>
          <w:sz w:val="21"/>
          <w:szCs w:val="21"/>
        </w:rPr>
      </w:pPr>
    </w:p>
    <w:p>
      <w:pPr>
        <w:pStyle w:val="Heading4"/>
        <w:spacing w:line="240" w:lineRule="auto"/>
        <w:ind w:right="1033"/>
        <w:jc w:val="left"/>
        <w:rPr>
          <w:b w:val="0"/>
          <w:bCs w:val="0"/>
        </w:rPr>
      </w:pPr>
      <w:bookmarkStart w:name="46、所有权或使用权受到限制的资产" w:id="310"/>
      <w:bookmarkEnd w:id="310"/>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11,512,153.00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用于银行承兑汇票授信额度的保证金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1,179,495,757.00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70,518,435.00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49,161,749.00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1,310,688,094.00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5"/>
        <w:rPr>
          <w:rFonts w:ascii="宋体" w:hAnsi="宋体" w:cs="宋体" w:eastAsia="宋体" w:hint="default"/>
          <w:sz w:val="18"/>
          <w:szCs w:val="18"/>
        </w:rPr>
      </w:pPr>
    </w:p>
    <w:p>
      <w:pPr>
        <w:pStyle w:val="Heading3"/>
        <w:spacing w:line="240" w:lineRule="auto"/>
        <w:ind w:left="154" w:right="1033"/>
        <w:jc w:val="left"/>
        <w:rPr>
          <w:b w:val="0"/>
          <w:bCs w:val="0"/>
        </w:rPr>
      </w:pPr>
      <w:bookmarkStart w:name="八、合并范围的变更" w:id="311"/>
      <w:bookmarkEnd w:id="31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其他原因的合并范围变动" w:id="312"/>
      <w:bookmarkEnd w:id="312"/>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说明其他原因导致的合并范围变动（如，新设子公司、清算子公司等）及其相关情况：</w:t>
      </w:r>
    </w:p>
    <w:p>
      <w:pPr>
        <w:pStyle w:val="BodyText"/>
        <w:spacing w:line="300" w:lineRule="auto" w:before="115"/>
        <w:ind w:right="1123"/>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日设立法人独资有限责任公司上海美邦邦购网络科技有限公司，注册资本为人民币</w:t>
      </w:r>
      <w:r>
        <w:rPr>
          <w:rFonts w:ascii="Times New Roman" w:hAnsi="Times New Roman" w:cs="Times New Roman" w:eastAsia="Times New Roman" w:hint="default"/>
        </w:rPr>
        <w:t>5,000,000</w:t>
      </w:r>
      <w:r>
        <w:rPr/>
        <w:t>元，该公 司自设立后纳入本公司合并财务报表的合并范围。除此之外，合并财务报表范围与上年度一致。</w:t>
      </w:r>
    </w:p>
    <w:p>
      <w:pPr>
        <w:spacing w:line="240" w:lineRule="auto" w:before="6"/>
        <w:rPr>
          <w:rFonts w:ascii="宋体" w:hAnsi="宋体" w:cs="宋体" w:eastAsia="宋体" w:hint="default"/>
          <w:sz w:val="23"/>
          <w:szCs w:val="23"/>
        </w:rPr>
      </w:pPr>
    </w:p>
    <w:p>
      <w:pPr>
        <w:pStyle w:val="Heading4"/>
        <w:spacing w:line="240" w:lineRule="auto"/>
        <w:ind w:left="153" w:right="1033"/>
        <w:jc w:val="left"/>
        <w:rPr>
          <w:b w:val="0"/>
          <w:bCs w:val="0"/>
        </w:rPr>
      </w:pPr>
      <w:bookmarkStart w:name="2、其他" w:id="313"/>
      <w:bookmarkEnd w:id="313"/>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九、在其他主体中的权益" w:id="314"/>
      <w:bookmarkEnd w:id="31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在子公司中的权益" w:id="315"/>
      <w:bookmarkEnd w:id="3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企业集团的构成" w:id="316"/>
      <w:bookmarkEnd w:id="3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708"/>
        <w:gridCol w:w="992"/>
        <w:gridCol w:w="851"/>
        <w:gridCol w:w="551"/>
        <w:gridCol w:w="1366"/>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上海美特斯邦威服饰博物馆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56"/>
              <w:jc w:val="left"/>
              <w:rPr>
                <w:rFonts w:ascii="宋体" w:hAnsi="宋体" w:cs="宋体" w:eastAsia="宋体" w:hint="default"/>
                <w:sz w:val="18"/>
                <w:szCs w:val="18"/>
              </w:rPr>
            </w:pPr>
            <w:r>
              <w:rPr>
                <w:rFonts w:ascii="宋体" w:hAnsi="宋体" w:cs="宋体" w:eastAsia="宋体" w:hint="default"/>
                <w:sz w:val="18"/>
                <w:szCs w:val="18"/>
              </w:rPr>
              <w:t>批发零售业 非营利性组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bl>
    <w:p>
      <w:pPr>
        <w:spacing w:after="0" w:line="316"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708"/>
        <w:gridCol w:w="992"/>
        <w:gridCol w:w="851"/>
        <w:gridCol w:w="551"/>
        <w:gridCol w:w="1366"/>
      </w:tblGrid>
      <w:tr>
        <w:trPr>
          <w:trHeight w:val="362" w:hRule="exact"/>
        </w:trPr>
        <w:tc>
          <w:tcPr>
            <w:tcW w:w="35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织</w:t>
            </w:r>
          </w:p>
        </w:tc>
        <w:tc>
          <w:tcPr>
            <w:tcW w:w="851"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上海米安斯迪服饰有限公司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上海霓尚服饰有限公司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郑州米安斯迪服饰有限公司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太原米安斯迪服饰有限公司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上海祺格服饰有限公司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bl>
    <w:p>
      <w:pPr>
        <w:spacing w:after="0" w:line="316"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708"/>
        <w:gridCol w:w="992"/>
        <w:gridCol w:w="851"/>
        <w:gridCol w:w="551"/>
        <w:gridCol w:w="1366"/>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岳阳美特斯邦威服饰有限公司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上海美特斯邦威服饰销售有限公司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重庆美特斯邦威服饰有限责任公司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广州美特斯邦威服装有限公司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spacing w:after="0" w:line="319" w:lineRule="auto"/>
        <w:jc w:val="left"/>
        <w:rPr>
          <w:rFonts w:ascii="宋体" w:hAnsi="宋体" w:cs="宋体" w:eastAsia="宋体" w:hint="default"/>
          <w:sz w:val="18"/>
          <w:szCs w:val="18"/>
        </w:rPr>
        <w:sectPr>
          <w:pgSz w:w="11910" w:h="16840"/>
          <w:pgMar w:header="851" w:footer="979" w:top="1320" w:bottom="1160" w:left="980" w:right="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708"/>
        <w:gridCol w:w="992"/>
        <w:gridCol w:w="851"/>
        <w:gridCol w:w="551"/>
        <w:gridCol w:w="1366"/>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南京美特斯邦威服饰有限公司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上海美邦邦购网络科技有限公司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253"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pStyle w:val="BodyText"/>
        <w:spacing w:line="357" w:lineRule="auto" w:before="51"/>
        <w:ind w:left="154" w:right="6972"/>
        <w:jc w:val="left"/>
      </w:pPr>
      <w:r>
        <w:rPr/>
        <w:t>在子公司的持股比例不同于表决权比例的说明： 不适用</w:t>
      </w:r>
    </w:p>
    <w:p>
      <w:pPr>
        <w:pStyle w:val="BodyText"/>
        <w:spacing w:line="357" w:lineRule="auto" w:before="29"/>
        <w:ind w:right="2833"/>
        <w:jc w:val="left"/>
      </w:pPr>
      <w:r>
        <w:rPr/>
        <w:t>持有半数或以下表决权但仍控制被投资单位、以及持有半数以上表决权但不控制被投资单位的依据： 不适用</w:t>
      </w:r>
    </w:p>
    <w:p>
      <w:pPr>
        <w:pStyle w:val="BodyText"/>
        <w:spacing w:line="357" w:lineRule="auto" w:before="29"/>
        <w:ind w:left="154" w:right="6432"/>
        <w:jc w:val="left"/>
      </w:pPr>
      <w:r>
        <w:rPr/>
        <w:t>对于纳入合并范围的重要的结构化主体，控制的依据： 不适用</w:t>
      </w:r>
    </w:p>
    <w:p>
      <w:pPr>
        <w:pStyle w:val="BodyText"/>
        <w:spacing w:line="357" w:lineRule="auto" w:before="29"/>
        <w:ind w:left="154" w:right="7692"/>
        <w:jc w:val="left"/>
      </w:pPr>
      <w:r>
        <w:rPr/>
        <w:t>确定公司是代理人还是委托人的依据： 不适用</w:t>
      </w:r>
    </w:p>
    <w:p>
      <w:pPr>
        <w:pStyle w:val="BodyText"/>
        <w:spacing w:line="357" w:lineRule="auto" w:before="29"/>
        <w:ind w:left="154"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重要的非全资子公司" w:id="317"/>
      <w:bookmarkEnd w:id="3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子公司少数股东的持股比例不同于表决权比例的说明： 不适用</w:t>
      </w:r>
    </w:p>
    <w:p>
      <w:pPr>
        <w:pStyle w:val="BodyText"/>
        <w:spacing w:line="357" w:lineRule="auto" w:before="29"/>
        <w:ind w:left="154" w:right="9852"/>
        <w:jc w:val="left"/>
      </w:pPr>
      <w:r>
        <w:rPr/>
        <w:t>其他说明： 不适用</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3）使用企业集团资产和清偿企业集团债务的重大限制" w:id="318"/>
      <w:bookmarkEnd w:id="318"/>
      <w:r>
        <w:rPr>
          <w:b w:val="0"/>
          <w:bCs w:val="0"/>
        </w:rPr>
      </w:r>
      <w:r>
        <w:rPr/>
        <w:t>（</w:t>
      </w:r>
      <w:r>
        <w:rPr>
          <w:rFonts w:ascii="Times New Roman" w:hAnsi="Times New Roman" w:cs="Times New Roman" w:eastAsia="Times New Roman" w:hint="default"/>
        </w:rPr>
        <w:t>3</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4"/>
        <w:spacing w:line="240" w:lineRule="auto"/>
        <w:ind w:left="153" w:right="1033"/>
        <w:jc w:val="left"/>
        <w:rPr>
          <w:b w:val="0"/>
          <w:bCs w:val="0"/>
        </w:rPr>
      </w:pPr>
      <w:bookmarkStart w:name="（4）向纳入合并财务报表范围的结构化主体提供的财务支持或其他支持" w:id="319"/>
      <w:bookmarkEnd w:id="319"/>
      <w:r>
        <w:rPr>
          <w:b w:val="0"/>
          <w:bCs w:val="0"/>
        </w:rPr>
      </w:r>
      <w:r>
        <w:rPr/>
        <w:t>（</w:t>
      </w:r>
      <w:r>
        <w:rPr>
          <w:rFonts w:ascii="Times New Roman" w:hAnsi="Times New Roman" w:cs="Times New Roman" w:eastAsia="Times New Roman" w:hint="default"/>
        </w:rPr>
        <w:t>4</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853"/>
        <w:jc w:val="left"/>
      </w:pPr>
      <w:r>
        <w:rPr/>
        <w:t>不适用 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2、在子公司的所有者权益份额发生变化且仍控制子公司的交易" w:id="320"/>
      <w:bookmarkEnd w:id="3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在子公司所有者权益份额发生变化的情况说明" w:id="321"/>
      <w:bookmarkEnd w:id="3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不适用</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交易对于少数股东权益及归属于母公司所有者权益的影响" w:id="322"/>
      <w:bookmarkEnd w:id="3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10032"/>
        <w:jc w:val="left"/>
      </w:pPr>
      <w:r>
        <w:rPr/>
        <w:t>不适用 其他说明 无</w:t>
      </w:r>
    </w:p>
    <w:p>
      <w:pPr>
        <w:spacing w:line="240" w:lineRule="auto" w:before="0"/>
        <w:rPr>
          <w:rFonts w:ascii="宋体" w:hAnsi="宋体" w:cs="宋体" w:eastAsia="宋体" w:hint="default"/>
          <w:sz w:val="20"/>
          <w:szCs w:val="20"/>
        </w:rPr>
      </w:pPr>
    </w:p>
    <w:p>
      <w:pPr>
        <w:pStyle w:val="Heading4"/>
        <w:spacing w:line="240" w:lineRule="auto"/>
        <w:ind w:right="1033"/>
        <w:jc w:val="left"/>
        <w:rPr>
          <w:b w:val="0"/>
          <w:bCs w:val="0"/>
        </w:rPr>
      </w:pPr>
      <w:bookmarkStart w:name="3、在未纳入合并财务报表范围的结构化主体中的权益" w:id="323"/>
      <w:bookmarkEnd w:id="323"/>
      <w:r>
        <w:rPr>
          <w:b w:val="0"/>
          <w:bCs w:val="0"/>
        </w:rPr>
      </w: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612"/>
        <w:jc w:val="left"/>
      </w:pPr>
      <w:r>
        <w:rPr/>
        <w:t>未纳入合并财务报表范围的结构化主体的相关说明： 不适用</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其他" w:id="324"/>
      <w:bookmarkEnd w:id="324"/>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十、与金融工具相关的风险" w:id="325"/>
      <w:bookmarkEnd w:id="325"/>
      <w:r>
        <w:rPr>
          <w:b w:val="0"/>
          <w:bCs w:val="0"/>
        </w:rPr>
      </w:r>
      <w:r>
        <w:rPr/>
        <w:t>十、与金融工具相关的风险</w:t>
      </w:r>
      <w:r>
        <w:rPr>
          <w:b w:val="0"/>
          <w:bCs w:val="0"/>
        </w:rPr>
      </w:r>
    </w:p>
    <w:p>
      <w:pPr>
        <w:spacing w:line="240" w:lineRule="auto" w:before="9"/>
        <w:rPr>
          <w:rFonts w:ascii="宋体" w:hAnsi="宋体" w:cs="宋体" w:eastAsia="宋体" w:hint="default"/>
          <w:b/>
          <w:bCs/>
          <w:sz w:val="22"/>
          <w:szCs w:val="22"/>
        </w:rPr>
      </w:pPr>
    </w:p>
    <w:p>
      <w:pPr>
        <w:pStyle w:val="Heading3"/>
        <w:tabs>
          <w:tab w:pos="1414" w:val="left" w:leader="none"/>
        </w:tabs>
        <w:spacing w:line="240" w:lineRule="auto"/>
        <w:ind w:left="874" w:right="1033"/>
        <w:jc w:val="left"/>
        <w:rPr>
          <w:b w:val="0"/>
          <w:bCs w:val="0"/>
        </w:rPr>
      </w:pPr>
      <w:r>
        <w:rPr>
          <w:rFonts w:ascii="Times New Roman" w:hAnsi="Times New Roman" w:cs="Times New Roman" w:eastAsia="Times New Roman" w:hint="default"/>
        </w:rPr>
        <w:t>1.</w:t>
        <w:tab/>
      </w:r>
      <w:r>
        <w:rPr/>
        <w:t>金融工具分类</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left="573" w:right="1033"/>
        <w:jc w:val="left"/>
      </w:pPr>
      <w:r>
        <w:rPr/>
        <w:t>资产负债表日的各类金融工具的账面价值如下：</w:t>
      </w:r>
    </w:p>
    <w:p>
      <w:pPr>
        <w:spacing w:line="240" w:lineRule="auto" w:before="7"/>
        <w:rPr>
          <w:rFonts w:ascii="宋体" w:hAnsi="宋体" w:cs="宋体" w:eastAsia="宋体" w:hint="default"/>
          <w:sz w:val="25"/>
          <w:szCs w:val="25"/>
        </w:rPr>
      </w:pPr>
    </w:p>
    <w:tbl>
      <w:tblPr>
        <w:tblW w:w="0" w:type="auto"/>
        <w:jc w:val="left"/>
        <w:tblInd w:w="839" w:type="dxa"/>
        <w:tblLayout w:type="fixed"/>
        <w:tblCellMar>
          <w:top w:w="0" w:type="dxa"/>
          <w:left w:w="0" w:type="dxa"/>
          <w:bottom w:w="0" w:type="dxa"/>
          <w:right w:w="0" w:type="dxa"/>
        </w:tblCellMar>
        <w:tblLook w:val="01E0"/>
      </w:tblPr>
      <w:tblGrid>
        <w:gridCol w:w="3967"/>
        <w:gridCol w:w="3671"/>
      </w:tblGrid>
      <w:tr>
        <w:trPr>
          <w:trHeight w:val="857"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671" w:type="dxa"/>
            <w:tcBorders>
              <w:top w:val="nil" w:sz="6" w:space="0" w:color="auto"/>
              <w:left w:val="nil" w:sz="6" w:space="0" w:color="auto"/>
              <w:bottom w:val="nil" w:sz="6" w:space="0" w:color="auto"/>
              <w:right w:val="nil" w:sz="6" w:space="0" w:color="auto"/>
            </w:tcBorders>
          </w:tcPr>
          <w:p>
            <w:pPr/>
          </w:p>
        </w:tc>
      </w:tr>
      <w:tr>
        <w:trPr>
          <w:trHeight w:val="377" w:hRule="exact"/>
        </w:trPr>
        <w:tc>
          <w:tcPr>
            <w:tcW w:w="3967" w:type="dxa"/>
            <w:tcBorders>
              <w:top w:val="nil" w:sz="6" w:space="0" w:color="auto"/>
              <w:left w:val="nil" w:sz="6" w:space="0" w:color="auto"/>
              <w:bottom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hAnsi="宋体" w:cs="宋体" w:eastAsia="宋体" w:hint="default"/>
                <w:sz w:val="18"/>
                <w:szCs w:val="18"/>
              </w:rPr>
              <w:t>贷款和应收款项</w:t>
            </w:r>
          </w:p>
        </w:tc>
      </w:tr>
      <w:tr>
        <w:trPr>
          <w:trHeight w:val="384"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9"/>
              <w:jc w:val="right"/>
              <w:rPr>
                <w:rFonts w:ascii="Times New Roman" w:hAnsi="Times New Roman" w:cs="Times New Roman" w:eastAsia="Times New Roman" w:hint="default"/>
                <w:sz w:val="18"/>
                <w:szCs w:val="18"/>
              </w:rPr>
            </w:pPr>
            <w:r>
              <w:rPr>
                <w:rFonts w:ascii="Times New Roman"/>
                <w:spacing w:val="-1"/>
                <w:sz w:val="18"/>
              </w:rPr>
              <w:t>1,407,459,236</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328,610,000</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234,536,158</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
              <w:jc w:val="right"/>
              <w:rPr>
                <w:rFonts w:ascii="Times New Roman" w:hAnsi="Times New Roman" w:cs="Times New Roman" w:eastAsia="Times New Roman" w:hint="default"/>
                <w:sz w:val="18"/>
                <w:szCs w:val="18"/>
              </w:rPr>
            </w:pPr>
            <w:r>
              <w:rPr>
                <w:rFonts w:ascii="Times New Roman"/>
                <w:sz w:val="18"/>
              </w:rPr>
              <w:t>80,812,986</w:t>
            </w:r>
          </w:p>
        </w:tc>
      </w:tr>
      <w:tr>
        <w:trPr>
          <w:trHeight w:val="371"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671" w:type="dxa"/>
            <w:tcBorders>
              <w:top w:val="nil" w:sz="6" w:space="0" w:color="auto"/>
              <w:left w:val="nil" w:sz="6" w:space="0" w:color="auto"/>
              <w:bottom w:val="nil" w:sz="6" w:space="0" w:color="auto"/>
              <w:right w:val="nil" w:sz="6" w:space="0" w:color="auto"/>
            </w:tcBorders>
          </w:tcPr>
          <w:p>
            <w:pPr>
              <w:pStyle w:val="TableParagraph"/>
              <w:tabs>
                <w:tab w:pos="787" w:val="left" w:leader="none"/>
              </w:tabs>
              <w:spacing w:line="240" w:lineRule="auto" w:before="21"/>
              <w:ind w:right="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117,456,829</w:t>
            </w:r>
            <w:r>
              <w:rPr>
                <w:rFonts w:ascii="Times New Roman"/>
                <w:spacing w:val="-1"/>
                <w:sz w:val="18"/>
              </w:rPr>
            </w:r>
          </w:p>
        </w:tc>
      </w:tr>
      <w:tr>
        <w:trPr>
          <w:trHeight w:val="485" w:hRule="exact"/>
        </w:trPr>
        <w:tc>
          <w:tcPr>
            <w:tcW w:w="3967" w:type="dxa"/>
            <w:tcBorders>
              <w:top w:val="nil" w:sz="6" w:space="0" w:color="auto"/>
              <w:left w:val="nil" w:sz="6" w:space="0" w:color="auto"/>
              <w:bottom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123"/>
              <w:ind w:right="3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2,168,875,209</w:t>
            </w:r>
            <w:r>
              <w:rPr>
                <w:rFonts w:ascii="Times New Roman"/>
                <w:spacing w:val="-1"/>
                <w:sz w:val="18"/>
              </w:rPr>
            </w:r>
          </w:p>
        </w:tc>
      </w:tr>
      <w:tr>
        <w:trPr>
          <w:trHeight w:val="377"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671" w:type="dxa"/>
            <w:tcBorders>
              <w:top w:val="nil" w:sz="6" w:space="0" w:color="auto"/>
              <w:left w:val="nil" w:sz="6" w:space="0" w:color="auto"/>
              <w:bottom w:val="nil" w:sz="6" w:space="0" w:color="auto"/>
              <w:right w:val="nil" w:sz="6" w:space="0" w:color="auto"/>
            </w:tcBorders>
          </w:tcPr>
          <w:p>
            <w:pPr/>
          </w:p>
        </w:tc>
      </w:tr>
      <w:tr>
        <w:trPr>
          <w:trHeight w:val="377" w:hRule="exact"/>
        </w:trPr>
        <w:tc>
          <w:tcPr>
            <w:tcW w:w="3967" w:type="dxa"/>
            <w:tcBorders>
              <w:top w:val="nil" w:sz="6" w:space="0" w:color="auto"/>
              <w:left w:val="nil" w:sz="6" w:space="0" w:color="auto"/>
              <w:bottom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hAnsi="宋体" w:cs="宋体" w:eastAsia="宋体" w:hint="default"/>
                <w:sz w:val="18"/>
                <w:szCs w:val="18"/>
              </w:rPr>
              <w:t>其他金融负债</w:t>
            </w:r>
          </w:p>
        </w:tc>
      </w:tr>
      <w:tr>
        <w:trPr>
          <w:trHeight w:val="384"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9"/>
              <w:jc w:val="right"/>
              <w:rPr>
                <w:rFonts w:ascii="Times New Roman" w:hAnsi="Times New Roman" w:cs="Times New Roman" w:eastAsia="Times New Roman" w:hint="default"/>
                <w:sz w:val="18"/>
                <w:szCs w:val="18"/>
              </w:rPr>
            </w:pPr>
            <w:r>
              <w:rPr>
                <w:rFonts w:ascii="Times New Roman"/>
                <w:sz w:val="18"/>
              </w:rPr>
              <w:t>778,630,418</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731,780,000</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18,336,468</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348,840,798</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1,596,000</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
              <w:jc w:val="right"/>
              <w:rPr>
                <w:rFonts w:ascii="Times New Roman" w:hAnsi="Times New Roman" w:cs="Times New Roman" w:eastAsia="Times New Roman" w:hint="default"/>
                <w:sz w:val="18"/>
                <w:szCs w:val="18"/>
              </w:rPr>
            </w:pPr>
            <w:r>
              <w:rPr>
                <w:rFonts w:ascii="Times New Roman"/>
                <w:sz w:val="18"/>
              </w:rPr>
              <w:t>272,663,736</w:t>
            </w:r>
          </w:p>
        </w:tc>
      </w:tr>
      <w:tr>
        <w:trPr>
          <w:trHeight w:val="26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应付长期债券</w:t>
            </w:r>
          </w:p>
        </w:tc>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Times New Roman" w:hAnsi="Times New Roman" w:cs="Times New Roman" w:eastAsia="Times New Roman" w:hint="default"/>
                <w:sz w:val="18"/>
                <w:szCs w:val="18"/>
              </w:rPr>
            </w:pPr>
            <w:r>
              <w:rPr>
                <w:rFonts w:ascii="Times New Roman"/>
                <w:sz w:val="18"/>
              </w:rPr>
              <w:t>805,494,932</w:t>
            </w:r>
          </w:p>
        </w:tc>
      </w:tr>
      <w:tr>
        <w:trPr>
          <w:trHeight w:val="371"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671"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21"/>
              <w:ind w:right="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69,780,000</w:t>
            </w:r>
            <w:r>
              <w:rPr>
                <w:rFonts w:ascii="Times New Roman"/>
                <w:sz w:val="18"/>
              </w:rPr>
            </w:r>
          </w:p>
        </w:tc>
      </w:tr>
      <w:tr>
        <w:trPr>
          <w:trHeight w:val="531" w:hRule="exact"/>
        </w:trPr>
        <w:tc>
          <w:tcPr>
            <w:tcW w:w="3967" w:type="dxa"/>
            <w:tcBorders>
              <w:top w:val="nil" w:sz="6" w:space="0" w:color="auto"/>
              <w:left w:val="nil" w:sz="6" w:space="0" w:color="auto"/>
              <w:bottom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123"/>
              <w:ind w:right="3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3,027,122,352</w:t>
            </w:r>
            <w:r>
              <w:rPr>
                <w:rFonts w:ascii="Times New Roman"/>
                <w:spacing w:val="-1"/>
                <w:sz w:val="18"/>
              </w:rPr>
            </w:r>
          </w:p>
        </w:tc>
      </w:tr>
      <w:tr>
        <w:trPr>
          <w:trHeight w:val="558" w:hRule="exact"/>
        </w:trPr>
        <w:tc>
          <w:tcPr>
            <w:tcW w:w="396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31"/>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金融资产转移</w:t>
            </w:r>
            <w:r>
              <w:rPr>
                <w:rFonts w:ascii="宋体" w:hAnsi="宋体" w:cs="宋体" w:eastAsia="宋体" w:hint="default"/>
                <w:sz w:val="24"/>
                <w:szCs w:val="24"/>
              </w:rPr>
            </w:r>
          </w:p>
        </w:tc>
        <w:tc>
          <w:tcPr>
            <w:tcW w:w="367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7"/>
          <w:szCs w:val="27"/>
        </w:rPr>
      </w:pPr>
    </w:p>
    <w:p>
      <w:pPr>
        <w:pStyle w:val="BodyText"/>
        <w:spacing w:line="240" w:lineRule="auto" w:before="44"/>
        <w:ind w:right="0"/>
        <w:jc w:val="both"/>
      </w:pPr>
      <w:r>
        <w:rPr/>
        <w:t>已转移但未整体终止确认的金融资产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both"/>
      </w:pPr>
      <w:r>
        <w:rPr/>
        <w:t>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日，本集团已贴现给银行的商业承兑汇票的账面价值为人民币</w:t>
      </w:r>
      <w:r>
        <w:rPr>
          <w:spacing w:val="-47"/>
        </w:rPr>
        <w:t> </w:t>
      </w:r>
      <w:r>
        <w:rPr>
          <w:rFonts w:ascii="Times New Roman" w:hAnsi="Times New Roman" w:cs="Times New Roman" w:eastAsia="Times New Roman" w:hint="default"/>
        </w:rPr>
        <w:t>328,610,000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日：人民</w:t>
      </w:r>
    </w:p>
    <w:p>
      <w:pPr>
        <w:pStyle w:val="BodyText"/>
        <w:spacing w:line="309" w:lineRule="auto" w:before="63"/>
        <w:ind w:left="154" w:right="1131"/>
        <w:jc w:val="both"/>
        <w:rPr>
          <w:rFonts w:ascii="Times New Roman" w:hAnsi="Times New Roman" w:cs="Times New Roman" w:eastAsia="Times New Roman" w:hint="default"/>
        </w:rPr>
      </w:pPr>
      <w:r>
        <w:rPr/>
        <w:t>币</w:t>
      </w:r>
      <w:r>
        <w:rPr>
          <w:spacing w:val="-49"/>
        </w:rPr>
        <w:t> </w:t>
      </w:r>
      <w:r>
        <w:rPr>
          <w:rFonts w:ascii="Times New Roman" w:hAnsi="Times New Roman" w:cs="Times New Roman" w:eastAsia="Times New Roman" w:hint="default"/>
        </w:rPr>
        <w:t>11,950,000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。本集团认为，本集团保留了其几乎所有的风险和报酬，包括与其相关的违约风险，因此，继续全额确认 </w:t>
      </w:r>
      <w:r>
        <w:rPr>
          <w:spacing w:val="-2"/>
        </w:rPr>
        <w:t>其及与之相关的银行借款。贴现后，本集团不再保留使用该等已贴现的票据的权利，包括将其出售、转让或质押给其他第三</w:t>
      </w:r>
      <w:r>
        <w:rPr>
          <w:spacing w:val="-66"/>
        </w:rPr>
        <w:t> </w:t>
      </w:r>
      <w:r>
        <w:rPr>
          <w:spacing w:val="-66"/>
        </w:rPr>
      </w:r>
      <w:r>
        <w:rPr>
          <w:spacing w:val="-5"/>
        </w:rPr>
        <w:t>方的权利。于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日，本集团因该等票据贴现获取的银行借款账面价值总计为人民币</w:t>
      </w:r>
      <w:r>
        <w:rPr>
          <w:spacing w:val="-48"/>
        </w:rPr>
        <w:t> </w:t>
      </w:r>
      <w:r>
        <w:rPr>
          <w:rFonts w:ascii="Times New Roman" w:hAnsi="Times New Roman" w:cs="Times New Roman" w:eastAsia="Times New Roman" w:hint="default"/>
        </w:rPr>
        <w:t>328,610,000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p>
    <w:p>
      <w:pPr>
        <w:pStyle w:val="BodyText"/>
        <w:spacing w:line="679" w:lineRule="auto" w:before="6"/>
        <w:ind w:left="154" w:right="6252"/>
        <w:jc w:val="left"/>
      </w:pP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日：人民币</w:t>
      </w:r>
      <w:r>
        <w:rPr>
          <w:spacing w:val="-47"/>
        </w:rPr>
        <w:t> </w:t>
      </w:r>
      <w:r>
        <w:rPr>
          <w:rFonts w:ascii="Times New Roman" w:hAnsi="Times New Roman" w:cs="Times New Roman" w:eastAsia="Times New Roman" w:hint="default"/>
        </w:rPr>
        <w:t>11,950,000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 本集团无已整体终止确认但继续涉入的已转移金融资产。</w:t>
      </w:r>
    </w:p>
    <w:p>
      <w:pPr>
        <w:pStyle w:val="Heading3"/>
        <w:tabs>
          <w:tab w:pos="1414" w:val="left" w:leader="none"/>
        </w:tabs>
        <w:spacing w:line="240" w:lineRule="auto" w:before="47"/>
        <w:ind w:left="874" w:right="1033"/>
        <w:jc w:val="left"/>
        <w:rPr>
          <w:b w:val="0"/>
          <w:bCs w:val="0"/>
        </w:rPr>
      </w:pPr>
      <w:r>
        <w:rPr>
          <w:rFonts w:ascii="Times New Roman" w:hAnsi="Times New Roman" w:cs="Times New Roman" w:eastAsia="Times New Roman" w:hint="default"/>
        </w:rPr>
        <w:t>3.</w:t>
        <w:tab/>
      </w:r>
      <w:r>
        <w:rPr/>
        <w:t>金融工具风险</w:t>
      </w:r>
      <w:r>
        <w:rPr>
          <w:b w:val="0"/>
          <w:bCs w:val="0"/>
        </w:rPr>
      </w:r>
    </w:p>
    <w:p>
      <w:pPr>
        <w:spacing w:line="240" w:lineRule="auto" w:before="3"/>
        <w:rPr>
          <w:rFonts w:ascii="宋体" w:hAnsi="宋体" w:cs="宋体" w:eastAsia="宋体" w:hint="default"/>
          <w:b/>
          <w:bCs/>
          <w:sz w:val="29"/>
          <w:szCs w:val="29"/>
        </w:rPr>
      </w:pPr>
    </w:p>
    <w:p>
      <w:pPr>
        <w:pStyle w:val="BodyText"/>
        <w:spacing w:line="316" w:lineRule="auto"/>
        <w:ind w:right="1131"/>
        <w:jc w:val="both"/>
      </w:pPr>
      <w:r>
        <w:rPr>
          <w:spacing w:val="-2"/>
        </w:rPr>
        <w:t>本集团的主要金融工具，包括银行借款、应付短期融资券、应付长期债券和货币资金等。这些金融工具的主要目的在于为本</w:t>
      </w:r>
      <w:r>
        <w:rPr>
          <w:spacing w:val="-65"/>
        </w:rPr>
        <w:t> </w:t>
      </w:r>
      <w:r>
        <w:rPr>
          <w:spacing w:val="-65"/>
        </w:rPr>
      </w:r>
      <w:r>
        <w:rPr>
          <w:spacing w:val="-2"/>
        </w:rPr>
        <w:t>集团的运营融资。本集团具有多种因经营而直接产生的其他金融资产和负债，如应收账款、其他应收款、长期应收款、应付</w:t>
      </w:r>
      <w:r>
        <w:rPr>
          <w:spacing w:val="-66"/>
        </w:rPr>
        <w:t> </w:t>
      </w:r>
      <w:r>
        <w:rPr>
          <w:spacing w:val="-66"/>
        </w:rPr>
      </w:r>
      <w:r>
        <w:rPr/>
        <w:t>账款、应付票据和其他应付款等。</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573" w:right="1033"/>
        <w:jc w:val="left"/>
      </w:pPr>
      <w:r>
        <w:rPr/>
        <w:t>本集团的金融工具导致的主要风险是信用风险和流动风险。本集团对此的风险管理政策概述如下。</w:t>
      </w:r>
    </w:p>
    <w:p>
      <w:pPr>
        <w:spacing w:line="240" w:lineRule="auto" w:before="0"/>
        <w:rPr>
          <w:rFonts w:ascii="宋体" w:hAnsi="宋体" w:cs="宋体" w:eastAsia="宋体" w:hint="default"/>
          <w:sz w:val="18"/>
          <w:szCs w:val="18"/>
        </w:rPr>
      </w:pPr>
    </w:p>
    <w:p>
      <w:pPr>
        <w:pStyle w:val="Heading3"/>
        <w:spacing w:line="240" w:lineRule="auto" w:before="141"/>
        <w:ind w:left="994" w:right="1033"/>
        <w:jc w:val="left"/>
        <w:rPr>
          <w:b w:val="0"/>
          <w:bCs w:val="0"/>
        </w:rPr>
      </w:pPr>
      <w:r>
        <w:rPr/>
        <w:t>信用风险</w:t>
      </w:r>
      <w:r>
        <w:rPr>
          <w:b w:val="0"/>
          <w:bCs w:val="0"/>
        </w:rPr>
      </w:r>
    </w:p>
    <w:p>
      <w:pPr>
        <w:spacing w:line="240" w:lineRule="auto" w:before="8"/>
        <w:rPr>
          <w:rFonts w:ascii="宋体" w:hAnsi="宋体" w:cs="宋体" w:eastAsia="宋体" w:hint="default"/>
          <w:b/>
          <w:bCs/>
          <w:sz w:val="30"/>
          <w:szCs w:val="30"/>
        </w:rPr>
      </w:pPr>
    </w:p>
    <w:p>
      <w:pPr>
        <w:pStyle w:val="BodyText"/>
        <w:spacing w:line="319" w:lineRule="auto"/>
        <w:ind w:right="1153" w:firstLine="420"/>
        <w:jc w:val="left"/>
      </w:pPr>
      <w:r>
        <w:rPr/>
        <w:t>本集团仅与经认可的、信誉良好的第三方进行交易。按照本集团的政策，需对所有要求采用信用方式进行交易的客户 进行信用审核。另外，本集团对应收账款余额进行持续监控，以确保本集团不致面临重大坏账风险。</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1153" w:firstLine="420"/>
        <w:jc w:val="left"/>
      </w:pPr>
      <w:r>
        <w:rPr/>
        <w:t>本集团其他金融资产包括货币资金、其他应收款和长期应收款，这些金融资产的信用风险源自交易对手违约，最大风 险敞口等于这些工具的账面金额。本集团通过选择信誉良好的第三方进行交易来控制此项风险。</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09" w:lineRule="auto"/>
        <w:ind w:right="1029" w:firstLine="420"/>
        <w:jc w:val="left"/>
      </w:pPr>
      <w:r>
        <w:rPr>
          <w:spacing w:val="-2"/>
        </w:rPr>
        <w:t>由于本集团仅与经认可的且信誉良好的第三方进行交易，所以无需担保物。信用风险集中按照客户</w:t>
      </w:r>
      <w:r>
        <w:rPr>
          <w:rFonts w:ascii="Times New Roman" w:hAnsi="Times New Roman" w:cs="Times New Roman" w:eastAsia="Times New Roman" w:hint="default"/>
          <w:spacing w:val="-2"/>
        </w:rPr>
        <w:t>/</w:t>
      </w:r>
      <w:r>
        <w:rPr>
          <w:spacing w:val="-2"/>
        </w:rPr>
        <w:t>交易对手进行管理。</w:t>
      </w:r>
      <w:r>
        <w:rPr/>
        <w:t> </w:t>
      </w:r>
      <w:r>
        <w:rPr>
          <w:spacing w:val="-2"/>
        </w:rPr>
        <w:t>由于本集团的应收账款客户群广泛地分散于不同的单位和地区中，因此在本集团内部不存在重大信用风险集中。本集团对应</w:t>
      </w:r>
      <w:r>
        <w:rPr>
          <w:spacing w:val="-64"/>
        </w:rPr>
        <w:t> </w:t>
      </w:r>
      <w:r>
        <w:rPr>
          <w:spacing w:val="-64"/>
        </w:rPr>
      </w:r>
      <w:r>
        <w:rPr/>
        <w:t>收账款余额未持有任何担保物或其他信用增级。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right="0"/>
        <w:jc w:val="both"/>
      </w:pPr>
      <w:r>
        <w:rPr/>
        <w:t>于</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日，认为单独或组合均未发生减值的金融资产的期限分析如下：</w:t>
      </w:r>
    </w:p>
    <w:p>
      <w:pPr>
        <w:spacing w:line="240" w:lineRule="auto" w:before="9"/>
        <w:rPr>
          <w:rFonts w:ascii="宋体" w:hAnsi="宋体" w:cs="宋体" w:eastAsia="宋体" w:hint="default"/>
          <w:sz w:val="19"/>
          <w:szCs w:val="19"/>
        </w:rPr>
      </w:pPr>
    </w:p>
    <w:tbl>
      <w:tblPr>
        <w:tblW w:w="0" w:type="auto"/>
        <w:jc w:val="left"/>
        <w:tblInd w:w="839" w:type="dxa"/>
        <w:tblLayout w:type="fixed"/>
        <w:tblCellMar>
          <w:top w:w="0" w:type="dxa"/>
          <w:left w:w="0" w:type="dxa"/>
          <w:bottom w:w="0" w:type="dxa"/>
          <w:right w:w="0" w:type="dxa"/>
        </w:tblCellMar>
        <w:tblLook w:val="01E0"/>
      </w:tblPr>
      <w:tblGrid>
        <w:gridCol w:w="1239"/>
        <w:gridCol w:w="1507"/>
        <w:gridCol w:w="1178"/>
        <w:gridCol w:w="3740"/>
      </w:tblGrid>
      <w:tr>
        <w:trPr>
          <w:trHeight w:val="605"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未逾期</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tabs>
                <w:tab w:pos="1619" w:val="left" w:leader="none"/>
                <w:tab w:pos="3600" w:val="left" w:leader="none"/>
              </w:tabs>
              <w:spacing w:line="240" w:lineRule="auto"/>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逾期</w:t>
              <w:tab/>
            </w:r>
            <w:r>
              <w:rPr>
                <w:rFonts w:ascii="宋体" w:hAnsi="宋体" w:cs="宋体" w:eastAsia="宋体" w:hint="default"/>
                <w:sz w:val="18"/>
                <w:szCs w:val="18"/>
              </w:rPr>
            </w:r>
          </w:p>
        </w:tc>
      </w:tr>
      <w:tr>
        <w:trPr>
          <w:trHeight w:val="395" w:hRule="exact"/>
        </w:trPr>
        <w:tc>
          <w:tcPr>
            <w:tcW w:w="123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21" w:lineRule="exact"/>
              <w:ind w:right="70"/>
              <w:jc w:val="right"/>
              <w:rPr>
                <w:rFonts w:ascii="宋体" w:hAnsi="宋体" w:cs="宋体" w:eastAsia="宋体" w:hint="default"/>
                <w:sz w:val="18"/>
                <w:szCs w:val="18"/>
              </w:rPr>
            </w:pPr>
            <w:r>
              <w:rPr>
                <w:rFonts w:ascii="宋体" w:hAnsi="宋体" w:cs="宋体" w:eastAsia="宋体" w:hint="default"/>
                <w:sz w:val="18"/>
                <w:szCs w:val="18"/>
              </w:rPr>
              <w:t>未减值</w:t>
            </w:r>
          </w:p>
        </w:tc>
        <w:tc>
          <w:tcPr>
            <w:tcW w:w="3740" w:type="dxa"/>
            <w:tcBorders>
              <w:top w:val="nil" w:sz="6" w:space="0" w:color="auto"/>
              <w:left w:val="nil" w:sz="6" w:space="0" w:color="auto"/>
              <w:bottom w:val="nil" w:sz="6" w:space="0" w:color="auto"/>
              <w:right w:val="nil" w:sz="6" w:space="0" w:color="auto"/>
            </w:tcBorders>
          </w:tcPr>
          <w:p>
            <w:pPr>
              <w:pStyle w:val="TableParagraph"/>
              <w:tabs>
                <w:tab w:pos="1276" w:val="left" w:leader="none"/>
                <w:tab w:pos="2648" w:val="left" w:leader="none"/>
              </w:tabs>
              <w:spacing w:line="235" w:lineRule="exact"/>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tab/>
            </w: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397"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03" w:right="0"/>
              <w:jc w:val="left"/>
              <w:rPr>
                <w:rFonts w:ascii="Times New Roman" w:hAnsi="Times New Roman" w:cs="Times New Roman" w:eastAsia="Times New Roman" w:hint="default"/>
                <w:sz w:val="18"/>
                <w:szCs w:val="18"/>
              </w:rPr>
            </w:pPr>
            <w:r>
              <w:rPr>
                <w:rFonts w:ascii="Times New Roman"/>
                <w:sz w:val="18"/>
              </w:rPr>
              <w:t>1,407,459,236</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70"/>
              <w:jc w:val="right"/>
              <w:rPr>
                <w:rFonts w:ascii="Times New Roman" w:hAnsi="Times New Roman" w:cs="Times New Roman" w:eastAsia="Times New Roman" w:hint="default"/>
                <w:sz w:val="18"/>
                <w:szCs w:val="18"/>
              </w:rPr>
            </w:pPr>
            <w:r>
              <w:rPr>
                <w:rFonts w:ascii="Times New Roman"/>
                <w:spacing w:val="-1"/>
                <w:sz w:val="18"/>
              </w:rPr>
              <w:t>1,407,459,236</w:t>
            </w:r>
          </w:p>
        </w:tc>
        <w:tc>
          <w:tcPr>
            <w:tcW w:w="3740" w:type="dxa"/>
            <w:tcBorders>
              <w:top w:val="nil" w:sz="6" w:space="0" w:color="auto"/>
              <w:left w:val="nil" w:sz="6" w:space="0" w:color="auto"/>
              <w:bottom w:val="nil" w:sz="6" w:space="0" w:color="auto"/>
              <w:right w:val="nil" w:sz="6" w:space="0" w:color="auto"/>
            </w:tcBorders>
          </w:tcPr>
          <w:p>
            <w:pPr>
              <w:pStyle w:val="TableParagraph"/>
              <w:tabs>
                <w:tab w:pos="1277" w:val="left" w:leader="none"/>
                <w:tab w:pos="2501" w:val="left" w:leader="none"/>
              </w:tabs>
              <w:spacing w:line="240" w:lineRule="auto" w:before="151"/>
              <w:ind w:right="33"/>
              <w:jc w:val="right"/>
              <w:rPr>
                <w:rFonts w:ascii="Times New Roman" w:hAnsi="Times New Roman" w:cs="Times New Roman" w:eastAsia="Times New Roman" w:hint="default"/>
                <w:sz w:val="18"/>
                <w:szCs w:val="18"/>
              </w:rPr>
            </w:pPr>
            <w:r>
              <w:rPr>
                <w:rFonts w:ascii="Times New Roman"/>
                <w:sz w:val="18"/>
              </w:rPr>
              <w:t>-</w:t>
              <w:tab/>
              <w:t>-</w:t>
              <w:tab/>
              <w:t>-</w:t>
            </w:r>
          </w:p>
        </w:tc>
      </w:tr>
      <w:tr>
        <w:trPr>
          <w:trHeight w:val="274"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6"/>
              <w:jc w:val="right"/>
              <w:rPr>
                <w:rFonts w:ascii="Times New Roman" w:hAnsi="Times New Roman" w:cs="Times New Roman" w:eastAsia="Times New Roman" w:hint="default"/>
                <w:sz w:val="18"/>
                <w:szCs w:val="18"/>
              </w:rPr>
            </w:pPr>
            <w:r>
              <w:rPr>
                <w:rFonts w:ascii="Times New Roman"/>
                <w:sz w:val="18"/>
              </w:rPr>
              <w:t>234,536,158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
              <w:jc w:val="right"/>
              <w:rPr>
                <w:rFonts w:ascii="Times New Roman" w:hAnsi="Times New Roman" w:cs="Times New Roman" w:eastAsia="Times New Roman" w:hint="default"/>
                <w:sz w:val="18"/>
                <w:szCs w:val="18"/>
              </w:rPr>
            </w:pPr>
            <w:r>
              <w:rPr>
                <w:rFonts w:ascii="Times New Roman"/>
                <w:sz w:val="18"/>
              </w:rPr>
              <w:t>234,536,158</w:t>
            </w:r>
          </w:p>
        </w:tc>
        <w:tc>
          <w:tcPr>
            <w:tcW w:w="3740" w:type="dxa"/>
            <w:tcBorders>
              <w:top w:val="nil" w:sz="6" w:space="0" w:color="auto"/>
              <w:left w:val="nil" w:sz="6" w:space="0" w:color="auto"/>
              <w:bottom w:val="nil" w:sz="6" w:space="0" w:color="auto"/>
              <w:right w:val="nil" w:sz="6" w:space="0" w:color="auto"/>
            </w:tcBorders>
          </w:tcPr>
          <w:p>
            <w:pPr>
              <w:pStyle w:val="TableParagraph"/>
              <w:tabs>
                <w:tab w:pos="1277" w:val="left" w:leader="none"/>
                <w:tab w:pos="2501" w:val="left" w:leader="none"/>
              </w:tabs>
              <w:spacing w:line="240" w:lineRule="auto" w:before="27"/>
              <w:ind w:right="33"/>
              <w:jc w:val="right"/>
              <w:rPr>
                <w:rFonts w:ascii="Times New Roman" w:hAnsi="Times New Roman" w:cs="Times New Roman" w:eastAsia="Times New Roman" w:hint="default"/>
                <w:sz w:val="18"/>
                <w:szCs w:val="18"/>
              </w:rPr>
            </w:pPr>
            <w:r>
              <w:rPr>
                <w:rFonts w:ascii="Times New Roman"/>
                <w:sz w:val="18"/>
              </w:rPr>
              <w:t>-</w:t>
              <w:tab/>
              <w:t>-</w:t>
              <w:tab/>
              <w:t>-</w:t>
            </w:r>
          </w:p>
        </w:tc>
      </w:tr>
      <w:tr>
        <w:trPr>
          <w:trHeight w:val="274"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6"/>
              <w:jc w:val="right"/>
              <w:rPr>
                <w:rFonts w:ascii="Times New Roman" w:hAnsi="Times New Roman" w:cs="Times New Roman" w:eastAsia="Times New Roman" w:hint="default"/>
                <w:sz w:val="18"/>
                <w:szCs w:val="18"/>
              </w:rPr>
            </w:pPr>
            <w:r>
              <w:rPr>
                <w:rFonts w:ascii="Times New Roman"/>
                <w:sz w:val="18"/>
              </w:rPr>
              <w:t>80,812,986</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
              <w:jc w:val="right"/>
              <w:rPr>
                <w:rFonts w:ascii="Times New Roman" w:hAnsi="Times New Roman" w:cs="Times New Roman" w:eastAsia="Times New Roman" w:hint="default"/>
                <w:sz w:val="18"/>
                <w:szCs w:val="18"/>
              </w:rPr>
            </w:pPr>
            <w:r>
              <w:rPr>
                <w:rFonts w:ascii="Times New Roman"/>
                <w:sz w:val="18"/>
              </w:rPr>
              <w:t>80,812,986</w:t>
            </w:r>
          </w:p>
        </w:tc>
        <w:tc>
          <w:tcPr>
            <w:tcW w:w="3740" w:type="dxa"/>
            <w:tcBorders>
              <w:top w:val="nil" w:sz="6" w:space="0" w:color="auto"/>
              <w:left w:val="nil" w:sz="6" w:space="0" w:color="auto"/>
              <w:bottom w:val="nil" w:sz="6" w:space="0" w:color="auto"/>
              <w:right w:val="nil" w:sz="6" w:space="0" w:color="auto"/>
            </w:tcBorders>
          </w:tcPr>
          <w:p>
            <w:pPr>
              <w:pStyle w:val="TableParagraph"/>
              <w:tabs>
                <w:tab w:pos="1277" w:val="left" w:leader="none"/>
                <w:tab w:pos="2501" w:val="left" w:leader="none"/>
              </w:tabs>
              <w:spacing w:line="240" w:lineRule="auto" w:before="27"/>
              <w:ind w:right="33"/>
              <w:jc w:val="right"/>
              <w:rPr>
                <w:rFonts w:ascii="Times New Roman" w:hAnsi="Times New Roman" w:cs="Times New Roman" w:eastAsia="Times New Roman" w:hint="default"/>
                <w:sz w:val="18"/>
                <w:szCs w:val="18"/>
              </w:rPr>
            </w:pPr>
            <w:r>
              <w:rPr>
                <w:rFonts w:ascii="Times New Roman"/>
                <w:sz w:val="18"/>
              </w:rPr>
              <w:t>-</w:t>
              <w:tab/>
              <w:t>-</w:t>
              <w:tab/>
              <w:t>-</w:t>
            </w:r>
          </w:p>
        </w:tc>
      </w:tr>
      <w:tr>
        <w:trPr>
          <w:trHeight w:val="274"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6"/>
              <w:jc w:val="right"/>
              <w:rPr>
                <w:rFonts w:ascii="Times New Roman" w:hAnsi="Times New Roman" w:cs="Times New Roman" w:eastAsia="Times New Roman" w:hint="default"/>
                <w:sz w:val="18"/>
                <w:szCs w:val="18"/>
              </w:rPr>
            </w:pPr>
            <w:r>
              <w:rPr>
                <w:rFonts w:ascii="Times New Roman"/>
                <w:sz w:val="18"/>
              </w:rPr>
              <w:t>328,610,000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
              <w:jc w:val="right"/>
              <w:rPr>
                <w:rFonts w:ascii="Times New Roman" w:hAnsi="Times New Roman" w:cs="Times New Roman" w:eastAsia="Times New Roman" w:hint="default"/>
                <w:sz w:val="18"/>
                <w:szCs w:val="18"/>
              </w:rPr>
            </w:pPr>
            <w:r>
              <w:rPr>
                <w:rFonts w:ascii="Times New Roman"/>
                <w:sz w:val="18"/>
              </w:rPr>
              <w:t>328,610,000</w:t>
            </w:r>
          </w:p>
        </w:tc>
        <w:tc>
          <w:tcPr>
            <w:tcW w:w="3740" w:type="dxa"/>
            <w:tcBorders>
              <w:top w:val="nil" w:sz="6" w:space="0" w:color="auto"/>
              <w:left w:val="nil" w:sz="6" w:space="0" w:color="auto"/>
              <w:bottom w:val="nil" w:sz="6" w:space="0" w:color="auto"/>
              <w:right w:val="nil" w:sz="6" w:space="0" w:color="auto"/>
            </w:tcBorders>
          </w:tcPr>
          <w:p>
            <w:pPr>
              <w:pStyle w:val="TableParagraph"/>
              <w:tabs>
                <w:tab w:pos="1277" w:val="left" w:leader="none"/>
                <w:tab w:pos="2501" w:val="left" w:leader="none"/>
              </w:tabs>
              <w:spacing w:line="240" w:lineRule="auto" w:before="27"/>
              <w:ind w:right="33"/>
              <w:jc w:val="right"/>
              <w:rPr>
                <w:rFonts w:ascii="Times New Roman" w:hAnsi="Times New Roman" w:cs="Times New Roman" w:eastAsia="Times New Roman" w:hint="default"/>
                <w:sz w:val="18"/>
                <w:szCs w:val="18"/>
              </w:rPr>
            </w:pPr>
            <w:r>
              <w:rPr>
                <w:rFonts w:ascii="Times New Roman"/>
                <w:sz w:val="18"/>
              </w:rPr>
              <w:t>-</w:t>
              <w:tab/>
              <w:t>-</w:t>
              <w:tab/>
              <w:t>-</w:t>
            </w:r>
          </w:p>
        </w:tc>
      </w:tr>
      <w:tr>
        <w:trPr>
          <w:trHeight w:val="331"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6"/>
              <w:jc w:val="right"/>
              <w:rPr>
                <w:rFonts w:ascii="Times New Roman" w:hAnsi="Times New Roman" w:cs="Times New Roman" w:eastAsia="Times New Roman" w:hint="default"/>
                <w:sz w:val="18"/>
                <w:szCs w:val="18"/>
              </w:rPr>
            </w:pPr>
            <w:r>
              <w:rPr>
                <w:rFonts w:ascii="Times New Roman"/>
                <w:spacing w:val="-1"/>
                <w:sz w:val="18"/>
              </w:rPr>
              <w:t>117,456,829</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
              <w:jc w:val="right"/>
              <w:rPr>
                <w:rFonts w:ascii="Times New Roman" w:hAnsi="Times New Roman" w:cs="Times New Roman" w:eastAsia="Times New Roman" w:hint="default"/>
                <w:sz w:val="18"/>
                <w:szCs w:val="18"/>
              </w:rPr>
            </w:pPr>
            <w:r>
              <w:rPr>
                <w:rFonts w:ascii="Times New Roman"/>
                <w:spacing w:val="-1"/>
                <w:sz w:val="18"/>
              </w:rPr>
              <w:t>117,456,829</w:t>
            </w:r>
          </w:p>
        </w:tc>
        <w:tc>
          <w:tcPr>
            <w:tcW w:w="3740" w:type="dxa"/>
            <w:tcBorders>
              <w:top w:val="nil" w:sz="6" w:space="0" w:color="auto"/>
              <w:left w:val="nil" w:sz="6" w:space="0" w:color="auto"/>
              <w:bottom w:val="nil" w:sz="6" w:space="0" w:color="auto"/>
              <w:right w:val="nil" w:sz="6" w:space="0" w:color="auto"/>
            </w:tcBorders>
          </w:tcPr>
          <w:p>
            <w:pPr>
              <w:pStyle w:val="TableParagraph"/>
              <w:tabs>
                <w:tab w:pos="1277" w:val="left" w:leader="none"/>
                <w:tab w:pos="2501" w:val="left" w:leader="none"/>
              </w:tabs>
              <w:spacing w:line="240" w:lineRule="auto" w:before="27"/>
              <w:ind w:right="33"/>
              <w:jc w:val="right"/>
              <w:rPr>
                <w:rFonts w:ascii="Times New Roman" w:hAnsi="Times New Roman" w:cs="Times New Roman" w:eastAsia="Times New Roman" w:hint="default"/>
                <w:sz w:val="18"/>
                <w:szCs w:val="18"/>
              </w:rPr>
            </w:pPr>
            <w:r>
              <w:rPr>
                <w:rFonts w:ascii="Times New Roman"/>
                <w:sz w:val="18"/>
              </w:rPr>
              <w:t>-</w:t>
              <w:tab/>
              <w:t>-</w:t>
              <w:tab/>
              <w:t>-</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9" w:header="851" w:top="1320" w:bottom="1160" w:left="980" w:right="0"/>
          <w:pgNumType w:start="121"/>
        </w:sectPr>
      </w:pPr>
    </w:p>
    <w:p>
      <w:pPr>
        <w:pStyle w:val="BodyText"/>
        <w:spacing w:line="240" w:lineRule="auto" w:before="116"/>
        <w:ind w:left="574" w:right="0"/>
        <w:jc w:val="left"/>
      </w:pPr>
      <w:r>
        <w:rPr/>
        <w:t>于</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日，尚未逾期和发生减值的应收账款和其他应收款与大量的近期无违约记录的分散化的客户有关。</w:t>
      </w:r>
    </w:p>
    <w:p>
      <w:pPr>
        <w:spacing w:line="240" w:lineRule="auto" w:before="0"/>
        <w:rPr>
          <w:rFonts w:ascii="宋体" w:hAnsi="宋体" w:cs="宋体" w:eastAsia="宋体" w:hint="default"/>
          <w:sz w:val="18"/>
          <w:szCs w:val="18"/>
        </w:rPr>
      </w:pPr>
    </w:p>
    <w:p>
      <w:pPr>
        <w:pStyle w:val="Heading3"/>
        <w:spacing w:line="240" w:lineRule="auto" w:before="128"/>
        <w:ind w:left="994" w:right="1033"/>
        <w:jc w:val="left"/>
        <w:rPr>
          <w:b w:val="0"/>
          <w:bCs w:val="0"/>
        </w:rPr>
      </w:pPr>
      <w:r>
        <w:rPr/>
        <w:t>流动性风险</w:t>
      </w:r>
      <w:r>
        <w:rPr>
          <w:b w:val="0"/>
          <w:bCs w:val="0"/>
        </w:rPr>
      </w:r>
    </w:p>
    <w:p>
      <w:pPr>
        <w:spacing w:line="240" w:lineRule="auto" w:before="9"/>
        <w:rPr>
          <w:rFonts w:ascii="宋体" w:hAnsi="宋体" w:cs="宋体" w:eastAsia="宋体" w:hint="default"/>
          <w:b/>
          <w:bCs/>
          <w:sz w:val="33"/>
          <w:szCs w:val="33"/>
        </w:rPr>
      </w:pPr>
    </w:p>
    <w:p>
      <w:pPr>
        <w:pStyle w:val="BodyText"/>
        <w:spacing w:line="319" w:lineRule="auto"/>
        <w:ind w:right="1033" w:firstLine="420"/>
        <w:jc w:val="left"/>
      </w:pPr>
      <w:r>
        <w:rPr/>
        <w:t>本集团采用循环流动性计划工具管理资金短缺风险。该工具既考虑其金融工具的到期日，也考虑本集团运营产生的预 计现金流量。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本集团的目标是运用银行借款、短期融资券、长期债券和票据贴现等多种融资手段以保持融资的持续性与灵活性的平衡。于</w:t>
      </w:r>
    </w:p>
    <w:p>
      <w:pPr>
        <w:pStyle w:val="BodyText"/>
        <w:spacing w:line="676" w:lineRule="auto" w:before="77"/>
        <w:ind w:left="154" w:right="4805"/>
        <w:jc w:val="left"/>
      </w:pPr>
      <w:r>
        <w:rPr/>
        <w:pict>
          <v:shape style="position:absolute;margin-left:54.950001pt;margin-top:65.287323pt;width:419.25pt;height:246.8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5"/>
                    <w:gridCol w:w="1404"/>
                    <w:gridCol w:w="1634"/>
                    <w:gridCol w:w="1559"/>
                    <w:gridCol w:w="1559"/>
                    <w:gridCol w:w="1473"/>
                  </w:tblGrid>
                  <w:tr>
                    <w:trPr>
                      <w:trHeight w:val="1321" w:hRule="exact"/>
                    </w:trPr>
                    <w:tc>
                      <w:tcPr>
                        <w:tcW w:w="755" w:type="dxa"/>
                        <w:vMerge w:val="restart"/>
                        <w:tcBorders>
                          <w:top w:val="nil" w:sz="6" w:space="0" w:color="auto"/>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516,223,167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个月以上至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272,028,599</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6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788,251,766</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748,300,000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748,300,000</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应付长期债券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57,600,000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972,800,000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pacing w:val="-1"/>
                            <w:sz w:val="18"/>
                          </w:rPr>
                          <w:t>1,030,400,000</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18"/>
                            <w:szCs w:val="18"/>
                          </w:rPr>
                        </w:pPr>
                        <w:r>
                          <w:rPr>
                            <w:rFonts w:ascii="Times New Roman"/>
                            <w:sz w:val="18"/>
                          </w:rPr>
                          <w:t>18,336,468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18"/>
                            <w:szCs w:val="18"/>
                          </w:rPr>
                        </w:pPr>
                        <w:r>
                          <w:rPr>
                            <w:rFonts w:ascii="Times New Roman"/>
                            <w:sz w:val="18"/>
                          </w:rPr>
                          <w:t>18,336,468</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348,840,798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348,840,798</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1,596,000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1,596,000</w:t>
                        </w:r>
                      </w:p>
                    </w:tc>
                  </w:tr>
                  <w:tr>
                    <w:trPr>
                      <w:trHeight w:val="26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18"/>
                            <w:szCs w:val="18"/>
                          </w:rPr>
                        </w:pPr>
                        <w:r>
                          <w:rPr>
                            <w:rFonts w:ascii="Times New Roman"/>
                            <w:sz w:val="18"/>
                          </w:rPr>
                          <w:t>156,842,622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spacing w:val="-2"/>
                            <w:sz w:val="18"/>
                          </w:rPr>
                          <w:t>115,821,114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272,663,736</w:t>
                        </w:r>
                      </w:p>
                    </w:tc>
                  </w:tr>
                  <w:tr>
                    <w:trPr>
                      <w:trHeight w:val="371"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34"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21"/>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w w:val="95"/>
                            <w:sz w:val="18"/>
                            <w:u w:val="single" w:color="000000"/>
                          </w:rPr>
                          <w:t>6,978,000</w:t>
                        </w:r>
                        <w:r>
                          <w:rPr>
                            <w:rFonts w:ascii="Times New Roman"/>
                            <w:w w:val="95"/>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1357" w:val="left" w:leader="none"/>
                          </w:tabs>
                          <w:spacing w:line="240" w:lineRule="auto" w:before="21"/>
                          <w:ind w:right="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21"/>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62,802,000</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2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69,780,000</w:t>
                        </w:r>
                        <w:r>
                          <w:rPr>
                            <w:rFonts w:ascii="Times New Roman"/>
                            <w:sz w:val="18"/>
                          </w:rPr>
                        </w:r>
                      </w:p>
                    </w:tc>
                  </w:tr>
                  <w:tr>
                    <w:trPr>
                      <w:trHeight w:val="532" w:hRule="exact"/>
                    </w:trPr>
                    <w:tc>
                      <w:tcPr>
                        <w:tcW w:w="755"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123"/>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1,797,117,055</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123"/>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t>445,449,713</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382" w:val="left" w:leader="none"/>
                          </w:tabs>
                          <w:spacing w:line="240" w:lineRule="auto" w:before="123"/>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1,035,602,000</w:t>
                        </w:r>
                        <w:r>
                          <w:rPr>
                            <w:rFonts w:ascii="Times New Roman"/>
                            <w:spacing w:val="-1"/>
                            <w:sz w:val="18"/>
                          </w:rPr>
                        </w:r>
                      </w:p>
                    </w:tc>
                    <w:tc>
                      <w:tcPr>
                        <w:tcW w:w="1473"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12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3,278,168,768</w:t>
                        </w:r>
                        <w:r>
                          <w:rPr>
                            <w:rFonts w:ascii="Times New Roman"/>
                            <w:spacing w:val="-1"/>
                            <w:sz w:val="18"/>
                          </w:rPr>
                        </w:r>
                      </w:p>
                    </w:tc>
                  </w:tr>
                  <w:tr>
                    <w:trPr>
                      <w:trHeight w:val="653" w:hRule="exact"/>
                    </w:trPr>
                    <w:tc>
                      <w:tcPr>
                        <w:tcW w:w="755" w:type="dxa"/>
                        <w:vMerge/>
                        <w:tcBorders>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41" w:right="0"/>
                          <w:jc w:val="left"/>
                          <w:rPr>
                            <w:rFonts w:ascii="宋体" w:hAnsi="宋体" w:cs="宋体" w:eastAsia="宋体" w:hint="default"/>
                            <w:sz w:val="24"/>
                            <w:szCs w:val="24"/>
                          </w:rPr>
                        </w:pPr>
                        <w:r>
                          <w:rPr>
                            <w:rFonts w:ascii="宋体" w:hAnsi="宋体" w:cs="宋体" w:eastAsia="宋体" w:hint="default"/>
                            <w:b/>
                            <w:bCs/>
                            <w:sz w:val="24"/>
                            <w:szCs w:val="24"/>
                          </w:rPr>
                          <w:t>市场风险</w:t>
                        </w:r>
                        <w:r>
                          <w:rPr>
                            <w:rFonts w:ascii="宋体" w:hAnsi="宋体" w:cs="宋体" w:eastAsia="宋体" w:hint="default"/>
                            <w:sz w:val="24"/>
                            <w:szCs w:val="24"/>
                          </w:rPr>
                        </w:r>
                      </w:p>
                    </w:tc>
                    <w:tc>
                      <w:tcPr>
                        <w:tcW w:w="163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488"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18"/>
                            <w:szCs w:val="18"/>
                          </w:rPr>
                        </w:pPr>
                        <w:r>
                          <w:rPr>
                            <w:rFonts w:ascii="宋体" w:hAnsi="宋体" w:cs="宋体" w:eastAsia="宋体" w:hint="default"/>
                            <w:sz w:val="18"/>
                            <w:szCs w:val="18"/>
                          </w:rPr>
                          <w:t>利率风险</w:t>
                        </w:r>
                      </w:p>
                    </w:tc>
                    <w:tc>
                      <w:tcPr>
                        <w:tcW w:w="1404"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w:t>
      </w:r>
      <w:r>
        <w:rPr>
          <w:spacing w:val="-46"/>
        </w:rPr>
        <w:t> </w:t>
      </w:r>
      <w:r>
        <w:rPr>
          <w:rFonts w:ascii="Times New Roman" w:hAnsi="Times New Roman" w:cs="Times New Roman" w:eastAsia="Times New Roman" w:hint="default"/>
        </w:rPr>
        <w:t>66%(2013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64%)</w:t>
      </w:r>
      <w:r>
        <w:rPr/>
        <w:t>的债务在不足</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年内到期。 下表概括了金融负债按未折现的合同现金流量所作的到期期限分析：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636" w:lineRule="auto"/>
        <w:ind w:left="574" w:right="6012"/>
        <w:jc w:val="left"/>
      </w:pPr>
      <w:r>
        <w:rPr/>
        <w:t>本集团无以浮动利率计息的长期负债，故无利率风险。 汇率风险</w:t>
      </w:r>
    </w:p>
    <w:p>
      <w:pPr>
        <w:pStyle w:val="BodyText"/>
        <w:spacing w:line="240" w:lineRule="auto" w:before="91"/>
        <w:ind w:left="574" w:right="1033"/>
        <w:jc w:val="left"/>
      </w:pPr>
      <w:r>
        <w:rPr/>
        <w:t>本集团主要业务均发生在中国境内，以人民币计价核算，因此管理层认为本集团无汇率风险。</w:t>
      </w:r>
    </w:p>
    <w:p>
      <w:pPr>
        <w:spacing w:line="240" w:lineRule="auto" w:before="12"/>
        <w:rPr>
          <w:rFonts w:ascii="宋体" w:hAnsi="宋体" w:cs="宋体" w:eastAsia="宋体" w:hint="default"/>
          <w:sz w:val="25"/>
          <w:szCs w:val="25"/>
        </w:rPr>
      </w:pPr>
    </w:p>
    <w:p>
      <w:pPr>
        <w:pStyle w:val="Heading3"/>
        <w:tabs>
          <w:tab w:pos="1414" w:val="left" w:leader="none"/>
        </w:tabs>
        <w:spacing w:line="240" w:lineRule="auto"/>
        <w:ind w:left="874" w:right="1033"/>
        <w:jc w:val="left"/>
        <w:rPr>
          <w:b w:val="0"/>
          <w:bCs w:val="0"/>
        </w:rPr>
      </w:pPr>
      <w:r>
        <w:rPr>
          <w:rFonts w:ascii="Times New Roman" w:hAnsi="Times New Roman" w:cs="Times New Roman" w:eastAsia="Times New Roman" w:hint="default"/>
        </w:rPr>
        <w:t>4.</w:t>
        <w:tab/>
      </w:r>
      <w:r>
        <w:rPr/>
        <w:t>资本管理</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1170" w:firstLine="420"/>
        <w:jc w:val="both"/>
      </w:pPr>
      <w:r>
        <w:rPr/>
        <w:t>本集团资本管理的主要目标是确保本集团持续经营的能力，并保持健康的资本比率，以支持业务发展并使股东价值最 大化。</w:t>
      </w:r>
    </w:p>
    <w:p>
      <w:pPr>
        <w:spacing w:line="240" w:lineRule="auto" w:before="4"/>
        <w:rPr>
          <w:rFonts w:ascii="宋体" w:hAnsi="宋体" w:cs="宋体" w:eastAsia="宋体" w:hint="default"/>
          <w:sz w:val="25"/>
          <w:szCs w:val="25"/>
        </w:rPr>
      </w:pPr>
    </w:p>
    <w:p>
      <w:pPr>
        <w:pStyle w:val="BodyText"/>
        <w:spacing w:line="316" w:lineRule="auto"/>
        <w:ind w:right="1130" w:firstLine="420"/>
        <w:jc w:val="both"/>
      </w:pPr>
      <w:r>
        <w:rPr/>
        <w:t>本集团管理资本结构并根据经济形势以及相关资产的风险特征的变化对其进行调整。为维持或调整资本结构，本集团 </w:t>
      </w:r>
      <w:r>
        <w:rPr>
          <w:spacing w:val="-2"/>
        </w:rPr>
        <w:t>可以调整对股东的利润分配、向股东归还资本或发行新股。本集团不受外部强制性资本要求约束。</w:t>
      </w:r>
      <w:r>
        <w:rPr>
          <w:rFonts w:ascii="宋体" w:hAnsi="宋体" w:cs="宋体" w:eastAsia="宋体" w:hint="default"/>
          <w:spacing w:val="-2"/>
        </w:rPr>
        <w:t>2014</w:t>
      </w:r>
      <w:r>
        <w:rPr>
          <w:spacing w:val="-2"/>
        </w:rPr>
        <w:t>年度和</w:t>
      </w:r>
      <w:r>
        <w:rPr>
          <w:rFonts w:ascii="宋体" w:hAnsi="宋体" w:cs="宋体" w:eastAsia="宋体" w:hint="default"/>
          <w:spacing w:val="-2"/>
        </w:rPr>
        <w:t>2013</w:t>
      </w:r>
      <w:r>
        <w:rPr>
          <w:spacing w:val="-2"/>
        </w:rPr>
        <w:t>年度，资</w:t>
      </w:r>
      <w:r>
        <w:rPr>
          <w:spacing w:val="-57"/>
        </w:rPr>
        <w:t> </w:t>
      </w:r>
      <w:r>
        <w:rPr>
          <w:spacing w:val="-57"/>
        </w:rPr>
      </w:r>
      <w:r>
        <w:rPr/>
        <w:t>本管理目标、政策或程序未发生变化。</w:t>
      </w:r>
    </w:p>
    <w:p>
      <w:pPr>
        <w:spacing w:after="0" w:line="316"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9"/>
        <w:ind w:left="154" w:right="1033"/>
        <w:jc w:val="left"/>
        <w:rPr>
          <w:b w:val="0"/>
          <w:bCs w:val="0"/>
        </w:rPr>
      </w:pPr>
      <w:bookmarkStart w:name="十一、公允价值的披露" w:id="326"/>
      <w:bookmarkEnd w:id="32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其他" w:id="327"/>
      <w:bookmarkEnd w:id="327"/>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货币资金、应收票据、应收账款、其他应收款和短期借款、应付短期债券、应付票据、应付账款、其他应付款等，因剩余期</w:t>
      </w:r>
      <w:r>
        <w:rPr>
          <w:spacing w:val="-67"/>
        </w:rPr>
        <w:t> </w:t>
      </w:r>
      <w:r>
        <w:rPr>
          <w:spacing w:val="-67"/>
        </w:rPr>
      </w:r>
      <w:r>
        <w:rPr/>
        <w:t>限不长，公允价值与账面价值相若。</w:t>
      </w:r>
    </w:p>
    <w:p>
      <w:pPr>
        <w:spacing w:line="240" w:lineRule="auto" w:before="4"/>
        <w:rPr>
          <w:rFonts w:ascii="宋体" w:hAnsi="宋体" w:cs="宋体" w:eastAsia="宋体" w:hint="default"/>
          <w:sz w:val="25"/>
          <w:szCs w:val="25"/>
        </w:rPr>
      </w:pPr>
    </w:p>
    <w:p>
      <w:pPr>
        <w:pStyle w:val="BodyText"/>
        <w:spacing w:line="316" w:lineRule="auto"/>
        <w:ind w:right="1033"/>
        <w:jc w:val="left"/>
      </w:pPr>
      <w:r>
        <w:rPr>
          <w:spacing w:val="-2"/>
        </w:rPr>
        <w:t>长期应收款和应付长期债券，采用未来现金流量折现法确定公允价值，以合同条款和特征在实质上相同的其他金融工具的市</w:t>
      </w:r>
      <w:r>
        <w:rPr>
          <w:spacing w:val="-64"/>
        </w:rPr>
        <w:t> </w:t>
      </w:r>
      <w:r>
        <w:rPr>
          <w:spacing w:val="-64"/>
        </w:rPr>
      </w:r>
      <w:r>
        <w:rPr/>
        <w:t>场收益率作为折现率，公允价值与账面价值相若。</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1033"/>
        <w:jc w:val="left"/>
        <w:rPr>
          <w:b w:val="0"/>
          <w:bCs w:val="0"/>
        </w:rPr>
      </w:pPr>
      <w:bookmarkStart w:name="十二、关联方及关联交易" w:id="328"/>
      <w:bookmarkEnd w:id="328"/>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本企业的母公司情况" w:id="329"/>
      <w:bookmarkEnd w:id="32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4253"/>
        <w:gridCol w:w="991"/>
        <w:gridCol w:w="1277"/>
        <w:gridCol w:w="1344"/>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0" w:right="59"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注册地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6" w:right="36"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中国上海</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实业投资投资管理企业管理咨询投资、信息咨询企业 策划景观设计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335,285,714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60.17%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60.17%</w:t>
            </w:r>
          </w:p>
        </w:tc>
      </w:tr>
    </w:tbl>
    <w:p>
      <w:pPr>
        <w:pStyle w:val="BodyText"/>
        <w:spacing w:line="240" w:lineRule="auto" w:before="51"/>
        <w:ind w:left="154" w:right="1033"/>
        <w:jc w:val="left"/>
      </w:pPr>
      <w:r>
        <w:rPr/>
        <w:t>本企业的母公司情况的说明</w:t>
      </w:r>
    </w:p>
    <w:p>
      <w:pPr>
        <w:pStyle w:val="BodyText"/>
        <w:spacing w:line="240" w:lineRule="auto" w:before="116"/>
        <w:ind w:left="154" w:right="1033"/>
        <w:jc w:val="left"/>
      </w:pPr>
      <w:r>
        <w:rPr/>
        <w:t>周成建持有华服投资</w:t>
      </w:r>
      <w:r>
        <w:rPr>
          <w:spacing w:val="-46"/>
        </w:rPr>
        <w:t> </w:t>
      </w:r>
      <w:r>
        <w:rPr>
          <w:rFonts w:ascii="Times New Roman" w:hAnsi="Times New Roman" w:cs="Times New Roman" w:eastAsia="Times New Roman" w:hint="default"/>
        </w:rPr>
        <w:t>70%</w:t>
      </w:r>
      <w:r>
        <w:rPr/>
        <w:t>的股权，是本公司的最终控股股东。</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357" w:lineRule="auto"/>
        <w:ind w:left="154" w:right="8412"/>
        <w:jc w:val="left"/>
      </w:pPr>
      <w:r>
        <w:rPr/>
        <w:t>本企业最终控制方是周成建。 其他说明：</w:t>
      </w:r>
    </w:p>
    <w:p>
      <w:pPr>
        <w:pStyle w:val="BodyText"/>
        <w:spacing w:line="240" w:lineRule="auto" w:before="28"/>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2、本企业的子公司情况" w:id="330"/>
      <w:bookmarkEnd w:id="33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本企业合营和联营企业情况" w:id="331"/>
      <w:bookmarkEnd w:id="33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229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68"/>
        <w:ind w:right="10033"/>
        <w:jc w:val="left"/>
      </w:pPr>
      <w:r>
        <w:rPr/>
        <w:t>其他说明 无</w:t>
      </w:r>
    </w:p>
    <w:p>
      <w:pPr>
        <w:spacing w:after="0" w:line="357"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4、其他关联方情况" w:id="332"/>
      <w:bookmarkEnd w:id="33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华营实业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本公司最终控股股东的妹夫</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本公司最终控股股东的女儿，持有本公司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w:t>
            </w:r>
            <w:r>
              <w:rPr>
                <w:rFonts w:ascii="宋体" w:hAnsi="宋体" w:cs="宋体" w:eastAsia="宋体" w:hint="default"/>
                <w:spacing w:val="-87"/>
                <w:sz w:val="18"/>
                <w:szCs w:val="18"/>
              </w:rPr>
              <w:t> </w:t>
            </w:r>
            <w:r>
              <w:rPr>
                <w:rFonts w:ascii="宋体" w:hAnsi="宋体" w:cs="宋体" w:eastAsia="宋体" w:hint="default"/>
                <w:sz w:val="18"/>
                <w:szCs w:val="18"/>
              </w:rPr>
              <w:t>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r>
    </w:tbl>
    <w:p>
      <w:pPr>
        <w:pStyle w:val="BodyText"/>
        <w:spacing w:line="357" w:lineRule="auto" w:before="51"/>
        <w:ind w:right="7333"/>
        <w:jc w:val="left"/>
      </w:pPr>
      <w:r>
        <w:rPr/>
        <w:t>其他说明 周献妹，周建花，黄岑期系本集团加盟商。</w:t>
      </w:r>
    </w:p>
    <w:p>
      <w:pPr>
        <w:spacing w:line="240" w:lineRule="auto" w:before="2"/>
        <w:rPr>
          <w:rFonts w:ascii="宋体" w:hAnsi="宋体" w:cs="宋体" w:eastAsia="宋体" w:hint="default"/>
          <w:sz w:val="20"/>
          <w:szCs w:val="20"/>
        </w:rPr>
      </w:pPr>
    </w:p>
    <w:p>
      <w:pPr>
        <w:pStyle w:val="Heading4"/>
        <w:spacing w:line="240" w:lineRule="auto"/>
        <w:ind w:left="153" w:right="1033"/>
        <w:jc w:val="left"/>
        <w:rPr>
          <w:b w:val="0"/>
          <w:bCs w:val="0"/>
        </w:rPr>
      </w:pPr>
      <w:bookmarkStart w:name="5、关联交易情况" w:id="333"/>
      <w:bookmarkEnd w:id="33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购销商品、提供和接受劳务的关联交易" w:id="334"/>
      <w:bookmarkEnd w:id="33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67,118,890.00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50,849,762.00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29,427,687.00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33,751,676.00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20,227,737.00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23,481,398.00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259,877,724.00</w:t>
            </w:r>
          </w:p>
        </w:tc>
      </w:tr>
    </w:tbl>
    <w:p>
      <w:pPr>
        <w:pStyle w:val="BodyText"/>
        <w:spacing w:line="357" w:lineRule="auto" w:before="51"/>
        <w:ind w:left="154" w:right="7152"/>
        <w:jc w:val="left"/>
      </w:pPr>
      <w:r>
        <w:rPr/>
        <w:t>购销商品、提供和接受劳务的关联交易说明 报告期内不存在采购商品、接受劳务的情况。</w:t>
      </w:r>
    </w:p>
    <w:p>
      <w:pPr>
        <w:pStyle w:val="BodyText"/>
        <w:spacing w:line="237" w:lineRule="exact"/>
        <w:ind w:left="154" w:right="1033"/>
        <w:jc w:val="left"/>
        <w:rPr>
          <w:rFonts w:ascii="Times New Roman" w:hAnsi="Times New Roman" w:cs="Times New Roman" w:eastAsia="Times New Roman" w:hint="default"/>
        </w:rPr>
      </w:pPr>
      <w:r>
        <w:rPr/>
        <w:t>报告期内本集团向关联方黄岑期、周献妹、周建花、及爱裳邦购销售服装人民币</w:t>
      </w:r>
      <w:r>
        <w:rPr>
          <w:rFonts w:ascii="Times New Roman" w:hAnsi="Times New Roman" w:cs="Times New Roman" w:eastAsia="Times New Roman" w:hint="default"/>
        </w:rPr>
        <w:t>115,319,040</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366,349,290</w:t>
      </w:r>
    </w:p>
    <w:p>
      <w:pPr>
        <w:pStyle w:val="BodyText"/>
        <w:spacing w:line="300" w:lineRule="auto" w:before="63"/>
        <w:ind w:right="1033"/>
        <w:jc w:val="left"/>
      </w:pPr>
      <w:r>
        <w:rPr>
          <w:spacing w:val="-2"/>
        </w:rPr>
        <w:t>元</w:t>
      </w:r>
      <w:r>
        <w:rPr>
          <w:rFonts w:ascii="Times New Roman" w:hAnsi="Times New Roman" w:cs="Times New Roman" w:eastAsia="Times New Roman" w:hint="default"/>
          <w:spacing w:val="-2"/>
        </w:rPr>
        <w:t>)</w:t>
      </w:r>
      <w:r>
        <w:rPr>
          <w:spacing w:val="-2"/>
        </w:rPr>
        <w:t>及销售辅料人民币</w:t>
      </w:r>
      <w:r>
        <w:rPr>
          <w:rFonts w:ascii="Times New Roman" w:hAnsi="Times New Roman" w:cs="Times New Roman" w:eastAsia="Times New Roman" w:hint="default"/>
          <w:spacing w:val="-2"/>
        </w:rPr>
        <w:t>1,455,274</w:t>
      </w:r>
      <w:r>
        <w:rPr>
          <w:spacing w:val="-2"/>
        </w:rPr>
        <w:t>元</w:t>
      </w:r>
      <w:r>
        <w:rPr>
          <w:rFonts w:ascii="Times New Roman" w:hAnsi="Times New Roman" w:cs="Times New Roman" w:eastAsia="Times New Roman" w:hint="default"/>
          <w:spacing w:val="-2"/>
        </w:rPr>
        <w:t>(2013</w:t>
      </w:r>
      <w:r>
        <w:rPr>
          <w:spacing w:val="-2"/>
        </w:rPr>
        <w:t>年：人民币</w:t>
      </w:r>
      <w:r>
        <w:rPr>
          <w:rFonts w:ascii="Times New Roman" w:hAnsi="Times New Roman" w:cs="Times New Roman" w:eastAsia="Times New Roman" w:hint="default"/>
          <w:spacing w:val="-2"/>
        </w:rPr>
        <w:t>1,611,270</w:t>
      </w:r>
      <w:r>
        <w:rPr>
          <w:spacing w:val="-2"/>
        </w:rPr>
        <w:t>元</w:t>
      </w:r>
      <w:r>
        <w:rPr>
          <w:rFonts w:ascii="Times New Roman" w:hAnsi="Times New Roman" w:cs="Times New Roman" w:eastAsia="Times New Roman" w:hint="default"/>
          <w:spacing w:val="-2"/>
        </w:rPr>
        <w:t>)</w:t>
      </w:r>
      <w:r>
        <w:rPr>
          <w:spacing w:val="-2"/>
        </w:rPr>
        <w:t>。上述销售价格与本集团销售给第三方加盟商的价格制定基础</w:t>
      </w:r>
      <w:r>
        <w:rPr>
          <w:spacing w:val="-40"/>
        </w:rPr>
        <w:t> </w:t>
      </w:r>
      <w:r>
        <w:rPr>
          <w:spacing w:val="-40"/>
        </w:rPr>
      </w:r>
      <w:r>
        <w:rPr/>
        <w:t>一致。</w:t>
      </w:r>
    </w:p>
    <w:p>
      <w:pPr>
        <w:spacing w:after="0" w:line="30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2）关联受托管理/承包及委托管理/出包情况" w:id="335"/>
      <w:bookmarkEnd w:id="33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0"/>
        </w:sectPr>
      </w:pPr>
    </w:p>
    <w:p>
      <w:pPr>
        <w:pStyle w:val="BodyText"/>
        <w:spacing w:line="338" w:lineRule="auto" w:before="51"/>
        <w:ind w:left="154" w:right="-20"/>
        <w:jc w:val="left"/>
      </w:pPr>
      <w:r>
        <w:rPr/>
        <w:t>关联托管</w:t>
      </w:r>
      <w:r>
        <w:rPr>
          <w:rFonts w:ascii="Times New Roman" w:hAnsi="Times New Roman" w:cs="Times New Roman" w:eastAsia="Times New Roman" w:hint="default"/>
        </w:rPr>
        <w:t>/</w:t>
      </w:r>
      <w:r>
        <w:rPr/>
        <w:t>承包情况说明 报告期内不存在关联托管</w:t>
      </w:r>
      <w:r>
        <w:rPr>
          <w:rFonts w:ascii="Times New Roman" w:hAnsi="Times New Roman" w:cs="Times New Roman" w:eastAsia="Times New Roman" w:hint="default"/>
        </w:rPr>
        <w:t>/</w:t>
      </w:r>
      <w:r>
        <w:rPr/>
        <w:t>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3085" w:space="583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7822"/>
        <w:jc w:val="left"/>
      </w:pPr>
      <w:r>
        <w:rPr/>
        <w:t>关联管理</w:t>
      </w:r>
      <w:r>
        <w:rPr>
          <w:rFonts w:ascii="Times New Roman" w:hAnsi="Times New Roman" w:cs="Times New Roman" w:eastAsia="Times New Roman" w:hint="default"/>
        </w:rPr>
        <w:t>/</w:t>
      </w:r>
      <w:r>
        <w:rPr/>
        <w:t>出包情况说明 报告期内不存在委托管理</w:t>
      </w:r>
      <w:r>
        <w:rPr>
          <w:rFonts w:ascii="Times New Roman" w:hAnsi="Times New Roman" w:cs="Times New Roman" w:eastAsia="Times New Roman" w:hint="default"/>
        </w:rPr>
        <w:t>/</w:t>
      </w:r>
      <w:r>
        <w:rPr/>
        <w:t>出包情况。</w:t>
      </w:r>
    </w:p>
    <w:p>
      <w:pPr>
        <w:spacing w:line="240" w:lineRule="auto" w:before="8"/>
        <w:rPr>
          <w:rFonts w:ascii="宋体" w:hAnsi="宋体" w:cs="宋体" w:eastAsia="宋体" w:hint="default"/>
          <w:sz w:val="19"/>
          <w:szCs w:val="19"/>
        </w:rPr>
      </w:pPr>
    </w:p>
    <w:p>
      <w:pPr>
        <w:pStyle w:val="Heading4"/>
        <w:spacing w:line="240" w:lineRule="auto"/>
        <w:ind w:right="1033"/>
        <w:jc w:val="left"/>
        <w:rPr>
          <w:b w:val="0"/>
          <w:bCs w:val="0"/>
        </w:rPr>
      </w:pPr>
      <w:bookmarkStart w:name="（3）关联租赁情况" w:id="336"/>
      <w:bookmarkEnd w:id="33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本公司作为出租方：</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本公司作为承租方：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4,487,832.00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5,806,452.00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华营实业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r>
    </w:tbl>
    <w:p>
      <w:pPr>
        <w:pStyle w:val="BodyText"/>
        <w:spacing w:line="357" w:lineRule="auto" w:before="51"/>
        <w:ind w:left="154" w:right="7332"/>
        <w:jc w:val="left"/>
      </w:pPr>
      <w:r>
        <w:rPr/>
        <w:t>关联租赁情况说明 报告期内不存在公司向关联方出租的情况。</w:t>
      </w:r>
    </w:p>
    <w:p>
      <w:pPr>
        <w:pStyle w:val="BodyText"/>
        <w:spacing w:line="224" w:lineRule="exact"/>
        <w:ind w:left="154" w:right="0"/>
        <w:jc w:val="left"/>
      </w:pPr>
      <w:r>
        <w:rPr/>
        <w:t>本年度，本公司的子公司温州美邦、武汉美邦和昆明美邦向美邦集团租入六处房产。上述租赁价格由双方参考市场价格商谈</w:t>
      </w:r>
    </w:p>
    <w:p>
      <w:pPr>
        <w:pStyle w:val="BodyText"/>
        <w:spacing w:line="240" w:lineRule="auto" w:before="76"/>
        <w:ind w:left="154" w:right="1033"/>
        <w:jc w:val="left"/>
      </w:pPr>
      <w:r>
        <w:rPr/>
        <w:t>及协商决定。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033"/>
        <w:jc w:val="left"/>
        <w:rPr>
          <w:b w:val="0"/>
          <w:bCs w:val="0"/>
        </w:rPr>
      </w:pPr>
      <w:bookmarkStart w:name="（4）关联担保情况" w:id="337"/>
      <w:bookmarkEnd w:id="33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本公司作为担保方</w:t>
      </w:r>
    </w:p>
    <w:p>
      <w:pPr>
        <w:spacing w:after="0" w:line="240" w:lineRule="auto"/>
        <w:jc w:val="left"/>
        <w:sectPr>
          <w:type w:val="continuous"/>
          <w:pgSz w:w="11910" w:h="16840"/>
          <w:pgMar w:top="158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本公司作为被担保方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232"/>
        <w:jc w:val="left"/>
      </w:pPr>
      <w:r>
        <w:rPr/>
        <w:t>关联担保情况说明 报告期内不存在关联担保情况。</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5）关联方资金拆借" w:id="338"/>
      <w:bookmarkEnd w:id="33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6）关联方资产转让、债务重组情况" w:id="339"/>
      <w:bookmarkEnd w:id="33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7）关键管理人员报酬" w:id="340"/>
      <w:bookmarkEnd w:id="34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8,339,097.00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12,933,863.00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8）其他关联交易" w:id="341"/>
      <w:bookmarkEnd w:id="34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报告期内不存在其他关联交易。</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6、关联方应收应付款项" w:id="342"/>
      <w:bookmarkEnd w:id="34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收项目" w:id="343"/>
      <w:bookmarkEnd w:id="34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11,060,991.00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14,839,804.00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4,518,935.00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4,204,360.00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2,839,721.00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5,551,787.00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96,030,913.00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应付项目" w:id="344"/>
      <w:bookmarkEnd w:id="34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492,049.00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981,027.00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7、关联方承诺" w:id="345"/>
      <w:bookmarkEnd w:id="34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报告期内不存在关联方承诺。</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8、其他" w:id="346"/>
      <w:bookmarkEnd w:id="34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报告期内无其他关联交易情况。</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十三、股份支付" w:id="347"/>
      <w:bookmarkEnd w:id="34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股份支付总体情况" w:id="348"/>
      <w:bookmarkEnd w:id="34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合同剩余期限：</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pStyle w:val="BodyText"/>
        <w:spacing w:line="338" w:lineRule="auto" w:before="51"/>
        <w:ind w:right="1123"/>
        <w:jc w:val="left"/>
      </w:pPr>
      <w:r>
        <w:rPr/>
        <w:t>其他说明 本公司《关于〈上海美特斯邦威服饰股份有限公司限制性股票激励计划</w:t>
      </w:r>
      <w:r>
        <w:rPr>
          <w:rFonts w:ascii="宋体" w:hAnsi="宋体" w:cs="宋体" w:eastAsia="宋体" w:hint="default"/>
        </w:rPr>
        <w:t>(</w:t>
      </w:r>
      <w:r>
        <w:rPr/>
        <w:t>草案修订稿</w:t>
      </w:r>
      <w:r>
        <w:rPr>
          <w:rFonts w:ascii="宋体" w:hAnsi="宋体" w:cs="宋体" w:eastAsia="宋体" w:hint="default"/>
        </w:rPr>
        <w:t>)</w:t>
      </w:r>
      <w:r>
        <w:rPr/>
        <w:t>〉的议案》</w:t>
      </w:r>
      <w:r>
        <w:rPr>
          <w:rFonts w:ascii="宋体" w:hAnsi="宋体" w:cs="宋体" w:eastAsia="宋体" w:hint="default"/>
        </w:rPr>
        <w:t>(</w:t>
      </w:r>
      <w:r>
        <w:rPr/>
        <w:t>以下简称“本限制性股票 </w:t>
      </w:r>
      <w:r>
        <w:rPr>
          <w:spacing w:val="-2"/>
        </w:rPr>
        <w:t>激励计划”)在获得中国证监会审核无异议回复后，经</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日第一次临时股东大会审议通过后开始实施。本公司以授</w:t>
      </w:r>
    </w:p>
    <w:p>
      <w:pPr>
        <w:pStyle w:val="BodyText"/>
        <w:spacing w:line="319" w:lineRule="auto" w:before="2"/>
        <w:ind w:right="1033"/>
        <w:jc w:val="left"/>
      </w:pPr>
      <w:r>
        <w:rPr/>
        <w:t>予方式，向激励对象授予</w:t>
      </w:r>
      <w:r>
        <w:rPr>
          <w:rFonts w:ascii="宋体" w:hAnsi="宋体" w:cs="宋体" w:eastAsia="宋体" w:hint="default"/>
        </w:rPr>
        <w:t>660</w:t>
      </w:r>
      <w:r>
        <w:rPr/>
        <w:t>万份限制性股票，其中：</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7</w:t>
      </w:r>
      <w:r>
        <w:rPr/>
        <w:t>日首次授予</w:t>
      </w:r>
      <w:r>
        <w:rPr>
          <w:rFonts w:ascii="宋体" w:hAnsi="宋体" w:cs="宋体" w:eastAsia="宋体" w:hint="default"/>
        </w:rPr>
        <w:t>(</w:t>
      </w:r>
      <w:r>
        <w:rPr/>
        <w:t>以下简称“首次授予”)的限制性股票为</w:t>
      </w:r>
      <w:r>
        <w:rPr>
          <w:rFonts w:ascii="宋体" w:hAnsi="宋体" w:cs="宋体" w:eastAsia="宋体" w:hint="default"/>
        </w:rPr>
        <w:t>600 </w:t>
      </w:r>
      <w:r>
        <w:rPr>
          <w:spacing w:val="-2"/>
        </w:rPr>
        <w:t>万份，占本限制性股票激励计划授予权益总额的</w:t>
      </w:r>
      <w:r>
        <w:rPr>
          <w:rFonts w:ascii="宋体" w:hAnsi="宋体" w:cs="宋体" w:eastAsia="宋体" w:hint="default"/>
          <w:spacing w:val="-2"/>
        </w:rPr>
        <w:t>90.91%</w:t>
      </w:r>
      <w:r>
        <w:rPr>
          <w:spacing w:val="-2"/>
        </w:rPr>
        <w:t>；预留</w:t>
      </w:r>
      <w:r>
        <w:rPr>
          <w:rFonts w:ascii="宋体" w:hAnsi="宋体" w:cs="宋体" w:eastAsia="宋体" w:hint="default"/>
          <w:spacing w:val="-2"/>
        </w:rPr>
        <w:t>60</w:t>
      </w:r>
      <w:r>
        <w:rPr>
          <w:spacing w:val="-2"/>
        </w:rPr>
        <w:t>万份限制性股票授予给预留激励对象，占本限制性股票激励</w:t>
      </w:r>
      <w:r>
        <w:rPr>
          <w:spacing w:val="-59"/>
        </w:rPr>
        <w:t> </w:t>
      </w:r>
      <w:r>
        <w:rPr>
          <w:spacing w:val="-59"/>
        </w:rPr>
      </w:r>
      <w:r>
        <w:rPr>
          <w:spacing w:val="-2"/>
        </w:rPr>
        <w:t>计划授予权益总额的</w:t>
      </w:r>
      <w:r>
        <w:rPr>
          <w:rFonts w:ascii="宋体" w:hAnsi="宋体" w:cs="宋体" w:eastAsia="宋体" w:hint="default"/>
          <w:spacing w:val="-2"/>
        </w:rPr>
        <w:t>9.09%</w:t>
      </w:r>
      <w:r>
        <w:rPr>
          <w:spacing w:val="-2"/>
        </w:rPr>
        <w:t>。本计划首次授予的激励对象总人数为</w:t>
      </w:r>
      <w:r>
        <w:rPr>
          <w:rFonts w:ascii="宋体" w:hAnsi="宋体" w:cs="宋体" w:eastAsia="宋体" w:hint="default"/>
          <w:spacing w:val="-2"/>
        </w:rPr>
        <w:t>2</w:t>
      </w:r>
      <w:r>
        <w:rPr>
          <w:spacing w:val="-2"/>
        </w:rPr>
        <w:t>人，激励对象包括公司实施本计划时在公司任职的中高级</w:t>
      </w:r>
      <w:r>
        <w:rPr>
          <w:spacing w:val="-58"/>
        </w:rPr>
        <w:t> </w:t>
      </w:r>
      <w:r>
        <w:rPr>
          <w:spacing w:val="-58"/>
        </w:rPr>
      </w:r>
      <w:r>
        <w:rPr>
          <w:spacing w:val="-2"/>
        </w:rPr>
        <w:t>管理人员。本限制性股票激励计划的股票来源为本公司向激励对象定向发行股票。本限制性股票激励计划首次授予的权益自</w:t>
      </w:r>
      <w:r>
        <w:rPr>
          <w:spacing w:val="-64"/>
        </w:rPr>
        <w:t> </w:t>
      </w:r>
      <w:r>
        <w:rPr>
          <w:spacing w:val="-64"/>
        </w:rPr>
      </w:r>
      <w:r>
        <w:rPr>
          <w:spacing w:val="-2"/>
        </w:rPr>
        <w:t>首次授予日起满</w:t>
      </w:r>
      <w:r>
        <w:rPr>
          <w:rFonts w:ascii="宋体" w:hAnsi="宋体" w:cs="宋体" w:eastAsia="宋体" w:hint="default"/>
          <w:spacing w:val="-2"/>
        </w:rPr>
        <w:t>12</w:t>
      </w:r>
      <w:r>
        <w:rPr>
          <w:spacing w:val="-2"/>
        </w:rPr>
        <w:t>个月后至首次授予日起</w:t>
      </w:r>
      <w:r>
        <w:rPr>
          <w:rFonts w:ascii="宋体" w:hAnsi="宋体" w:cs="宋体" w:eastAsia="宋体" w:hint="default"/>
          <w:spacing w:val="-2"/>
        </w:rPr>
        <w:t>60</w:t>
      </w:r>
      <w:r>
        <w:rPr>
          <w:spacing w:val="-2"/>
        </w:rPr>
        <w:t>个月内分四期行权；预留部分的权益将自相应的授予日起满</w:t>
      </w:r>
      <w:r>
        <w:rPr>
          <w:rFonts w:ascii="宋体" w:hAnsi="宋体" w:cs="宋体" w:eastAsia="宋体" w:hint="default"/>
          <w:spacing w:val="-2"/>
        </w:rPr>
        <w:t>12</w:t>
      </w:r>
      <w:r>
        <w:rPr>
          <w:spacing w:val="-2"/>
        </w:rPr>
        <w:t>个月后至预留部分</w:t>
      </w:r>
    </w:p>
    <w:p>
      <w:pPr>
        <w:spacing w:after="0" w:line="319" w:lineRule="auto"/>
        <w:jc w:val="left"/>
        <w:sectPr>
          <w:pgSz w:w="11910" w:h="16840"/>
          <w:pgMar w:header="851" w:footer="979" w:top="1320" w:bottom="1160" w:left="980" w:right="0"/>
        </w:sectPr>
      </w:pPr>
    </w:p>
    <w:p>
      <w:pPr>
        <w:pStyle w:val="BodyText"/>
        <w:spacing w:line="240" w:lineRule="auto" w:before="114"/>
        <w:ind w:left="154" w:right="1033"/>
        <w:jc w:val="left"/>
      </w:pPr>
      <w:r>
        <w:rPr/>
        <w:t>首次授予日起</w:t>
      </w:r>
      <w:r>
        <w:rPr>
          <w:rFonts w:ascii="宋体" w:hAnsi="宋体" w:cs="宋体" w:eastAsia="宋体" w:hint="default"/>
        </w:rPr>
        <w:t>60</w:t>
      </w:r>
      <w:r>
        <w:rPr/>
        <w:t>个月内分四期行权。</w:t>
      </w:r>
    </w:p>
    <w:p>
      <w:pPr>
        <w:spacing w:line="240" w:lineRule="auto" w:before="0"/>
        <w:rPr>
          <w:rFonts w:ascii="宋体" w:hAnsi="宋体" w:cs="宋体" w:eastAsia="宋体" w:hint="default"/>
          <w:sz w:val="18"/>
          <w:szCs w:val="18"/>
        </w:rPr>
      </w:pPr>
    </w:p>
    <w:p>
      <w:pPr>
        <w:pStyle w:val="BodyText"/>
        <w:spacing w:line="319" w:lineRule="auto" w:before="153"/>
        <w:ind w:right="1033"/>
        <w:jc w:val="left"/>
      </w:pPr>
      <w:r>
        <w:rPr/>
        <w:t>本公司所发行的限制性股票每股授予价格为人民币</w:t>
      </w:r>
      <w:r>
        <w:rPr>
          <w:rFonts w:ascii="宋体" w:hAnsi="宋体" w:cs="宋体" w:eastAsia="宋体" w:hint="default"/>
        </w:rPr>
        <w:t>11.63</w:t>
      </w:r>
      <w:r>
        <w:rPr/>
        <w:t>元，累计募集金额为</w:t>
      </w:r>
      <w:r>
        <w:rPr>
          <w:rFonts w:ascii="宋体" w:hAnsi="宋体" w:cs="宋体" w:eastAsia="宋体" w:hint="default"/>
        </w:rPr>
        <w:t>6,978</w:t>
      </w:r>
      <w:r>
        <w:rPr/>
        <w:t>万元。根据公司授予日收盘价（人民币 </w:t>
      </w:r>
      <w:r>
        <w:rPr>
          <w:rFonts w:ascii="宋体" w:hAnsi="宋体" w:cs="宋体" w:eastAsia="宋体" w:hint="default"/>
          <w:spacing w:val="-2"/>
        </w:rPr>
        <w:t>10.57</w:t>
      </w:r>
      <w:r>
        <w:rPr>
          <w:spacing w:val="-2"/>
        </w:rPr>
        <w:t>元</w:t>
      </w:r>
      <w:r>
        <w:rPr>
          <w:rFonts w:ascii="宋体" w:hAnsi="宋体" w:cs="宋体" w:eastAsia="宋体" w:hint="default"/>
          <w:spacing w:val="-2"/>
        </w:rPr>
        <w:t>/</w:t>
      </w:r>
      <w:r>
        <w:rPr>
          <w:spacing w:val="-2"/>
        </w:rPr>
        <w:t>股）和授予价格（人民币</w:t>
      </w:r>
      <w:r>
        <w:rPr>
          <w:rFonts w:ascii="宋体" w:hAnsi="宋体" w:cs="宋体" w:eastAsia="宋体" w:hint="default"/>
          <w:spacing w:val="-2"/>
        </w:rPr>
        <w:t>11.63</w:t>
      </w:r>
      <w:r>
        <w:rPr>
          <w:spacing w:val="-2"/>
        </w:rPr>
        <w:t>元</w:t>
      </w:r>
      <w:r>
        <w:rPr>
          <w:rFonts w:ascii="宋体" w:hAnsi="宋体" w:cs="宋体" w:eastAsia="宋体" w:hint="default"/>
          <w:spacing w:val="-2"/>
        </w:rPr>
        <w:t>/</w:t>
      </w:r>
      <w:r>
        <w:rPr>
          <w:spacing w:val="-2"/>
        </w:rPr>
        <w:t>股），按照相关估值工具确定授予日该限制性股票（权益工具）的公允价值总额</w:t>
      </w:r>
      <w:r>
        <w:rPr>
          <w:spacing w:val="-57"/>
        </w:rPr>
        <w:t> </w:t>
      </w:r>
      <w:r>
        <w:rPr>
          <w:spacing w:val="-57"/>
        </w:rPr>
      </w:r>
      <w:r>
        <w:rPr/>
        <w:t>为</w:t>
      </w:r>
      <w:r>
        <w:rPr>
          <w:rFonts w:ascii="宋体" w:hAnsi="宋体" w:cs="宋体" w:eastAsia="宋体" w:hint="default"/>
        </w:rPr>
        <w:t>0</w:t>
      </w:r>
      <w:r>
        <w:rPr/>
        <w:t>元，因此本期内不确认计入损益的权益工具的金额。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4"/>
        <w:spacing w:line="240" w:lineRule="auto"/>
        <w:ind w:right="1033"/>
        <w:jc w:val="left"/>
        <w:rPr>
          <w:b w:val="0"/>
          <w:bCs w:val="0"/>
        </w:rPr>
      </w:pPr>
      <w:bookmarkStart w:name="2、以权益结算的股份支付情况" w:id="349"/>
      <w:bookmarkEnd w:id="34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根据相关估值工具确定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根据授予日授予激励对象的股份总数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033"/>
        <w:jc w:val="left"/>
        <w:rPr>
          <w:b w:val="0"/>
          <w:bCs w:val="0"/>
        </w:rPr>
      </w:pPr>
      <w:bookmarkStart w:name="3、以现金结算的股份支付情况" w:id="350"/>
      <w:bookmarkEnd w:id="35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3"/>
        <w:ind w:right="1033"/>
        <w:jc w:val="left"/>
        <w:rPr>
          <w:b w:val="0"/>
          <w:bCs w:val="0"/>
        </w:rPr>
      </w:pPr>
      <w:bookmarkStart w:name="5、其他" w:id="352"/>
      <w:bookmarkEnd w:id="352"/>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2"/>
        <w:rPr>
          <w:rFonts w:ascii="宋体" w:hAnsi="宋体" w:cs="宋体" w:eastAsia="宋体" w:hint="default"/>
          <w:sz w:val="25"/>
          <w:szCs w:val="25"/>
        </w:rPr>
      </w:pPr>
    </w:p>
    <w:p>
      <w:pPr>
        <w:spacing w:line="506" w:lineRule="auto" w:before="0"/>
        <w:ind w:left="153" w:right="8344" w:firstLine="0"/>
        <w:jc w:val="left"/>
        <w:rPr>
          <w:rFonts w:ascii="宋体" w:hAnsi="宋体" w:cs="宋体" w:eastAsia="宋体" w:hint="default"/>
          <w:sz w:val="18"/>
          <w:szCs w:val="18"/>
        </w:rPr>
      </w:pPr>
      <w:bookmarkStart w:name="十四、承诺及或有事项" w:id="353"/>
      <w:bookmarkEnd w:id="353"/>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354"/>
      <w:bookmarkEnd w:id="3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tabs>
          <w:tab w:pos="7895" w:val="left" w:leader="none"/>
        </w:tabs>
        <w:spacing w:line="240" w:lineRule="auto" w:before="138"/>
        <w:ind w:left="5854" w:right="1033"/>
        <w:jc w:val="left"/>
      </w:pPr>
      <w:r>
        <w:rPr>
          <w:rFonts w:ascii="Times New Roman" w:hAnsi="Times New Roman" w:cs="Times New Roman" w:eastAsia="Times New Roman" w:hint="default"/>
        </w:rPr>
        <w:t>2014</w:t>
      </w:r>
      <w:r>
        <w:rPr/>
        <w:t>年</w:t>
        <w:tab/>
      </w:r>
      <w:r>
        <w:rPr>
          <w:rFonts w:ascii="Times New Roman" w:hAnsi="Times New Roman" w:cs="Times New Roman" w:eastAsia="Times New Roman" w:hint="default"/>
        </w:rPr>
        <w:t>2013</w:t>
      </w:r>
      <w:r>
        <w:rPr/>
        <w:t>年</w:t>
      </w:r>
    </w:p>
    <w:p>
      <w:pPr>
        <w:spacing w:line="240" w:lineRule="auto" w:before="10"/>
        <w:rPr>
          <w:rFonts w:ascii="宋体" w:hAnsi="宋体" w:cs="宋体" w:eastAsia="宋体" w:hint="default"/>
          <w:sz w:val="20"/>
          <w:szCs w:val="20"/>
        </w:rPr>
      </w:pPr>
    </w:p>
    <w:p>
      <w:pPr>
        <w:pStyle w:val="BodyText"/>
        <w:spacing w:line="240" w:lineRule="auto"/>
        <w:ind w:left="874" w:right="1033"/>
        <w:jc w:val="left"/>
      </w:pPr>
      <w:r>
        <w:rPr/>
        <w:t>资本承诺</w:t>
      </w:r>
    </w:p>
    <w:p>
      <w:pPr>
        <w:pStyle w:val="BodyText"/>
        <w:tabs>
          <w:tab w:pos="4714" w:val="left" w:leader="none"/>
          <w:tab w:pos="5591" w:val="left" w:leader="none"/>
          <w:tab w:pos="6754" w:val="left" w:leader="none"/>
          <w:tab w:pos="7715" w:val="left" w:leader="none"/>
        </w:tabs>
        <w:spacing w:line="240" w:lineRule="auto" w:before="38"/>
        <w:ind w:left="1114" w:right="1033"/>
        <w:jc w:val="left"/>
        <w:rPr>
          <w:rFonts w:ascii="Times New Roman" w:hAnsi="Times New Roman" w:cs="Times New Roman" w:eastAsia="Times New Roman" w:hint="default"/>
        </w:rPr>
      </w:pPr>
      <w:r>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11,877,305</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r>
      <w:r>
        <w:rPr>
          <w:rFonts w:ascii="Times New Roman" w:hAnsi="Times New Roman" w:cs="Times New Roman" w:eastAsia="Times New Roman" w:hint="default"/>
          <w:u w:val="thick" w:color="000000"/>
        </w:rPr>
        <w:t>7,946,901</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51" w:footer="979" w:top="132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31"/>
        <w:ind w:right="1033"/>
        <w:jc w:val="left"/>
        <w:rPr>
          <w:b w:val="0"/>
          <w:bCs w:val="0"/>
        </w:rPr>
      </w:pPr>
      <w:bookmarkStart w:name="2、或有事项" w:id="355"/>
      <w:bookmarkEnd w:id="35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资产负债表日存在的重要或有事项" w:id="356"/>
      <w:bookmarkEnd w:id="35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截止资产负债表日，本集团并无需作披露的或有事项。</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公司没有需要披露的重要或有事项，也应予以说明" w:id="357"/>
      <w:bookmarkEnd w:id="35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left="153" w:right="1033"/>
        <w:jc w:val="left"/>
        <w:rPr>
          <w:b w:val="0"/>
          <w:bCs w:val="0"/>
        </w:rPr>
      </w:pPr>
      <w:bookmarkStart w:name="3、其他" w:id="358"/>
      <w:bookmarkEnd w:id="35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十五、资产负债表日后事项" w:id="359"/>
      <w:bookmarkEnd w:id="359"/>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重要的非调整事项" w:id="360"/>
      <w:bookmarkEnd w:id="36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利润分配情况" w:id="361"/>
      <w:bookmarkEnd w:id="36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283,080,000.00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销售退回" w:id="362"/>
      <w:bookmarkEnd w:id="36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本公司在资产负债表日后未发生重要销售退回。</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4、其他资产负债表日后事项说明" w:id="363"/>
      <w:bookmarkEnd w:id="36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jc w:val="both"/>
      </w:pPr>
      <w:r>
        <w:rPr/>
        <w:t>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日，上海华瑞银行股份有限公司正式成立，注册资本为人民币</w:t>
      </w:r>
      <w:r>
        <w:rPr>
          <w:rFonts w:ascii="宋体" w:hAnsi="宋体" w:cs="宋体" w:eastAsia="宋体" w:hint="default"/>
        </w:rPr>
        <w:t>3,000,000,000</w:t>
      </w:r>
      <w:r>
        <w:rPr/>
        <w:t>元，本公司出资人民币 </w:t>
      </w:r>
      <w:r>
        <w:rPr>
          <w:rFonts w:ascii="宋体" w:hAnsi="宋体" w:cs="宋体" w:eastAsia="宋体" w:hint="default"/>
        </w:rPr>
        <w:t>450,000,000</w:t>
      </w:r>
      <w:r>
        <w:rPr/>
        <w:t>元，占总注册资本的</w:t>
      </w:r>
      <w:r>
        <w:rPr>
          <w:rFonts w:ascii="宋体" w:hAnsi="宋体" w:cs="宋体" w:eastAsia="宋体" w:hint="default"/>
        </w:rPr>
        <w:t>15%</w:t>
      </w:r>
      <w:r>
        <w:rPr/>
        <w:t>，为该银行第二大股东。</w:t>
      </w:r>
    </w:p>
    <w:p>
      <w:pPr>
        <w:spacing w:line="240" w:lineRule="auto" w:before="4"/>
        <w:rPr>
          <w:rFonts w:ascii="宋体" w:hAnsi="宋体" w:cs="宋体" w:eastAsia="宋体" w:hint="default"/>
          <w:sz w:val="25"/>
          <w:szCs w:val="25"/>
        </w:rPr>
      </w:pPr>
    </w:p>
    <w:p>
      <w:pPr>
        <w:pStyle w:val="BodyText"/>
        <w:spacing w:line="319" w:lineRule="auto"/>
        <w:ind w:right="1131"/>
        <w:jc w:val="both"/>
      </w:pPr>
      <w:r>
        <w:rPr/>
        <w:t>公司</w:t>
      </w:r>
      <w:r>
        <w:rPr>
          <w:rFonts w:ascii="宋体" w:hAnsi="宋体" w:cs="宋体" w:eastAsia="宋体" w:hint="default"/>
        </w:rPr>
        <w:t>2014</w:t>
      </w:r>
      <w:r>
        <w:rPr/>
        <w:t>年业绩未达到公司限制性股票激励计划第一个解锁期解锁条件，同意回购并注销</w:t>
      </w:r>
      <w:r>
        <w:rPr>
          <w:rFonts w:ascii="宋体" w:hAnsi="宋体" w:cs="宋体" w:eastAsia="宋体" w:hint="default"/>
        </w:rPr>
        <w:t>2</w:t>
      </w:r>
      <w:r>
        <w:rPr/>
        <w:t>名激励对象第一个解锁期所涉及 </w:t>
      </w:r>
      <w:r>
        <w:rPr>
          <w:spacing w:val="-2"/>
        </w:rPr>
        <w:t>的已授予但未满足解锁条件的共计</w:t>
      </w:r>
      <w:r>
        <w:rPr>
          <w:rFonts w:ascii="宋体" w:hAnsi="宋体" w:cs="宋体" w:eastAsia="宋体" w:hint="default"/>
          <w:spacing w:val="-2"/>
        </w:rPr>
        <w:t>60</w:t>
      </w:r>
      <w:r>
        <w:rPr>
          <w:spacing w:val="-2"/>
        </w:rPr>
        <w:t>万股限制性股票。本次回购注销完成后，公司限制性股票激励计划将继续按照法规要求</w:t>
      </w:r>
      <w:r>
        <w:rPr>
          <w:spacing w:val="-62"/>
        </w:rPr>
        <w:t> </w:t>
      </w:r>
      <w:r>
        <w:rPr>
          <w:spacing w:val="-62"/>
        </w:rPr>
      </w:r>
      <w:r>
        <w:rPr/>
        <w:t>执行。</w:t>
      </w:r>
    </w:p>
    <w:p>
      <w:pPr>
        <w:spacing w:line="240" w:lineRule="auto" w:before="2"/>
        <w:rPr>
          <w:rFonts w:ascii="宋体" w:hAnsi="宋体" w:cs="宋体" w:eastAsia="宋体" w:hint="default"/>
          <w:sz w:val="25"/>
          <w:szCs w:val="25"/>
        </w:rPr>
      </w:pPr>
    </w:p>
    <w:p>
      <w:pPr>
        <w:pStyle w:val="BodyText"/>
        <w:spacing w:line="316" w:lineRule="auto"/>
        <w:ind w:right="1129"/>
        <w:jc w:val="both"/>
      </w:pPr>
      <w:r>
        <w:rPr/>
        <w:t>公司第三届董事会第八次会议审议通过</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月末公司总股本</w:t>
      </w:r>
      <w:r>
        <w:rPr>
          <w:rFonts w:ascii="宋体" w:hAnsi="宋体" w:cs="宋体" w:eastAsia="宋体" w:hint="default"/>
        </w:rPr>
        <w:t>1,011,000,000</w:t>
      </w:r>
      <w:r>
        <w:rPr/>
        <w:t>股为基数，向全 体股东每</w:t>
      </w:r>
      <w:r>
        <w:rPr>
          <w:rFonts w:ascii="宋体" w:hAnsi="宋体" w:cs="宋体" w:eastAsia="宋体" w:hint="default"/>
        </w:rPr>
        <w:t>10</w:t>
      </w:r>
      <w:r>
        <w:rPr/>
        <w:t>股送红股</w:t>
      </w:r>
      <w:r>
        <w:rPr>
          <w:rFonts w:ascii="宋体" w:hAnsi="宋体" w:cs="宋体" w:eastAsia="宋体" w:hint="default"/>
        </w:rPr>
        <w:t>5</w:t>
      </w:r>
      <w:r>
        <w:rPr/>
        <w:t>股，派发现金</w:t>
      </w:r>
      <w:r>
        <w:rPr>
          <w:rFonts w:ascii="宋体" w:hAnsi="宋体" w:cs="宋体" w:eastAsia="宋体" w:hint="default"/>
        </w:rPr>
        <w:t>1</w:t>
      </w:r>
      <w:r>
        <w:rPr/>
        <w:t>元（含税），本次利润分配</w:t>
      </w:r>
      <w:r>
        <w:rPr>
          <w:rFonts w:ascii="宋体" w:hAnsi="宋体" w:cs="宋体" w:eastAsia="宋体" w:hint="default"/>
        </w:rPr>
        <w:t>606,600,000</w:t>
      </w:r>
      <w:r>
        <w:rPr/>
        <w:t>元，利润分配后，剩余未分配利润转入下一年 </w:t>
      </w:r>
      <w:r>
        <w:rPr>
          <w:spacing w:val="-6"/>
        </w:rPr>
        <w:t>度；同时以资本公积向全体股东每</w:t>
      </w:r>
      <w:r>
        <w:rPr>
          <w:rFonts w:ascii="宋体" w:hAnsi="宋体" w:cs="宋体" w:eastAsia="宋体" w:hint="default"/>
          <w:spacing w:val="-6"/>
        </w:rPr>
        <w:t>10</w:t>
      </w:r>
      <w:r>
        <w:rPr>
          <w:spacing w:val="-6"/>
        </w:rPr>
        <w:t>股转增</w:t>
      </w:r>
      <w:r>
        <w:rPr>
          <w:rFonts w:ascii="宋体" w:hAnsi="宋体" w:cs="宋体" w:eastAsia="宋体" w:hint="default"/>
          <w:spacing w:val="-6"/>
        </w:rPr>
        <w:t>9</w:t>
      </w:r>
      <w:r>
        <w:rPr>
          <w:spacing w:val="-6"/>
        </w:rPr>
        <w:t>股，以盈余公积向全体股东每</w:t>
      </w:r>
      <w:r>
        <w:rPr>
          <w:rFonts w:ascii="宋体" w:hAnsi="宋体" w:cs="宋体" w:eastAsia="宋体" w:hint="default"/>
          <w:spacing w:val="-6"/>
        </w:rPr>
        <w:t>10</w:t>
      </w:r>
      <w:r>
        <w:rPr>
          <w:spacing w:val="-6"/>
        </w:rPr>
        <w:t>股转增</w:t>
      </w:r>
      <w:r>
        <w:rPr>
          <w:rFonts w:ascii="宋体" w:hAnsi="宋体" w:cs="宋体" w:eastAsia="宋体" w:hint="default"/>
          <w:spacing w:val="-6"/>
        </w:rPr>
        <w:t>1</w:t>
      </w:r>
      <w:r>
        <w:rPr>
          <w:spacing w:val="-6"/>
        </w:rPr>
        <w:t>股。转增后，公司资本公积减少</w:t>
      </w:r>
      <w:r>
        <w:rPr>
          <w:rFonts w:ascii="宋体" w:hAnsi="宋体" w:cs="宋体" w:eastAsia="宋体" w:hint="default"/>
          <w:spacing w:val="-6"/>
        </w:rPr>
        <w:t>909,900</w:t>
      </w:r>
      <w:r>
        <w:rPr>
          <w:spacing w:val="-6"/>
        </w:rPr>
        <w:t>，</w:t>
      </w:r>
    </w:p>
    <w:p>
      <w:pPr>
        <w:spacing w:after="0" w:line="316" w:lineRule="auto"/>
        <w:jc w:val="both"/>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6"/>
        <w:ind w:left="154" w:right="1033"/>
        <w:jc w:val="left"/>
      </w:pPr>
      <w:r>
        <w:rPr>
          <w:rFonts w:ascii="宋体" w:hAnsi="宋体" w:cs="宋体" w:eastAsia="宋体" w:hint="default"/>
        </w:rPr>
        <w:t>000</w:t>
      </w:r>
      <w:r>
        <w:rPr/>
        <w:t>元，盈余公积减少</w:t>
      </w:r>
      <w:r>
        <w:rPr>
          <w:rFonts w:ascii="宋体" w:hAnsi="宋体" w:cs="宋体" w:eastAsia="宋体" w:hint="default"/>
        </w:rPr>
        <w:t>101,100,000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3"/>
        <w:spacing w:line="240" w:lineRule="auto"/>
        <w:ind w:right="1033"/>
        <w:jc w:val="left"/>
        <w:rPr>
          <w:b w:val="0"/>
          <w:bCs w:val="0"/>
        </w:rPr>
      </w:pPr>
      <w:bookmarkStart w:name="十六、其他重要事项" w:id="364"/>
      <w:bookmarkEnd w:id="364"/>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前期会计差错更正" w:id="365"/>
      <w:bookmarkEnd w:id="36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追溯重述法" w:id="366"/>
      <w:bookmarkEnd w:id="36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未来适用法" w:id="367"/>
      <w:bookmarkEnd w:id="36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债务重组" w:id="368"/>
      <w:bookmarkEnd w:id="36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报告期内不存在此情况。</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3、资产置换" w:id="369"/>
      <w:bookmarkEnd w:id="36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非货币性资产交换" w:id="370"/>
      <w:bookmarkEnd w:id="37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报告期内不存在此情况。</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2）其他资产置换" w:id="371"/>
      <w:bookmarkEnd w:id="37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报告期内不存在此情况。</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4、年金计划" w:id="372"/>
      <w:bookmarkEnd w:id="37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报告期内不存在此情况。</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5、终止经营" w:id="373"/>
      <w:bookmarkEnd w:id="37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after="0" w:line="319" w:lineRule="auto"/>
        <w:jc w:val="center"/>
        <w:rPr>
          <w:rFonts w:ascii="宋体" w:hAnsi="宋体" w:cs="宋体" w:eastAsia="宋体"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773"/>
        <w:jc w:val="left"/>
      </w:pPr>
      <w:r>
        <w:rPr/>
        <w:t>其他说明 报告期内不存在此情况。</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bookmarkStart w:name="6、分部信息" w:id="374"/>
      <w:bookmarkEnd w:id="37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分部的确定依据与会计政策" w:id="375"/>
      <w:bookmarkEnd w:id="37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经营分部</w:t>
      </w:r>
    </w:p>
    <w:p>
      <w:pPr>
        <w:spacing w:line="240" w:lineRule="auto" w:before="0"/>
        <w:rPr>
          <w:rFonts w:ascii="宋体" w:hAnsi="宋体" w:cs="宋体" w:eastAsia="宋体" w:hint="default"/>
          <w:sz w:val="18"/>
          <w:szCs w:val="18"/>
        </w:rPr>
      </w:pPr>
    </w:p>
    <w:p>
      <w:pPr>
        <w:pStyle w:val="BodyText"/>
        <w:spacing w:line="316" w:lineRule="auto" w:before="153"/>
        <w:ind w:left="154" w:right="1032"/>
        <w:jc w:val="left"/>
      </w:pPr>
      <w:r>
        <w:rPr/>
        <w:t>本集团的经营业务根据业务的性质以及所提供的产品和劳务的方式分开组织和管理。本集团的每个业务分部是一个事业部，</w:t>
      </w:r>
      <w:r>
        <w:rPr>
          <w:spacing w:val="-85"/>
        </w:rPr>
        <w:t> </w:t>
      </w:r>
      <w:r>
        <w:rPr>
          <w:spacing w:val="-85"/>
        </w:rPr>
      </w:r>
      <w:r>
        <w:rPr/>
        <w:t>提供面临不同于其他业务分部的风险并取得不同于其他业务分部的报酬的产品和服务。以下是对业务分部详细信息的概括：</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rFonts w:ascii="Times New Roman" w:hAnsi="Times New Roman" w:cs="Times New Roman" w:eastAsia="Times New Roman" w:hint="default"/>
        </w:rPr>
        <w:t>a)     </w:t>
      </w:r>
      <w:r>
        <w:rPr>
          <w:rFonts w:ascii="Times New Roman" w:hAnsi="Times New Roman" w:cs="Times New Roman" w:eastAsia="Times New Roman" w:hint="default"/>
          <w:spacing w:val="8"/>
        </w:rPr>
        <w:t> </w:t>
      </w:r>
      <w:r>
        <w:rPr/>
        <w:t>批发业务为主要向加盟商销售服饰产品；</w:t>
      </w:r>
    </w:p>
    <w:p>
      <w:pPr>
        <w:pStyle w:val="BodyText"/>
        <w:tabs>
          <w:tab w:pos="573" w:val="left" w:leader="none"/>
        </w:tabs>
        <w:spacing w:line="600" w:lineRule="auto" w:before="63"/>
        <w:ind w:right="5490"/>
        <w:jc w:val="left"/>
      </w:pPr>
      <w:r>
        <w:rPr>
          <w:rFonts w:ascii="Times New Roman" w:hAnsi="Times New Roman" w:cs="Times New Roman" w:eastAsia="Times New Roman" w:hint="default"/>
        </w:rPr>
        <w:t>b)</w:t>
        <w:tab/>
      </w:r>
      <w:r>
        <w:rPr/>
        <w:t>零售业务为主要通过直营店、专柜和电商平台销售服饰产品。</w:t>
      </w:r>
      <w:r>
        <w:rPr>
          <w:w w:val="99"/>
        </w:rPr>
        <w:t> </w:t>
      </w:r>
      <w:r>
        <w:rPr/>
        <w:t>分部间交易的价格为成本加成。</w:t>
      </w:r>
    </w:p>
    <w:p>
      <w:pPr>
        <w:pStyle w:val="BodyText"/>
        <w:spacing w:line="316" w:lineRule="auto" w:before="118"/>
        <w:ind w:right="1132"/>
        <w:jc w:val="both"/>
      </w:pPr>
      <w:r>
        <w:rPr>
          <w:spacing w:val="-2"/>
        </w:rPr>
        <w:t>零售业务系直营渠道的销售交易；批发业务系除直营渠道外的销售交易，包括加盟渠道及集团合并范围内公司之间的销售交</w:t>
      </w:r>
      <w:r>
        <w:rPr>
          <w:spacing w:val="-64"/>
        </w:rPr>
        <w:t> </w:t>
      </w:r>
      <w:r>
        <w:rPr>
          <w:spacing w:val="-64"/>
        </w:rPr>
      </w:r>
      <w:r>
        <w:rPr>
          <w:spacing w:val="-2"/>
        </w:rPr>
        <w:t>易，其中合并范围内各公司间的销售交易、资产及负债已全额抵消。销售费用与管理费用扣除直接归属于直营渠道的费用后</w:t>
      </w:r>
      <w:r>
        <w:rPr>
          <w:spacing w:val="-66"/>
        </w:rPr>
        <w:t> </w:t>
      </w:r>
      <w:r>
        <w:rPr>
          <w:spacing w:val="-66"/>
        </w:rPr>
      </w:r>
      <w:r>
        <w:rPr/>
        <w:t>余额按收入比重在分部间分配，财务费用、营业外收支等不进行分配。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3" w:right="0"/>
        <w:jc w:val="both"/>
        <w:rPr>
          <w:b w:val="0"/>
          <w:bCs w:val="0"/>
        </w:rPr>
      </w:pPr>
      <w:bookmarkStart w:name="（2）报告分部的财务信息" w:id="376"/>
      <w:bookmarkEnd w:id="37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1913"/>
        <w:gridCol w:w="1914"/>
        <w:gridCol w:w="1914"/>
        <w:gridCol w:w="1914"/>
        <w:gridCol w:w="1914"/>
      </w:tblGrid>
      <w:tr>
        <w:trPr>
          <w:trHeight w:val="410" w:hRule="exact"/>
        </w:trPr>
        <w:tc>
          <w:tcPr>
            <w:tcW w:w="19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633" w:right="0"/>
              <w:jc w:val="left"/>
              <w:rPr>
                <w:rFonts w:ascii="宋体" w:hAnsi="宋体" w:cs="宋体" w:eastAsia="宋体" w:hint="default"/>
                <w:sz w:val="21"/>
                <w:szCs w:val="21"/>
              </w:rPr>
            </w:pPr>
            <w:r>
              <w:rPr>
                <w:rFonts w:ascii="宋体" w:hAnsi="宋体" w:cs="宋体" w:eastAsia="宋体" w:hint="default"/>
                <w:sz w:val="21"/>
                <w:szCs w:val="21"/>
              </w:rPr>
              <w:t>批发业务</w:t>
            </w:r>
          </w:p>
        </w:tc>
        <w:tc>
          <w:tcPr>
            <w:tcW w:w="1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634" w:right="0"/>
              <w:jc w:val="left"/>
              <w:rPr>
                <w:rFonts w:ascii="宋体" w:hAnsi="宋体" w:cs="宋体" w:eastAsia="宋体" w:hint="default"/>
                <w:sz w:val="21"/>
                <w:szCs w:val="21"/>
              </w:rPr>
            </w:pPr>
            <w:r>
              <w:rPr>
                <w:rFonts w:ascii="宋体" w:hAnsi="宋体" w:cs="宋体" w:eastAsia="宋体" w:hint="default"/>
                <w:sz w:val="21"/>
                <w:szCs w:val="21"/>
              </w:rPr>
              <w:t>零售业务</w:t>
            </w:r>
          </w:p>
        </w:tc>
        <w:tc>
          <w:tcPr>
            <w:tcW w:w="1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未分配部分</w:t>
            </w:r>
          </w:p>
        </w:tc>
        <w:tc>
          <w:tcPr>
            <w:tcW w:w="1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207" w:right="0"/>
              <w:jc w:val="center"/>
              <w:rPr>
                <w:rFonts w:ascii="宋体" w:hAnsi="宋体" w:cs="宋体" w:eastAsia="宋体" w:hint="default"/>
                <w:sz w:val="21"/>
                <w:szCs w:val="21"/>
              </w:rPr>
            </w:pPr>
            <w:r>
              <w:rPr>
                <w:rFonts w:ascii="宋体" w:hAnsi="宋体" w:cs="宋体" w:eastAsia="宋体" w:hint="default"/>
                <w:sz w:val="21"/>
                <w:szCs w:val="21"/>
              </w:rPr>
              <w:t>合并</w:t>
            </w:r>
          </w:p>
        </w:tc>
      </w:tr>
      <w:tr>
        <w:trPr>
          <w:trHeight w:val="472" w:hRule="exact"/>
        </w:trPr>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pacing w:val="-1"/>
                <w:sz w:val="21"/>
              </w:rPr>
              <w:t>3,399,379,789</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21"/>
                <w:szCs w:val="21"/>
              </w:rPr>
            </w:pPr>
            <w:r>
              <w:rPr>
                <w:rFonts w:ascii="Times New Roman"/>
                <w:spacing w:val="-1"/>
                <w:sz w:val="21"/>
              </w:rPr>
              <w:t>3,160,237,447</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z w:val="21"/>
              </w:rPr>
              <w:t>61,150,241</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pacing w:val="-1"/>
                <w:sz w:val="21"/>
              </w:rPr>
              <w:t>6,620,767,477</w:t>
            </w:r>
          </w:p>
        </w:tc>
      </w:tr>
      <w:tr>
        <w:trPr>
          <w:trHeight w:val="433"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44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分部利润</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
              <w:jc w:val="right"/>
              <w:rPr>
                <w:rFonts w:ascii="Times New Roman" w:hAnsi="Times New Roman" w:cs="Times New Roman" w:eastAsia="Times New Roman" w:hint="default"/>
                <w:sz w:val="21"/>
                <w:szCs w:val="21"/>
              </w:rPr>
            </w:pPr>
            <w:r>
              <w:rPr>
                <w:rFonts w:ascii="Times New Roman"/>
                <w:spacing w:val="-1"/>
                <w:sz w:val="21"/>
              </w:rPr>
              <w:t>548,942,271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w w:val="95"/>
                <w:sz w:val="21"/>
              </w:rPr>
              <w:t>-284,436,585</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5"/>
                <w:sz w:val="21"/>
              </w:rPr>
              <w:t>-86,255,496</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178,250,190</w:t>
            </w:r>
          </w:p>
        </w:tc>
      </w:tr>
      <w:tr>
        <w:trPr>
          <w:trHeight w:val="433"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3,620,728,339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3,366,014,389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6,986,742,728</w:t>
            </w:r>
          </w:p>
        </w:tc>
      </w:tr>
      <w:tr>
        <w:trPr>
          <w:trHeight w:val="433"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1,736,174,374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1,614,036,562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3,350,210,936</w:t>
            </w:r>
          </w:p>
        </w:tc>
      </w:tr>
      <w:tr>
        <w:trPr>
          <w:trHeight w:val="44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其他披露</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433"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资本性支出</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78,013,715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72,525,542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150,539,257</w:t>
            </w:r>
          </w:p>
        </w:tc>
      </w:tr>
      <w:tr>
        <w:trPr>
          <w:trHeight w:val="44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折旧和摊销费用</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
              <w:jc w:val="right"/>
              <w:rPr>
                <w:rFonts w:ascii="Times New Roman" w:hAnsi="Times New Roman" w:cs="Times New Roman" w:eastAsia="Times New Roman" w:hint="default"/>
                <w:sz w:val="21"/>
                <w:szCs w:val="21"/>
              </w:rPr>
            </w:pPr>
            <w:r>
              <w:rPr>
                <w:rFonts w:ascii="Times New Roman"/>
                <w:spacing w:val="-1"/>
                <w:sz w:val="21"/>
              </w:rPr>
              <w:t>122,026,461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113,442,044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235,468,505</w:t>
            </w:r>
          </w:p>
        </w:tc>
      </w:tr>
      <w:tr>
        <w:trPr>
          <w:trHeight w:val="434"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
              <w:jc w:val="right"/>
              <w:rPr>
                <w:rFonts w:ascii="Times New Roman" w:hAnsi="Times New Roman" w:cs="Times New Roman" w:eastAsia="Times New Roman" w:hint="default"/>
                <w:sz w:val="21"/>
                <w:szCs w:val="21"/>
              </w:rPr>
            </w:pPr>
            <w:r>
              <w:rPr>
                <w:rFonts w:ascii="Times New Roman"/>
                <w:spacing w:val="-1"/>
                <w:sz w:val="21"/>
              </w:rPr>
              <w:t>132,777,304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123,436,578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256,213,882</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79" w:top="132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公司无报告分部的，或者上能披露各报告分部的资产总额和负债总额的，应说明原因" w:id="377"/>
      <w:bookmarkEnd w:id="37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4）其他说明" w:id="378"/>
      <w:bookmarkEnd w:id="37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7、其他对投资者决策有影响的重要交易和事项" w:id="379"/>
      <w:bookmarkEnd w:id="37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8、其他" w:id="380"/>
      <w:bookmarkEnd w:id="380"/>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十七、母公司财务报表主要项目注释" w:id="381"/>
      <w:bookmarkEnd w:id="38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 w:id="382"/>
      <w:bookmarkEnd w:id="38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分类披露" w:id="383"/>
      <w:bookmarkEnd w:id="38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304,316,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304,316,3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2,863,18</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6,661.00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14,216,4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2,848,970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,184.00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3,695,822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3,696,014,0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92.00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3,167,50</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3,001.00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14,216,4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3,153,286</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,524.00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3,695,822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3,696,014,0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92.00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38"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5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00" w:lineRule="auto" w:before="41"/>
        <w:ind w:left="154" w:right="1033"/>
        <w:jc w:val="left"/>
      </w:pP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日，单项金额虽不重大但单独进行减值测试的应收账款余额为人民币</w:t>
      </w:r>
      <w:r>
        <w:rPr>
          <w:rFonts w:ascii="Times New Roman" w:hAnsi="Times New Roman" w:cs="Times New Roman" w:eastAsia="Times New Roman" w:hint="default"/>
          <w:spacing w:val="-2"/>
        </w:rPr>
        <w:t>2,863,186,661.00</w:t>
      </w:r>
      <w:r>
        <w:rPr>
          <w:spacing w:val="-2"/>
        </w:rPr>
        <w:t>元，计提坏账准备为人</w:t>
      </w:r>
      <w:r>
        <w:rPr>
          <w:spacing w:val="-41"/>
        </w:rPr>
        <w:t> </w:t>
      </w:r>
      <w:r>
        <w:rPr>
          <w:spacing w:val="-41"/>
        </w:rPr>
      </w:r>
      <w:r>
        <w:rPr/>
        <w:t>民币</w:t>
      </w:r>
      <w:r>
        <w:rPr>
          <w:rFonts w:ascii="Times New Roman" w:hAnsi="Times New Roman" w:cs="Times New Roman" w:eastAsia="Times New Roman" w:hint="default"/>
        </w:rPr>
        <w:t>14,216,477</w:t>
      </w:r>
      <w:r>
        <w:rPr/>
        <w:t>元。</w:t>
      </w:r>
    </w:p>
    <w:p>
      <w:pPr>
        <w:spacing w:line="240" w:lineRule="auto" w:before="1"/>
        <w:rPr>
          <w:rFonts w:ascii="宋体" w:hAnsi="宋体" w:cs="宋体" w:eastAsia="宋体" w:hint="default"/>
          <w:sz w:val="22"/>
          <w:szCs w:val="22"/>
        </w:rPr>
      </w:pPr>
    </w:p>
    <w:p>
      <w:pPr>
        <w:pStyle w:val="Heading4"/>
        <w:spacing w:line="240" w:lineRule="auto"/>
        <w:ind w:right="1033"/>
        <w:jc w:val="left"/>
        <w:rPr>
          <w:b w:val="0"/>
          <w:bCs w:val="0"/>
        </w:rPr>
      </w:pPr>
      <w:bookmarkStart w:name="（2）本期计提、收回或转回的坏账准备情况" w:id="384"/>
      <w:bookmarkEnd w:id="38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15,267,335.00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6544" w:space="2375"/>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3）本期实际核销的应收账款情况" w:id="385"/>
      <w:bookmarkEnd w:id="38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4,746,680.00</w:t>
            </w:r>
          </w:p>
        </w:tc>
      </w:tr>
    </w:tbl>
    <w:p>
      <w:pPr>
        <w:pStyle w:val="BodyText"/>
        <w:spacing w:line="240" w:lineRule="auto" w:before="51"/>
        <w:ind w:left="154" w:right="1033"/>
        <w:jc w:val="left"/>
      </w:pPr>
      <w:r>
        <w:rPr/>
        <w:t>其中重要的应收账款核销情况：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第三方客户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4,746,680.00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8"/>
              <w:jc w:val="right"/>
              <w:rPr>
                <w:rFonts w:ascii="宋体" w:hAnsi="宋体" w:cs="宋体" w:eastAsia="宋体" w:hint="default"/>
                <w:sz w:val="18"/>
                <w:szCs w:val="18"/>
              </w:rPr>
            </w:pPr>
            <w:r>
              <w:rPr>
                <w:rFonts w:ascii="宋体" w:hAnsi="宋体" w:cs="宋体" w:eastAsia="宋体" w:hint="default"/>
                <w:sz w:val="18"/>
                <w:szCs w:val="18"/>
              </w:rPr>
              <w:t>逾期无法收回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4,746,680.00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4" w:right="4812"/>
        <w:jc w:val="left"/>
      </w:pPr>
      <w:r>
        <w:rPr/>
        <w:t>应收账款核销说明： 根据本公司会计政策及管理层判断无法回收的货款在本报告期内予以核销。</w:t>
      </w:r>
    </w:p>
    <w:p>
      <w:pPr>
        <w:spacing w:line="240" w:lineRule="auto" w:before="2"/>
        <w:rPr>
          <w:rFonts w:ascii="宋体" w:hAnsi="宋体" w:cs="宋体" w:eastAsia="宋体" w:hint="default"/>
          <w:sz w:val="20"/>
          <w:szCs w:val="20"/>
        </w:rPr>
      </w:pPr>
    </w:p>
    <w:p>
      <w:pPr>
        <w:pStyle w:val="Heading4"/>
        <w:spacing w:line="240" w:lineRule="auto"/>
        <w:ind w:left="153" w:right="1033"/>
        <w:jc w:val="left"/>
        <w:rPr>
          <w:b w:val="0"/>
          <w:bCs w:val="0"/>
        </w:rPr>
      </w:pPr>
      <w:bookmarkStart w:name="（4）按欠款方归集的期末余额前五吊的应收账款情况" w:id="386"/>
      <w:bookmarkEnd w:id="38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单位：元</w:t>
      </w:r>
    </w:p>
    <w:p>
      <w:pPr>
        <w:spacing w:line="240" w:lineRule="auto" w:before="3"/>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412"/>
        <w:gridCol w:w="1388"/>
        <w:gridCol w:w="1637"/>
        <w:gridCol w:w="1657"/>
        <w:gridCol w:w="1788"/>
        <w:gridCol w:w="1734"/>
      </w:tblGrid>
      <w:tr>
        <w:trPr>
          <w:trHeight w:val="664" w:hRule="exact"/>
        </w:trPr>
        <w:tc>
          <w:tcPr>
            <w:tcW w:w="1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
              <w:ind w:left="506" w:right="324" w:hanging="182"/>
              <w:jc w:val="left"/>
              <w:rPr>
                <w:rFonts w:ascii="宋体" w:hAnsi="宋体" w:cs="宋体" w:eastAsia="宋体" w:hint="default"/>
                <w:sz w:val="18"/>
                <w:szCs w:val="18"/>
              </w:rPr>
            </w:pPr>
            <w:r>
              <w:rPr>
                <w:rFonts w:ascii="宋体" w:hAnsi="宋体" w:cs="宋体" w:eastAsia="宋体" w:hint="default"/>
                <w:b/>
                <w:bCs/>
                <w:sz w:val="18"/>
                <w:szCs w:val="18"/>
              </w:rPr>
              <w:t>与本集团</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6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b/>
                <w:bCs/>
                <w:sz w:val="18"/>
                <w:szCs w:val="18"/>
              </w:rPr>
              <w:t>应收账款余额</w:t>
            </w:r>
            <w:r>
              <w:rPr>
                <w:rFonts w:ascii="宋体" w:hAnsi="宋体" w:cs="宋体" w:eastAsia="宋体" w:hint="default"/>
                <w:sz w:val="18"/>
                <w:szCs w:val="18"/>
              </w:rPr>
            </w:r>
          </w:p>
        </w:tc>
        <w:tc>
          <w:tcPr>
            <w:tcW w:w="16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
              <w:ind w:left="646" w:right="72" w:hanging="57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计提坏账准备金额</w:t>
            </w:r>
            <w:r>
              <w:rPr>
                <w:rFonts w:ascii="宋体" w:hAnsi="宋体" w:cs="宋体" w:eastAsia="宋体" w:hint="default"/>
                <w:sz w:val="18"/>
                <w:szCs w:val="18"/>
              </w:rPr>
            </w:r>
          </w:p>
        </w:tc>
      </w:tr>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207,446,112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4"/>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71,670,228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37,056,514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4"/>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147,554,702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65,932,339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4"/>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1160" w:left="980" w:right="0"/>
        </w:sectPr>
      </w:pP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412"/>
        <w:gridCol w:w="1388"/>
        <w:gridCol w:w="1637"/>
        <w:gridCol w:w="1657"/>
        <w:gridCol w:w="1788"/>
        <w:gridCol w:w="1734"/>
      </w:tblGrid>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113,319,546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2" w:right="0"/>
              <w:jc w:val="left"/>
              <w:rPr>
                <w:rFonts w:ascii="Times New Roman" w:hAnsi="Times New Roman" w:cs="Times New Roman" w:eastAsia="Times New Roman" w:hint="default"/>
                <w:sz w:val="18"/>
                <w:szCs w:val="18"/>
              </w:rPr>
            </w:pPr>
            <w:r>
              <w:rPr>
                <w:rFonts w:ascii="Times New Roman"/>
                <w:sz w:val="18"/>
              </w:rPr>
              <w:t>3</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67"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13,841,279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4"/>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2" w:right="0"/>
              <w:jc w:val="left"/>
              <w:rPr>
                <w:rFonts w:ascii="Times New Roman" w:hAnsi="Times New Roman" w:cs="Times New Roman" w:eastAsia="Times New Roman" w:hint="default"/>
                <w:sz w:val="18"/>
                <w:szCs w:val="18"/>
              </w:rPr>
            </w:pPr>
            <w:r>
              <w:rPr>
                <w:rFonts w:ascii="Times New Roman"/>
                <w:sz w:val="18"/>
              </w:rPr>
              <w:t>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162,047,329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2" w:right="0"/>
              <w:jc w:val="left"/>
              <w:rPr>
                <w:rFonts w:ascii="Times New Roman" w:hAnsi="Times New Roman" w:cs="Times New Roman" w:eastAsia="Times New Roman" w:hint="default"/>
                <w:sz w:val="18"/>
                <w:szCs w:val="18"/>
              </w:rPr>
            </w:pPr>
            <w:r>
              <w:rPr>
                <w:rFonts w:ascii="Times New Roman"/>
                <w:sz w:val="18"/>
              </w:rPr>
              <w:t>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50,064,651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04"/>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42" w:right="0"/>
              <w:jc w:val="left"/>
              <w:rPr>
                <w:rFonts w:ascii="Times New Roman" w:hAnsi="Times New Roman" w:cs="Times New Roman" w:eastAsia="Times New Roman" w:hint="default"/>
                <w:sz w:val="18"/>
                <w:szCs w:val="18"/>
              </w:rPr>
            </w:pPr>
            <w:r>
              <w:rPr>
                <w:rFonts w:ascii="Times New Roman"/>
                <w:sz w:val="18"/>
              </w:rPr>
              <w:t>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115,984,576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2" w:right="0"/>
              <w:jc w:val="left"/>
              <w:rPr>
                <w:rFonts w:ascii="Times New Roman" w:hAnsi="Times New Roman" w:cs="Times New Roman" w:eastAsia="Times New Roman" w:hint="default"/>
                <w:sz w:val="18"/>
                <w:szCs w:val="18"/>
              </w:rPr>
            </w:pPr>
            <w:r>
              <w:rPr>
                <w:rFonts w:ascii="Times New Roman"/>
                <w:sz w:val="18"/>
              </w:rPr>
              <w:t>4</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138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984,917,276</w:t>
            </w:r>
          </w:p>
        </w:tc>
        <w:tc>
          <w:tcPr>
            <w:tcW w:w="1657"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96" w:right="0"/>
              <w:jc w:val="left"/>
              <w:rPr>
                <w:rFonts w:ascii="Times New Roman" w:hAnsi="Times New Roman" w:cs="Times New Roman" w:eastAsia="Times New Roman" w:hint="default"/>
                <w:sz w:val="18"/>
                <w:szCs w:val="18"/>
              </w:rPr>
            </w:pPr>
            <w:r>
              <w:rPr>
                <w:rFonts w:ascii="Times New Roman"/>
                <w:sz w:val="18"/>
              </w:rPr>
              <w:t>31</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1033"/>
        <w:jc w:val="left"/>
        <w:rPr>
          <w:b w:val="0"/>
          <w:bCs w:val="0"/>
        </w:rPr>
      </w:pPr>
      <w:bookmarkStart w:name="（5）因金融资产转移而终止确认的应收账款" w:id="387"/>
      <w:bookmarkEnd w:id="38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6）转移应收账款且继续涉入形成的资产、负债金额" w:id="388"/>
      <w:bookmarkEnd w:id="38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4"/>
        <w:spacing w:line="240" w:lineRule="auto"/>
        <w:ind w:right="1033"/>
        <w:jc w:val="left"/>
        <w:rPr>
          <w:b w:val="0"/>
          <w:bCs w:val="0"/>
        </w:rPr>
      </w:pPr>
      <w:bookmarkStart w:name="2、其他应收款" w:id="389"/>
      <w:bookmarkEnd w:id="38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其他应收款分类披露" w:id="390"/>
      <w:bookmarkEnd w:id="39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235,626,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063.00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235,626,0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237,624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237,624,13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149,442,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1,837,20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147,604,8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356,124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,258.00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356,124,25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385,068,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073.00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1,837,20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383,230,8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73.00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593,748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593,748,39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期末单项金额重大并单项计提坏账准备的其他应收款：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40" w:lineRule="auto"/>
        <w:jc w:val="left"/>
        <w:sectPr>
          <w:pgSz w:w="11910" w:h="16840"/>
          <w:pgMar w:header="851" w:footer="979" w:top="1320" w:bottom="1160" w:left="980" w:right="0"/>
        </w:sectPr>
      </w:pPr>
    </w:p>
    <w:p>
      <w:pPr>
        <w:pStyle w:val="BodyText"/>
        <w:spacing w:line="338" w:lineRule="auto" w:before="11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3"/>
        <w:jc w:val="left"/>
      </w:pPr>
      <w:r>
        <w:rPr/>
        <w:t>本集团其他应收款项坏账准备为按照个别认定法根据应收款项可收回性判断计提。</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年计提坏账准备人民币</w:t>
      </w:r>
      <w:r>
        <w:rPr>
          <w:spacing w:val="-59"/>
        </w:rPr>
        <w:t> </w:t>
      </w:r>
      <w:r>
        <w:rPr>
          <w:rFonts w:ascii="Times New Roman" w:hAnsi="Times New Roman" w:cs="Times New Roman" w:eastAsia="Times New Roman" w:hint="default"/>
        </w:rPr>
        <w:t>1,837,200</w:t>
      </w:r>
      <w:r>
        <w:rPr>
          <w:rFonts w:ascii="Times New Roman" w:hAnsi="Times New Roman" w:cs="Times New Roman" w:eastAsia="Times New Roman" w:hint="default"/>
          <w:spacing w:val="-14"/>
        </w:rPr>
        <w:t> </w:t>
      </w:r>
      <w:r>
        <w:rPr/>
        <w:t>元</w:t>
      </w:r>
    </w:p>
    <w:p>
      <w:pPr>
        <w:pStyle w:val="BodyText"/>
        <w:spacing w:line="240" w:lineRule="auto" w:before="64"/>
        <w:ind w:right="1033"/>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日：人民币</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年无转回坏账准备</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年：无</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本期计提、收回或转回的坏账准备情况" w:id="391"/>
      <w:bookmarkEnd w:id="3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1,837,200.00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6454" w:space="2465"/>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3）本期实际核销的其他应收款情况" w:id="392"/>
      <w:bookmarkEnd w:id="39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其中重要的其他应收款核销情况：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4）其他应收款按款项性质分类情况" w:id="393"/>
      <w:bookmarkEnd w:id="39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347,806,871.00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519,563,725.00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3,821,742.00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839,796.00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12,840,644.00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17,974,175.00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浦东新区政府补贴</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50,165,820.00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16,052,914.00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2,494,585.00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4,545,902.00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2,710,289.00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385,068,073.00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593,748,390.00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5）按欠款方归集的期末余额前五吊的其他应收款情况" w:id="394"/>
      <w:bookmarkEnd w:id="39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97,777,051.00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57,102,734.00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43,925,835.00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36,820,442.00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18,557,476.00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254,183,538.00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6）涉及政府补助的应收款项" w:id="395"/>
      <w:bookmarkEnd w:id="39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7）因金融资产转移而终止确认的其他应收款" w:id="396"/>
      <w:bookmarkEnd w:id="39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8）转移其他应收款且继续涉入形成的资产、负债金额" w:id="397"/>
      <w:bookmarkEnd w:id="39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3"/>
        <w:jc w:val="left"/>
      </w:pPr>
      <w:r>
        <w:rPr/>
        <w:t>无。 其他说明： 无。</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3、长期股权投资" w:id="398"/>
      <w:bookmarkEnd w:id="39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398,384,026.00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398,384,026.00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1）对子公司投资" w:id="399"/>
      <w:bookmarkEnd w:id="39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63,513,308.00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63,513,308.00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11,874,493.00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11,874,493.00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6,124,104.00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6,124,104.00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6,788,749.00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6,788,749.00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6,095,832.00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6,095,832.00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8,018,137.00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8,018,137.00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8,992,077.00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8,992,077.00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2,070,026.00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2,070,026.00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3,207,383.00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3,207,383.00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2,599,917.00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2,599,917.00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398,384,026.00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其他说明" w:id="400"/>
      <w:bookmarkEnd w:id="400"/>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jc w:val="left"/>
      </w:pPr>
      <w:r>
        <w:rPr/>
        <w:t>本公司初始投资额为零的长期股权投资系同一控制下企业合并中并入了资不抵债的子公司成都美邦、北京美邦、重庆美邦、</w:t>
      </w:r>
      <w:r>
        <w:rPr>
          <w:spacing w:val="-85"/>
        </w:rPr>
        <w:t> </w:t>
      </w:r>
      <w:r>
        <w:rPr>
          <w:spacing w:val="-85"/>
        </w:rPr>
      </w:r>
      <w:r>
        <w:rPr/>
        <w:t>广州美邦。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3" w:right="1033"/>
        <w:jc w:val="left"/>
        <w:rPr>
          <w:b w:val="0"/>
          <w:bCs w:val="0"/>
        </w:rPr>
      </w:pPr>
      <w:bookmarkStart w:name="4、营业收入和营业成本" w:id="401"/>
      <w:bookmarkEnd w:id="40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4,597,989,476.00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3,556,252,670.00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5,456,545,117.00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4,036,032,281.00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46,874,354.00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45,188,033.00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48,622,260.00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47,882,832.00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4,644,863,830.00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3,601,440,703.00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5,505,167,377.00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4,083,915,113.00</w:t>
            </w:r>
          </w:p>
        </w:tc>
      </w:tr>
    </w:tbl>
    <w:p>
      <w:pPr>
        <w:pStyle w:val="BodyText"/>
        <w:spacing w:line="357" w:lineRule="auto" w:before="51"/>
        <w:ind w:right="5713"/>
        <w:jc w:val="left"/>
      </w:pPr>
      <w:r>
        <w:rPr/>
        <w:t>其他说明： 本公司的主营业务收入主要是向子公司和加盟商销售服装收入。</w:t>
      </w:r>
    </w:p>
    <w:p>
      <w:pPr>
        <w:spacing w:line="240" w:lineRule="auto" w:before="2"/>
        <w:rPr>
          <w:rFonts w:ascii="宋体" w:hAnsi="宋体" w:cs="宋体" w:eastAsia="宋体" w:hint="default"/>
          <w:sz w:val="20"/>
          <w:szCs w:val="20"/>
        </w:rPr>
      </w:pPr>
    </w:p>
    <w:p>
      <w:pPr>
        <w:pStyle w:val="Heading4"/>
        <w:spacing w:line="240" w:lineRule="auto"/>
        <w:ind w:right="1033"/>
        <w:jc w:val="left"/>
        <w:rPr>
          <w:b w:val="0"/>
          <w:bCs w:val="0"/>
        </w:rPr>
      </w:pPr>
      <w:bookmarkStart w:name="5、投资收益" w:id="402"/>
      <w:bookmarkEnd w:id="40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355,504,139.00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-4,134,628.00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351,369,511.00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6、其他" w:id="403"/>
      <w:bookmarkEnd w:id="403"/>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rPr>
          <w:rFonts w:ascii="Times New Roman" w:hAnsi="Times New Roman" w:cs="Times New Roman" w:eastAsia="Times New Roman" w:hint="default"/>
        </w:rPr>
      </w:pPr>
      <w:r>
        <w:rPr/>
        <w:t>本公司于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日出资人民币</w:t>
      </w:r>
      <w:r>
        <w:rPr>
          <w:spacing w:val="-46"/>
        </w:rPr>
        <w:t> </w:t>
      </w:r>
      <w:r>
        <w:rPr>
          <w:rFonts w:ascii="Times New Roman" w:hAnsi="Times New Roman" w:cs="Times New Roman" w:eastAsia="Times New Roman" w:hint="default"/>
        </w:rPr>
        <w:t>450,000,000 </w:t>
      </w:r>
      <w:r>
        <w:rPr/>
        <w:t>元认缴上海华瑞银行股份有限公司</w:t>
      </w:r>
      <w:r>
        <w:rPr>
          <w:spacing w:val="-46"/>
        </w:rPr>
        <w:t> </w:t>
      </w:r>
      <w:r>
        <w:rPr>
          <w:rFonts w:ascii="Times New Roman" w:hAnsi="Times New Roman" w:cs="Times New Roman" w:eastAsia="Times New Roman" w:hint="default"/>
        </w:rPr>
        <w:t>15%</w:t>
      </w:r>
      <w:r>
        <w:rPr/>
        <w:t>的股权。截至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p>
    <w:p>
      <w:pPr>
        <w:pStyle w:val="BodyText"/>
        <w:spacing w:line="240" w:lineRule="auto" w:before="64"/>
        <w:ind w:left="154" w:right="1033"/>
        <w:jc w:val="left"/>
      </w:pPr>
      <w:r>
        <w:rPr/>
        <w:t>日，上海华瑞银行股份有限公司尚未正式注册成立，本集团将该投资款作为其他非流动资产核算。</w:t>
      </w:r>
    </w:p>
    <w:p>
      <w:pPr>
        <w:spacing w:line="240" w:lineRule="auto" w:before="1"/>
        <w:rPr>
          <w:rFonts w:ascii="宋体" w:hAnsi="宋体" w:cs="宋体" w:eastAsia="宋体" w:hint="default"/>
          <w:sz w:val="25"/>
          <w:szCs w:val="25"/>
        </w:rPr>
      </w:pPr>
    </w:p>
    <w:p>
      <w:pPr>
        <w:pStyle w:val="Heading3"/>
        <w:spacing w:line="240" w:lineRule="auto"/>
        <w:ind w:left="154" w:right="1033"/>
        <w:jc w:val="left"/>
        <w:rPr>
          <w:b w:val="0"/>
          <w:bCs w:val="0"/>
        </w:rPr>
      </w:pPr>
      <w:bookmarkStart w:name="十八、补充资料" w:id="404"/>
      <w:bookmarkEnd w:id="40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当期非经常性损益明细表" w:id="405"/>
      <w:bookmarkEnd w:id="40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-19,207,938.00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38,805,217.00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25,432,558.00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处置长安基金取得的投资收益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23,964,857.00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17,390,586.00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51,604,108.00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2、净资产收益率及每股收益" w:id="406"/>
      <w:bookmarkEnd w:id="40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32"/>
        <w:ind w:right="1033"/>
        <w:jc w:val="left"/>
        <w:rPr>
          <w:b w:val="0"/>
          <w:bCs w:val="0"/>
        </w:rPr>
      </w:pPr>
      <w:bookmarkStart w:name="3、境内外会计准则下会计数据差异" w:id="407"/>
      <w:bookmarkEnd w:id="40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同时按照国际会计准则与按中国会计准则披露的财务报告中净利润和净资产差异情况" w:id="408"/>
      <w:bookmarkEnd w:id="40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同时按照境外会计准则与按中国会计准则披露的财务报告中净利润和净资产差异情况" w:id="409"/>
      <w:bookmarkEnd w:id="40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left="153" w:right="1033"/>
        <w:jc w:val="left"/>
        <w:rPr>
          <w:b w:val="0"/>
          <w:bCs w:val="0"/>
        </w:rPr>
      </w:pPr>
      <w:bookmarkStart w:name="（3）境内外会计准则下会计数据差异原因说明，对已经境外审计机构审计的数据进行差异" w:id="410"/>
      <w:bookmarkEnd w:id="41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4、会计政策变更相关补充资料" w:id="411"/>
      <w:bookmarkEnd w:id="411"/>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5、其他" w:id="412"/>
      <w:bookmarkEnd w:id="412"/>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after="0" w:line="240" w:lineRule="auto"/>
        <w:jc w:val="left"/>
        <w:sectPr>
          <w:pgSz w:w="11910" w:h="16840"/>
          <w:pgMar w:header="851" w:footer="979" w:top="132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66" w:right="1033"/>
        <w:jc w:val="left"/>
        <w:rPr>
          <w:b w:val="0"/>
          <w:bCs w:val="0"/>
        </w:rPr>
      </w:pPr>
      <w:bookmarkStart w:name="第十二节备查文件目录" w:id="413"/>
      <w:bookmarkEnd w:id="413"/>
      <w:r>
        <w:rPr>
          <w:b w:val="0"/>
          <w:bCs w:val="0"/>
        </w:rPr>
      </w:r>
      <w:bookmarkStart w:name="_bookmark11" w:id="414"/>
      <w:bookmarkEnd w:id="414"/>
      <w:r>
        <w:rPr>
          <w:b w:val="0"/>
          <w:bCs w:val="0"/>
        </w:rPr>
      </w:r>
      <w:r>
        <w:rPr/>
        <w:t>第十二节备查文件目录</w:t>
      </w:r>
      <w:r>
        <w:rPr>
          <w:b w:val="0"/>
          <w:bCs w:val="0"/>
        </w:rPr>
      </w:r>
    </w:p>
    <w:p>
      <w:pPr>
        <w:spacing w:line="240" w:lineRule="auto" w:before="7"/>
        <w:rPr>
          <w:rFonts w:ascii="宋体" w:hAnsi="宋体" w:cs="宋体" w:eastAsia="宋体" w:hint="default"/>
          <w:b/>
          <w:bCs/>
          <w:sz w:val="46"/>
          <w:szCs w:val="46"/>
        </w:rPr>
      </w:pPr>
    </w:p>
    <w:p>
      <w:pPr>
        <w:pStyle w:val="Heading5"/>
        <w:spacing w:line="240" w:lineRule="auto"/>
        <w:ind w:left="331" w:right="1033"/>
        <w:jc w:val="left"/>
      </w:pPr>
      <w:r>
        <w:rPr/>
        <w:t>（一）载有法定代表人、财务负责人、会计机构负责人签名并盖章的会计报表。</w:t>
      </w:r>
    </w:p>
    <w:p>
      <w:pPr>
        <w:spacing w:line="240" w:lineRule="auto" w:before="10"/>
        <w:rPr>
          <w:rFonts w:ascii="宋体" w:hAnsi="宋体" w:cs="宋体" w:eastAsia="宋体" w:hint="default"/>
          <w:sz w:val="14"/>
          <w:szCs w:val="14"/>
        </w:rPr>
      </w:pPr>
    </w:p>
    <w:p>
      <w:pPr>
        <w:pStyle w:val="Heading5"/>
        <w:spacing w:line="240" w:lineRule="auto"/>
        <w:ind w:left="331" w:right="1033"/>
        <w:jc w:val="left"/>
      </w:pPr>
      <w:r>
        <w:rPr/>
        <w:t>（二）载有会计师事务所盖章、注册会计师签名并盖章的审计报告原件。</w:t>
      </w:r>
    </w:p>
    <w:p>
      <w:pPr>
        <w:spacing w:line="240" w:lineRule="auto" w:before="1"/>
        <w:rPr>
          <w:rFonts w:ascii="宋体" w:hAnsi="宋体" w:cs="宋体" w:eastAsia="宋体" w:hint="default"/>
          <w:sz w:val="22"/>
          <w:szCs w:val="22"/>
        </w:rPr>
      </w:pPr>
    </w:p>
    <w:p>
      <w:pPr>
        <w:pStyle w:val="Heading5"/>
        <w:spacing w:line="408" w:lineRule="auto"/>
        <w:ind w:right="1033" w:firstLine="177"/>
        <w:jc w:val="left"/>
      </w:pPr>
      <w:r>
        <w:rPr>
          <w:spacing w:val="-1"/>
        </w:rPr>
        <w:t>（三）报告期内在《证券时报》、《上海证券报》、《中国证券报》及《证券日报》公开披露过的所有</w:t>
      </w:r>
      <w:r>
        <w:rPr/>
        <w:t> 公司文件的正本及公告的原稿。</w:t>
      </w:r>
    </w:p>
    <w:p>
      <w:pPr>
        <w:pStyle w:val="Heading5"/>
        <w:spacing w:line="240" w:lineRule="auto" w:before="46"/>
        <w:ind w:left="331" w:right="1033"/>
        <w:jc w:val="left"/>
      </w:pPr>
      <w:r>
        <w:rPr/>
        <w:t>（四）载有董事长签名的</w:t>
      </w:r>
      <w:r>
        <w:rPr>
          <w:rFonts w:ascii="Times New Roman" w:hAnsi="Times New Roman" w:cs="Times New Roman" w:eastAsia="Times New Roman" w:hint="default"/>
        </w:rPr>
        <w:t>2014</w:t>
      </w:r>
      <w:r>
        <w:rPr/>
        <w:t>年年度报告文本原件。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2"/>
        <w:spacing w:line="240" w:lineRule="auto"/>
        <w:ind w:left="0" w:right="1138"/>
        <w:jc w:val="right"/>
        <w:rPr>
          <w:b w:val="0"/>
          <w:bCs w:val="0"/>
        </w:rPr>
      </w:pPr>
      <w:r>
        <w:rPr>
          <w:w w:val="95"/>
        </w:rPr>
        <w:t>上海美特斯邦威服饰股份有限公司</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before="0"/>
        <w:ind w:left="0" w:right="1130" w:firstLine="0"/>
        <w:jc w:val="right"/>
        <w:rPr>
          <w:rFonts w:ascii="宋体" w:hAnsi="宋体" w:cs="宋体" w:eastAsia="宋体" w:hint="default"/>
          <w:sz w:val="28"/>
          <w:szCs w:val="28"/>
        </w:rPr>
      </w:pPr>
      <w:r>
        <w:rPr>
          <w:rFonts w:ascii="宋体" w:hAnsi="宋体" w:cs="宋体" w:eastAsia="宋体" w:hint="default"/>
          <w:w w:val="95"/>
          <w:sz w:val="28"/>
          <w:szCs w:val="28"/>
        </w:rPr>
        <w:t>董事长：周成建</w:t>
      </w:r>
      <w:r>
        <w:rPr>
          <w:rFonts w:ascii="宋体" w:hAnsi="宋体" w:cs="宋体" w:eastAsia="宋体" w:hint="default"/>
          <w:sz w:val="28"/>
          <w:szCs w:val="28"/>
        </w:rPr>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spacing w:before="0"/>
        <w:ind w:left="0" w:right="1130" w:firstLine="0"/>
        <w:jc w:val="righ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2015</w:t>
      </w:r>
      <w:r>
        <w:rPr>
          <w:rFonts w:ascii="宋体" w:hAnsi="宋体" w:cs="宋体" w:eastAsia="宋体" w:hint="default"/>
          <w:spacing w:val="-1"/>
          <w:sz w:val="28"/>
          <w:szCs w:val="28"/>
        </w:rPr>
        <w:t>年</w:t>
      </w:r>
      <w:r>
        <w:rPr>
          <w:rFonts w:ascii="Times New Roman" w:hAnsi="Times New Roman" w:cs="Times New Roman" w:eastAsia="Times New Roman" w:hint="default"/>
          <w:b/>
          <w:bCs/>
          <w:spacing w:val="-1"/>
          <w:sz w:val="28"/>
          <w:szCs w:val="28"/>
        </w:rPr>
        <w:t>3</w:t>
      </w:r>
      <w:r>
        <w:rPr>
          <w:rFonts w:ascii="宋体" w:hAnsi="宋体" w:cs="宋体" w:eastAsia="宋体" w:hint="default"/>
          <w:spacing w:val="-1"/>
          <w:sz w:val="28"/>
          <w:szCs w:val="28"/>
        </w:rPr>
        <w:t>月</w:t>
      </w:r>
      <w:r>
        <w:rPr>
          <w:rFonts w:ascii="Times New Roman" w:hAnsi="Times New Roman" w:cs="Times New Roman" w:eastAsia="Times New Roman" w:hint="default"/>
          <w:b/>
          <w:bCs/>
          <w:spacing w:val="-1"/>
          <w:sz w:val="28"/>
          <w:szCs w:val="28"/>
        </w:rPr>
        <w:t>30</w:t>
      </w:r>
      <w:r>
        <w:rPr>
          <w:rFonts w:ascii="宋体" w:hAnsi="宋体" w:cs="宋体" w:eastAsia="宋体" w:hint="default"/>
          <w:spacing w:val="-1"/>
          <w:sz w:val="28"/>
          <w:szCs w:val="28"/>
        </w:rPr>
        <w:t>日</w:t>
      </w:r>
    </w:p>
    <w:sectPr>
      <w:pgSz w:w="11910" w:h="16840"/>
      <w:pgMar w:header="851" w:footer="979" w:top="132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720" type="#_x0000_t75" stroked="false">
          <v:imagedata r:id="rId1" o:title=""/>
        </v:shape>
      </w:pict>
    </w:r>
    <w:r>
      <w:rPr/>
      <w:pict>
        <v:shapetype id="_x0000_t202" o:spt="202" coordsize="21600,21600" path="m,l,21600r21600,l21600,xe">
          <v:stroke joinstyle="miter"/>
          <v:path gradientshapeok="t" o:connecttype="rect"/>
        </v:shapetype>
        <v:shape style="position:absolute;margin-left:533.179993pt;margin-top:795.517944pt;width:6.5pt;height:11pt;mso-position-horizontal-relative:page;mso-position-vertical-relative:page;z-index:-781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600" type="#_x0000_t75" stroked="false">
          <v:imagedata r:id="rId1" o:title=""/>
        </v:shape>
      </w:pict>
    </w:r>
    <w:r>
      <w:rPr/>
      <w:pict>
        <v:shape style="position:absolute;margin-left:527.679993pt;margin-top:781.957947pt;width:13pt;height:11pt;mso-position-horizontal-relative:page;mso-position-vertical-relative:page;z-index:-781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781504" type="#_x0000_t75" stroked="false">
          <v:imagedata r:id="rId1" o:title=""/>
        </v:shape>
      </w:pict>
    </w:r>
    <w:r>
      <w:rPr/>
      <w:pict>
        <v:shape style="position:absolute;margin-left:758.97998pt;margin-top:535.357971pt;width:13pt;height:11pt;mso-position-horizontal-relative:page;mso-position-vertical-relative:page;z-index:-781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408" type="#_x0000_t75" stroked="false">
          <v:imagedata r:id="rId1" o:title=""/>
        </v:shape>
      </w:pict>
    </w:r>
    <w:r>
      <w:rPr/>
      <w:pict>
        <v:shape style="position:absolute;margin-left:527.679993pt;margin-top:781.957947pt;width:13pt;height:11pt;mso-position-horizontal-relative:page;mso-position-vertical-relative:page;z-index:-781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360" type="#_x0000_t75" stroked="false">
          <v:imagedata r:id="rId1" o:title=""/>
        </v:shape>
      </w:pict>
    </w:r>
    <w:r>
      <w:rPr/>
      <w:pict>
        <v:shape style="position:absolute;margin-left:527.679993pt;margin-top:781.957947pt;width:13pt;height:11pt;mso-position-horizontal-relative:page;mso-position-vertical-relative:page;z-index:-781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312" type="#_x0000_t75" stroked="false">
          <v:imagedata r:id="rId1" o:title=""/>
        </v:shape>
      </w:pict>
    </w:r>
    <w:r>
      <w:rPr/>
      <w:pict>
        <v:shape style="position:absolute;margin-left:524.179993pt;margin-top:781.957947pt;width:15.5pt;height:11pt;mso-position-horizontal-relative:page;mso-position-vertical-relative:page;z-index:-781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264" type="#_x0000_t75" stroked="false">
          <v:imagedata r:id="rId1" o:title=""/>
        </v:shape>
      </w:pict>
    </w:r>
    <w:r>
      <w:rPr/>
      <w:pict>
        <v:shape style="position:absolute;margin-left:523.179993pt;margin-top:781.957947pt;width:17.5pt;height:11pt;mso-position-horizontal-relative:page;mso-position-vertical-relative:page;z-index:-781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1216" type="#_x0000_t75" stroked="false">
          <v:imagedata r:id="rId1" o:title=""/>
        </v:shape>
      </w:pict>
    </w:r>
    <w:r>
      <w:rPr/>
      <w:pict>
        <v:shape style="position:absolute;margin-left:523.179993pt;margin-top:781.957947pt;width:17.5pt;height:11pt;mso-position-horizontal-relative:page;mso-position-vertical-relative:page;z-index:-781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49988pt;width:102.75pt;height:22.5pt;mso-position-horizontal-relative:page;mso-position-vertical-relative:page;z-index:-781672" type="#_x0000_t75" stroked="false">
          <v:imagedata r:id="rId1" o:title=""/>
        </v:shape>
      </w:pict>
    </w:r>
    <w:r>
      <w:rPr/>
      <w:pict>
        <v:group style="position:absolute;margin-left:55.200001pt;margin-top:69.059982pt;width:485pt;height:.1pt;mso-position-horizontal-relative:page;mso-position-vertical-relative:page;z-index:-781648" coordorigin="1104,1381" coordsize="9700,2">
          <v:shape style="position:absolute;left:1104;top:1381;width:9700;height:2" coordorigin="1104,1381" coordsize="9700,0" path="m1104,1381l10804,1381e" filled="false" stroked="true" strokeweight=".72pt" strokecolor="#000000">
            <v:path arrowok="t"/>
          </v:shape>
          <w10:wrap type="none"/>
        </v:group>
      </w:pict>
    </w:r>
    <w:r>
      <w:rPr/>
      <w:pict>
        <v:shape style="position:absolute;margin-left:334.739990pt;margin-top:56.305607pt;width:204.55pt;height:11.5pt;mso-position-horizontal-relative:page;mso-position-vertical-relative:page;z-index:-781624"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50003pt;width:102.75pt;height:22.5pt;mso-position-horizontal-relative:page;mso-position-vertical-relative:page;z-index:-781552" type="#_x0000_t75" stroked="false">
          <v:imagedata r:id="rId1" o:title=""/>
        </v:shape>
      </w:pict>
    </w:r>
    <w:r>
      <w:rPr/>
      <w:pict>
        <v:shape style="position:absolute;margin-left:566.039978pt;margin-top:56.305634pt;width:204.55pt;height:11.5pt;mso-position-horizontal-relative:page;mso-position-vertical-relative:page;z-index:-781528"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49988pt;width:102.75pt;height:22.5pt;mso-position-horizontal-relative:page;mso-position-vertical-relative:page;z-index:-781456" type="#_x0000_t75" stroked="false">
          <v:imagedata r:id="rId1" o:title=""/>
        </v:shape>
      </w:pict>
    </w:r>
    <w:r>
      <w:rPr/>
      <w:pict>
        <v:shape style="position:absolute;margin-left:334.739990pt;margin-top:56.305607pt;width:204.55pt;height:11.5pt;mso-position-horizontal-relative:page;mso-position-vertical-relative:page;z-index:-781432"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66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metersbonwe.com/" TargetMode="External"/><Relationship Id="rId10" Type="http://schemas.openxmlformats.org/officeDocument/2006/relationships/hyperlink" Target="mailto:Corporate@metersbonwe.com" TargetMode="External"/><Relationship Id="rId11" Type="http://schemas.openxmlformats.org/officeDocument/2006/relationships/hyperlink" Target="http://www.cninfo.com.cn/" TargetMode="External"/><Relationship Id="rId12" Type="http://schemas.openxmlformats.org/officeDocument/2006/relationships/hyperlink" Target="http://corp.metersbonwe.com/" TargetMode="External"/><Relationship Id="rId13" Type="http://schemas.openxmlformats.org/officeDocument/2006/relationships/hyperlink" Target="http://www.banggo.com&#21450;&#26102;&#21002;&#30331;&#26412;&#20225;&#19994;&#26368;&#26032;&#33829;&#38144;&#27963;&#21160;/" TargetMode="External"/><Relationship Id="rId14" Type="http://schemas.openxmlformats.org/officeDocument/2006/relationships/hyperlink" Target="http://w/"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cninfo.co/" TargetMode="External"/><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2020-05-06T16:37:00Z</dcterms:created>
  <dcterms:modified xsi:type="dcterms:W3CDTF">2020-05-06T16:37:00Z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Creator">
    <vt:lpwstr>Microsoft® Office Word 2007</vt:lpwstr>
  </property>
  <property fmtid="{D5CDD505-2E9C-101B-9397-08002B2CF9AE}" pid="4" name="LastSaved">
    <vt:filetime>2020-05-06T00:00:00Z</vt:filetime>
  </property>
</Properties>
</file>