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224" w:lineRule="exact"/>
        <w:ind w:left="16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336444" cy="7772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336444" cy="77724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580" w:lineRule="exact" w:before="0"/>
        <w:ind w:left="636" w:right="2321" w:firstLine="0"/>
        <w:jc w:val="center"/>
        <w:rPr>
          <w:rFonts w:ascii="宋体" w:hAnsi="宋体" w:cs="宋体" w:eastAsia="宋体" w:hint="default"/>
          <w:sz w:val="48"/>
          <w:szCs w:val="48"/>
        </w:rPr>
      </w:pPr>
      <w:r>
        <w:rPr>
          <w:rFonts w:ascii="宋体" w:hAnsi="宋体" w:cs="宋体" w:eastAsia="宋体" w:hint="default"/>
          <w:b/>
          <w:bCs/>
          <w:sz w:val="48"/>
          <w:szCs w:val="48"/>
        </w:rPr>
        <w:t>上海美特斯邦威服饰股份有限公司</w:t>
      </w:r>
      <w:r>
        <w:rPr>
          <w:rFonts w:ascii="宋体" w:hAnsi="宋体" w:cs="宋体" w:eastAsia="宋体" w:hint="default"/>
          <w:sz w:val="48"/>
          <w:szCs w:val="48"/>
        </w:rPr>
      </w:r>
    </w:p>
    <w:p>
      <w:pPr>
        <w:spacing w:before="395"/>
        <w:ind w:left="636" w:right="2316"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2015</w:t>
      </w:r>
      <w:r>
        <w:rPr>
          <w:rFonts w:ascii="Times New Roman" w:hAnsi="Times New Roman" w:cs="Times New Roman" w:eastAsia="Times New Roman" w:hint="default"/>
          <w:b/>
          <w:bCs/>
          <w:spacing w:val="-6"/>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2"/>
        <w:rPr>
          <w:rFonts w:ascii="宋体" w:hAnsi="宋体" w:cs="宋体" w:eastAsia="宋体" w:hint="default"/>
          <w:b/>
          <w:bCs/>
          <w:sz w:val="57"/>
          <w:szCs w:val="57"/>
        </w:rPr>
      </w:pPr>
    </w:p>
    <w:p>
      <w:pPr>
        <w:spacing w:before="0"/>
        <w:ind w:left="636" w:right="23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979" w:top="1580" w:bottom="1160" w:left="16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39" w:firstLine="482"/>
        <w:jc w:val="both"/>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38" w:lineRule="auto" w:before="136"/>
        <w:ind w:right="1130" w:firstLine="482"/>
        <w:jc w:val="both"/>
        <w:rPr>
          <w:b w:val="0"/>
          <w:bCs w:val="0"/>
        </w:rPr>
      </w:pPr>
      <w:r>
        <w:rPr>
          <w:spacing w:val="2"/>
        </w:rPr>
        <w:t>公司负责人周成建、主管会计工作负责人涂珂及会计机构负责人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董祝秀</w:t>
      </w:r>
      <w:r>
        <w:rPr>
          <w:w w:val="99"/>
        </w:rPr>
        <w:t> </w:t>
      </w:r>
      <w:r>
        <w:rPr/>
        <w:t>声明：保证年度报告中财务报告的真实、准确、完整。</w:t>
      </w:r>
      <w:r>
        <w:rPr>
          <w:b w:val="0"/>
          <w:bCs w:val="0"/>
        </w:rPr>
      </w:r>
    </w:p>
    <w:p>
      <w:pPr>
        <w:pStyle w:val="Heading2"/>
        <w:spacing w:line="240" w:lineRule="auto" w:before="155"/>
        <w:ind w:left="636" w:right="0"/>
        <w:jc w:val="left"/>
        <w:rPr>
          <w:b w:val="0"/>
          <w:bCs w:val="0"/>
        </w:rPr>
      </w:pPr>
      <w:r>
        <w:rPr/>
        <w:t>所有董事均已出席了审议本报告的董事会会议。</w:t>
      </w:r>
      <w:r>
        <w:rPr>
          <w:b w:val="0"/>
          <w:bCs w:val="0"/>
        </w:rPr>
      </w:r>
    </w:p>
    <w:p>
      <w:pPr>
        <w:spacing w:line="240" w:lineRule="auto" w:before="5"/>
        <w:rPr>
          <w:rFonts w:ascii="宋体" w:hAnsi="宋体" w:cs="宋体" w:eastAsia="宋体" w:hint="default"/>
          <w:b/>
          <w:bCs/>
          <w:sz w:val="19"/>
          <w:szCs w:val="19"/>
        </w:rPr>
      </w:pPr>
    </w:p>
    <w:p>
      <w:pPr>
        <w:pStyle w:val="Heading2"/>
        <w:spacing w:line="240" w:lineRule="auto"/>
        <w:ind w:left="636" w:right="0"/>
        <w:jc w:val="left"/>
        <w:rPr>
          <w:b w:val="0"/>
          <w:bCs w:val="0"/>
        </w:rPr>
      </w:pPr>
      <w:r>
        <w:rPr>
          <w:rFonts w:ascii="Times New Roman" w:hAnsi="Times New Roman" w:cs="Times New Roman" w:eastAsia="Times New Roman" w:hint="default"/>
        </w:rPr>
        <w:t>1</w:t>
      </w:r>
      <w:r>
        <w:rPr/>
        <w:t>、宏观经济波动风险：</w:t>
      </w:r>
      <w:r>
        <w:rPr>
          <w:b w:val="0"/>
          <w:bCs w:val="0"/>
        </w:rPr>
      </w:r>
    </w:p>
    <w:p>
      <w:pPr>
        <w:spacing w:line="240" w:lineRule="auto" w:before="10"/>
        <w:rPr>
          <w:rFonts w:ascii="宋体" w:hAnsi="宋体" w:cs="宋体" w:eastAsia="宋体" w:hint="default"/>
          <w:b/>
          <w:bCs/>
          <w:sz w:val="19"/>
          <w:szCs w:val="19"/>
        </w:rPr>
      </w:pPr>
    </w:p>
    <w:p>
      <w:pPr>
        <w:pStyle w:val="Heading4"/>
        <w:spacing w:line="393" w:lineRule="auto"/>
        <w:ind w:left="153" w:right="1131" w:firstLine="420"/>
        <w:jc w:val="both"/>
      </w:pPr>
      <w:r>
        <w:rPr/>
        <w:t>本公司所在的休闲服饰行业受宏观经济影响较显著。自 </w:t>
      </w:r>
      <w:r>
        <w:rPr>
          <w:rFonts w:ascii="Times New Roman" w:hAnsi="Times New Roman" w:cs="Times New Roman" w:eastAsia="Times New Roman" w:hint="default"/>
        </w:rPr>
        <w:t>2001</w:t>
      </w:r>
      <w:r>
        <w:rPr>
          <w:rFonts w:ascii="Times New Roman" w:hAnsi="Times New Roman" w:cs="Times New Roman" w:eastAsia="Times New Roman" w:hint="default"/>
          <w:spacing w:val="28"/>
        </w:rPr>
        <w:t> </w:t>
      </w:r>
      <w:r>
        <w:rPr/>
        <w:t>年以来，我国国民经济持续稳定增长， </w:t>
      </w:r>
      <w:r>
        <w:rPr>
          <w:rFonts w:ascii="Times New Roman" w:hAnsi="Times New Roman" w:cs="Times New Roman" w:eastAsia="Times New Roman" w:hint="default"/>
          <w:spacing w:val="-1"/>
        </w:rPr>
        <w:t>GDP</w:t>
      </w:r>
      <w:r>
        <w:rPr>
          <w:rFonts w:ascii="Times New Roman" w:hAnsi="Times New Roman" w:cs="Times New Roman" w:eastAsia="Times New Roman" w:hint="default"/>
          <w:spacing w:val="8"/>
        </w:rPr>
        <w:t> </w:t>
      </w:r>
      <w:r>
        <w:rPr>
          <w:spacing w:val="-2"/>
        </w:rPr>
        <w:t>总量和增长率均保持平稳快速增长，居民收入和消费水平的提高，从而服装消费总量也随之提高；然</w:t>
      </w:r>
      <w:r>
        <w:rPr>
          <w:spacing w:val="-103"/>
        </w:rPr>
        <w:t> </w:t>
      </w:r>
      <w:r>
        <w:rPr>
          <w:spacing w:val="-103"/>
        </w:rPr>
      </w:r>
      <w:r>
        <w:rPr>
          <w:spacing w:val="-1"/>
        </w:rPr>
        <w:t>而国内经济近年来增长有所放缓，我国经济短期持续增长的压力较大，公司的主营业务发展和盈利能力面</w:t>
      </w:r>
      <w:r>
        <w:rPr>
          <w:spacing w:val="-81"/>
        </w:rPr>
        <w:t> </w:t>
      </w:r>
      <w:r>
        <w:rPr>
          <w:spacing w:val="-81"/>
        </w:rPr>
      </w:r>
      <w:r>
        <w:rPr/>
        <w:t>临因宏观经济调整所带来的周期性波动风险。</w:t>
      </w:r>
    </w:p>
    <w:p>
      <w:pPr>
        <w:pStyle w:val="Heading2"/>
        <w:spacing w:line="240" w:lineRule="auto" w:before="135"/>
        <w:ind w:left="636" w:right="0"/>
        <w:jc w:val="left"/>
        <w:rPr>
          <w:b w:val="0"/>
          <w:bCs w:val="0"/>
        </w:rPr>
      </w:pPr>
      <w:r>
        <w:rPr>
          <w:rFonts w:ascii="Times New Roman" w:hAnsi="Times New Roman" w:cs="Times New Roman" w:eastAsia="Times New Roman" w:hint="default"/>
        </w:rPr>
        <w:t>2</w:t>
      </w:r>
      <w:r>
        <w:rPr/>
        <w:t>、行业竞争的风险：</w:t>
      </w:r>
      <w:r>
        <w:rPr>
          <w:b w:val="0"/>
          <w:bCs w:val="0"/>
        </w:rPr>
      </w:r>
    </w:p>
    <w:p>
      <w:pPr>
        <w:spacing w:line="240" w:lineRule="auto" w:before="9"/>
        <w:rPr>
          <w:rFonts w:ascii="宋体" w:hAnsi="宋体" w:cs="宋体" w:eastAsia="宋体" w:hint="default"/>
          <w:b/>
          <w:bCs/>
          <w:sz w:val="19"/>
          <w:szCs w:val="19"/>
        </w:rPr>
      </w:pPr>
    </w:p>
    <w:p>
      <w:pPr>
        <w:pStyle w:val="Heading4"/>
        <w:spacing w:line="410" w:lineRule="auto"/>
        <w:ind w:left="153" w:right="1131" w:firstLine="420"/>
        <w:jc w:val="both"/>
      </w:pPr>
      <w:r>
        <w:rPr>
          <w:spacing w:val="-1"/>
        </w:rPr>
        <w:t>本公司所在的休闲服行业竞争激烈，虽然本公司目前在国内休闲服零售业内拥有较强的市场地位，但</w:t>
      </w:r>
      <w:r>
        <w:rPr/>
        <w:t> </w:t>
      </w:r>
      <w:r>
        <w:rPr>
          <w:spacing w:val="-1"/>
        </w:rPr>
        <w:t>随着市场的不断细分，来自国内外竞争品牌的竞争压力仍将持续甚至加大，可能导致本公司的产品售价降</w:t>
      </w:r>
      <w:r>
        <w:rPr>
          <w:spacing w:val="-81"/>
        </w:rPr>
        <w:t> </w:t>
      </w:r>
      <w:r>
        <w:rPr>
          <w:spacing w:val="-81"/>
        </w:rPr>
      </w:r>
      <w:r>
        <w:rPr/>
        <w:t>低或销量减少，从而影响本公司的财务状况和经营业绩。</w:t>
      </w:r>
    </w:p>
    <w:p>
      <w:pPr>
        <w:pStyle w:val="Heading2"/>
        <w:spacing w:line="240" w:lineRule="auto" w:before="122"/>
        <w:ind w:left="636" w:right="0"/>
        <w:jc w:val="left"/>
        <w:rPr>
          <w:b w:val="0"/>
          <w:bCs w:val="0"/>
        </w:rPr>
      </w:pPr>
      <w:r>
        <w:rPr>
          <w:rFonts w:ascii="Times New Roman" w:hAnsi="Times New Roman" w:cs="Times New Roman" w:eastAsia="Times New Roman" w:hint="default"/>
        </w:rPr>
        <w:t>3</w:t>
      </w:r>
      <w:r>
        <w:rPr/>
        <w:t>、经营模式转型风险：</w:t>
      </w:r>
      <w:r>
        <w:rPr>
          <w:b w:val="0"/>
          <w:bCs w:val="0"/>
        </w:rPr>
      </w:r>
    </w:p>
    <w:p>
      <w:pPr>
        <w:spacing w:line="240" w:lineRule="auto" w:before="9"/>
        <w:rPr>
          <w:rFonts w:ascii="宋体" w:hAnsi="宋体" w:cs="宋体" w:eastAsia="宋体" w:hint="default"/>
          <w:b/>
          <w:bCs/>
          <w:sz w:val="19"/>
          <w:szCs w:val="19"/>
        </w:rPr>
      </w:pPr>
    </w:p>
    <w:p>
      <w:pPr>
        <w:pStyle w:val="Heading4"/>
        <w:spacing w:line="400" w:lineRule="auto"/>
        <w:ind w:left="153" w:right="1130" w:firstLine="420"/>
        <w:jc w:val="both"/>
      </w:pPr>
      <w:r>
        <w:rPr/>
        <w:t>伴随电子商务的发展、网络终端的普及，人们的服装消费习惯在逐渐改变，在国家“互联网</w:t>
      </w:r>
      <w:r>
        <w:rPr>
          <w:rFonts w:ascii="Times New Roman" w:hAnsi="Times New Roman" w:cs="Times New Roman" w:eastAsia="Times New Roman" w:hint="default"/>
        </w:rPr>
        <w:t>+</w:t>
      </w:r>
      <w:r>
        <w:rPr/>
        <w:t>”战略 </w:t>
      </w:r>
      <w:r>
        <w:rPr>
          <w:spacing w:val="-1"/>
        </w:rPr>
        <w:t>的驱动下，公司大力推进业务创新、积极探索新型业务模式，率先开展线上与线下融合，随着转型的持续</w:t>
      </w:r>
      <w:r>
        <w:rPr>
          <w:spacing w:val="-86"/>
        </w:rPr>
        <w:t> </w:t>
      </w:r>
      <w:r>
        <w:rPr>
          <w:spacing w:val="-86"/>
        </w:rPr>
      </w:r>
      <w:r>
        <w:rPr>
          <w:spacing w:val="-1"/>
        </w:rPr>
        <w:t>进行，公司将整合大量外部品牌和供应链各端资源，品牌的筛选与供应链体系的运营等多方面对公司提出</w:t>
      </w:r>
      <w:r>
        <w:rPr>
          <w:spacing w:val="-81"/>
        </w:rPr>
        <w:t> </w:t>
      </w:r>
      <w:r>
        <w:rPr>
          <w:spacing w:val="-81"/>
        </w:rPr>
      </w:r>
      <w:r>
        <w:rPr/>
        <w:t>了更高的要求，创新的业务模式会给公司带来经营上的不确定性，存在一定的经营模式风险。</w:t>
      </w:r>
    </w:p>
    <w:p>
      <w:pPr>
        <w:pStyle w:val="Heading2"/>
        <w:spacing w:line="240" w:lineRule="auto" w:before="129"/>
        <w:ind w:left="636" w:right="0"/>
        <w:jc w:val="left"/>
        <w:rPr>
          <w:b w:val="0"/>
          <w:bCs w:val="0"/>
        </w:rPr>
      </w:pPr>
      <w:r>
        <w:rPr/>
        <w:t>公司计划不派发现金红利，不送红股，不以公积金转增股本。</w:t>
      </w:r>
      <w:r>
        <w:rPr>
          <w:b w:val="0"/>
          <w:bCs w:val="0"/>
        </w:rPr>
      </w:r>
    </w:p>
    <w:p>
      <w:pPr>
        <w:spacing w:after="0" w:line="240" w:lineRule="auto"/>
        <w:jc w:val="left"/>
        <w:sectPr>
          <w:headerReference w:type="default" r:id="rId7"/>
          <w:footerReference w:type="default" r:id="rId8"/>
          <w:pgSz w:w="11910" w:h="16840"/>
          <w:pgMar w:header="851" w:footer="979" w:top="136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tabs>
          <w:tab w:pos="126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138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1" w:footer="979" w:top="1400" w:bottom="1160" w:left="980" w:right="0"/>
        </w:sectPr>
      </w:pPr>
    </w:p>
    <w:p>
      <w:pPr>
        <w:spacing w:before="594"/>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美特斯邦威集团有限公司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长安基金管理有限公司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沈阳邦送物流有限公司</w:t>
            </w:r>
          </w:p>
        </w:tc>
      </w:tr>
    </w:tbl>
    <w:p>
      <w:pPr>
        <w:spacing w:after="0" w:line="240" w:lineRule="auto"/>
        <w:jc w:val="left"/>
        <w:rPr>
          <w:rFonts w:ascii="宋体" w:hAnsi="宋体" w:cs="宋体" w:eastAsia="宋体" w:hint="default"/>
          <w:sz w:val="18"/>
          <w:szCs w:val="18"/>
        </w:rPr>
        <w:sectPr>
          <w:pgSz w:w="11910" w:h="16840"/>
          <w:pgMar w:header="851" w:footer="979" w:top="140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815560"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pStyle w:val="Heading1"/>
        <w:spacing w:line="240" w:lineRule="auto" w:before="177"/>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Metersbonwe Fashion&amp;Accessories</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Metersbonwe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周成建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http://www.metersbonwe.com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021-68183939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021-68183939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40"/>
          <w:pgMar w:header="851" w:footer="979" w:top="140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13217874-0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张炯、何凝</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713"/>
        <w:gridCol w:w="1418"/>
        <w:gridCol w:w="1984"/>
        <w:gridCol w:w="1489"/>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6,294,783,764.00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6,620,767,477.00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7,889,618,084.00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145,640,513.00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-396.57%</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405,476,364.00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-445,132,050.00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94,036,405.00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-573.36%</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428,211,584.00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-185,004,386.00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1,322,173,963.00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-113.99%</w:t>
            </w:r>
            <w:r>
              <w:rPr>
                <w:rFonts w:ascii="Times New Roman"/>
                <w:spacing w:val="-1"/>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984,200,067.00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-383.33%</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-383.33%</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6,954,969,174.00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6,986,742,728.00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6,707,304,038.00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3,104,194,291.00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3,636,531,792.00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3,773,971,279.00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1,753,874,869.00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1,023,413,162.00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1,551,086,974.00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1,966,408,759.00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38,806,412.00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-133,566,622.00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-81,753,484.00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2" w:right="0"/>
              <w:jc w:val="left"/>
              <w:rPr>
                <w:rFonts w:ascii="Times New Roman" w:hAnsi="Times New Roman" w:cs="Times New Roman" w:eastAsia="Times New Roman" w:hint="default"/>
                <w:sz w:val="18"/>
                <w:szCs w:val="18"/>
              </w:rPr>
            </w:pPr>
            <w:r>
              <w:rPr>
                <w:rFonts w:ascii="Times New Roman"/>
                <w:sz w:val="18"/>
              </w:rPr>
              <w:t>-255,407,807.00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34,105,537.00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-137,653,960.00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-88,681,255.00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-252,902,372.00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379,745,879.00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-92,746,719.00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-240,698,414.00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2" w:right="0"/>
              <w:jc w:val="left"/>
              <w:rPr>
                <w:rFonts w:ascii="Times New Roman" w:hAnsi="Times New Roman" w:cs="Times New Roman" w:eastAsia="Times New Roman" w:hint="default"/>
                <w:sz w:val="18"/>
                <w:szCs w:val="18"/>
              </w:rPr>
            </w:pPr>
            <w:r>
              <w:rPr>
                <w:rFonts w:ascii="Times New Roman"/>
                <w:sz w:val="18"/>
              </w:rPr>
              <w:t>-231,305,132.00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-5,356,577.00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-19,207,938.00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-74,609,144.00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16,086,568.00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38,805,217.00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13,229,497.00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7,451,337.00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25,432,558.00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31,077,961.00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处置长安基金取得的投资收益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23,964,857.00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4,970,779.00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17,390,586.00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-7,566,466.00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13,210,549.00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51,604,108.00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-22,735,220.00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3"/>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71"/>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公司采用产品自主设计、生产外包、直营销售与特许加盟相结合的经营模式，致力于品牌建设与推广、营销网络建设和</w:t>
      </w:r>
      <w:r>
        <w:rPr/>
        <w:t> </w:t>
      </w:r>
      <w:r>
        <w:rPr>
          <w:spacing w:val="-2"/>
        </w:rPr>
        <w:t>供应链管理，组织旗下自有品牌时尚休闲服饰产品的设计、生产和销售，并通过线下店铺渠道和互联网电子商务平台开展自</w:t>
      </w:r>
      <w:r>
        <w:rPr>
          <w:spacing w:val="-66"/>
        </w:rPr>
        <w:t> </w:t>
      </w:r>
      <w:r>
        <w:rPr>
          <w:spacing w:val="-66"/>
        </w:rPr>
      </w:r>
      <w:r>
        <w:rPr/>
        <w:t>有品牌及第三方品牌的推广和相关时尚休闲商品的销售。</w:t>
      </w:r>
    </w:p>
    <w:p>
      <w:pPr>
        <w:spacing w:line="240" w:lineRule="auto" w:before="7"/>
        <w:rPr>
          <w:rFonts w:ascii="宋体" w:hAnsi="宋体" w:cs="宋体" w:eastAsia="宋体" w:hint="default"/>
          <w:sz w:val="20"/>
          <w:szCs w:val="20"/>
        </w:rPr>
      </w:pPr>
    </w:p>
    <w:p>
      <w:pPr>
        <w:pStyle w:val="Heading2"/>
        <w:spacing w:line="240" w:lineRule="auto"/>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32"/>
              <w:jc w:val="left"/>
              <w:rPr>
                <w:rFonts w:ascii="宋体" w:hAnsi="宋体" w:cs="宋体" w:eastAsia="宋体" w:hint="default"/>
                <w:sz w:val="18"/>
                <w:szCs w:val="18"/>
              </w:rPr>
            </w:pPr>
            <w:r>
              <w:rPr>
                <w:rFonts w:ascii="宋体" w:hAnsi="宋体" w:cs="宋体" w:eastAsia="宋体" w:hint="default"/>
                <w:sz w:val="18"/>
                <w:szCs w:val="18"/>
              </w:rPr>
              <w:t>公司作为华瑞银行的主要发起人股东之一，出资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。本报 告期内该投资确认为长期股权投资。</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1153" w:firstLine="122"/>
        <w:jc w:val="left"/>
      </w:pPr>
      <w:r>
        <w:rPr>
          <w:rFonts w:ascii="Times New Roman" w:hAnsi="Times New Roman" w:cs="Times New Roman" w:eastAsia="Times New Roman" w:hint="default"/>
          <w:b/>
          <w:bCs/>
        </w:rPr>
        <w:t>1</w:t>
      </w:r>
      <w:r>
        <w:rPr>
          <w:rFonts w:ascii="宋体" w:hAnsi="宋体" w:cs="宋体" w:eastAsia="宋体" w:hint="default"/>
          <w:b/>
          <w:bCs/>
        </w:rPr>
        <w:t>、品牌优势</w:t>
      </w:r>
      <w:r>
        <w:rPr>
          <w:rFonts w:ascii="宋体" w:hAnsi="宋体" w:cs="宋体" w:eastAsia="宋体" w:hint="default"/>
          <w:b/>
          <w:bCs/>
          <w:w w:val="99"/>
        </w:rPr>
        <w:t> </w:t>
      </w:r>
      <w:r>
        <w:rPr/>
        <w:t>本公司紧密地围绕</w:t>
      </w:r>
      <w:r>
        <w:rPr>
          <w:rFonts w:ascii="Times New Roman" w:hAnsi="Times New Roman" w:cs="Times New Roman" w:eastAsia="Times New Roman" w:hint="default"/>
        </w:rPr>
        <w:t>Meters/bonwe</w:t>
      </w:r>
      <w:r>
        <w:rPr/>
        <w:t>以及</w:t>
      </w:r>
      <w:r>
        <w:rPr>
          <w:rFonts w:ascii="Times New Roman" w:hAnsi="Times New Roman" w:cs="Times New Roman" w:eastAsia="Times New Roman" w:hint="default"/>
        </w:rPr>
        <w:t>ME&amp;CITY</w:t>
      </w:r>
      <w:r>
        <w:rPr/>
        <w:t>品牌的定位、价值与个性，通过产品设计、产品陈列、店铺设计、广告</w:t>
      </w:r>
    </w:p>
    <w:p>
      <w:pPr>
        <w:pStyle w:val="BodyText"/>
        <w:spacing w:line="213" w:lineRule="exact"/>
        <w:ind w:left="154" w:right="0"/>
        <w:jc w:val="both"/>
      </w:pPr>
      <w:r>
        <w:rPr/>
        <w:t>投放、签约代言和各类营销活动，借助目标消费群体所关注的国内外各类公众、时尚事件，进行高频率、多层次的整合营销</w:t>
      </w:r>
    </w:p>
    <w:p>
      <w:pPr>
        <w:pStyle w:val="BodyText"/>
        <w:spacing w:line="300" w:lineRule="auto" w:before="76"/>
        <w:ind w:right="1158"/>
        <w:jc w:val="both"/>
      </w:pPr>
      <w:r>
        <w:rPr/>
        <w:t>活动，不断提升</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两大品牌以及下属子品牌的品牌形象，</w:t>
      </w:r>
      <w:r>
        <w:rPr>
          <w:rFonts w:ascii="Times New Roman" w:hAnsi="Times New Roman" w:cs="Times New Roman" w:eastAsia="Times New Roman" w:hint="default"/>
        </w:rPr>
        <w:t>Meters/bonwe</w:t>
      </w:r>
      <w:r>
        <w:rPr/>
        <w:t>品牌不仅在市场调研结果中</w:t>
      </w:r>
      <w:r>
        <w:rPr>
          <w:w w:val="99"/>
        </w:rPr>
        <w:t> </w:t>
      </w:r>
      <w:r>
        <w:rPr/>
        <w:t>名列前茅，也同时获得了国家及国际国内各类权威机构的认可，并于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月获得了国家商标局颁发的</w:t>
      </w:r>
      <w:r>
        <w:rPr>
          <w:rFonts w:ascii="Times New Roman" w:hAnsi="Times New Roman" w:cs="Times New Roman" w:eastAsia="Times New Roman" w:hint="default"/>
        </w:rPr>
        <w:t>“</w:t>
      </w:r>
      <w:r>
        <w:rPr/>
        <w:t>中国驰名商标</w:t>
      </w:r>
      <w:r>
        <w:rPr>
          <w:rFonts w:ascii="Times New Roman" w:hAnsi="Times New Roman" w:cs="Times New Roman" w:eastAsia="Times New Roman" w:hint="default"/>
        </w:rPr>
        <w:t>”</w:t>
      </w:r>
      <w:r>
        <w:rPr/>
        <w:t>称 号。</w:t>
      </w:r>
    </w:p>
    <w:p>
      <w:pPr>
        <w:pStyle w:val="Heading5"/>
        <w:spacing w:line="240" w:lineRule="auto" w:before="70"/>
        <w:ind w:left="636" w:right="0"/>
        <w:jc w:val="left"/>
        <w:rPr>
          <w:b w:val="0"/>
          <w:bCs w:val="0"/>
        </w:rPr>
      </w:pPr>
      <w:r>
        <w:rPr>
          <w:rFonts w:ascii="Times New Roman" w:hAnsi="Times New Roman" w:cs="Times New Roman" w:eastAsia="Times New Roman" w:hint="default"/>
        </w:rPr>
        <w:t>2</w:t>
      </w:r>
      <w:r>
        <w:rPr/>
        <w:t>、营销网络优势</w:t>
      </w:r>
      <w:r>
        <w:rPr>
          <w:b w:val="0"/>
          <w:bCs w:val="0"/>
        </w:rPr>
      </w:r>
    </w:p>
    <w:p>
      <w:pPr>
        <w:pStyle w:val="BodyText"/>
        <w:spacing w:line="338" w:lineRule="auto" w:before="103"/>
        <w:ind w:left="514" w:right="0"/>
        <w:jc w:val="left"/>
      </w:pPr>
      <w:r>
        <w:rPr/>
        <w:t>（</w:t>
      </w:r>
      <w:r>
        <w:rPr>
          <w:rFonts w:ascii="Times New Roman" w:hAnsi="Times New Roman" w:cs="Times New Roman" w:eastAsia="Times New Roman" w:hint="default"/>
        </w:rPr>
        <w:t>1</w:t>
      </w:r>
      <w:r>
        <w:rPr/>
        <w:t>）营销网络规模及布局优势 </w:t>
      </w:r>
      <w:r>
        <w:rPr>
          <w:spacing w:val="-2"/>
        </w:rPr>
        <w:t>本公司在全国拥有直营店和加盟店</w:t>
      </w:r>
      <w:r>
        <w:rPr>
          <w:rFonts w:ascii="Times New Roman" w:hAnsi="Times New Roman" w:cs="Times New Roman" w:eastAsia="Times New Roman" w:hint="default"/>
          <w:spacing w:val="-2"/>
        </w:rPr>
        <w:t>3700</w:t>
      </w:r>
      <w:r>
        <w:rPr>
          <w:spacing w:val="-2"/>
        </w:rPr>
        <w:t>多家，营销网络遍布全国，其中直营店在公司营销网络布局战略中发挥着重要的</w:t>
      </w:r>
    </w:p>
    <w:p>
      <w:pPr>
        <w:pStyle w:val="BodyText"/>
        <w:spacing w:line="217" w:lineRule="exact"/>
        <w:ind w:right="0"/>
        <w:jc w:val="left"/>
      </w:pPr>
      <w:r>
        <w:rPr/>
        <w:t>作用。公司通过在重点一线城市建立销售子公司并开设直营店的方式，有效地提升品牌的影响力和知名度，并能够更加深入</w:t>
      </w:r>
    </w:p>
    <w:p>
      <w:pPr>
        <w:pStyle w:val="BodyText"/>
        <w:spacing w:line="319" w:lineRule="auto" w:before="76"/>
        <w:ind w:right="0"/>
        <w:jc w:val="left"/>
      </w:pPr>
      <w:r>
        <w:rPr>
          <w:spacing w:val="-2"/>
        </w:rPr>
        <w:t>的推动管理创新和品牌升级，从而对一线城市周边和二、三线市场产生有力的辐射作用。公司品牌和产品形象的提升吸引了</w:t>
      </w:r>
      <w:r>
        <w:rPr>
          <w:spacing w:val="-66"/>
        </w:rPr>
        <w:t> </w:t>
      </w:r>
      <w:r>
        <w:rPr>
          <w:spacing w:val="-66"/>
        </w:rPr>
      </w:r>
      <w:r>
        <w:rPr>
          <w:spacing w:val="-2"/>
        </w:rPr>
        <w:t>更多优质加盟商的加入，使得公司可以借助加盟商的人力、物力和财力进行迅速地市场拓展与渗透。通过在直营店和加盟店</w:t>
      </w:r>
      <w:r>
        <w:rPr>
          <w:spacing w:val="-66"/>
        </w:rPr>
        <w:t> </w:t>
      </w:r>
      <w:r>
        <w:rPr>
          <w:spacing w:val="-66"/>
        </w:rPr>
      </w:r>
      <w:r>
        <w:rPr>
          <w:spacing w:val="-2"/>
        </w:rPr>
        <w:t>数量和销售面积上的合理配比，满足市场消费者的差异化的需求的同时达到了提升销售业绩与拓展销售渠道的有效平衡；通</w:t>
      </w:r>
      <w:r>
        <w:rPr>
          <w:spacing w:val="-64"/>
        </w:rPr>
        <w:t> </w:t>
      </w:r>
      <w:r>
        <w:rPr>
          <w:spacing w:val="-64"/>
        </w:rPr>
      </w:r>
      <w:r>
        <w:rPr>
          <w:spacing w:val="-4"/>
        </w:rPr>
        <w:t>过直营店和加盟店在时间和空间上的战略性布局，短时间内覆盖了全国大部分重点省市，并在某些地区占据了市场主导地位，</w:t>
      </w:r>
      <w:r>
        <w:rPr>
          <w:spacing w:val="-44"/>
        </w:rPr>
        <w:t> </w:t>
      </w:r>
      <w:r>
        <w:rPr>
          <w:spacing w:val="-44"/>
        </w:rPr>
      </w:r>
      <w:r>
        <w:rPr/>
        <w:t>为未来进一步扩大市场份额打下了坚实的基础。</w:t>
      </w:r>
    </w:p>
    <w:p>
      <w:pPr>
        <w:pStyle w:val="BodyText"/>
        <w:spacing w:line="300" w:lineRule="auto" w:before="55"/>
        <w:ind w:left="634" w:right="0"/>
        <w:jc w:val="left"/>
      </w:pPr>
      <w:r>
        <w:rPr/>
        <w:t>（</w:t>
      </w:r>
      <w:r>
        <w:rPr>
          <w:rFonts w:ascii="Times New Roman" w:hAnsi="Times New Roman" w:cs="Times New Roman" w:eastAsia="Times New Roman" w:hint="default"/>
        </w:rPr>
        <w:t>2</w:t>
      </w:r>
      <w:r>
        <w:rPr/>
        <w:t>）营销网络管理能力优势 </w:t>
      </w:r>
      <w:r>
        <w:rPr>
          <w:spacing w:val="-1"/>
        </w:rPr>
        <w:t>借助多年来营销网络建设和管理经验，公司已发展出一套针对由直营店和加盟店所组成的混合营销网络的成熟管理方</w:t>
      </w:r>
    </w:p>
    <w:p>
      <w:pPr>
        <w:pStyle w:val="BodyText"/>
        <w:spacing w:line="240" w:lineRule="auto" w:before="31"/>
        <w:ind w:left="154" w:right="0"/>
        <w:jc w:val="left"/>
      </w:pPr>
      <w:r>
        <w:rPr/>
        <w:t>法，有力地支持了公司营销网络的拓展与维护。在终端管理方面，直营和加盟渠道开始全面实施的终端形象升级、店铺管理</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9" w:lineRule="auto" w:before="26"/>
        <w:ind w:left="154" w:right="1130"/>
        <w:jc w:val="both"/>
      </w:pPr>
      <w:r>
        <w:rPr>
          <w:spacing w:val="-2"/>
        </w:rPr>
        <w:t>标准化、精细化、促销管理精细化已经取得了显著成效。通过店铺形象升级、新渠道的开发、标准店铺模块化管理、周新品</w:t>
      </w:r>
      <w:r>
        <w:rPr>
          <w:spacing w:val="-68"/>
        </w:rPr>
        <w:t> </w:t>
      </w:r>
      <w:r>
        <w:rPr>
          <w:spacing w:val="-68"/>
        </w:rPr>
      </w:r>
      <w:r>
        <w:rPr>
          <w:spacing w:val="-2"/>
        </w:rPr>
        <w:t>上市、授权店经理负责制等举措，店铺更时尚精致，店铺运作逐渐与国际品牌全面接轨。在加盟商管理方面，公司在店铺开</w:t>
      </w:r>
      <w:r>
        <w:rPr>
          <w:spacing w:val="-66"/>
        </w:rPr>
        <w:t> </w:t>
      </w:r>
      <w:r>
        <w:rPr>
          <w:spacing w:val="-66"/>
        </w:rPr>
      </w:r>
      <w:r>
        <w:rPr>
          <w:spacing w:val="-5"/>
        </w:rPr>
        <w:t>设、日常运营、信息系统运用、销售培训、信用支持、物流运输等方面给予加盟商全方位的支持，着力培育有潜力的加盟商，</w:t>
      </w:r>
      <w:r>
        <w:rPr>
          <w:spacing w:val="-80"/>
        </w:rPr>
        <w:t> </w:t>
      </w:r>
      <w:r>
        <w:rPr>
          <w:spacing w:val="-80"/>
        </w:rPr>
      </w:r>
      <w:r>
        <w:rPr>
          <w:spacing w:val="-2"/>
        </w:rPr>
        <w:t>全力激发加盟商的网络拓展热情，注重长期战略伙伴关系的建立。店铺发展中心通过覆盖所有直营和加盟店铺的信息管理系</w:t>
      </w:r>
      <w:r>
        <w:rPr>
          <w:spacing w:val="-64"/>
        </w:rPr>
        <w:t> </w:t>
      </w:r>
      <w:r>
        <w:rPr>
          <w:spacing w:val="-64"/>
        </w:rPr>
      </w:r>
      <w:r>
        <w:rPr/>
        <w:t>统及时获取并分析销售终端的情况，最终形成了公司优秀的营销网络管理能力。</w:t>
      </w:r>
    </w:p>
    <w:p>
      <w:pPr>
        <w:spacing w:line="240" w:lineRule="auto" w:before="2"/>
        <w:rPr>
          <w:rFonts w:ascii="宋体" w:hAnsi="宋体" w:cs="宋体" w:eastAsia="宋体" w:hint="default"/>
          <w:sz w:val="25"/>
          <w:szCs w:val="25"/>
        </w:rPr>
      </w:pPr>
    </w:p>
    <w:p>
      <w:pPr>
        <w:pStyle w:val="BodyText"/>
        <w:spacing w:line="300" w:lineRule="auto"/>
        <w:ind w:left="633" w:right="0" w:firstLine="2"/>
        <w:jc w:val="left"/>
      </w:pPr>
      <w:r>
        <w:rPr>
          <w:rFonts w:ascii="Times New Roman" w:hAnsi="Times New Roman" w:cs="Times New Roman" w:eastAsia="Times New Roman" w:hint="default"/>
          <w:b/>
          <w:bCs/>
        </w:rPr>
        <w:t>3</w:t>
      </w:r>
      <w:r>
        <w:rPr>
          <w:rFonts w:ascii="宋体" w:hAnsi="宋体" w:cs="宋体" w:eastAsia="宋体" w:hint="default"/>
          <w:b/>
          <w:bCs/>
        </w:rPr>
        <w:t>、产品设计开发优势</w:t>
      </w:r>
      <w:r>
        <w:rPr>
          <w:rFonts w:ascii="宋体" w:hAnsi="宋体" w:cs="宋体" w:eastAsia="宋体" w:hint="default"/>
          <w:b/>
          <w:bCs/>
          <w:w w:val="99"/>
        </w:rPr>
        <w:t> </w:t>
      </w:r>
      <w:r>
        <w:rPr>
          <w:spacing w:val="-1"/>
        </w:rPr>
        <w:t>公司的设计团队多年来始终坚持国际化与本土化相结合，以自主培养设计师为主的原则组建设计团队。设计团队自建</w:t>
      </w:r>
    </w:p>
    <w:p>
      <w:pPr>
        <w:pStyle w:val="BodyText"/>
        <w:spacing w:line="316" w:lineRule="auto" w:before="31"/>
        <w:ind w:right="1132"/>
        <w:jc w:val="both"/>
      </w:pPr>
      <w:r>
        <w:rPr>
          <w:spacing w:val="-2"/>
        </w:rPr>
        <w:t>设伊始一直保持了很好的稳定性，设计人员年龄结构分布均匀，使得设计团队在保持年轻活力的同时也令国际化资深设计师</w:t>
      </w:r>
      <w:r>
        <w:rPr>
          <w:spacing w:val="-64"/>
        </w:rPr>
        <w:t> </w:t>
      </w:r>
      <w:r>
        <w:rPr>
          <w:spacing w:val="-64"/>
        </w:rPr>
      </w:r>
      <w:r>
        <w:rPr/>
        <w:t>经验得到了有效传承。</w:t>
      </w:r>
    </w:p>
    <w:p>
      <w:pPr>
        <w:pStyle w:val="BodyText"/>
        <w:spacing w:line="316" w:lineRule="auto" w:before="19"/>
        <w:ind w:right="1132" w:firstLine="480"/>
        <w:jc w:val="both"/>
      </w:pPr>
      <w:r>
        <w:rPr>
          <w:spacing w:val="-1"/>
        </w:rPr>
        <w:t>公司产品设计的最大特点在于保持了感性与理性的平衡，不仅从国际、国内的流行时尚情况、对自有品牌定位、国内</w:t>
      </w:r>
      <w:r>
        <w:rPr/>
        <w:t> </w:t>
      </w:r>
      <w:r>
        <w:rPr>
          <w:spacing w:val="-2"/>
        </w:rPr>
        <w:t>不同区域消费者对服装款式的不同需求、竞争对手的产品设计和过往公司各类产品的销售情况出发，也综合考虑了供应链下</w:t>
      </w:r>
      <w:r>
        <w:rPr>
          <w:spacing w:val="-64"/>
        </w:rPr>
        <w:t> </w:t>
      </w:r>
      <w:r>
        <w:rPr>
          <w:spacing w:val="-64"/>
        </w:rPr>
      </w:r>
      <w:r>
        <w:rPr/>
        <w:t>游各加盟商所处的各地市场和其店铺情况的独特性，对供应链上游供应商的生产成本控制要求。</w:t>
      </w:r>
    </w:p>
    <w:p>
      <w:pPr>
        <w:spacing w:line="240" w:lineRule="auto" w:before="4"/>
        <w:rPr>
          <w:rFonts w:ascii="宋体" w:hAnsi="宋体" w:cs="宋体" w:eastAsia="宋体" w:hint="default"/>
          <w:sz w:val="25"/>
          <w:szCs w:val="25"/>
        </w:rPr>
      </w:pPr>
    </w:p>
    <w:p>
      <w:pPr>
        <w:pStyle w:val="BodyText"/>
        <w:spacing w:line="300" w:lineRule="auto"/>
        <w:ind w:left="633" w:right="0" w:firstLine="2"/>
        <w:jc w:val="left"/>
      </w:pPr>
      <w:r>
        <w:rPr>
          <w:rFonts w:ascii="Times New Roman" w:hAnsi="Times New Roman" w:cs="Times New Roman" w:eastAsia="Times New Roman" w:hint="default"/>
          <w:b/>
          <w:bCs/>
        </w:rPr>
        <w:t>4</w:t>
      </w:r>
      <w:r>
        <w:rPr>
          <w:rFonts w:ascii="宋体" w:hAnsi="宋体" w:cs="宋体" w:eastAsia="宋体" w:hint="default"/>
          <w:b/>
          <w:bCs/>
        </w:rPr>
        <w:t>、供应链管理能力优势</w:t>
      </w:r>
      <w:r>
        <w:rPr>
          <w:rFonts w:ascii="宋体" w:hAnsi="宋体" w:cs="宋体" w:eastAsia="宋体" w:hint="default"/>
          <w:b/>
          <w:bCs/>
          <w:w w:val="99"/>
        </w:rPr>
        <w:t> </w:t>
      </w:r>
      <w:r>
        <w:rPr>
          <w:spacing w:val="-1"/>
        </w:rPr>
        <w:t>经过近年努力，公司始终不断探索并建立一条能充分适应国内休闲服装业情况以及公司业务现状与未来发展方向的供</w:t>
      </w:r>
    </w:p>
    <w:p>
      <w:pPr>
        <w:pStyle w:val="BodyText"/>
        <w:spacing w:line="316" w:lineRule="auto" w:before="31"/>
        <w:ind w:left="634" w:right="0" w:hanging="480"/>
        <w:jc w:val="left"/>
      </w:pPr>
      <w:r>
        <w:rPr/>
        <w:t>应链和相应的供应链管理方法，构筑起强大的供应链管理能力。 </w:t>
      </w:r>
      <w:r>
        <w:rPr>
          <w:spacing w:val="-1"/>
        </w:rPr>
        <w:t>公司的供应链基本实现了商务流、信息流、物流和资金流的结合与同步，不断把国际化管理的标准引入到我们供应链</w:t>
      </w:r>
    </w:p>
    <w:p>
      <w:pPr>
        <w:pStyle w:val="BodyText"/>
        <w:spacing w:line="316" w:lineRule="auto" w:before="19"/>
        <w:ind w:left="154" w:right="1043"/>
        <w:jc w:val="both"/>
      </w:pPr>
      <w:r>
        <w:rPr>
          <w:spacing w:val="-2"/>
        </w:rPr>
        <w:t>管理中去，加快整合供应链资源，建立从源头到终端一致性、标准化的管理体系。通过对直营和加盟店的差异化管理，以及</w:t>
      </w:r>
      <w:r>
        <w:rPr>
          <w:spacing w:val="-66"/>
        </w:rPr>
        <w:t> </w:t>
      </w:r>
      <w:r>
        <w:rPr>
          <w:spacing w:val="-66"/>
        </w:rPr>
      </w:r>
      <w:r>
        <w:rPr/>
        <w:t>各方在硬件和软件上的标准化，正逐步构建起一条能适应休闲服零售业特征的，具备对客户需求快速反应的敏捷型供应链。</w:t>
      </w:r>
    </w:p>
    <w:p>
      <w:pPr>
        <w:spacing w:line="240" w:lineRule="auto" w:before="4"/>
        <w:rPr>
          <w:rFonts w:ascii="宋体" w:hAnsi="宋体" w:cs="宋体" w:eastAsia="宋体" w:hint="default"/>
          <w:sz w:val="25"/>
          <w:szCs w:val="25"/>
        </w:rPr>
      </w:pPr>
    </w:p>
    <w:p>
      <w:pPr>
        <w:pStyle w:val="BodyText"/>
        <w:spacing w:line="300" w:lineRule="auto"/>
        <w:ind w:left="634" w:right="0" w:firstLine="2"/>
        <w:jc w:val="left"/>
      </w:pPr>
      <w:r>
        <w:rPr>
          <w:rFonts w:ascii="Times New Roman" w:hAnsi="Times New Roman" w:cs="Times New Roman" w:eastAsia="Times New Roman" w:hint="default"/>
          <w:b/>
          <w:bCs/>
        </w:rPr>
        <w:t>5</w:t>
      </w:r>
      <w:r>
        <w:rPr>
          <w:rFonts w:ascii="宋体" w:hAnsi="宋体" w:cs="宋体" w:eastAsia="宋体" w:hint="default"/>
          <w:b/>
          <w:bCs/>
        </w:rPr>
        <w:t>、信息管理系统优势</w:t>
      </w:r>
      <w:r>
        <w:rPr>
          <w:rFonts w:ascii="宋体" w:hAnsi="宋体" w:cs="宋体" w:eastAsia="宋体" w:hint="default"/>
          <w:b/>
          <w:bCs/>
          <w:w w:val="99"/>
        </w:rPr>
        <w:t> </w:t>
      </w:r>
      <w:r>
        <w:rPr>
          <w:spacing w:val="-1"/>
        </w:rPr>
        <w:t>一直以来，本公司的信息化战略与企业的发展保持着高度的融合，信息技术的运用以及信息化战略的制定与执行均与</w:t>
      </w:r>
    </w:p>
    <w:p>
      <w:pPr>
        <w:pStyle w:val="BodyText"/>
        <w:spacing w:line="316" w:lineRule="auto" w:before="31"/>
        <w:ind w:left="154" w:right="1133"/>
        <w:jc w:val="both"/>
      </w:pPr>
      <w:r>
        <w:rPr>
          <w:spacing w:val="-2"/>
        </w:rPr>
        <w:t>公司的业务深度结合。利用部分上市募集资金对信息系统进行改进，紧密围绕公司核心业务，优化和完善公司在全国的营销</w:t>
      </w:r>
      <w:r>
        <w:rPr>
          <w:spacing w:val="-66"/>
        </w:rPr>
        <w:t> </w:t>
      </w:r>
      <w:r>
        <w:rPr>
          <w:spacing w:val="-66"/>
        </w:rPr>
      </w:r>
      <w:r>
        <w:rPr/>
        <w:t>网络；同时改进公司信息管理系统，对日益增长的业务起到有效支持和推进作用。</w:t>
      </w:r>
    </w:p>
    <w:p>
      <w:pPr>
        <w:pStyle w:val="BodyText"/>
        <w:spacing w:line="316" w:lineRule="auto" w:before="19"/>
        <w:ind w:left="154" w:right="1131" w:firstLine="480"/>
        <w:jc w:val="both"/>
      </w:pPr>
      <w:r>
        <w:rPr>
          <w:spacing w:val="-1"/>
        </w:rPr>
        <w:t>公司目前使用的同时具备标准化和针对供应链各方差异化的第二代信息管理系统，建立在休闲服装零售业整条供应链</w:t>
      </w:r>
      <w:r>
        <w:rPr/>
        <w:t> </w:t>
      </w:r>
      <w:r>
        <w:rPr>
          <w:spacing w:val="-2"/>
        </w:rPr>
        <w:t>的基础之上，在数据库和软件应用底层完全整合；大幅度提升了公司的运营效率，增强了持续发展能力，核心竞争力亦获得</w:t>
      </w:r>
      <w:r>
        <w:rPr>
          <w:spacing w:val="-66"/>
        </w:rPr>
        <w:t> </w:t>
      </w:r>
      <w:r>
        <w:rPr>
          <w:spacing w:val="-66"/>
        </w:rPr>
      </w:r>
      <w:r>
        <w:rPr/>
        <w:t>到进一步提高。</w:t>
      </w:r>
    </w:p>
    <w:p>
      <w:pPr>
        <w:spacing w:line="240" w:lineRule="auto" w:before="4"/>
        <w:rPr>
          <w:rFonts w:ascii="宋体" w:hAnsi="宋体" w:cs="宋体" w:eastAsia="宋体" w:hint="default"/>
          <w:sz w:val="25"/>
          <w:szCs w:val="25"/>
        </w:rPr>
      </w:pPr>
    </w:p>
    <w:p>
      <w:pPr>
        <w:pStyle w:val="BodyText"/>
        <w:spacing w:line="300" w:lineRule="auto"/>
        <w:ind w:left="634" w:right="0" w:firstLine="2"/>
        <w:jc w:val="left"/>
      </w:pPr>
      <w:r>
        <w:rPr>
          <w:rFonts w:ascii="Times New Roman" w:hAnsi="Times New Roman" w:cs="Times New Roman" w:eastAsia="Times New Roman" w:hint="default"/>
          <w:b/>
          <w:bCs/>
        </w:rPr>
        <w:t>6</w:t>
      </w:r>
      <w:r>
        <w:rPr>
          <w:rFonts w:ascii="宋体" w:hAnsi="宋体" w:cs="宋体" w:eastAsia="宋体" w:hint="default"/>
          <w:b/>
          <w:bCs/>
        </w:rPr>
        <w:t>、物流系统优势</w:t>
      </w:r>
      <w:r>
        <w:rPr>
          <w:rFonts w:ascii="宋体" w:hAnsi="宋体" w:cs="宋体" w:eastAsia="宋体" w:hint="default"/>
          <w:b/>
          <w:bCs/>
          <w:w w:val="99"/>
        </w:rPr>
        <w:t> </w:t>
      </w:r>
      <w:r>
        <w:rPr/>
        <w:t>公司目前拥有</w:t>
      </w:r>
      <w:r>
        <w:rPr>
          <w:rFonts w:ascii="Times New Roman" w:hAnsi="Times New Roman" w:cs="Times New Roman" w:eastAsia="Times New Roman" w:hint="default"/>
        </w:rPr>
        <w:t>8</w:t>
      </w:r>
      <w:r>
        <w:rPr/>
        <w:t>大区域物流中心：上海、温州、沈阳、东莞、西安、成都、天津和武汉，主要负责所辖区域内货物的</w:t>
      </w:r>
    </w:p>
    <w:p>
      <w:pPr>
        <w:pStyle w:val="BodyText"/>
        <w:spacing w:line="309" w:lineRule="auto" w:before="13"/>
        <w:ind w:right="1131"/>
        <w:jc w:val="both"/>
      </w:pPr>
      <w:r>
        <w:rPr>
          <w:spacing w:val="-5"/>
        </w:rPr>
        <w:t>存放和配送，形成运行高效的三级配送体系：从工厂运送至区域物流中心，然后分拣配送至分公司仓库，最后配送至各店铺。</w:t>
      </w:r>
      <w:r>
        <w:rPr>
          <w:spacing w:val="-81"/>
        </w:rPr>
        <w:t> </w:t>
      </w:r>
      <w:r>
        <w:rPr>
          <w:spacing w:val="-81"/>
        </w:rPr>
      </w:r>
      <w:r>
        <w:rPr>
          <w:spacing w:val="-2"/>
        </w:rPr>
        <w:t>上海六灶物流中心日均物流产可达到</w:t>
      </w:r>
      <w:r>
        <w:rPr>
          <w:rFonts w:ascii="Times New Roman" w:hAnsi="Times New Roman" w:cs="Times New Roman" w:eastAsia="Times New Roman" w:hint="default"/>
          <w:spacing w:val="-2"/>
        </w:rPr>
        <w:t>50</w:t>
      </w:r>
      <w:r>
        <w:rPr>
          <w:spacing w:val="-2"/>
        </w:rPr>
        <w:t>万件服饰产品的营运能力，大大提高了交叉转运的运作能力，实摘果拣选模式和播种</w:t>
      </w:r>
      <w:r>
        <w:rPr>
          <w:spacing w:val="-62"/>
        </w:rPr>
        <w:t> </w:t>
      </w:r>
      <w:r>
        <w:rPr>
          <w:spacing w:val="-62"/>
        </w:rPr>
      </w:r>
      <w:r>
        <w:rPr/>
        <w:t>拣选模式的兼容转换，大幅度的提升了供应链物流的快速流通能力和效率，有效支持了企业的战略发展。</w:t>
      </w:r>
    </w:p>
    <w:p>
      <w:pPr>
        <w:spacing w:line="240" w:lineRule="auto" w:before="9"/>
        <w:rPr>
          <w:rFonts w:ascii="宋体" w:hAnsi="宋体" w:cs="宋体" w:eastAsia="宋体" w:hint="default"/>
          <w:sz w:val="25"/>
          <w:szCs w:val="25"/>
        </w:rPr>
      </w:pPr>
    </w:p>
    <w:p>
      <w:pPr>
        <w:pStyle w:val="BodyText"/>
        <w:spacing w:line="300" w:lineRule="auto"/>
        <w:ind w:left="633" w:right="0" w:firstLine="2"/>
        <w:jc w:val="left"/>
      </w:pPr>
      <w:r>
        <w:rPr>
          <w:rFonts w:ascii="Times New Roman" w:hAnsi="Times New Roman" w:cs="Times New Roman" w:eastAsia="Times New Roman" w:hint="default"/>
          <w:b/>
          <w:bCs/>
        </w:rPr>
        <w:t>7</w:t>
      </w:r>
      <w:r>
        <w:rPr>
          <w:rFonts w:ascii="宋体" w:hAnsi="宋体" w:cs="宋体" w:eastAsia="宋体" w:hint="default"/>
          <w:b/>
          <w:bCs/>
        </w:rPr>
        <w:t>、较强的风险管控能力</w:t>
      </w:r>
      <w:r>
        <w:rPr>
          <w:rFonts w:ascii="宋体" w:hAnsi="宋体" w:cs="宋体" w:eastAsia="宋体" w:hint="default"/>
          <w:b/>
          <w:bCs/>
          <w:w w:val="99"/>
        </w:rPr>
        <w:t> </w:t>
      </w:r>
      <w:r>
        <w:rPr/>
        <w:t>公司深刻认识到风险管控对于企业长远发展的重要意义，并能针对经营过程中面临的各种风险采取相应的应对措施，</w:t>
      </w:r>
    </w:p>
    <w:p>
      <w:pPr>
        <w:pStyle w:val="BodyText"/>
        <w:spacing w:line="316" w:lineRule="auto" w:before="31"/>
        <w:ind w:left="633" w:right="0" w:hanging="480"/>
        <w:jc w:val="left"/>
      </w:pPr>
      <w:r>
        <w:rPr/>
        <w:t>体现了较强的风险管控能力。 </w:t>
      </w:r>
      <w:r>
        <w:rPr>
          <w:spacing w:val="-1"/>
        </w:rPr>
        <w:t>公司针对可能的财务风险，一直保持稳健谨慎的财务策略，努力提升资产质量、丰富融资渠道，在银行间市场及合作</w:t>
      </w:r>
    </w:p>
    <w:p>
      <w:pPr>
        <w:pStyle w:val="BodyText"/>
        <w:spacing w:line="319" w:lineRule="auto" w:before="19"/>
        <w:ind w:left="633" w:right="0" w:hanging="480"/>
        <w:jc w:val="left"/>
      </w:pPr>
      <w:r>
        <w:rPr/>
        <w:t>的商业银行均建立良好的信誉。 </w:t>
      </w:r>
      <w:r>
        <w:rPr>
          <w:spacing w:val="6"/>
        </w:rPr>
        <w:t>经营风险方面，公司针对注重时尚活力的年轻消费者群体以大众化的价格不断挖掘该细分市场的不同需求。目前</w:t>
      </w:r>
    </w:p>
    <w:p>
      <w:pPr>
        <w:pStyle w:val="BodyText"/>
        <w:spacing w:line="309" w:lineRule="auto" w:before="17"/>
        <w:ind w:right="1131"/>
        <w:jc w:val="both"/>
      </w:pPr>
      <w:r>
        <w:rPr>
          <w:rFonts w:ascii="Times New Roman" w:hAnsi="Times New Roman" w:cs="Times New Roman" w:eastAsia="Times New Roman" w:hint="default"/>
        </w:rPr>
        <w:t>Meters/bonwe</w:t>
      </w:r>
      <w:r>
        <w:rPr/>
        <w:t>品牌、</w:t>
      </w:r>
      <w:r>
        <w:rPr>
          <w:rFonts w:ascii="Times New Roman" w:hAnsi="Times New Roman" w:cs="Times New Roman" w:eastAsia="Times New Roman" w:hint="default"/>
        </w:rPr>
        <w:t>ME&amp;CITY</w:t>
      </w:r>
      <w:r>
        <w:rPr/>
        <w:t>品牌及下属子品牌清晰的市场定位使公司从产品开发、设计到生产、销售都紧紧围绕目标消</w:t>
      </w:r>
      <w:r>
        <w:rPr>
          <w:spacing w:val="-61"/>
        </w:rPr>
        <w:t> </w:t>
      </w:r>
      <w:r>
        <w:rPr>
          <w:spacing w:val="-61"/>
        </w:rPr>
      </w:r>
      <w:r>
        <w:rPr>
          <w:spacing w:val="-2"/>
        </w:rPr>
        <w:t>费群的需求。同时，针对服装行业经营业绩季节性波动的风险，公司主动采取了稳健经营的策略，增加季中补单的比重，严</w:t>
      </w:r>
      <w:r>
        <w:rPr>
          <w:spacing w:val="-65"/>
        </w:rPr>
        <w:t> </w:t>
      </w:r>
      <w:r>
        <w:rPr>
          <w:spacing w:val="-65"/>
        </w:rPr>
      </w:r>
      <w:r>
        <w:rPr>
          <w:spacing w:val="-2"/>
        </w:rPr>
        <w:t>格控制新品生产规模，采取丰富服饰品种、颜色、款式以及有效降低服饰成本等方式降低经营风险，并根据南北方温差情况</w:t>
      </w:r>
    </w:p>
    <w:p>
      <w:pPr>
        <w:spacing w:after="0" w:line="309"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0" w:lineRule="auto" w:before="26"/>
        <w:ind w:left="514" w:right="0" w:hanging="360"/>
        <w:jc w:val="left"/>
      </w:pPr>
      <w:r>
        <w:rPr/>
        <w:t>适度调配货品的方式来平抑波动。 </w:t>
      </w:r>
      <w:r>
        <w:rPr>
          <w:spacing w:val="-2"/>
        </w:rPr>
        <w:t>管理风险方面，对于直营体系，由各自分属的销售子公司负责管理。为充分发挥直营店在提升公司形象和支持市场拓展</w:t>
      </w:r>
    </w:p>
    <w:p>
      <w:pPr>
        <w:pStyle w:val="BodyText"/>
        <w:spacing w:line="221" w:lineRule="exact"/>
        <w:ind w:left="154" w:right="0"/>
        <w:jc w:val="left"/>
      </w:pPr>
      <w:r>
        <w:rPr/>
        <w:t>战略方面的作用，公司总部管理中心针对直营店制定了全方位的管理体系；对于加盟渠道，针对加盟建立与直营一样的垂直</w:t>
      </w:r>
    </w:p>
    <w:p>
      <w:pPr>
        <w:pStyle w:val="BodyText"/>
        <w:spacing w:line="240" w:lineRule="auto" w:before="77"/>
        <w:ind w:left="154" w:right="0"/>
        <w:jc w:val="left"/>
      </w:pPr>
      <w:r>
        <w:rPr/>
        <w:t>化的管理团队，在充分借鉴直营管理经验的基础上，帮助加盟商与直营一样持续提高管理能力，实现可持续的发展。</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6" w:lineRule="auto"/>
        <w:ind w:right="1033" w:firstLine="360"/>
        <w:jc w:val="left"/>
      </w:pPr>
      <w:r>
        <w:rPr>
          <w:rFonts w:ascii="Times New Roman" w:hAnsi="Times New Roman" w:cs="Times New Roman" w:eastAsia="Times New Roman" w:hint="default"/>
        </w:rPr>
        <w:t>2015</w:t>
      </w:r>
      <w:r>
        <w:rPr/>
        <w:t>年公司积极应对终端消费升级与市场环境变化，以供给侧改革为指引，深入思考并践行产品与服务的优化与创新。 </w:t>
      </w:r>
      <w:r>
        <w:rPr>
          <w:spacing w:val="-2"/>
        </w:rPr>
        <w:t>一方面，对自有品牌业务进行模式、策略与组织的端到端深度调整，重塑品牌核心竞争力；另一方面，积极推动互联网业务</w:t>
      </w:r>
      <w:r>
        <w:rPr>
          <w:spacing w:val="-66"/>
        </w:rPr>
        <w:t> </w:t>
      </w:r>
      <w:r>
        <w:rPr>
          <w:spacing w:val="-66"/>
        </w:rPr>
      </w:r>
      <w:r>
        <w:rPr/>
        <w:t>的布局优化并探索新的创新方向。</w:t>
      </w:r>
      <w:r>
        <w:rPr>
          <w:rFonts w:ascii="Times New Roman" w:hAnsi="Times New Roman" w:cs="Times New Roman" w:eastAsia="Times New Roman" w:hint="default"/>
        </w:rPr>
        <w:t>Meters/bonwe</w:t>
      </w:r>
      <w:r>
        <w:rPr/>
        <w:t>品牌回归聚焦</w:t>
      </w:r>
      <w:r>
        <w:rPr>
          <w:rFonts w:ascii="Times New Roman" w:hAnsi="Times New Roman" w:cs="Times New Roman" w:eastAsia="Times New Roman" w:hint="default"/>
        </w:rPr>
        <w:t>18~25</w:t>
      </w:r>
      <w:r>
        <w:rPr/>
        <w:t>岁这一年轻目标消费群，围绕其不同生活态度打造精准 且差异化的产品及品牌体验，藉此提升</w:t>
      </w:r>
      <w:r>
        <w:rPr>
          <w:rFonts w:ascii="Times New Roman" w:hAnsi="Times New Roman" w:cs="Times New Roman" w:eastAsia="Times New Roman" w:hint="default"/>
        </w:rPr>
        <w:t>Meters/bonwe</w:t>
      </w:r>
      <w:r>
        <w:rPr/>
        <w:t>品牌的产品及品牌力，并推动渠道持续转型升级，有效实现直营销售收 </w:t>
      </w:r>
      <w:r>
        <w:rPr>
          <w:spacing w:val="-2"/>
        </w:rPr>
        <w:t>入同比增长</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ME&amp;CITY</w:t>
      </w:r>
      <w:r>
        <w:rPr>
          <w:spacing w:val="-2"/>
        </w:rPr>
        <w:t>品牌凭借精准聚焦以及基于设计与品质的高性价比，成为公司快速增长的新亮点，有效实现销售</w:t>
      </w:r>
      <w:r>
        <w:rPr>
          <w:spacing w:val="-49"/>
        </w:rPr>
        <w:t> </w:t>
      </w:r>
      <w:r>
        <w:rPr>
          <w:spacing w:val="-49"/>
        </w:rPr>
      </w:r>
      <w:r>
        <w:rPr/>
        <w:t>收入同比增长</w:t>
      </w:r>
      <w:r>
        <w:rPr>
          <w:rFonts w:ascii="Times New Roman" w:hAnsi="Times New Roman" w:cs="Times New Roman" w:eastAsia="Times New Roman" w:hint="default"/>
        </w:rPr>
        <w:t>26%</w:t>
      </w:r>
      <w:r>
        <w:rPr/>
        <w:t>。</w:t>
      </w:r>
      <w:r>
        <w:rPr>
          <w:rFonts w:ascii="Times New Roman" w:hAnsi="Times New Roman" w:cs="Times New Roman" w:eastAsia="Times New Roman" w:hint="default"/>
        </w:rPr>
        <w:t>Moomoo</w:t>
      </w:r>
      <w:r>
        <w:rPr/>
        <w:t>与米喜迪两大童装品牌业务进一步明确了互补的差异化定位，并通过端到端垂直化管理体系的 </w:t>
      </w:r>
      <w:r>
        <w:rPr>
          <w:spacing w:val="-2"/>
        </w:rPr>
        <w:t>建设，为</w:t>
      </w:r>
      <w:r>
        <w:rPr>
          <w:rFonts w:ascii="Times New Roman" w:hAnsi="Times New Roman" w:cs="Times New Roman" w:eastAsia="Times New Roman" w:hint="default"/>
          <w:spacing w:val="-2"/>
        </w:rPr>
        <w:t>2016</w:t>
      </w:r>
      <w:r>
        <w:rPr>
          <w:spacing w:val="-2"/>
        </w:rPr>
        <w:t>的加速发展奠定了坚实基础。互联网业务方面，整体发展已步入良性轨道，邦购、全网、有范通过精准定位形</w:t>
      </w:r>
      <w:r>
        <w:rPr>
          <w:spacing w:val="-63"/>
        </w:rPr>
        <w:t> </w:t>
      </w:r>
      <w:r>
        <w:rPr>
          <w:spacing w:val="-63"/>
        </w:rPr>
      </w:r>
      <w:r>
        <w:rPr/>
        <w:t>成有效发力点，实现销售收入同比增长</w:t>
      </w:r>
      <w:r>
        <w:rPr>
          <w:rFonts w:ascii="Times New Roman" w:hAnsi="Times New Roman" w:cs="Times New Roman" w:eastAsia="Times New Roman" w:hint="default"/>
        </w:rPr>
        <w:t>123%</w:t>
      </w:r>
      <w:r>
        <w:rPr/>
        <w:t>。与此同时，公司转型仍面临诸多挑战。围绕各品牌定位的一致性完整品牌体 </w:t>
      </w:r>
      <w:r>
        <w:rPr>
          <w:spacing w:val="-2"/>
        </w:rPr>
        <w:t>验仍未在终端得到有效的落实。在直营转型快速推进的同时，加盟渠道业绩提升仍相对滞后。公司对产品、渠道、零售体验</w:t>
      </w:r>
      <w:r>
        <w:rPr>
          <w:spacing w:val="-66"/>
        </w:rPr>
        <w:t> </w:t>
      </w:r>
      <w:r>
        <w:rPr>
          <w:spacing w:val="-66"/>
        </w:rPr>
      </w:r>
      <w:r>
        <w:rPr/>
        <w:t>等核心能力的投入价值尚未充分在市场端得到体现。受此影响，公司主营业务收入仍较去年下降</w:t>
      </w:r>
      <w:r>
        <w:rPr>
          <w:rFonts w:ascii="Times New Roman" w:hAnsi="Times New Roman" w:cs="Times New Roman" w:eastAsia="Times New Roman" w:hint="default"/>
        </w:rPr>
        <w:t>4.99%</w:t>
      </w:r>
      <w:r>
        <w:rPr/>
        <w:t>，年度净利润出现亏 损。截至报告期末，公司总资产为</w:t>
      </w:r>
      <w:r>
        <w:rPr>
          <w:rFonts w:ascii="Times New Roman" w:hAnsi="Times New Roman" w:cs="Times New Roman" w:eastAsia="Times New Roman" w:hint="default"/>
        </w:rPr>
        <w:t>69.55</w:t>
      </w:r>
      <w:r>
        <w:rPr/>
        <w:t>亿元，总负债为</w:t>
      </w:r>
      <w:r>
        <w:rPr>
          <w:rFonts w:ascii="Times New Roman" w:hAnsi="Times New Roman" w:cs="Times New Roman" w:eastAsia="Times New Roman" w:hint="default"/>
        </w:rPr>
        <w:t>38.51</w:t>
      </w:r>
      <w:r>
        <w:rPr/>
        <w:t>亿元，所有者权益为</w:t>
      </w:r>
      <w:r>
        <w:rPr>
          <w:rFonts w:ascii="Times New Roman" w:hAnsi="Times New Roman" w:cs="Times New Roman" w:eastAsia="Times New Roman" w:hint="default"/>
        </w:rPr>
        <w:t>31.04</w:t>
      </w:r>
      <w:r>
        <w:rPr/>
        <w:t>亿元，资产负债率为</w:t>
      </w:r>
      <w:r>
        <w:rPr>
          <w:rFonts w:ascii="Times New Roman" w:hAnsi="Times New Roman" w:cs="Times New Roman" w:eastAsia="Times New Roman" w:hint="default"/>
        </w:rPr>
        <w:t>55%</w:t>
      </w:r>
      <w:r>
        <w:rPr/>
        <w:t>。</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参见“管理层讨论与分析”中的“一、概述”相关内容。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6,294,783,764.00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6,620,767,477.00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6,232,032,211.00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6,559,617,235.00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62,751,553.00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61,150,242.00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3,806,600,459.00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4,000,032,627.00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2,153,559,033.00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2,329,995,899.00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271,872,719.00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229,588,709.00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62,751,553.00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61,150,242.00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6,480,824,416.00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6,618,979,503.00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722,983,442.00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727,054,021.00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1,049,414,875.00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1,042,850,904.00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1,034,553,106.00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1,066,974,619.00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-2,992,992,075.00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-2,835,091,570.00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6,232,032,211.00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3,477,996,484.00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3,806,600,459.00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2,083,288,633.00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2,153,559,033.00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1,227,622,624.00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271,872,719.00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167,085,227.00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6,384,583,733.00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4,953,966,503.00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694,433,183.00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336,215,581.00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1,039,114,008.00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489,221,545.00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1,032,654,353.00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503,185,081.00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-2,918,753,066.0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-2,804,592,226.0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服装批发零售</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71,379,819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71,582,686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77,565,158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74,044,648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37,610,056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31,424,717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3,477,996,484.00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3,587,654,782.00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-3.06%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2,083,288,633.00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2,169,210,702.00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1,227,622,624.00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1,286,512,290.00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167,085,227.00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131,931,790.00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r>
    </w:tbl>
    <w:p>
      <w:pPr>
        <w:pStyle w:val="BodyText"/>
        <w:spacing w:line="357" w:lineRule="auto" w:before="51"/>
        <w:ind w:left="15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报告期内，公司设立如下全资子公司：上海潮范电子商务有限公司、上海美潮国际贸易有限公司、有范网络科技有限公司。</w:t>
      </w:r>
      <w:r>
        <w:rPr>
          <w:spacing w:val="-85"/>
        </w:rPr>
        <w:t> </w:t>
      </w:r>
      <w:r>
        <w:rPr>
          <w:spacing w:val="-85"/>
        </w:rPr>
      </w:r>
      <w:r>
        <w:rPr/>
        <w:t>以上公司自设立之后纳入本公司合并财务报表的合并范围。 报告期内，公司注销子公司</w:t>
      </w:r>
      <w:r>
        <w:rPr>
          <w:rFonts w:ascii="Times New Roman" w:hAnsi="Times New Roman" w:cs="Times New Roman" w:eastAsia="Times New Roman" w:hint="default"/>
        </w:rPr>
        <w:t>“</w:t>
      </w:r>
      <w:r>
        <w:rPr/>
        <w:t>岳阳美特斯邦威服饰有限公司</w:t>
      </w:r>
      <w:r>
        <w:rPr>
          <w:rFonts w:ascii="Times New Roman" w:hAnsi="Times New Roman" w:cs="Times New Roman" w:eastAsia="Times New Roman" w:hint="default"/>
        </w:rPr>
        <w:t>”</w:t>
      </w:r>
      <w:r>
        <w:rPr/>
        <w:t>，该公司自注销后不再纳入本公司合并财务报表的合并范围。 除以上事项之外，合并财务报表范围与上年度一致。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180,455,768.00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38"/>
        <w:gridCol w:w="2705"/>
        <w:gridCol w:w="2172"/>
        <w:gridCol w:w="3143"/>
      </w:tblGrid>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27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47,363,566.00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27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36,589,999.00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27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35,216,633.00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27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31,451,822.00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27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29,833,748.00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180,455,768.00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732,057,039.00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250,769,419.00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156,352,372.00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117,706,251.00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112,951,981.00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94,277,016.00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732,057,039.00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32" w:right="0"/>
              <w:jc w:val="left"/>
              <w:rPr>
                <w:rFonts w:ascii="Times New Roman" w:hAnsi="Times New Roman" w:cs="Times New Roman" w:eastAsia="Times New Roman" w:hint="default"/>
                <w:sz w:val="18"/>
                <w:szCs w:val="18"/>
              </w:rPr>
            </w:pPr>
            <w:r>
              <w:rPr>
                <w:rFonts w:ascii="Times New Roman"/>
                <w:sz w:val="18"/>
              </w:rPr>
              <w:t>2,194,489,454.00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4" w:right="0"/>
              <w:jc w:val="left"/>
              <w:rPr>
                <w:rFonts w:ascii="Times New Roman" w:hAnsi="Times New Roman" w:cs="Times New Roman" w:eastAsia="Times New Roman" w:hint="default"/>
                <w:sz w:val="18"/>
                <w:szCs w:val="18"/>
              </w:rPr>
            </w:pPr>
            <w:r>
              <w:rPr>
                <w:rFonts w:ascii="Times New Roman"/>
                <w:sz w:val="18"/>
              </w:rPr>
              <w:t>2,166,133,578.00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3" w:right="0"/>
              <w:jc w:val="lef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322,352,412.00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227,151,728.00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41.91%</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主要是由于本年度较去年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相关费 用支出有所增加所致。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6" w:type="dxa"/>
        <w:tblLayout w:type="fixed"/>
        <w:tblCellMar>
          <w:top w:w="0" w:type="dxa"/>
          <w:left w:w="0" w:type="dxa"/>
          <w:bottom w:w="0" w:type="dxa"/>
          <w:right w:w="0" w:type="dxa"/>
        </w:tblCellMar>
        <w:tblLook w:val="01E0"/>
      </w:tblPr>
      <w:tblGrid>
        <w:gridCol w:w="1918"/>
        <w:gridCol w:w="1637"/>
        <w:gridCol w:w="1637"/>
        <w:gridCol w:w="1462"/>
        <w:gridCol w:w="2918"/>
      </w:tblGrid>
      <w:tr>
        <w:trPr>
          <w:trHeight w:val="40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116,583,880.00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129,165,859.00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-9.74%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0"/>
          <w:szCs w:val="20"/>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公司的研发支出主要用于信息技术研发和产品设计研发，本报告期内公司两项研发支出金额分别为</w:t>
      </w:r>
      <w:r>
        <w:rPr>
          <w:rFonts w:ascii="Times New Roman" w:hAnsi="Times New Roman" w:cs="Times New Roman" w:eastAsia="Times New Roman" w:hint="default"/>
        </w:rPr>
        <w:t>11517.01</w:t>
      </w:r>
      <w:r>
        <w:rPr/>
        <w:t>万元、</w:t>
      </w:r>
      <w:r>
        <w:rPr>
          <w:rFonts w:ascii="Times New Roman" w:hAnsi="Times New Roman" w:cs="Times New Roman" w:eastAsia="Times New Roman" w:hint="default"/>
        </w:rPr>
        <w:t>8696.74 </w:t>
      </w:r>
      <w:r>
        <w:rPr>
          <w:spacing w:val="-1"/>
        </w:rPr>
        <w:t>万元，总计约</w:t>
      </w:r>
      <w:r>
        <w:rPr>
          <w:rFonts w:ascii="Times New Roman" w:hAnsi="Times New Roman" w:cs="Times New Roman" w:eastAsia="Times New Roman" w:hint="default"/>
          <w:spacing w:val="-1"/>
        </w:rPr>
        <w:t>20213.75</w:t>
      </w:r>
      <w:r>
        <w:rPr>
          <w:spacing w:val="-1"/>
        </w:rPr>
        <w:t>万元。本年度公司信息技术研发投入主要为自有电商平台开发和移动</w:t>
      </w:r>
      <w:r>
        <w:rPr>
          <w:rFonts w:ascii="Times New Roman" w:hAnsi="Times New Roman" w:cs="Times New Roman" w:eastAsia="Times New Roman" w:hint="default"/>
          <w:spacing w:val="-1"/>
        </w:rPr>
        <w:t>APP</w:t>
      </w:r>
      <w:r>
        <w:rPr>
          <w:spacing w:val="-1"/>
        </w:rPr>
        <w:t>研发支出，产品设计研发主</w:t>
      </w:r>
    </w:p>
    <w:p>
      <w:pPr>
        <w:pStyle w:val="BodyText"/>
        <w:spacing w:line="360" w:lineRule="auto"/>
        <w:ind w:right="7693"/>
        <w:jc w:val="left"/>
      </w:pPr>
      <w:r>
        <w:rPr/>
        <w:t>要为公司设计及工艺部门的费用支出。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202,137,541.00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97,279,296.00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left="154" w:right="0"/>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7,459,136,561.00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8,035,773,424.00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7,644,140,947.00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6,713,599,461.00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-185,004,386.00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1,322,173,963.00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-113.99%</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2,923,608.00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99,289,822.00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174,766,873.00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594,230,308.00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-171,843,265.00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-494,940,486.00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2,013,549,740.00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2,059,513,780.00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1,904,049,991.00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2,560,365,310.00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109,499,749.00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-500,851,530.00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-121.86%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-247,347,902.00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326,381,947.00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-175.78%</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14" w:lineRule="auto" w:before="117"/>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、经营活动产生的现金流量净额较上年度下降</w:t>
      </w:r>
      <w:r>
        <w:rPr>
          <w:rFonts w:ascii="Times New Roman" w:hAnsi="Times New Roman" w:cs="Times New Roman" w:eastAsia="Times New Roman" w:hint="default"/>
          <w:spacing w:val="-1"/>
        </w:rPr>
        <w:t>114%</w:t>
      </w:r>
      <w:r>
        <w:rPr>
          <w:spacing w:val="-1"/>
        </w:rPr>
        <w:t>，主要原因一是由于本年度销售收入有所下降，收到的销售款较上年度</w:t>
      </w:r>
      <w:r>
        <w:rPr>
          <w:spacing w:val="-87"/>
        </w:rPr>
        <w:t> </w:t>
      </w:r>
      <w:r>
        <w:rPr>
          <w:spacing w:val="-87"/>
        </w:rPr>
      </w:r>
      <w:r>
        <w:rPr/>
        <w:t>下降；同时采购规模有适当的增加，支付的生产采购资金较上年度增加。 </w:t>
      </w:r>
      <w:r>
        <w:rPr>
          <w:rFonts w:ascii="Times New Roman" w:hAnsi="Times New Roman" w:cs="Times New Roman" w:eastAsia="Times New Roman" w:hint="default"/>
          <w:spacing w:val="-1"/>
        </w:rPr>
        <w:t>2</w:t>
      </w:r>
      <w:r>
        <w:rPr>
          <w:spacing w:val="-1"/>
        </w:rPr>
        <w:t>、投资活动产生的现金流量净额较上年度增加</w:t>
      </w:r>
      <w:r>
        <w:rPr>
          <w:rFonts w:ascii="Times New Roman" w:hAnsi="Times New Roman" w:cs="Times New Roman" w:eastAsia="Times New Roman" w:hint="default"/>
          <w:spacing w:val="-1"/>
        </w:rPr>
        <w:t>65%</w:t>
      </w:r>
      <w:r>
        <w:rPr>
          <w:spacing w:val="-1"/>
        </w:rPr>
        <w:t>，主要原因是上年度支付对华瑞银行的投资款</w:t>
      </w:r>
      <w:r>
        <w:rPr>
          <w:rFonts w:ascii="Times New Roman" w:hAnsi="Times New Roman" w:cs="Times New Roman" w:eastAsia="Times New Roman" w:hint="default"/>
          <w:spacing w:val="-1"/>
        </w:rPr>
        <w:t>4.5</w:t>
      </w:r>
      <w:r>
        <w:rPr>
          <w:spacing w:val="-1"/>
        </w:rPr>
        <w:t>亿元，本年度无此类对</w:t>
      </w:r>
      <w:r>
        <w:rPr>
          <w:spacing w:val="-43"/>
        </w:rPr>
        <w:t> </w:t>
      </w:r>
      <w:r>
        <w:rPr>
          <w:spacing w:val="-43"/>
        </w:rPr>
      </w:r>
      <w:r>
        <w:rPr/>
        <w:t>外投资事宜。 </w:t>
      </w:r>
      <w:r>
        <w:rPr>
          <w:rFonts w:ascii="Times New Roman" w:hAnsi="Times New Roman" w:cs="Times New Roman" w:eastAsia="Times New Roman" w:hint="default"/>
        </w:rPr>
        <w:t>3</w:t>
      </w:r>
      <w:r>
        <w:rPr/>
        <w:t>、筹资活动产生的现金流量净额较上年度增加</w:t>
      </w:r>
      <w:r>
        <w:rPr>
          <w:rFonts w:ascii="Times New Roman" w:hAnsi="Times New Roman" w:cs="Times New Roman" w:eastAsia="Times New Roman" w:hint="default"/>
        </w:rPr>
        <w:t>122%</w:t>
      </w:r>
      <w:r>
        <w:rPr/>
        <w:t>，主要是由于本年度公司负债类筹资规模较上年度增加所致。</w:t>
      </w:r>
    </w:p>
    <w:p>
      <w:pPr>
        <w:pStyle w:val="BodyText"/>
        <w:spacing w:line="300" w:lineRule="auto" w:before="1"/>
        <w:ind w:left="154" w:right="1118"/>
        <w:jc w:val="left"/>
      </w:pPr>
      <w:r>
        <w:rPr>
          <w:rFonts w:ascii="Times New Roman" w:hAnsi="Times New Roman" w:cs="Times New Roman" w:eastAsia="Times New Roman" w:hint="default"/>
          <w:spacing w:val="-1"/>
        </w:rPr>
        <w:t>4</w:t>
      </w:r>
      <w:r>
        <w:rPr>
          <w:spacing w:val="-1"/>
        </w:rPr>
        <w:t>、现金及现金等价物净增加额较上年度下降</w:t>
      </w:r>
      <w:r>
        <w:rPr>
          <w:rFonts w:ascii="Times New Roman" w:hAnsi="Times New Roman" w:cs="Times New Roman" w:eastAsia="Times New Roman" w:hint="default"/>
          <w:spacing w:val="-1"/>
        </w:rPr>
        <w:t>176%</w:t>
      </w:r>
      <w:r>
        <w:rPr>
          <w:spacing w:val="-1"/>
        </w:rPr>
        <w:t>，主要是由于本年度与上年度相较，在经营性支出、投资支出及归还借款</w:t>
      </w:r>
      <w:r>
        <w:rPr/>
        <w:t> 支出三项支出总额持平的情形下，销售收入金额有所下降所致。</w:t>
      </w:r>
    </w:p>
    <w:p>
      <w:pPr>
        <w:spacing w:line="240" w:lineRule="auto" w:before="0"/>
        <w:rPr>
          <w:rFonts w:ascii="宋体" w:hAnsi="宋体" w:cs="宋体" w:eastAsia="宋体" w:hint="default"/>
          <w:sz w:val="18"/>
          <w:szCs w:val="18"/>
        </w:rPr>
      </w:pPr>
    </w:p>
    <w:p>
      <w:pPr>
        <w:pStyle w:val="BodyText"/>
        <w:spacing w:line="240" w:lineRule="auto" w:before="148"/>
        <w:ind w:left="154"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324"/>
        <w:gridCol w:w="1276"/>
        <w:gridCol w:w="4112"/>
        <w:gridCol w:w="1346"/>
      </w:tblGrid>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42" w:right="93" w:hanging="450"/>
              <w:jc w:val="left"/>
              <w:rPr>
                <w:rFonts w:ascii="宋体" w:hAnsi="宋体" w:cs="宋体" w:eastAsia="宋体" w:hint="default"/>
                <w:sz w:val="18"/>
                <w:szCs w:val="18"/>
              </w:rPr>
            </w:pPr>
            <w:r>
              <w:rPr>
                <w:rFonts w:ascii="宋体" w:hAnsi="宋体" w:cs="宋体" w:eastAsia="宋体" w:hint="default"/>
                <w:sz w:val="18"/>
                <w:szCs w:val="18"/>
              </w:rPr>
              <w:t>占利润总额比 例</w:t>
            </w:r>
          </w:p>
        </w:tc>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78" w:right="36" w:hanging="540"/>
              <w:jc w:val="left"/>
              <w:rPr>
                <w:rFonts w:ascii="宋体" w:hAnsi="宋体" w:cs="宋体" w:eastAsia="宋体" w:hint="default"/>
                <w:sz w:val="18"/>
                <w:szCs w:val="18"/>
              </w:rPr>
            </w:pPr>
            <w:r>
              <w:rPr>
                <w:rFonts w:ascii="宋体" w:hAnsi="宋体" w:cs="宋体" w:eastAsia="宋体" w:hint="default"/>
                <w:sz w:val="18"/>
                <w:szCs w:val="18"/>
              </w:rPr>
              <w:t>是否具有可持续 性</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
        </w:tc>
        <w:tc>
          <w:tcPr>
            <w:tcW w:w="1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tcBorders>
              <w:left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346" w:type="dxa"/>
            <w:vMerge/>
            <w:tcBorders>
              <w:left w:val="single" w:sz="4" w:space="0" w:color="000000"/>
              <w:right w:val="single" w:sz="4" w:space="0" w:color="000000"/>
            </w:tcBorders>
            <w:shd w:val="clear" w:color="auto" w:fill="D2D2D2"/>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41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236,566,119.00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54.77%</w:t>
            </w:r>
          </w:p>
        </w:tc>
        <w:tc>
          <w:tcPr>
            <w:tcW w:w="411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对存货、应收款项、长期待摊费用等资产计提的产减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值损失</w:t>
            </w:r>
          </w:p>
        </w:tc>
        <w:tc>
          <w:tcPr>
            <w:tcW w:w="13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24"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c>
          <w:tcPr>
            <w:tcW w:w="1346"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4"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1346" w:type="dxa"/>
            <w:vMerge/>
            <w:tcBorders>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30,970,647.00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w:t>
            </w:r>
          </w:p>
        </w:tc>
        <w:tc>
          <w:tcPr>
            <w:tcW w:w="41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12,789,319.00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411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48"/>
        <w:gridCol w:w="697"/>
        <w:gridCol w:w="1419"/>
        <w:gridCol w:w="709"/>
        <w:gridCol w:w="708"/>
        <w:gridCol w:w="3402"/>
      </w:tblGrid>
      <w:tr>
        <w:trPr>
          <w:trHeight w:val="205"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0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045" w:type="dxa"/>
            <w:gridSpan w:val="2"/>
            <w:vMerge/>
            <w:tcBorders>
              <w:left w:val="single" w:sz="4" w:space="0" w:color="000000"/>
              <w:bottom w:val="single" w:sz="4" w:space="0" w:color="000000"/>
              <w:right w:val="single" w:sz="4" w:space="0" w:color="000000"/>
            </w:tcBorders>
            <w:shd w:val="clear" w:color="auto" w:fill="D2D2D2"/>
          </w:tcPr>
          <w:p>
            <w:pPr/>
          </w:p>
        </w:tc>
        <w:tc>
          <w:tcPr>
            <w:tcW w:w="2128"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02"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73" w:right="7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79"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7"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402"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69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402"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1,194,066,765.00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1,407,459,236.00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248,056,889.00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234,536,158.00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1,874,766,301.00</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26.96%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1,435,635,551.00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20.55%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6.41%</w:t>
            </w:r>
          </w:p>
        </w:tc>
        <w:tc>
          <w:tcPr>
            <w:tcW w:w="340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存货增加主要是由于根据公司营销计划适 当增加了新品采购规模所致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8" w:type="dxa"/>
            <w:vMerge/>
            <w:tcBorders>
              <w:left w:val="single" w:sz="9" w:space="0" w:color="D2D2D2"/>
              <w:right w:val="single" w:sz="4" w:space="0" w:color="000000"/>
            </w:tcBorders>
          </w:tcPr>
          <w:p>
            <w:pPr/>
          </w:p>
        </w:tc>
        <w:tc>
          <w:tcPr>
            <w:tcW w:w="69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128,014,093.00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center"/>
              <w:rPr>
                <w:rFonts w:ascii="Times New Roman" w:hAnsi="Times New Roman" w:cs="Times New Roman" w:eastAsia="Times New Roman" w:hint="default"/>
                <w:sz w:val="18"/>
                <w:szCs w:val="18"/>
              </w:rPr>
            </w:pPr>
            <w:r>
              <w:rPr>
                <w:rFonts w:ascii="Times New Roman"/>
                <w:sz w:val="18"/>
              </w:rPr>
              <w:t>1.84%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131,625,337.00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449,359,713.00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center"/>
              <w:rPr>
                <w:rFonts w:ascii="Times New Roman" w:hAnsi="Times New Roman" w:cs="Times New Roman" w:eastAsia="Times New Roman" w:hint="default"/>
                <w:sz w:val="18"/>
                <w:szCs w:val="18"/>
              </w:rPr>
            </w:pPr>
            <w:r>
              <w:rPr>
                <w:rFonts w:ascii="Times New Roman"/>
                <w:sz w:val="18"/>
              </w:rPr>
              <w:t>6.46%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长期股权投资系公司对华瑞银行的投资</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37"/>
        <w:gridCol w:w="697"/>
        <w:gridCol w:w="1419"/>
        <w:gridCol w:w="709"/>
        <w:gridCol w:w="708"/>
        <w:gridCol w:w="34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1,808,018,883.00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26.00%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1,864,534,886.00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2,502,316.00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14,397,796.00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在建工程减少主要是由于本年度内部分在 建工程完工所致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1,275,725,000.00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778,630,418.00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短期借款增加主要是由于经营所需而增加 了对银行的信贷借款所致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118,029,745.00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1.70%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80,812,986.00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其他应收款余额增加主要是由于本年度内 公司支付了资产购置意向金所致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52,297,413.00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0.75%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15,287,722.00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其他流动资产余额增加主要是由于年末留 抵的增值税进项税较年初增加所致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147,038,035.00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2.11%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429,757,754.00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递延所得税资产余额下降主要是由于本年 度可确认递延所得税资产的可抵扣暂时性 差异金额较去年降低所致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7,835,724.00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457,835,724.00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其他非流动资产余额下降主要是由于报告 期内将对华瑞银行的投资款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亿转为长期 股权投资所致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482,456,530.00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6.94%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348,840,798.00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应付账款余额增加主要是由于公司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春 </w:t>
            </w:r>
            <w:r>
              <w:rPr>
                <w:rFonts w:ascii="宋体" w:hAnsi="宋体" w:cs="宋体" w:eastAsia="宋体" w:hint="default"/>
                <w:spacing w:val="-4"/>
                <w:sz w:val="18"/>
                <w:szCs w:val="18"/>
              </w:rPr>
              <w:t>新品采购规模有适当增加，且在年末集中入</w:t>
            </w:r>
            <w:r>
              <w:rPr>
                <w:rFonts w:ascii="宋体" w:hAnsi="宋体" w:cs="宋体" w:eastAsia="宋体" w:hint="default"/>
                <w:sz w:val="18"/>
                <w:szCs w:val="18"/>
              </w:rPr>
              <w:t> 库所致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58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850"/>
        <w:gridCol w:w="994"/>
        <w:gridCol w:w="1079"/>
        <w:gridCol w:w="1045"/>
        <w:gridCol w:w="1045"/>
        <w:gridCol w:w="1046"/>
        <w:gridCol w:w="1045"/>
        <w:gridCol w:w="1046"/>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407,890,745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364,226,513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52,360,999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12,909,648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11,036,868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199,990,611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-41,608,770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338,258,451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4,120,970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-3,823,692</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91,678,005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-108,361,441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199,939,101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-2,433,728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-40,295,654</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72,789,436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-45,724,517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133,158,504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17,769,011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12,468,518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49,530,814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-62,802,207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128,786,209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22,963,618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310,427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139,212,159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-71,407,474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147,764,407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15,006,057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13,426,320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129,466,310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-70,084,076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175,535,859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24,200,378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23,883,049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81,271,177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-21,724,273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136,663,812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12,619,545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9,671,898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31,320,914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-20,430,231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82,062,757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21,316,199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21,718,034</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12,164,475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-86,577,760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21,397,734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-4,505,455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-25,351,522</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68,527,069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-69,139,492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108,678,633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1,759,020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-1,606,780</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杭州邦威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52,814,224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-111,508,965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120,252,954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20,855,767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21,566,096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140,928,015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-138,037,131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289,696,720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53,684,307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50,773,731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117,058,559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-74,503,086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235,502,156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5,441,720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3,063,746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91,696,292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-92,829,863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189,848,064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3,539,420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3,389,437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415,888,809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300,255,857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310,597,779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4,670,694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3,793,319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78,323,611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-36,332,608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146,287,135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23,396,585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17,482,773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419"/>
        <w:gridCol w:w="850"/>
        <w:gridCol w:w="994"/>
        <w:gridCol w:w="1079"/>
        <w:gridCol w:w="1045"/>
        <w:gridCol w:w="1045"/>
        <w:gridCol w:w="1046"/>
        <w:gridCol w:w="1045"/>
        <w:gridCol w:w="1046"/>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73,848,417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-86,866,622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188,836,231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32,680,128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7,550,003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75,926,203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-1,081,367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127,290,545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5,548,631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4,447,773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55,084,107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-13,159,144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104,391,647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10,538,074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5,010,869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21,209,032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-4,426,018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54,475,236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14,166,893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10,729,894</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55,706,088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-20,339,558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129,643,045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24,427,729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24,341,337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114,304,065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53,783,650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382,737,092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-485,219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264,490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58,927,932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-94,399,684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150,491,847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15,048,615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-12,909,558</w:t>
            </w:r>
            <w:r>
              <w:rPr>
                <w:rFonts w:ascii="Times New Roman"/>
                <w:sz w:val="18"/>
              </w:rPr>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上海邦购信息科 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91,493,099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198,854,273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36,465,893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21,980,650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18,381,318</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63,016,776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-51,871,040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128,336,119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10,846,072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-5,556,963</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19,617,202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-14,525,851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46,021,255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8,304,200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8,391,213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23,235,311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35,034,223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125,279,625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16,504,477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12,870,177</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5,164,274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-7,609,998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12,975,667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3,895,549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3,955,583</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420,886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-7,951,982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81,116,140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21,309,634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11,850,649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31,846,801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-7,326,237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66,601,995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11,557,621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11,555,266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太原米安斯迪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9,186,201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center"/>
              <w:rPr>
                <w:rFonts w:ascii="Times New Roman" w:hAnsi="Times New Roman" w:cs="Times New Roman" w:eastAsia="Times New Roman" w:hint="default"/>
                <w:sz w:val="18"/>
                <w:szCs w:val="18"/>
              </w:rPr>
            </w:pPr>
            <w:r>
              <w:rPr>
                <w:rFonts w:ascii="Times New Roman"/>
                <w:sz w:val="18"/>
              </w:rPr>
              <w:t>9,003,550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138,607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-29,155</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上海华邦科创信 息科技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148,574,019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73,183,289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90,856,314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32,580,119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31,608,951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上海祺格服饰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2,666,765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center"/>
              <w:rPr>
                <w:rFonts w:ascii="Times New Roman" w:hAnsi="Times New Roman" w:cs="Times New Roman" w:eastAsia="Times New Roman" w:hint="default"/>
                <w:sz w:val="18"/>
                <w:szCs w:val="18"/>
              </w:rPr>
            </w:pPr>
            <w:r>
              <w:rPr>
                <w:rFonts w:ascii="Times New Roman"/>
                <w:sz w:val="18"/>
              </w:rPr>
              <w:t>2,045,159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228,355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20,379</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917,382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60,291,087</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16,161</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11,109,649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center"/>
              <w:rPr>
                <w:rFonts w:ascii="Times New Roman" w:hAnsi="Times New Roman" w:cs="Times New Roman" w:eastAsia="Times New Roman" w:hint="default"/>
                <w:sz w:val="18"/>
                <w:szCs w:val="18"/>
              </w:rPr>
            </w:pPr>
            <w:r>
              <w:rPr>
                <w:rFonts w:ascii="Times New Roman"/>
                <w:sz w:val="18"/>
              </w:rPr>
              <w:t>-3,880,333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25,734,583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-2,302,524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-2,114,806</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24,956,994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center"/>
              <w:rPr>
                <w:rFonts w:ascii="Times New Roman" w:hAnsi="Times New Roman" w:cs="Times New Roman" w:eastAsia="Times New Roman" w:hint="default"/>
                <w:sz w:val="18"/>
                <w:szCs w:val="18"/>
              </w:rPr>
            </w:pPr>
            <w:r>
              <w:rPr>
                <w:rFonts w:ascii="Times New Roman"/>
                <w:sz w:val="18"/>
              </w:rPr>
              <w:t>2,406,145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32,051,737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-3,227,404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-3,240,660</w:t>
            </w:r>
            <w:r>
              <w:rPr>
                <w:rFonts w:ascii="Times New Roman"/>
                <w:sz w:val="18"/>
              </w:rPr>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上海美邦博物馆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非营利组织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1,096,557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center"/>
              <w:rPr>
                <w:rFonts w:ascii="Times New Roman" w:hAnsi="Times New Roman" w:cs="Times New Roman" w:eastAsia="Times New Roman" w:hint="default"/>
                <w:sz w:val="18"/>
                <w:szCs w:val="18"/>
              </w:rPr>
            </w:pPr>
            <w:r>
              <w:rPr>
                <w:rFonts w:ascii="Times New Roman"/>
                <w:sz w:val="18"/>
              </w:rPr>
              <w:t>1,096,557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234,165</w:t>
            </w:r>
          </w:p>
        </w:tc>
      </w:tr>
    </w:tbl>
    <w:p>
      <w:pPr>
        <w:pStyle w:val="BodyText"/>
        <w:spacing w:line="240" w:lineRule="auto" w:before="51"/>
        <w:ind w:left="154" w:right="0"/>
        <w:jc w:val="left"/>
      </w:pPr>
      <w:r>
        <w:rPr/>
        <w:pict>
          <v:group style="position:absolute;margin-left:55.200001pt;margin-top:70.559982pt;width:485pt;height:.1pt;mso-position-horizontal-relative:page;mso-position-vertical-relative:page;z-index:1288" coordorigin="1104,1411" coordsize="9700,2">
            <v:shape style="position:absolute;left:1104;top:1411;width:9700;height:2" coordorigin="1104,1411" coordsize="9700,0" path="m1104,1411l10804,1411e" filled="false" stroked="true" strokeweight=".72pt" strokecolor="#000000">
              <v:path arrowok="t"/>
            </v:shape>
            <w10:wrap type="none"/>
          </v:group>
        </w:pict>
      </w: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上海潮范电子商务有限公司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上海美潮国际贸易有限公司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有范网络科技有限公司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岳阳美特斯邦威服饰有限公司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bl>
    <w:p>
      <w:pPr>
        <w:pStyle w:val="BodyText"/>
        <w:spacing w:line="240" w:lineRule="auto" w:before="51"/>
        <w:ind w:left="154" w:right="0"/>
        <w:jc w:val="left"/>
      </w:pPr>
      <w:r>
        <w:rPr/>
        <w:t>主要控股参股公司情况说明</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440" w:bottom="1160" w:left="980" w:right="0"/>
        </w:sectPr>
      </w:pPr>
    </w:p>
    <w:p>
      <w:pPr>
        <w:spacing w:line="240" w:lineRule="auto" w:before="9"/>
        <w:rPr>
          <w:rFonts w:ascii="宋体" w:hAnsi="宋体" w:cs="宋体" w:eastAsia="宋体" w:hint="default"/>
          <w:sz w:val="20"/>
          <w:szCs w:val="20"/>
        </w:rPr>
      </w:pPr>
    </w:p>
    <w:p>
      <w:pPr>
        <w:pStyle w:val="Heading2"/>
        <w:spacing w:line="240" w:lineRule="auto" w:before="26"/>
        <w:ind w:left="154"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3"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0"/>
        </w:rPr>
        <w:t> </w:t>
      </w:r>
      <w:r>
        <w:rPr/>
        <w:t>年，公司将大力弘扬</w:t>
      </w:r>
      <w:r>
        <w:rPr>
          <w:rFonts w:ascii="Times New Roman" w:hAnsi="Times New Roman" w:cs="Times New Roman" w:eastAsia="Times New Roman" w:hint="default"/>
        </w:rPr>
        <w:t>“</w:t>
      </w:r>
      <w:r>
        <w:rPr/>
        <w:t>工匠精神</w:t>
      </w:r>
      <w:r>
        <w:rPr>
          <w:rFonts w:ascii="Times New Roman" w:hAnsi="Times New Roman" w:cs="Times New Roman" w:eastAsia="Times New Roman" w:hint="default"/>
        </w:rPr>
        <w:t>”</w:t>
      </w:r>
      <w:r>
        <w:rPr/>
        <w:t>，深入推进自有品牌业务转型创新、渠道拓展与业绩提升，加速新业务开发与实 </w:t>
      </w:r>
      <w:r>
        <w:rPr>
          <w:spacing w:val="-2"/>
        </w:rPr>
        <w:t>践，并提升组织的专业能力及精益化管理能力，为各类目标消费者提供更高性价比的时尚生活体验，并为未来发展打下坚实</w:t>
      </w:r>
      <w:r>
        <w:rPr>
          <w:spacing w:val="-66"/>
        </w:rPr>
        <w:t> </w:t>
      </w:r>
      <w:r>
        <w:rPr>
          <w:spacing w:val="-66"/>
        </w:rPr>
      </w:r>
      <w:r>
        <w:rPr/>
        <w:t>基础。公司将着力进行以下几项工作：</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302" w:lineRule="auto" w:before="0"/>
        <w:ind w:right="0"/>
        <w:jc w:val="left"/>
        <w:rPr>
          <w:b w:val="0"/>
          <w:bCs w:val="0"/>
        </w:rPr>
      </w:pPr>
      <w:r>
        <w:rPr>
          <w:rFonts w:ascii="Times New Roman" w:hAnsi="Times New Roman" w:cs="Times New Roman" w:eastAsia="Times New Roman" w:hint="default"/>
          <w:w w:val="95"/>
        </w:rPr>
        <w:t>1</w:t>
      </w:r>
      <w:r>
        <w:rPr>
          <w:w w:val="95"/>
        </w:rPr>
        <w:t>、聚焦核心目标消费群体，围绕不同生活态度或生活场景，强化产品设计与质量，推动品牌整合营销及跨界合作，为消费</w:t>
      </w:r>
      <w:r>
        <w:rPr>
          <w:spacing w:val="16"/>
          <w:w w:val="95"/>
        </w:rPr>
        <w:t> </w:t>
      </w:r>
      <w:r>
        <w:rPr>
          <w:spacing w:val="16"/>
          <w:w w:val="95"/>
        </w:rPr>
      </w:r>
      <w:r>
        <w:rPr/>
        <w:t>者提供极致化品牌体验，提升品牌竞争力。</w:t>
      </w:r>
      <w:r>
        <w:rPr>
          <w:b w:val="0"/>
          <w:bCs w:val="0"/>
        </w:rPr>
      </w:r>
    </w:p>
    <w:p>
      <w:pPr>
        <w:pStyle w:val="BodyText"/>
        <w:spacing w:line="314" w:lineRule="auto" w:before="69"/>
        <w:ind w:right="1033" w:firstLine="450"/>
        <w:jc w:val="left"/>
      </w:pPr>
      <w:r>
        <w:rPr/>
        <w:t>公司已着力对各自有品牌业务的品牌内涵与价值进行精准的再定义，将围绕目标消费者不同生活态度、生活场景下的 特定消费偏好，围绕快速吸引和打动消费者的极致化品牌体验目标，持续优化产品策略、产品设计、渠道布局、店铺设计、</w:t>
      </w:r>
      <w:r>
        <w:rPr>
          <w:spacing w:val="-85"/>
        </w:rPr>
        <w:t> </w:t>
      </w:r>
      <w:r>
        <w:rPr>
          <w:spacing w:val="-85"/>
        </w:rPr>
      </w:r>
      <w:r>
        <w:rPr>
          <w:spacing w:val="-2"/>
        </w:rPr>
        <w:t>陈列服务。另外，公司将继续与知名动漫、游戏及互联网公司加大跨界合作力度，从创意设计到产品开发、营销推广等环节</w:t>
      </w:r>
      <w:r>
        <w:rPr>
          <w:spacing w:val="-66"/>
        </w:rPr>
        <w:t> </w:t>
      </w:r>
      <w:r>
        <w:rPr>
          <w:spacing w:val="-66"/>
        </w:rPr>
      </w:r>
      <w:r>
        <w:rPr/>
        <w:t>进行深度整合。计划继续推动《魔兽世界》等热门游戏 </w:t>
      </w:r>
      <w:r>
        <w:rPr>
          <w:rFonts w:ascii="Times New Roman" w:hAnsi="Times New Roman" w:cs="Times New Roman" w:eastAsia="Times New Roman" w:hint="default"/>
        </w:rPr>
        <w:t>IP</w:t>
      </w:r>
      <w:r>
        <w:rPr>
          <w:rFonts w:ascii="Times New Roman" w:hAnsi="Times New Roman" w:cs="Times New Roman" w:eastAsia="Times New Roman" w:hint="default"/>
          <w:spacing w:val="-18"/>
        </w:rPr>
        <w:t> </w:t>
      </w:r>
      <w:r>
        <w:rPr/>
        <w:t>的深度营销整合，同时借助上海迪士尼正式开园，推出包括男女 </w:t>
      </w:r>
      <w:r>
        <w:rPr>
          <w:spacing w:val="-2"/>
        </w:rPr>
        <w:t>休闲装、家居服、童装、配饰和休闲鞋等多品类迪士尼系列时尚产品。在此基础上，还将整合新生代艺术家和设计师等跨界</w:t>
      </w:r>
      <w:r>
        <w:rPr>
          <w:spacing w:val="-65"/>
        </w:rPr>
        <w:t> </w:t>
      </w:r>
      <w:r>
        <w:rPr>
          <w:spacing w:val="-65"/>
        </w:rPr>
      </w:r>
      <w:r>
        <w:rPr/>
        <w:t>资源，打造更具创意的服饰文化体验，不断提升旗下品牌的时尚度和美誉度。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line="338" w:lineRule="auto" w:before="0"/>
        <w:ind w:left="603" w:right="1123" w:hanging="4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、积极布局未来增长，加速多品牌业务线上线下布局，启动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智造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产业供应链平台及</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O2O </w:t>
      </w:r>
      <w:r>
        <w:rPr>
          <w:rFonts w:ascii="宋体" w:hAnsi="宋体" w:cs="宋体" w:eastAsia="宋体" w:hint="default"/>
          <w:b/>
          <w:bCs/>
          <w:sz w:val="18"/>
          <w:szCs w:val="18"/>
        </w:rPr>
        <w:t>多品牌销售平台建设。</w:t>
      </w:r>
      <w:r>
        <w:rPr>
          <w:rFonts w:ascii="宋体" w:hAnsi="宋体" w:cs="宋体" w:eastAsia="宋体" w:hint="default"/>
          <w:b/>
          <w:bCs/>
          <w:w w:val="99"/>
          <w:sz w:val="18"/>
          <w:szCs w:val="18"/>
        </w:rPr>
        <w:t> </w:t>
      </w:r>
      <w:r>
        <w:rPr>
          <w:rFonts w:ascii="宋体" w:hAnsi="宋体" w:cs="宋体" w:eastAsia="宋体" w:hint="default"/>
          <w:sz w:val="18"/>
          <w:szCs w:val="18"/>
        </w:rPr>
        <w:t>公司在夯实自有品牌发展的基础上，围绕中国消费形态的升级，有效整合全球品牌资源、设计师资源、渠道资源、文</w:t>
      </w:r>
    </w:p>
    <w:p>
      <w:pPr>
        <w:spacing w:line="314" w:lineRule="auto" w:before="2"/>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化与时尚内容资源，为各类消费者提供更加丰富、更具深度的时尚体验。同时，公司将在前期互联网化转型的基础上，积极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推动产业</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互联网升级，打造开放式、社会化的服装供应链生态，推动 </w:t>
      </w:r>
      <w:r>
        <w:rPr>
          <w:rFonts w:ascii="Times New Roman" w:hAnsi="Times New Roman" w:cs="Times New Roman" w:eastAsia="Times New Roman" w:hint="default"/>
          <w:sz w:val="18"/>
          <w:szCs w:val="18"/>
        </w:rPr>
        <w:t>C2M</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电子商务平台及线下体验店建设；同时继续与 </w:t>
      </w:r>
      <w:r>
        <w:rPr>
          <w:rFonts w:ascii="宋体" w:hAnsi="宋体" w:cs="宋体" w:eastAsia="宋体" w:hint="default"/>
          <w:spacing w:val="-3"/>
          <w:sz w:val="18"/>
          <w:szCs w:val="18"/>
        </w:rPr>
        <w:t>全球时尚品牌建立多模式合作，初步建立</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多品牌销售平台，为公司互联网化战略夯实基础，进一步拓展未来发展空间。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、完善专业化组织与绩效文化，增强</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端对端</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管理能力建设，补齐经营管理中存在的薄弱环节，提升资源整合效率，通过</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不同渠道为消费者提供差异化产品和深度个性化的购物体验。</w:t>
      </w:r>
      <w:r>
        <w:rPr>
          <w:rFonts w:ascii="宋体" w:hAnsi="宋体" w:cs="宋体" w:eastAsia="宋体" w:hint="default"/>
          <w:sz w:val="18"/>
          <w:szCs w:val="18"/>
        </w:rPr>
      </w:r>
    </w:p>
    <w:p>
      <w:pPr>
        <w:pStyle w:val="BodyText"/>
        <w:spacing w:line="319" w:lineRule="auto" w:before="59"/>
        <w:ind w:left="154" w:right="1131" w:firstLine="450"/>
        <w:jc w:val="both"/>
      </w:pPr>
      <w:r>
        <w:rPr/>
        <w:t>以提升消费者购物体验为导向，区分不同类型和风格的渠道店铺，匹配相应的专业化组织，深度满足消费者差异化的 </w:t>
      </w:r>
      <w:r>
        <w:rPr>
          <w:spacing w:val="-2"/>
        </w:rPr>
        <w:t>消费需求。在建立专业化产品及零售组织的基础上，深入推动相匹配的绩效文化，使企划、设计、生产、商品、物流、零售</w:t>
      </w:r>
      <w:r>
        <w:rPr>
          <w:spacing w:val="-68"/>
        </w:rPr>
        <w:t> </w:t>
      </w:r>
      <w:r>
        <w:rPr>
          <w:spacing w:val="-68"/>
        </w:rPr>
      </w:r>
      <w:r>
        <w:rPr>
          <w:spacing w:val="-2"/>
        </w:rPr>
        <w:t>等组织为共同的绩效目标承担责任，并分享所创造的利润。专业化组织能力的提升，将继续有效提高各类直营店铺的经营绩</w:t>
      </w:r>
      <w:r>
        <w:rPr>
          <w:spacing w:val="-66"/>
        </w:rPr>
        <w:t> </w:t>
      </w:r>
      <w:r>
        <w:rPr>
          <w:spacing w:val="-66"/>
        </w:rPr>
      </w:r>
      <w:r>
        <w:rPr>
          <w:spacing w:val="-2"/>
        </w:rPr>
        <w:t>效，同时公司将加大对加盟渠道的投入和支持，提升加盟渠道的店铺形象和购物体验，并充分复制直营管理经验，扭转加盟</w:t>
      </w:r>
      <w:r>
        <w:rPr>
          <w:spacing w:val="-66"/>
        </w:rPr>
        <w:t> </w:t>
      </w:r>
      <w:r>
        <w:rPr>
          <w:spacing w:val="-66"/>
        </w:rPr>
      </w:r>
      <w:r>
        <w:rPr/>
        <w:t>业绩下滑的不利局面。</w:t>
      </w:r>
    </w:p>
    <w:p>
      <w:pPr>
        <w:spacing w:line="240" w:lineRule="auto" w:before="7"/>
        <w:rPr>
          <w:rFonts w:ascii="宋体" w:hAnsi="宋体" w:cs="宋体" w:eastAsia="宋体" w:hint="default"/>
          <w:sz w:val="20"/>
          <w:szCs w:val="20"/>
        </w:rPr>
      </w:pPr>
    </w:p>
    <w:p>
      <w:pPr>
        <w:pStyle w:val="Heading2"/>
        <w:spacing w:line="240" w:lineRule="auto"/>
        <w:ind w:left="154" w:right="0"/>
        <w:jc w:val="both"/>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51" w:footer="979" w:top="13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ind w:right="978"/>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11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上市几年来，公司的分红政策一直较为稳定，每年的股利支付率基本维持在当年每股利润</w:t>
      </w:r>
      <w:r>
        <w:rPr>
          <w:rFonts w:ascii="Times New Roman" w:hAnsi="Times New Roman" w:cs="Times New Roman" w:eastAsia="Times New Roman" w:hint="default"/>
          <w:spacing w:val="-1"/>
        </w:rPr>
        <w:t>70%</w:t>
      </w:r>
      <w:r>
        <w:rPr>
          <w:spacing w:val="-1"/>
        </w:rPr>
        <w:t>的水平。公司制定当年利</w:t>
      </w:r>
    </w:p>
    <w:p>
      <w:pPr>
        <w:pStyle w:val="BodyText"/>
        <w:spacing w:line="217" w:lineRule="exact"/>
        <w:ind w:right="0"/>
        <w:jc w:val="left"/>
      </w:pPr>
      <w:r>
        <w:rPr/>
        <w:t>润分配政策须经董事会讨论审议，在审议之前独立董事针对当年经营业绩实现情况、公司整体现金流情况对具体利润分配方</w:t>
      </w:r>
    </w:p>
    <w:p>
      <w:pPr>
        <w:pStyle w:val="BodyText"/>
        <w:spacing w:line="314" w:lineRule="auto" w:before="76"/>
        <w:ind w:right="1033"/>
        <w:jc w:val="left"/>
      </w:pPr>
      <w:r>
        <w:rPr/>
        <w:t>案进行了认真思考并在董事会上审慎的发表意见；在年度股东大会上，公司广大中小股东能够针对此项议案充分发表意见，</w:t>
      </w:r>
      <w:r>
        <w:rPr>
          <w:spacing w:val="-85"/>
        </w:rPr>
        <w:t> </w:t>
      </w:r>
      <w:r>
        <w:rPr>
          <w:spacing w:val="-85"/>
        </w:rPr>
      </w:r>
      <w:r>
        <w:rPr>
          <w:spacing w:val="-2"/>
        </w:rPr>
        <w:t>维护自身合法权益。为进一步保障广大股东权益，根据中国证监会《关于进一步落实上市公司现金分红有关事项的通知》的</w:t>
      </w:r>
      <w:r>
        <w:rPr>
          <w:spacing w:val="-65"/>
        </w:rPr>
        <w:t> </w:t>
      </w:r>
      <w:r>
        <w:rPr>
          <w:spacing w:val="-65"/>
        </w:rPr>
      </w:r>
      <w:r>
        <w:rPr/>
        <w:t>要求，公司于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月份召开董事会对现行《公司章程》中有关利润分配政策的相关条款进行修改，包括利润分配形式、 </w:t>
      </w:r>
      <w:r>
        <w:rPr>
          <w:spacing w:val="-2"/>
        </w:rPr>
        <w:t>现金分红的具体条件和比例、未分配利润的使用原则等具体政策。《公司章程》明确规定公司应每年原则上进行一次利润分</w:t>
      </w:r>
      <w:r>
        <w:rPr>
          <w:spacing w:val="-65"/>
        </w:rPr>
        <w:t> </w:t>
      </w:r>
      <w:r>
        <w:rPr>
          <w:spacing w:val="-65"/>
        </w:rPr>
      </w:r>
      <w:r>
        <w:rPr>
          <w:spacing w:val="-2"/>
        </w:rPr>
        <w:t>配。公司董事会可以根据公司盈利情况及资金需求状况提议公司进行中期分红并提交公司股东大会批准。在公司盈利且现金</w:t>
      </w:r>
      <w:r>
        <w:rPr>
          <w:spacing w:val="-64"/>
        </w:rPr>
        <w:t> </w:t>
      </w:r>
      <w:r>
        <w:rPr>
          <w:spacing w:val="-64"/>
        </w:rPr>
      </w:r>
      <w:r>
        <w:rPr>
          <w:spacing w:val="-2"/>
        </w:rPr>
        <w:t>能满足持续经营和长期发展的情况下，公司应保持权益分派政策的连续性与稳定性，原则上每年以现金方式分配的利润应不</w:t>
      </w:r>
      <w:r>
        <w:rPr>
          <w:spacing w:val="-64"/>
        </w:rPr>
        <w:t> </w:t>
      </w:r>
      <w:r>
        <w:rPr>
          <w:spacing w:val="-64"/>
        </w:rPr>
      </w:r>
      <w:r>
        <w:rPr/>
        <w:t>低于当年实现的可分配利润的</w:t>
      </w:r>
      <w:r>
        <w:rPr>
          <w:rFonts w:ascii="Times New Roman" w:hAnsi="Times New Roman" w:cs="Times New Roman" w:eastAsia="Times New Roman" w:hint="default"/>
        </w:rPr>
        <w:t>20%</w:t>
      </w:r>
      <w:r>
        <w:rPr/>
        <w:t>，近三年公司以现金方式累计分配的利润不少于该三年实现的年均可分配的利润的</w:t>
      </w:r>
      <w:r>
        <w:rPr>
          <w:rFonts w:ascii="Times New Roman" w:hAnsi="Times New Roman" w:cs="Times New Roman" w:eastAsia="Times New Roman" w:hint="default"/>
        </w:rPr>
        <w:t>30%</w:t>
      </w:r>
      <w:r>
        <w:rPr/>
        <w:t>。</w:t>
      </w:r>
    </w:p>
    <w:p>
      <w:pPr>
        <w:spacing w:line="240" w:lineRule="auto" w:before="1"/>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6782"/>
        <w:gridCol w:w="2775"/>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left="527" w:right="0" w:hanging="37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t>公司第三届董事会第二次会议审议通过</w:t>
      </w:r>
      <w:r>
        <w:rPr>
          <w:rFonts w:ascii="Times New Roman" w:hAnsi="Times New Roman" w:cs="Times New Roman" w:eastAsia="Times New Roman" w:hint="default"/>
        </w:rPr>
        <w:t>2013</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月末公司总股本</w:t>
      </w:r>
      <w:r>
        <w:rPr>
          <w:rFonts w:ascii="Times New Roman" w:hAnsi="Times New Roman" w:cs="Times New Roman" w:eastAsia="Times New Roman" w:hint="default"/>
        </w:rPr>
        <w:t>1,011,000,000</w:t>
      </w:r>
      <w:r>
        <w:rPr/>
        <w:t>股为基数，向</w:t>
      </w:r>
    </w:p>
    <w:p>
      <w:pPr>
        <w:pStyle w:val="BodyText"/>
        <w:spacing w:line="231" w:lineRule="exact"/>
        <w:ind w:left="154" w:right="0"/>
        <w:jc w:val="left"/>
      </w:pPr>
      <w:r>
        <w:rPr/>
        <w:t>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2.8</w:t>
      </w:r>
      <w:r>
        <w:rPr/>
        <w:t>元（含税），本次利润分配</w:t>
      </w:r>
      <w:r>
        <w:rPr>
          <w:rFonts w:ascii="Times New Roman" w:hAnsi="Times New Roman" w:cs="Times New Roman" w:eastAsia="Times New Roman" w:hint="default"/>
        </w:rPr>
        <w:t>283,080,000</w:t>
      </w:r>
      <w:r>
        <w:rPr/>
        <w:t>元，利润分配后，剩余未分配利润转入下一年度。</w:t>
      </w:r>
    </w:p>
    <w:p>
      <w:pPr>
        <w:pStyle w:val="BodyText"/>
        <w:spacing w:line="300" w:lineRule="auto" w:before="101"/>
        <w:ind w:right="1129" w:firstLine="289"/>
        <w:jc w:val="both"/>
      </w:pPr>
      <w:r>
        <w:rPr/>
        <w:t>公司第三届董事会第八次会议审议通过</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月末公司总股本</w:t>
      </w:r>
      <w:r>
        <w:rPr>
          <w:rFonts w:ascii="Times New Roman" w:hAnsi="Times New Roman" w:cs="Times New Roman" w:eastAsia="Times New Roman" w:hint="default"/>
        </w:rPr>
        <w:t>1,011,000,000</w:t>
      </w:r>
      <w:r>
        <w:rPr/>
        <w:t>股为基数，向 </w:t>
      </w:r>
      <w:r>
        <w:rPr>
          <w:spacing w:val="-2"/>
        </w:rPr>
        <w:t>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股，派发现金</w:t>
      </w:r>
      <w:r>
        <w:rPr>
          <w:rFonts w:ascii="Times New Roman" w:hAnsi="Times New Roman" w:cs="Times New Roman" w:eastAsia="Times New Roman" w:hint="default"/>
          <w:spacing w:val="-2"/>
        </w:rPr>
        <w:t>1</w:t>
      </w:r>
      <w:r>
        <w:rPr>
          <w:spacing w:val="-2"/>
        </w:rPr>
        <w:t>元（含税），本次利润分配</w:t>
      </w:r>
      <w:r>
        <w:rPr>
          <w:rFonts w:ascii="Times New Roman" w:hAnsi="Times New Roman" w:cs="Times New Roman" w:eastAsia="Times New Roman" w:hint="default"/>
          <w:spacing w:val="-2"/>
        </w:rPr>
        <w:t>606,600,000</w:t>
      </w:r>
      <w:r>
        <w:rPr>
          <w:spacing w:val="-2"/>
        </w:rPr>
        <w:t>元，利润分配后，剩余未分配利润转入下一年</w:t>
      </w:r>
      <w:r>
        <w:rPr>
          <w:spacing w:val="-57"/>
        </w:rPr>
        <w:t> </w:t>
      </w:r>
      <w:r>
        <w:rPr>
          <w:spacing w:val="-57"/>
        </w:rPr>
      </w:r>
      <w:r>
        <w:rPr>
          <w:spacing w:val="-5"/>
        </w:rPr>
        <w:t>度；同时以资本公积向全体股东每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9</w:t>
      </w:r>
      <w:r>
        <w:rPr>
          <w:spacing w:val="-5"/>
        </w:rPr>
        <w:t>股，以盈余公积向全体股东每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w:t>
      </w:r>
      <w:r>
        <w:rPr>
          <w:spacing w:val="-5"/>
        </w:rPr>
        <w:t>股。转增后，公司资本公积减少</w:t>
      </w:r>
      <w:r>
        <w:rPr>
          <w:rFonts w:ascii="Times New Roman" w:hAnsi="Times New Roman" w:cs="Times New Roman" w:eastAsia="Times New Roman" w:hint="default"/>
          <w:spacing w:val="-5"/>
        </w:rPr>
        <w:t>909,900</w:t>
      </w:r>
      <w:r>
        <w:rPr>
          <w:spacing w:val="-5"/>
        </w:rPr>
        <w:t>，</w:t>
      </w:r>
      <w:r>
        <w:rPr/>
        <w:t> </w:t>
      </w:r>
      <w:r>
        <w:rPr>
          <w:rFonts w:ascii="Times New Roman" w:hAnsi="Times New Roman" w:cs="Times New Roman" w:eastAsia="Times New Roman" w:hint="default"/>
        </w:rPr>
        <w:t>000</w:t>
      </w:r>
      <w:r>
        <w:rPr/>
        <w:t>元，盈余公积减少</w:t>
      </w:r>
      <w:r>
        <w:rPr>
          <w:rFonts w:ascii="Times New Roman" w:hAnsi="Times New Roman" w:cs="Times New Roman" w:eastAsia="Times New Roman" w:hint="default"/>
        </w:rPr>
        <w:t>101,100,000</w:t>
      </w:r>
      <w:r>
        <w:rPr/>
        <w:t>元。</w:t>
      </w:r>
    </w:p>
    <w:p>
      <w:pPr>
        <w:pStyle w:val="BodyText"/>
        <w:spacing w:line="302" w:lineRule="auto" w:before="52"/>
        <w:ind w:right="1132" w:firstLine="360"/>
        <w:jc w:val="both"/>
      </w:pPr>
      <w:r>
        <w:rPr>
          <w:spacing w:val="-2"/>
        </w:rPr>
        <w:t>公司第三届董事会第十六次会议审议通过</w:t>
      </w:r>
      <w:r>
        <w:rPr>
          <w:rFonts w:ascii="Times New Roman" w:hAnsi="Times New Roman" w:cs="Times New Roman" w:eastAsia="Times New Roman" w:hint="default"/>
          <w:spacing w:val="-2"/>
        </w:rPr>
        <w:t>2015</w:t>
      </w:r>
      <w:r>
        <w:rPr>
          <w:spacing w:val="-2"/>
        </w:rPr>
        <w:t>年度利润分配方案：鉴于公司</w:t>
      </w:r>
      <w:r>
        <w:rPr>
          <w:rFonts w:ascii="Times New Roman" w:hAnsi="Times New Roman" w:cs="Times New Roman" w:eastAsia="Times New Roman" w:hint="default"/>
          <w:spacing w:val="-2"/>
        </w:rPr>
        <w:t>2015</w:t>
      </w:r>
      <w:r>
        <w:rPr>
          <w:spacing w:val="-2"/>
        </w:rPr>
        <w:t>年度亏损，为保证公司的稳定发展，基</w:t>
      </w:r>
      <w:r>
        <w:rPr/>
        <w:t> 于对股东长远利益的考虑，公司</w:t>
      </w:r>
      <w:r>
        <w:rPr>
          <w:rFonts w:ascii="Times New Roman" w:hAnsi="Times New Roman" w:cs="Times New Roman" w:eastAsia="Times New Roman" w:hint="default"/>
        </w:rPr>
        <w:t>2015</w:t>
      </w:r>
      <w:r>
        <w:rPr/>
        <w:t>年度拟不派发现金红利，不送红股，不以公积金转增股本。</w:t>
      </w:r>
    </w:p>
    <w:p>
      <w:pPr>
        <w:spacing w:line="240" w:lineRule="auto" w:before="4"/>
        <w:rPr>
          <w:rFonts w:ascii="宋体" w:hAnsi="宋体" w:cs="宋体" w:eastAsia="宋体" w:hint="default"/>
          <w:sz w:val="27"/>
          <w:szCs w:val="27"/>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949"/>
        <w:gridCol w:w="2020"/>
        <w:gridCol w:w="1168"/>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9"/>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03"/>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9"/>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949"/>
        <w:gridCol w:w="2020"/>
        <w:gridCol w:w="116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-431,921,501.00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101,100,000.00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283,080,000.00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405,476,364.00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1"/>
      <w:bookmarkEnd w:id="61"/>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股东、实际控制人、收购人、董事、监事、高级管理人员或其他关联方在报告期" w:id="63"/>
      <w:bookmarkEnd w:id="63"/>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71"/>
        <w:gridCol w:w="1003"/>
        <w:gridCol w:w="425"/>
        <w:gridCol w:w="4821"/>
        <w:gridCol w:w="850"/>
        <w:gridCol w:w="380"/>
        <w:gridCol w:w="1108"/>
      </w:tblGrid>
      <w:tr>
        <w:trPr>
          <w:trHeight w:val="317" w:hRule="exact"/>
        </w:trPr>
        <w:tc>
          <w:tcPr>
            <w:tcW w:w="971"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1"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3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5" w:right="92"/>
              <w:jc w:val="both"/>
              <w:rPr>
                <w:rFonts w:ascii="宋体" w:hAnsi="宋体" w:cs="宋体" w:eastAsia="宋体" w:hint="default"/>
                <w:sz w:val="18"/>
                <w:szCs w:val="18"/>
              </w:rPr>
            </w:pPr>
            <w:r>
              <w:rPr>
                <w:rFonts w:ascii="宋体" w:hAnsi="宋体" w:cs="宋体" w:eastAsia="宋体" w:hint="default"/>
                <w:sz w:val="18"/>
                <w:szCs w:val="18"/>
              </w:rPr>
              <w:t>承 诺 期 限</w:t>
            </w:r>
          </w:p>
        </w:tc>
        <w:tc>
          <w:tcPr>
            <w:tcW w:w="110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71"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821"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08"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0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48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380" w:type="dxa"/>
            <w:vMerge/>
            <w:tcBorders>
              <w:left w:val="single" w:sz="4" w:space="0" w:color="000000"/>
              <w:right w:val="single" w:sz="4" w:space="0" w:color="000000"/>
            </w:tcBorders>
            <w:shd w:val="clear" w:color="auto" w:fill="D2D2D2"/>
          </w:tcPr>
          <w:p>
            <w:pPr/>
          </w:p>
        </w:tc>
        <w:tc>
          <w:tcPr>
            <w:tcW w:w="11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 w:hRule="exact"/>
        </w:trPr>
        <w:tc>
          <w:tcPr>
            <w:tcW w:w="971" w:type="dxa"/>
            <w:vMerge w:val="restart"/>
            <w:tcBorders>
              <w:top w:val="nil" w:sz="6" w:space="0" w:color="auto"/>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821"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80" w:type="dxa"/>
            <w:vMerge/>
            <w:tcBorders>
              <w:left w:val="single" w:sz="4" w:space="0" w:color="000000"/>
              <w:right w:val="single" w:sz="4" w:space="0" w:color="000000"/>
            </w:tcBorders>
            <w:shd w:val="clear" w:color="auto" w:fill="D2D2D2"/>
          </w:tcPr>
          <w:p>
            <w:pPr/>
          </w:p>
        </w:tc>
        <w:tc>
          <w:tcPr>
            <w:tcW w:w="1108"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97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80" w:type="dxa"/>
            <w:vMerge/>
            <w:tcBorders>
              <w:left w:val="single" w:sz="4" w:space="0" w:color="000000"/>
              <w:bottom w:val="single" w:sz="4" w:space="0" w:color="000000"/>
              <w:right w:val="single" w:sz="4" w:space="0" w:color="000000"/>
            </w:tcBorders>
            <w:shd w:val="clear" w:color="auto" w:fill="D2D2D2"/>
          </w:tcPr>
          <w:p>
            <w:pPr/>
          </w:p>
        </w:tc>
        <w:tc>
          <w:tcPr>
            <w:tcW w:w="11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7"/>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003"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454"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60" w:lineRule="auto"/>
              <w:ind w:left="28" w:right="56"/>
              <w:jc w:val="left"/>
              <w:rPr>
                <w:rFonts w:ascii="宋体" w:hAnsi="宋体" w:cs="宋体" w:eastAsia="宋体" w:hint="default"/>
                <w:sz w:val="18"/>
                <w:szCs w:val="18"/>
              </w:rPr>
            </w:pPr>
            <w:r>
              <w:rPr>
                <w:rFonts w:ascii="宋体" w:hAnsi="宋体" w:cs="宋体" w:eastAsia="宋体" w:hint="default"/>
                <w:sz w:val="18"/>
                <w:szCs w:val="18"/>
              </w:rPr>
              <w:t>华服投资、 周成建、 胡佳佳</w:t>
            </w:r>
          </w:p>
        </w:tc>
        <w:tc>
          <w:tcPr>
            <w:tcW w:w="425" w:type="dxa"/>
            <w:vMerge w:val="restart"/>
            <w:tcBorders>
              <w:top w:val="single" w:sz="4" w:space="0" w:color="000000"/>
              <w:left w:val="single" w:sz="4" w:space="0" w:color="000000"/>
              <w:right w:val="single" w:sz="4" w:space="0" w:color="000000"/>
            </w:tcBorders>
          </w:tcPr>
          <w:p>
            <w:pPr/>
          </w:p>
        </w:tc>
        <w:tc>
          <w:tcPr>
            <w:tcW w:w="4821"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公司控股股东华服投资、股东胡佳佳及实际控制人周成建于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日分别签署《避免同业竞争承诺函》，承诺其</w:t>
            </w:r>
            <w:r>
              <w:rPr>
                <w:rFonts w:ascii="宋体" w:hAnsi="宋体" w:cs="宋体" w:eastAsia="宋体" w:hint="default"/>
                <w:sz w:val="18"/>
                <w:szCs w:val="18"/>
              </w:rPr>
              <w:t> 自身、以及其参与投资的企业截至承诺函签署日没有以任何 形式从事与本公司及本公司的控股企业的主营业务构成或可 能构成直接或间接竞争关系的业务或活动；未来也不以任何 形式直接或间接从事任何与本公司或本公司的控股企业主营 业务构成或可能构成直接或间接竞争关系的业务或活动，或 于该等业务中持有权益或利益。</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64"/>
              <w:jc w:val="both"/>
              <w:rPr>
                <w:rFonts w:ascii="宋体" w:hAnsi="宋体" w:cs="宋体" w:eastAsia="宋体" w:hint="default"/>
                <w:sz w:val="18"/>
                <w:szCs w:val="18"/>
              </w:rPr>
            </w:pPr>
            <w:r>
              <w:rPr>
                <w:rFonts w:ascii="宋体" w:hAnsi="宋体" w:cs="宋体" w:eastAsia="宋体" w:hint="default"/>
                <w:sz w:val="18"/>
                <w:szCs w:val="18"/>
              </w:rPr>
              <w:t>无 限 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1015"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47"/>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003"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482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80"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16" w:hRule="exact"/>
        </w:trPr>
        <w:tc>
          <w:tcPr>
            <w:tcW w:w="971"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82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80"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338" w:hRule="exact"/>
        </w:trPr>
        <w:tc>
          <w:tcPr>
            <w:tcW w:w="971"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57" w:lineRule="auto"/>
              <w:ind w:left="34" w:right="56"/>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05"/>
              <w:jc w:val="both"/>
              <w:rPr>
                <w:rFonts w:ascii="宋体" w:hAnsi="宋体" w:cs="宋体" w:eastAsia="宋体" w:hint="default"/>
                <w:sz w:val="18"/>
                <w:szCs w:val="18"/>
              </w:rPr>
            </w:pPr>
            <w:r>
              <w:rPr>
                <w:rFonts w:ascii="宋体" w:hAnsi="宋体" w:cs="宋体" w:eastAsia="宋体" w:hint="default"/>
                <w:sz w:val="18"/>
                <w:szCs w:val="18"/>
              </w:rPr>
              <w:t>公司实际控制人周成建和控股股东华服投资承诺：若发生税 收优惠被追缴的情况，将承担被追缴的税款和因此所产生的 所有相关费用。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64"/>
              <w:jc w:val="both"/>
              <w:rPr>
                <w:rFonts w:ascii="宋体" w:hAnsi="宋体" w:cs="宋体" w:eastAsia="宋体" w:hint="default"/>
                <w:sz w:val="18"/>
                <w:szCs w:val="18"/>
              </w:rPr>
            </w:pPr>
            <w:r>
              <w:rPr>
                <w:rFonts w:ascii="宋体" w:hAnsi="宋体" w:cs="宋体" w:eastAsia="宋体" w:hint="default"/>
                <w:sz w:val="18"/>
                <w:szCs w:val="18"/>
              </w:rPr>
              <w:t>无 限 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股权激励承</w:t>
            </w:r>
          </w:p>
        </w:tc>
        <w:tc>
          <w:tcPr>
            <w:tcW w:w="1003"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3"/>
        <w:gridCol w:w="992"/>
        <w:gridCol w:w="425"/>
        <w:gridCol w:w="4821"/>
        <w:gridCol w:w="850"/>
        <w:gridCol w:w="380"/>
        <w:gridCol w:w="1108"/>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23" w:right="56"/>
              <w:jc w:val="left"/>
              <w:rPr>
                <w:rFonts w:ascii="宋体" w:hAnsi="宋体" w:cs="宋体" w:eastAsia="宋体" w:hint="default"/>
                <w:sz w:val="18"/>
                <w:szCs w:val="18"/>
              </w:rPr>
            </w:pPr>
            <w:r>
              <w:rPr>
                <w:rFonts w:ascii="宋体" w:hAnsi="宋体" w:cs="宋体" w:eastAsia="宋体" w:hint="default"/>
                <w:sz w:val="18"/>
                <w:szCs w:val="18"/>
              </w:rPr>
              <w:t>华服投资、 胡佳佳</w:t>
            </w: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日起的六个月内不减持公司股份。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日，该</w:t>
            </w:r>
            <w:r>
              <w:rPr>
                <w:rFonts w:ascii="宋体" w:hAnsi="宋体" w:cs="宋体" w:eastAsia="宋体" w:hint="default"/>
                <w:sz w:val="18"/>
                <w:szCs w:val="18"/>
              </w:rPr>
              <w:t> 承诺履行完 毕</w:t>
            </w:r>
          </w:p>
        </w:tc>
      </w:tr>
      <w:tr>
        <w:trPr>
          <w:trHeight w:val="165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华服投资、 周成建及其 一致行动 人、公司董 监高</w:t>
            </w:r>
          </w:p>
        </w:tc>
        <w:tc>
          <w:tcPr>
            <w:tcW w:w="425"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日起六个月内，根据中国证监会和深圳证券 交易所的有关规定，拟通过深圳证券交易所证券交易系统允 许的方式（包括但不限于集中竞价和大宗交易等）增持本公 司股份，合计增持股份数量不超过公司当前总股本的</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，增</w:t>
            </w:r>
            <w:r>
              <w:rPr>
                <w:rFonts w:ascii="宋体" w:hAnsi="宋体" w:cs="宋体" w:eastAsia="宋体" w:hint="default"/>
                <w:spacing w:val="-11"/>
                <w:sz w:val="18"/>
                <w:szCs w:val="18"/>
              </w:rPr>
              <w:t> </w:t>
            </w:r>
            <w:r>
              <w:rPr>
                <w:rFonts w:ascii="宋体" w:hAnsi="宋体" w:cs="宋体" w:eastAsia="宋体" w:hint="default"/>
                <w:sz w:val="18"/>
                <w:szCs w:val="18"/>
              </w:rPr>
              <w:t>持资金不超过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亿元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3"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告披露日，该</w:t>
            </w:r>
            <w:r>
              <w:rPr>
                <w:rFonts w:ascii="宋体" w:hAnsi="宋体" w:cs="宋体" w:eastAsia="宋体" w:hint="default"/>
                <w:sz w:val="18"/>
                <w:szCs w:val="18"/>
              </w:rPr>
              <w:t> 承诺履行完 毕</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5"/>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t>公司报告期无重大会计差错更正需追溯重述的情况。</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报告期内，公司设立如下全资子公司：上海潮范电子商务有限公司、上海美潮国际贸易有限公司、有范网络科技有限公司。</w:t>
      </w:r>
      <w:r>
        <w:rPr>
          <w:spacing w:val="-85"/>
        </w:rPr>
        <w:t> </w:t>
      </w:r>
      <w:r>
        <w:rPr>
          <w:spacing w:val="-85"/>
        </w:rPr>
      </w:r>
      <w:r>
        <w:rPr/>
        <w:t>以上公司自设立之后纳入本公司合并财务报表的合并范围。 报告期内，公司注销子公司</w:t>
      </w:r>
      <w:r>
        <w:rPr>
          <w:rFonts w:ascii="Times New Roman" w:hAnsi="Times New Roman" w:cs="Times New Roman" w:eastAsia="Times New Roman" w:hint="default"/>
        </w:rPr>
        <w:t>“</w:t>
      </w:r>
      <w:r>
        <w:rPr/>
        <w:t>岳阳美特斯邦威服饰有限公司</w:t>
      </w:r>
      <w:r>
        <w:rPr>
          <w:rFonts w:ascii="Times New Roman" w:hAnsi="Times New Roman" w:cs="Times New Roman" w:eastAsia="Times New Roman" w:hint="default"/>
        </w:rPr>
        <w:t>”</w:t>
      </w:r>
      <w:r>
        <w:rPr/>
        <w:t>，该公司自注销后不再纳入本公司合并财务报表的合并范围。 除以上事项之外，合并财务报表范围与上年度一致。</w:t>
      </w:r>
    </w:p>
    <w:p>
      <w:pPr>
        <w:spacing w:line="240" w:lineRule="auto" w:before="8"/>
        <w:rPr>
          <w:rFonts w:ascii="宋体" w:hAnsi="宋体" w:cs="宋体" w:eastAsia="宋体" w:hint="default"/>
          <w:sz w:val="20"/>
          <w:szCs w:val="20"/>
        </w:rPr>
      </w:pPr>
    </w:p>
    <w:p>
      <w:pPr>
        <w:pStyle w:val="Heading2"/>
        <w:spacing w:line="240" w:lineRule="auto"/>
        <w:ind w:left="154"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30"/>
        <w:gridCol w:w="4039"/>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张炯、何凝</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38"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154" w:right="0"/>
        <w:jc w:val="both"/>
        <w:rPr>
          <w:b w:val="0"/>
          <w:bCs w:val="0"/>
        </w:rPr>
      </w:pPr>
      <w:bookmarkStart w:name="十三、处罚及整改情况" w:id="74"/>
      <w:bookmarkEnd w:id="74"/>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31"/>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日分别召开第二届董事会第十九次会议和第二届监事会第十七次会议，审议通过了《﹤限制性</w:t>
      </w:r>
      <w:r>
        <w:rPr>
          <w:spacing w:val="-83"/>
        </w:rPr>
        <w:t> </w:t>
      </w:r>
      <w:r>
        <w:rPr>
          <w:spacing w:val="-83"/>
        </w:rPr>
      </w:r>
      <w:r>
        <w:rPr/>
        <w:t>股票激励计划（草案）﹥及其摘要》，公司独立董事对此发表了独立意见。其后公司向中国证监会上报了申请备案材料。</w:t>
      </w:r>
    </w:p>
    <w:p>
      <w:pPr>
        <w:pStyle w:val="BodyText"/>
        <w:spacing w:line="309" w:lineRule="auto" w:before="31"/>
        <w:ind w:left="154" w:right="1132"/>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日，公司召开第二届董事会第二十次会议和第二届监事会第十八次会议，根据中国证监会的反馈意见，</w:t>
      </w:r>
      <w:r>
        <w:rPr>
          <w:spacing w:val="-88"/>
        </w:rPr>
        <w:t> </w:t>
      </w:r>
      <w:r>
        <w:rPr>
          <w:spacing w:val="-88"/>
        </w:rPr>
      </w:r>
      <w:r>
        <w:rPr>
          <w:spacing w:val="-2"/>
        </w:rPr>
        <w:t>公司对《限制性股票激励计划（草案）》进行了修订，本次会议审议通过了《﹤限制性股票激励计划（草案修订稿）﹥及其</w:t>
      </w:r>
      <w:r>
        <w:rPr>
          <w:spacing w:val="-67"/>
        </w:rPr>
        <w:t> </w:t>
      </w:r>
      <w:r>
        <w:rPr>
          <w:spacing w:val="-67"/>
        </w:rPr>
      </w:r>
      <w:r>
        <w:rPr/>
        <w:t>摘要》，公司独立董事对此发表了独立意见。</w:t>
      </w:r>
    </w:p>
    <w:p>
      <w:pPr>
        <w:pStyle w:val="BodyText"/>
        <w:spacing w:line="312" w:lineRule="auto" w:before="24"/>
        <w:ind w:right="1132"/>
        <w:jc w:val="both"/>
      </w:pPr>
      <w:r>
        <w:rPr>
          <w:spacing w:val="-5"/>
        </w:rPr>
        <w:t>（</w:t>
      </w:r>
      <w:r>
        <w:rPr>
          <w:rFonts w:ascii="Times New Roman" w:hAnsi="Times New Roman" w:cs="Times New Roman" w:eastAsia="Times New Roman" w:hint="default"/>
          <w:spacing w:val="-5"/>
        </w:rPr>
        <w:t>3</w:t>
      </w:r>
      <w:r>
        <w:rPr>
          <w:spacing w:val="-5"/>
        </w:rPr>
        <w:t>）、激励计划经中国证监会备案无异议后，公司于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10</w:t>
      </w:r>
      <w:r>
        <w:rPr>
          <w:spacing w:val="-5"/>
        </w:rPr>
        <w:t>日召开了</w:t>
      </w:r>
      <w:r>
        <w:rPr>
          <w:rFonts w:ascii="Times New Roman" w:hAnsi="Times New Roman" w:cs="Times New Roman" w:eastAsia="Times New Roman" w:hint="default"/>
          <w:spacing w:val="-5"/>
        </w:rPr>
        <w:t>2014</w:t>
      </w:r>
      <w:r>
        <w:rPr>
          <w:spacing w:val="-5"/>
        </w:rPr>
        <w:t>年第一次临时股东大会，会议审议通过了《限</w:t>
      </w:r>
      <w:r>
        <w:rPr>
          <w:spacing w:val="-49"/>
        </w:rPr>
        <w:t> </w:t>
      </w:r>
      <w:r>
        <w:rPr>
          <w:spacing w:val="-49"/>
        </w:rPr>
      </w:r>
      <w:r>
        <w:rPr>
          <w:spacing w:val="-2"/>
        </w:rPr>
        <w:t>制性股票激励计划（草案修订稿）及其摘要的议案》、《限制性股票激励计划实施考核管理办法的议案》、《关于提请股东</w:t>
      </w:r>
      <w:r>
        <w:rPr>
          <w:spacing w:val="-67"/>
        </w:rPr>
        <w:t> </w:t>
      </w:r>
      <w:r>
        <w:rPr>
          <w:spacing w:val="-67"/>
        </w:rPr>
      </w:r>
      <w:r>
        <w:rPr>
          <w:spacing w:val="-2"/>
        </w:rPr>
        <w:t>大会授权董事会办理公司限制性股票激励计划相关事宜的议案》。董事会被授权确定限制性股票授予日、在激励对象符合条</w:t>
      </w:r>
      <w:r>
        <w:rPr>
          <w:spacing w:val="-66"/>
        </w:rPr>
        <w:t> </w:t>
      </w:r>
      <w:r>
        <w:rPr>
          <w:spacing w:val="-66"/>
        </w:rPr>
      </w:r>
      <w:r>
        <w:rPr/>
        <w:t>件时向激励对象授予限制性股票并办理授予限制性股票所必须的全部事宜。</w:t>
      </w:r>
    </w:p>
    <w:p>
      <w:pPr>
        <w:pStyle w:val="BodyText"/>
        <w:spacing w:line="307" w:lineRule="auto" w:before="22"/>
        <w:ind w:left="154" w:right="1131"/>
        <w:jc w:val="both"/>
      </w:pPr>
      <w:r>
        <w:rPr>
          <w:spacing w:val="-2"/>
        </w:rPr>
        <w:t>（</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日分别召开第三届董事会第一次会议和第三届监事会第一次会议，审议通过了《关于公司限制性</w:t>
      </w:r>
      <w:r>
        <w:rPr>
          <w:spacing w:val="-58"/>
        </w:rPr>
        <w:t> </w:t>
      </w:r>
      <w:r>
        <w:rPr>
          <w:spacing w:val="-58"/>
        </w:rPr>
      </w:r>
      <w:r>
        <w:rPr>
          <w:spacing w:val="-2"/>
        </w:rPr>
        <w:t>股票授予相关事项的议案》，确定本次激励计划的限制性股票授予日为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日；独立董事对本次限制性股票激励计划</w:t>
      </w:r>
      <w:r>
        <w:rPr>
          <w:spacing w:val="-60"/>
        </w:rPr>
        <w:t> </w:t>
      </w:r>
      <w:r>
        <w:rPr>
          <w:spacing w:val="-60"/>
        </w:rPr>
      </w:r>
      <w:r>
        <w:rPr>
          <w:spacing w:val="-2"/>
        </w:rPr>
        <w:t>授予相关事项发表独立意见，认为激励对象主体资格确认办法合法有效，确定的授予日符合相关规定，同意本次限制性股票</w:t>
      </w:r>
      <w:r>
        <w:rPr>
          <w:spacing w:val="-66"/>
        </w:rPr>
        <w:t> </w:t>
      </w:r>
      <w:r>
        <w:rPr>
          <w:spacing w:val="-66"/>
        </w:rPr>
      </w:r>
      <w:r>
        <w:rPr/>
        <w:t>激励的授予日为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日，并同意向符合授予条件的</w:t>
      </w:r>
      <w:r>
        <w:rPr>
          <w:rFonts w:ascii="Times New Roman" w:hAnsi="Times New Roman" w:cs="Times New Roman" w:eastAsia="Times New Roman" w:hint="default"/>
        </w:rPr>
        <w:t>2</w:t>
      </w:r>
      <w:r>
        <w:rPr/>
        <w:t>名激励对象授予</w:t>
      </w:r>
      <w:r>
        <w:rPr>
          <w:rFonts w:ascii="Times New Roman" w:hAnsi="Times New Roman" w:cs="Times New Roman" w:eastAsia="Times New Roman" w:hint="default"/>
        </w:rPr>
        <w:t>600</w:t>
      </w:r>
      <w:r>
        <w:rPr/>
        <w:t>万股限制性股票。</w:t>
      </w:r>
    </w:p>
    <w:p>
      <w:pPr>
        <w:pStyle w:val="BodyText"/>
        <w:spacing w:line="240" w:lineRule="auto" w:before="7"/>
        <w:ind w:right="0"/>
        <w:jc w:val="both"/>
      </w:pPr>
      <w:r>
        <w:rPr/>
        <w:t>（</w:t>
      </w: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日完成了激励计划所涉限制性股票的授予登记工作。</w:t>
      </w:r>
    </w:p>
    <w:p>
      <w:pPr>
        <w:pStyle w:val="BodyText"/>
        <w:spacing w:line="300" w:lineRule="auto" w:before="63"/>
        <w:ind w:right="1129"/>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日，公司召开了第三届董事会第八次会议，审议通过了《限制性股票激励计划部分激励股份回购注销的</w:t>
      </w:r>
      <w:r>
        <w:rPr>
          <w:spacing w:val="-58"/>
        </w:rPr>
        <w:t> </w:t>
      </w:r>
      <w:r>
        <w:rPr>
          <w:spacing w:val="-58"/>
        </w:rPr>
      </w:r>
      <w:r>
        <w:rPr/>
        <w:t>议案》，因公司</w:t>
      </w:r>
      <w:r>
        <w:rPr>
          <w:rFonts w:ascii="Times New Roman" w:hAnsi="Times New Roman" w:cs="Times New Roman" w:eastAsia="Times New Roman" w:hint="default"/>
        </w:rPr>
        <w:t>2014</w:t>
      </w:r>
      <w:r>
        <w:rPr/>
        <w:t>年业绩未达到公司限制性股票激励计划第一个解锁期解锁条件，同意回购并注销</w:t>
      </w:r>
      <w:r>
        <w:rPr>
          <w:rFonts w:ascii="Times New Roman" w:hAnsi="Times New Roman" w:cs="Times New Roman" w:eastAsia="Times New Roman" w:hint="default"/>
        </w:rPr>
        <w:t>2</w:t>
      </w:r>
      <w:r>
        <w:rPr/>
        <w:t>名激励对象第一个解</w:t>
      </w:r>
      <w:r>
        <w:rPr>
          <w:spacing w:val="-82"/>
        </w:rPr>
        <w:t> </w:t>
      </w:r>
      <w:r>
        <w:rPr>
          <w:spacing w:val="-82"/>
        </w:rPr>
      </w:r>
      <w:r>
        <w:rPr>
          <w:spacing w:val="-2"/>
        </w:rPr>
        <w:t>锁期所涉及的已授予但未满足解锁条件的共计</w:t>
      </w:r>
      <w:r>
        <w:rPr>
          <w:rFonts w:ascii="Times New Roman" w:hAnsi="Times New Roman" w:cs="Times New Roman" w:eastAsia="Times New Roman" w:hint="default"/>
          <w:spacing w:val="-2"/>
        </w:rPr>
        <w:t>60</w:t>
      </w:r>
      <w:r>
        <w:rPr>
          <w:spacing w:val="-2"/>
        </w:rPr>
        <w:t>万股限制性股票。本次回购注销完成后，公司限制性股票激励计划将继续按</w:t>
      </w:r>
      <w:r>
        <w:rPr>
          <w:spacing w:val="-62"/>
        </w:rPr>
        <w:t> </w:t>
      </w:r>
      <w:r>
        <w:rPr>
          <w:spacing w:val="-62"/>
        </w:rPr>
      </w:r>
      <w:r>
        <w:rPr/>
        <w:t>照法规要求执行。</w:t>
      </w:r>
    </w:p>
    <w:p>
      <w:pPr>
        <w:pStyle w:val="BodyText"/>
        <w:spacing w:line="300" w:lineRule="auto" w:before="31"/>
        <w:ind w:right="1129"/>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日，公司执行了</w:t>
      </w:r>
      <w:r>
        <w:rPr>
          <w:rFonts w:ascii="Times New Roman" w:hAnsi="Times New Roman" w:cs="Times New Roman" w:eastAsia="Times New Roman" w:hint="default"/>
          <w:spacing w:val="-2"/>
        </w:rPr>
        <w:t>2014</w:t>
      </w:r>
      <w:r>
        <w:rPr>
          <w:spacing w:val="-2"/>
        </w:rPr>
        <w:t>年度利润分配计划，根据《限制性股票激励计划》及公司股东大会的授权，公司董</w:t>
      </w:r>
      <w:r>
        <w:rPr>
          <w:spacing w:val="-58"/>
        </w:rPr>
        <w:t> </w:t>
      </w:r>
      <w:r>
        <w:rPr>
          <w:spacing w:val="-58"/>
        </w:rPr>
      </w:r>
      <w:r>
        <w:rPr/>
        <w:t>事会对公司授予限制性股票价格和数量进行调整，经过本次调整，回购并注销</w:t>
      </w:r>
      <w:r>
        <w:rPr>
          <w:rFonts w:ascii="Times New Roman" w:hAnsi="Times New Roman" w:cs="Times New Roman" w:eastAsia="Times New Roman" w:hint="default"/>
        </w:rPr>
        <w:t>2</w:t>
      </w:r>
      <w:r>
        <w:rPr/>
        <w:t>名激励对象被授予的限制性股票由</w:t>
      </w:r>
      <w:r>
        <w:rPr>
          <w:rFonts w:ascii="Times New Roman" w:hAnsi="Times New Roman" w:cs="Times New Roman" w:eastAsia="Times New Roman" w:hint="default"/>
        </w:rPr>
        <w:t>60</w:t>
      </w:r>
      <w:r>
        <w:rPr/>
        <w:t>万股调</w:t>
      </w:r>
      <w:r>
        <w:rPr>
          <w:spacing w:val="-82"/>
        </w:rPr>
        <w:t> </w:t>
      </w:r>
      <w:r>
        <w:rPr/>
        <w:t>整为</w:t>
      </w:r>
      <w:r>
        <w:rPr>
          <w:rFonts w:ascii="Times New Roman" w:hAnsi="Times New Roman" w:cs="Times New Roman" w:eastAsia="Times New Roman" w:hint="default"/>
        </w:rPr>
        <w:t>150</w:t>
      </w:r>
      <w:r>
        <w:rPr/>
        <w:t>万股，对本次拟回购注销的的回购注销价格由原限制性股票授予价格</w:t>
      </w:r>
      <w:r>
        <w:rPr>
          <w:rFonts w:ascii="Times New Roman" w:hAnsi="Times New Roman" w:cs="Times New Roman" w:eastAsia="Times New Roman" w:hint="default"/>
        </w:rPr>
        <w:t>11.63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4.652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t>月</w:t>
      </w:r>
      <w:r>
        <w:rPr>
          <w:rFonts w:ascii="Times New Roman" w:hAnsi="Times New Roman" w:cs="Times New Roman" w:eastAsia="Times New Roman" w:hint="default"/>
        </w:rPr>
        <w:t>30</w:t>
      </w:r>
      <w:r>
        <w:rPr/>
        <w:t>日，公司已经完成上述回购注销工作，并由安永华明会计师事务所（特殊普通合伙）上海分所出具了验资报告。</w:t>
      </w:r>
    </w:p>
    <w:p>
      <w:pPr>
        <w:spacing w:line="240" w:lineRule="auto" w:before="11"/>
        <w:rPr>
          <w:rFonts w:ascii="宋体" w:hAnsi="宋体" w:cs="宋体" w:eastAsia="宋体" w:hint="default"/>
          <w:sz w:val="24"/>
          <w:szCs w:val="24"/>
        </w:rPr>
      </w:pPr>
    </w:p>
    <w:p>
      <w:pPr>
        <w:pStyle w:val="BodyText"/>
        <w:spacing w:line="240" w:lineRule="auto"/>
        <w:ind w:right="0"/>
        <w:jc w:val="both"/>
      </w:pPr>
      <w:r>
        <w:rPr/>
        <w:t>上述情况的详细内容，请见公司在深圳证券交易所网站及巨潮资讯网（</w:t>
      </w:r>
      <w:hyperlink r:id="rId11">
        <w:r>
          <w:rPr>
            <w:rFonts w:ascii="Times New Roman" w:hAnsi="Times New Roman" w:cs="Times New Roman" w:eastAsia="Times New Roman" w:hint="default"/>
          </w:rPr>
          <w:t>http://www.cninfo.com.cn</w:t>
        </w:r>
      </w:hyperlink>
      <w:r>
        <w:rPr/>
        <w:t>）上发布的相关公告。</w:t>
      </w:r>
    </w:p>
    <w:p>
      <w:pPr>
        <w:spacing w:after="0" w:line="240"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9"/>
          <w:szCs w:val="19"/>
        </w:rPr>
      </w:pPr>
    </w:p>
    <w:p>
      <w:pPr>
        <w:pStyle w:val="Heading2"/>
        <w:spacing w:line="240" w:lineRule="auto" w:before="26"/>
        <w:ind w:left="154"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475"/>
        <w:gridCol w:w="878"/>
        <w:gridCol w:w="706"/>
        <w:gridCol w:w="542"/>
        <w:gridCol w:w="812"/>
        <w:gridCol w:w="674"/>
        <w:gridCol w:w="673"/>
        <w:gridCol w:w="674"/>
        <w:gridCol w:w="428"/>
        <w:gridCol w:w="567"/>
        <w:gridCol w:w="1027"/>
        <w:gridCol w:w="674"/>
        <w:gridCol w:w="637"/>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9" w:right="40"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 w:right="29"/>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7" w:right="59"/>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1" w:right="6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3"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关联 自然 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47,363,56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56.50%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47,363,566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关联 自然 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27,563,99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2,756.4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27,563,991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关联 自然 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8,901,041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8,901,041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同一 控制</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2"/>
              <w:jc w:val="left"/>
              <w:rPr>
                <w:rFonts w:ascii="宋体" w:hAnsi="宋体" w:cs="宋体" w:eastAsia="宋体" w:hint="default"/>
                <w:sz w:val="18"/>
                <w:szCs w:val="18"/>
              </w:rPr>
            </w:pPr>
            <w:r>
              <w:rPr>
                <w:rFonts w:ascii="宋体" w:hAnsi="宋体" w:cs="宋体" w:eastAsia="宋体" w:hint="default"/>
                <w:sz w:val="18"/>
                <w:szCs w:val="18"/>
              </w:rPr>
              <w:t>向关联方 承租房屋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13,415,83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13,415,830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同一 控制</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2"/>
              <w:jc w:val="left"/>
              <w:rPr>
                <w:rFonts w:ascii="宋体" w:hAnsi="宋体" w:cs="宋体" w:eastAsia="宋体" w:hint="default"/>
                <w:sz w:val="18"/>
                <w:szCs w:val="18"/>
              </w:rPr>
            </w:pPr>
            <w:r>
              <w:rPr>
                <w:rFonts w:ascii="宋体" w:hAnsi="宋体" w:cs="宋体" w:eastAsia="宋体" w:hint="default"/>
                <w:sz w:val="18"/>
                <w:szCs w:val="18"/>
              </w:rPr>
              <w:t>向关联方 承租房屋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5,535,810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553.58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5,535,810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2"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22,600</w:t>
            </w:r>
          </w:p>
        </w:tc>
        <w:tc>
          <w:tcPr>
            <w:tcW w:w="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027"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37"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3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没有超出经股东大会批准的本年度关联交易金额范围</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4"/>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3"/>
      <w:bookmarkEnd w:id="93"/>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4"/>
      <w:bookmarkEnd w:id="94"/>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社会责任情况" w:id="95"/>
      <w:bookmarkEnd w:id="95"/>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公司已经披露了《</w:t>
      </w:r>
      <w:r>
        <w:rPr>
          <w:rFonts w:ascii="Times New Roman" w:hAnsi="Times New Roman" w:cs="Times New Roman" w:eastAsia="Times New Roman" w:hint="default"/>
        </w:rPr>
        <w:t>2015</w:t>
      </w:r>
      <w:r>
        <w:rPr/>
        <w:t>年度社会责任报告》，详细内容请登录深圳证券交易所网站（</w:t>
      </w:r>
      <w:hyperlink r:id="rId12">
        <w:r>
          <w:rPr>
            <w:rFonts w:ascii="Times New Roman" w:hAnsi="Times New Roman" w:cs="Times New Roman" w:eastAsia="Times New Roman" w:hint="default"/>
          </w:rPr>
          <w:t>http://www.szse.cn</w:t>
        </w:r>
      </w:hyperlink>
      <w:r>
        <w:rPr/>
        <w:t>）或巨潮资讯网</w:t>
      </w:r>
    </w:p>
    <w:p>
      <w:pPr>
        <w:pStyle w:val="BodyText"/>
        <w:spacing w:line="230" w:lineRule="exact"/>
        <w:ind w:right="0"/>
        <w:jc w:val="left"/>
      </w:pPr>
      <w:r>
        <w:rPr/>
        <w:t>（</w:t>
      </w:r>
      <w:hyperlink r:id="rId11">
        <w:r>
          <w:rPr>
            <w:rFonts w:ascii="Times New Roman" w:hAnsi="Times New Roman" w:cs="Times New Roman" w:eastAsia="Times New Roman" w:hint="default"/>
          </w:rPr>
          <w:t>http://www.cninfo.com.cn</w:t>
        </w:r>
      </w:hyperlink>
      <w:r>
        <w:rPr/>
        <w:t>）进行查询。</w:t>
      </w:r>
    </w:p>
    <w:p>
      <w:pPr>
        <w:pStyle w:val="BodyText"/>
        <w:spacing w:line="240" w:lineRule="auto" w:before="103"/>
        <w:ind w:left="154" w:right="0"/>
        <w:jc w:val="left"/>
      </w:pPr>
      <w:r>
        <w:rPr/>
        <w:t>上市公司及其子公司是否属于国家环境保护部门规定的重污染行业</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Heading2"/>
        <w:spacing w:line="240" w:lineRule="auto" w:before="26"/>
        <w:ind w:left="154" w:right="0"/>
        <w:jc w:val="left"/>
        <w:rPr>
          <w:b w:val="0"/>
          <w:bCs w:val="0"/>
        </w:rPr>
      </w:pPr>
      <w:bookmarkStart w:name="二十一、公司债券相关情况" w:id="96"/>
      <w:bookmarkEnd w:id="96"/>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是</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公司债券基本信息" w:id="97"/>
      <w:bookmarkEnd w:id="97"/>
      <w:r>
        <w:rPr>
          <w:b w:val="0"/>
          <w:bCs w:val="0"/>
        </w:rPr>
      </w:r>
      <w:r>
        <w:rPr>
          <w:rFonts w:ascii="Times New Roman" w:hAnsi="Times New Roman" w:cs="Times New Roman" w:eastAsia="Times New Roman" w:hint="default"/>
        </w:rPr>
        <w:t>1</w:t>
      </w:r>
      <w:r>
        <w:rPr/>
        <w:t>、公司债券基本信息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991"/>
        <w:gridCol w:w="993"/>
        <w:gridCol w:w="1134"/>
        <w:gridCol w:w="1134"/>
        <w:gridCol w:w="994"/>
        <w:gridCol w:w="575"/>
        <w:gridCol w:w="1195"/>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7"/>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上海美特斯邦威服饰股份有限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公司债券（第一期）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美邦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112193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80,000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按年付息到期 一次还本</w:t>
            </w:r>
          </w:p>
        </w:tc>
      </w:tr>
      <w:tr>
        <w:trPr>
          <w:trHeight w:val="40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60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50"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0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年度净利润为负值，自公司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年度报告披露之日对上海美</w:t>
            </w:r>
          </w:p>
          <w:p>
            <w:pPr>
              <w:pStyle w:val="TableParagraph"/>
              <w:spacing w:line="312" w:lineRule="auto" w:before="63"/>
              <w:ind w:left="24" w:right="21"/>
              <w:jc w:val="both"/>
              <w:rPr>
                <w:rFonts w:ascii="宋体" w:hAnsi="宋体" w:cs="宋体" w:eastAsia="宋体" w:hint="default"/>
                <w:sz w:val="18"/>
                <w:szCs w:val="18"/>
              </w:rPr>
            </w:pPr>
            <w:r>
              <w:rPr>
                <w:rFonts w:ascii="宋体" w:hAnsi="宋体" w:cs="宋体" w:eastAsia="宋体" w:hint="default"/>
                <w:sz w:val="18"/>
                <w:szCs w:val="18"/>
              </w:rPr>
              <w:t>特斯邦威服饰股份有限公司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公司债券（第一期）停牌一天（披露日为非</w:t>
            </w:r>
            <w:r>
              <w:rPr>
                <w:rFonts w:ascii="宋体" w:hAnsi="宋体" w:cs="宋体" w:eastAsia="宋体" w:hint="default"/>
                <w:sz w:val="18"/>
                <w:szCs w:val="18"/>
              </w:rPr>
              <w:t> </w:t>
            </w:r>
            <w:r>
              <w:rPr>
                <w:rFonts w:ascii="宋体" w:hAnsi="宋体" w:cs="宋体" w:eastAsia="宋体" w:hint="default"/>
                <w:spacing w:val="-5"/>
                <w:sz w:val="18"/>
                <w:szCs w:val="18"/>
              </w:rPr>
              <w:t>交易日的，于次一交易日停牌一天），自复牌之日起对上述债券交易实行投资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者适当性管理。上述债券被实施投资者适当性管理后，仅限合格投资者可以 买入本债券，原持有债券的公众投资者可以选择持有到期或者卖出债券。</w:t>
            </w:r>
          </w:p>
        </w:tc>
      </w:tr>
      <w:tr>
        <w:trPr>
          <w:trHeight w:val="1650"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60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日公开发行了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份公司债券，每份面值人民</w:t>
            </w:r>
          </w:p>
          <w:p>
            <w:pPr>
              <w:pStyle w:val="TableParagraph"/>
              <w:spacing w:line="300" w:lineRule="auto" w:before="63"/>
              <w:ind w:left="24" w:right="48"/>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年末发行人上 调票面利率选择权及投资者回售选择权。年利率为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7.20%</w:t>
            </w:r>
            <w:r>
              <w:rPr>
                <w:rFonts w:ascii="宋体" w:hAnsi="宋体" w:cs="宋体" w:eastAsia="宋体" w:hint="default"/>
                <w:sz w:val="18"/>
                <w:szCs w:val="18"/>
              </w:rPr>
              <w:t>，该债券按年付息 到期一次还本。本报告期内，公司于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日按期、足额偿付了</w:t>
            </w:r>
          </w:p>
          <w:p>
            <w:pPr>
              <w:pStyle w:val="TableParagraph"/>
              <w:spacing w:line="240" w:lineRule="auto" w:before="1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日期间的利息。</w:t>
            </w:r>
          </w:p>
        </w:tc>
      </w:tr>
      <w:tr>
        <w:trPr>
          <w:trHeight w:val="1026"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公司债券附发行人或投资者选择权条款、可 交换条款等特殊条款的，报告期内相关条款 </w:t>
            </w:r>
            <w:r>
              <w:rPr>
                <w:rFonts w:ascii="宋体" w:hAnsi="宋体" w:cs="宋体" w:eastAsia="宋体" w:hint="default"/>
                <w:spacing w:val="-9"/>
                <w:sz w:val="18"/>
                <w:szCs w:val="18"/>
              </w:rPr>
              <w:t>的执行情况（如适用）。</w:t>
            </w:r>
          </w:p>
        </w:tc>
        <w:tc>
          <w:tcPr>
            <w:tcW w:w="60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报告期内未涉及本条款</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券受托管理人和资信评级机构信息" w:id="98"/>
      <w:bookmarkEnd w:id="98"/>
      <w:r>
        <w:rPr>
          <w:b w:val="0"/>
          <w:bCs w:val="0"/>
        </w:rPr>
      </w: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57"/>
        <w:gridCol w:w="992"/>
        <w:gridCol w:w="850"/>
        <w:gridCol w:w="2983"/>
        <w:gridCol w:w="987"/>
        <w:gridCol w:w="802"/>
        <w:gridCol w:w="1196"/>
        <w:gridCol w:w="1196"/>
      </w:tblGrid>
      <w:tr>
        <w:trPr>
          <w:trHeight w:val="397"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66" w:hRule="exact"/>
        </w:trPr>
        <w:tc>
          <w:tcPr>
            <w:tcW w:w="5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9" w:space="0" w:color="D2D2D2"/>
            </w:tcBorders>
          </w:tcPr>
          <w:p>
            <w:pPr>
              <w:pStyle w:val="TableParagraph"/>
              <w:spacing w:line="316" w:lineRule="auto" w:before="56"/>
              <w:ind w:left="16" w:right="51"/>
              <w:jc w:val="left"/>
              <w:rPr>
                <w:rFonts w:ascii="宋体" w:hAnsi="宋体" w:cs="宋体" w:eastAsia="宋体" w:hint="default"/>
                <w:sz w:val="18"/>
                <w:szCs w:val="18"/>
              </w:rPr>
            </w:pPr>
            <w:r>
              <w:rPr>
                <w:rFonts w:ascii="宋体" w:hAnsi="宋体" w:cs="宋体" w:eastAsia="宋体" w:hint="default"/>
                <w:sz w:val="18"/>
                <w:szCs w:val="18"/>
              </w:rPr>
              <w:t>瑞银证券有 限责任公司</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83" w:type="dxa"/>
            <w:vMerge w:val="restart"/>
            <w:tcBorders>
              <w:top w:val="single" w:sz="4" w:space="0" w:color="000000"/>
              <w:left w:val="single" w:sz="9" w:space="0" w:color="D2D2D2"/>
              <w:right w:val="single" w:sz="9" w:space="0" w:color="D2D2D2"/>
            </w:tcBorders>
          </w:tcPr>
          <w:p>
            <w:pPr>
              <w:pStyle w:val="TableParagraph"/>
              <w:spacing w:line="300" w:lineRule="auto" w:before="56"/>
              <w:ind w:left="17" w:right="6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号英蓝国际 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single" w:sz="4" w:space="0" w:color="000000"/>
              <w:left w:val="single" w:sz="9"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贾巍巍</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010-5832 8288</w:t>
            </w:r>
          </w:p>
        </w:tc>
      </w:tr>
      <w:tr>
        <w:trPr>
          <w:trHeight w:val="392" w:hRule="exact"/>
        </w:trPr>
        <w:tc>
          <w:tcPr>
            <w:tcW w:w="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992" w:type="dxa"/>
            <w:vMerge/>
            <w:tcBorders>
              <w:left w:val="single" w:sz="9" w:space="0" w:color="D2D2D2"/>
              <w:right w:val="single" w:sz="9" w:space="0" w:color="D2D2D2"/>
            </w:tcBorders>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2983" w:type="dxa"/>
            <w:vMerge/>
            <w:tcBorders>
              <w:left w:val="single" w:sz="9" w:space="0" w:color="D2D2D2"/>
              <w:right w:val="single" w:sz="9" w:space="0" w:color="D2D2D2"/>
            </w:tcBorders>
          </w:tcPr>
          <w:p>
            <w:pPr/>
          </w:p>
        </w:tc>
        <w:tc>
          <w:tcPr>
            <w:tcW w:w="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8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166" w:hRule="exact"/>
        </w:trPr>
        <w:tc>
          <w:tcPr>
            <w:tcW w:w="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9" w:space="0" w:color="D2D2D2"/>
            </w:tcBorders>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983" w:type="dxa"/>
            <w:vMerge/>
            <w:tcBorders>
              <w:left w:val="single" w:sz="9" w:space="0" w:color="D2D2D2"/>
              <w:bottom w:val="single" w:sz="4" w:space="0" w:color="000000"/>
              <w:right w:val="single" w:sz="9" w:space="0" w:color="D2D2D2"/>
            </w:tcBorders>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239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983" w:type="dxa"/>
            <w:vMerge w:val="restart"/>
            <w:tcBorders>
              <w:top w:val="single" w:sz="4" w:space="0" w:color="000000"/>
              <w:left w:val="single" w:sz="9"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5" w:type="dxa"/>
            <w:gridSpan w:val="3"/>
            <w:vMerge w:val="restart"/>
            <w:tcBorders>
              <w:top w:val="single" w:sz="4" w:space="0" w:color="000000"/>
              <w:left w:val="single" w:sz="9" w:space="0" w:color="D2D2D2"/>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号鹏润大厦</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座</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239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2983" w:type="dxa"/>
            <w:vMerge/>
            <w:tcBorders>
              <w:left w:val="single" w:sz="9" w:space="0" w:color="D2D2D2"/>
              <w:right w:val="single" w:sz="9" w:space="0" w:color="D2D2D2"/>
            </w:tcBorders>
          </w:tcPr>
          <w:p>
            <w:pPr/>
          </w:p>
        </w:tc>
        <w:tc>
          <w:tcPr>
            <w:tcW w:w="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195" w:type="dxa"/>
            <w:gridSpan w:val="3"/>
            <w:vMerge/>
            <w:tcBorders>
              <w:left w:val="single" w:sz="9" w:space="0" w:color="D2D2D2"/>
              <w:right w:val="single" w:sz="4" w:space="0" w:color="000000"/>
            </w:tcBorders>
          </w:tcPr>
          <w:p>
            <w:pPr/>
          </w:p>
        </w:tc>
      </w:tr>
      <w:tr>
        <w:trPr>
          <w:trHeight w:val="161" w:hRule="exact"/>
        </w:trPr>
        <w:tc>
          <w:tcPr>
            <w:tcW w:w="239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983" w:type="dxa"/>
            <w:vMerge/>
            <w:tcBorders>
              <w:left w:val="single" w:sz="9" w:space="0" w:color="D2D2D2"/>
              <w:bottom w:val="single" w:sz="4" w:space="0" w:color="000000"/>
              <w:right w:val="single" w:sz="9" w:space="0" w:color="D2D2D2"/>
            </w:tcBorders>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5" w:type="dxa"/>
            <w:gridSpan w:val="3"/>
            <w:vMerge/>
            <w:tcBorders>
              <w:left w:val="single" w:sz="9" w:space="0" w:color="D2D2D2"/>
              <w:bottom w:val="single" w:sz="4" w:space="0" w:color="000000"/>
              <w:right w:val="single" w:sz="4" w:space="0" w:color="000000"/>
            </w:tcBorders>
          </w:tcPr>
          <w:p>
            <w:pPr/>
          </w:p>
        </w:tc>
      </w:tr>
      <w:tr>
        <w:trPr>
          <w:trHeight w:val="714" w:hRule="exact"/>
        </w:trPr>
        <w:tc>
          <w:tcPr>
            <w:tcW w:w="53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8"/>
              <w:jc w:val="left"/>
              <w:rPr>
                <w:rFonts w:ascii="宋体" w:hAnsi="宋体" w:cs="宋体" w:eastAsia="宋体" w:hint="default"/>
                <w:sz w:val="18"/>
                <w:szCs w:val="18"/>
              </w:rPr>
            </w:pPr>
            <w:r>
              <w:rPr>
                <w:rFonts w:ascii="宋体" w:hAnsi="宋体" w:cs="宋体" w:eastAsia="宋体" w:hint="default"/>
                <w:spacing w:val="-3"/>
                <w:sz w:val="18"/>
                <w:szCs w:val="18"/>
              </w:rPr>
              <w:t>报告期内公司聘请的债券受托管理人、资信评级机构发生变更的，变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更的原因、履行的程序、对投资者利益的影响等（如适用）</w:t>
            </w:r>
          </w:p>
        </w:tc>
        <w:tc>
          <w:tcPr>
            <w:tcW w:w="418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公司债券募集资金使用情况" w:id="99"/>
      <w:bookmarkEnd w:id="99"/>
      <w:r>
        <w:rPr>
          <w:b w:val="0"/>
          <w:bCs w:val="0"/>
        </w:rPr>
      </w:r>
      <w:r>
        <w:rPr>
          <w:rFonts w:ascii="Times New Roman" w:hAnsi="Times New Roman" w:cs="Times New Roman" w:eastAsia="Times New Roman" w:hint="default"/>
        </w:rPr>
        <w:t>3</w:t>
      </w:r>
      <w:r>
        <w:rPr/>
        <w:t>、公司债券募集资金使用情况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公司已按照债券募集说明书约定，将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亿元用于偿还银行借款，剩余部分补充流</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年末，全部债券募集资金已使用完毕。</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报告期内，公司债券募集资金专项账户运行规范，付息资金的存入、提取均履行 了公司内部制度规定的审批程序。</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公司债券信息评级情况" w:id="100"/>
      <w:bookmarkEnd w:id="100"/>
      <w:r>
        <w:rPr>
          <w:b w:val="0"/>
          <w:bCs w:val="0"/>
        </w:rPr>
      </w: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大公国际资信评估有限公司于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日发布跟踪评级公告</w:t>
      </w:r>
      <w:r>
        <w:rPr>
          <w:spacing w:val="-81"/>
        </w:rPr>
        <w:t>，</w:t>
      </w:r>
      <w:r>
        <w:rPr/>
        <w:t>确定</w:t>
      </w:r>
      <w:r>
        <w:rPr>
          <w:spacing w:val="-2"/>
        </w:rPr>
        <w:t>本</w:t>
      </w:r>
      <w:r>
        <w:rPr/>
        <w:t>公司主体长期信用等级维持</w:t>
      </w:r>
      <w:r>
        <w:rPr>
          <w:rFonts w:ascii="Times New Roman" w:hAnsi="Times New Roman" w:cs="Times New Roman" w:eastAsia="Times New Roman" w:hint="default"/>
          <w:spacing w:val="-1"/>
          <w:w w:val="99"/>
        </w:rPr>
        <w:t>AA</w:t>
      </w:r>
      <w:r>
        <w:rPr>
          <w:spacing w:val="-81"/>
        </w:rPr>
        <w:t>，</w:t>
      </w:r>
      <w:r>
        <w:rPr/>
        <w:t>评级展望维持稳定，</w:t>
      </w:r>
    </w:p>
    <w:p>
      <w:pPr>
        <w:pStyle w:val="BodyText"/>
        <w:spacing w:line="240" w:lineRule="auto" w:before="63"/>
        <w:ind w:right="0"/>
        <w:jc w:val="left"/>
      </w:pPr>
      <w:r>
        <w:rPr>
          <w:rFonts w:ascii="Times New Roman" w:hAnsi="Times New Roman" w:cs="Times New Roman" w:eastAsia="Times New Roman" w:hint="default"/>
        </w:rPr>
        <w:t>“13</w:t>
      </w:r>
      <w:r>
        <w:rPr/>
        <w:t>美邦</w:t>
      </w:r>
      <w:r>
        <w:rPr>
          <w:rFonts w:ascii="Times New Roman" w:hAnsi="Times New Roman" w:cs="Times New Roman" w:eastAsia="Times New Roman" w:hint="default"/>
        </w:rPr>
        <w:t>01”</w:t>
      </w:r>
      <w:r>
        <w:rPr/>
        <w:t>的评级展望维持</w:t>
      </w:r>
      <w:r>
        <w:rPr>
          <w:rFonts w:ascii="Times New Roman" w:hAnsi="Times New Roman" w:cs="Times New Roman" w:eastAsia="Times New Roman" w:hint="default"/>
        </w:rPr>
        <w:t>AA</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5、公司债券增信机制、偿债计划及其他偿债保障措施" w:id="101"/>
      <w:bookmarkEnd w:id="101"/>
      <w:r>
        <w:rPr>
          <w:b w:val="0"/>
          <w:bCs w:val="0"/>
        </w:rPr>
      </w: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6"/>
        <w:jc w:val="left"/>
      </w:pPr>
      <w:r>
        <w:rPr>
          <w:spacing w:val="-2"/>
        </w:rPr>
        <w:t>债券无增信机制；</w:t>
      </w:r>
      <w:r>
        <w:rPr>
          <w:rFonts w:ascii="Times New Roman" w:hAnsi="Times New Roman" w:cs="Times New Roman" w:eastAsia="Times New Roman" w:hint="default"/>
          <w:spacing w:val="-2"/>
        </w:rPr>
        <w:t>2015</w:t>
      </w:r>
      <w:r>
        <w:rPr>
          <w:spacing w:val="-2"/>
        </w:rPr>
        <w:t>年度，债券偿债计划及其他各项保障措施与债券募集说明书中内容一致，未发生变更，且均得到有效</w:t>
      </w:r>
      <w:r>
        <w:rPr>
          <w:spacing w:val="-61"/>
        </w:rPr>
        <w:t> </w:t>
      </w:r>
      <w:r>
        <w:rPr>
          <w:spacing w:val="-61"/>
        </w:rPr>
      </w:r>
      <w:r>
        <w:rPr/>
        <w:t>执行。</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6、报告期内债券持有人会议的召开情况" w:id="102"/>
      <w:bookmarkEnd w:id="102"/>
      <w:r>
        <w:rPr>
          <w:b w:val="0"/>
          <w:bCs w:val="0"/>
        </w:rPr>
      </w: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报告期公司未召开债券持有人会议</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7、报告期内债券受托管理人履行职责的情况" w:id="103"/>
      <w:bookmarkEnd w:id="103"/>
      <w:r>
        <w:rPr>
          <w:b w:val="0"/>
          <w:bCs w:val="0"/>
        </w:rPr>
      </w: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360"/>
        <w:jc w:val="both"/>
      </w:pPr>
      <w:r>
        <w:rPr>
          <w:spacing w:val="-2"/>
        </w:rPr>
        <w:t>瑞银证券有限责任公司作为债券受托管理人，于报告期内严格按照《公司债券受托管理人执业行为准则》、《受托管理</w:t>
      </w:r>
      <w:r>
        <w:rPr/>
        <w:t> 协议》等规定和约定履行了债券受托管理人各项职责。瑞银证券有限责任公司于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月就公司</w:t>
      </w:r>
      <w:r>
        <w:rPr>
          <w:rFonts w:ascii="Times New Roman" w:hAnsi="Times New Roman" w:cs="Times New Roman" w:eastAsia="Times New Roman" w:hint="default"/>
        </w:rPr>
        <w:t>2015</w:t>
      </w:r>
      <w:r>
        <w:rPr/>
        <w:t>年预亏及债券可能被 </w:t>
      </w:r>
      <w:r>
        <w:rPr>
          <w:spacing w:val="-2"/>
        </w:rPr>
        <w:t>实施投资者适当性管理事宜发布了受托管理事务临时报告，并预计于每个会计年度结束之日起六个月内布债券受托管理事务</w:t>
      </w:r>
      <w:r>
        <w:rPr>
          <w:spacing w:val="-64"/>
        </w:rPr>
        <w:t> </w:t>
      </w:r>
      <w:r>
        <w:rPr>
          <w:spacing w:val="-64"/>
        </w:rPr>
      </w:r>
      <w:r>
        <w:rPr/>
        <w:t>年度报告，上述报告均发布在深圳证券交易所网站及巨潮资讯网。</w:t>
      </w:r>
    </w:p>
    <w:p>
      <w:pPr>
        <w:spacing w:line="240" w:lineRule="auto" w:before="10"/>
        <w:rPr>
          <w:rFonts w:ascii="宋体" w:hAnsi="宋体" w:cs="宋体" w:eastAsia="宋体" w:hint="default"/>
          <w:sz w:val="22"/>
          <w:szCs w:val="22"/>
        </w:rPr>
      </w:pPr>
    </w:p>
    <w:p>
      <w:pPr>
        <w:pStyle w:val="Heading3"/>
        <w:spacing w:line="240" w:lineRule="auto"/>
        <w:ind w:left="153" w:right="0"/>
        <w:jc w:val="left"/>
        <w:rPr>
          <w:b w:val="0"/>
          <w:bCs w:val="0"/>
        </w:rPr>
      </w:pPr>
      <w:bookmarkStart w:name="8、截至报告期末公司近2年的主要会计数据和财务指标" w:id="104"/>
      <w:bookmarkEnd w:id="104"/>
      <w:r>
        <w:rPr>
          <w:b w:val="0"/>
          <w:bCs w:val="0"/>
        </w:rPr>
      </w: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-100.92%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，息税折旧摊销前利润下降</w:t>
      </w:r>
      <w:r>
        <w:rPr>
          <w:rFonts w:ascii="Times New Roman" w:hAnsi="Times New Roman" w:cs="Times New Roman" w:eastAsia="Times New Roman" w:hint="default"/>
        </w:rPr>
        <w:t>69%</w:t>
      </w:r>
      <w:r>
        <w:rPr/>
        <w:t>，主要是因为</w:t>
      </w:r>
      <w:r>
        <w:rPr>
          <w:rFonts w:ascii="Times New Roman" w:hAnsi="Times New Roman" w:cs="Times New Roman" w:eastAsia="Times New Roman" w:hint="default"/>
        </w:rPr>
        <w:t>2015</w:t>
      </w:r>
      <w:r>
        <w:rPr/>
        <w:t>年公司净利润下滑所致</w:t>
      </w:r>
    </w:p>
    <w:p>
      <w:pPr>
        <w:pStyle w:val="BodyText"/>
        <w:spacing w:line="240" w:lineRule="auto" w:before="63"/>
        <w:ind w:right="0"/>
        <w:jc w:val="left"/>
      </w:pPr>
      <w:r>
        <w:rPr>
          <w:rFonts w:ascii="Times New Roman" w:hAnsi="Times New Roman" w:cs="Times New Roman" w:eastAsia="Times New Roman" w:hint="default"/>
        </w:rPr>
        <w:t>2</w:t>
      </w:r>
      <w:r>
        <w:rPr/>
        <w:t>，投资活动产生的现金流量净额上升</w:t>
      </w:r>
      <w:r>
        <w:rPr>
          <w:rFonts w:ascii="Times New Roman" w:hAnsi="Times New Roman" w:cs="Times New Roman" w:eastAsia="Times New Roman" w:hint="default"/>
        </w:rPr>
        <w:t>65%</w:t>
      </w:r>
      <w:r>
        <w:rPr/>
        <w:t>，主要是因为</w:t>
      </w:r>
      <w:r>
        <w:rPr>
          <w:rFonts w:ascii="Times New Roman" w:hAnsi="Times New Roman" w:cs="Times New Roman" w:eastAsia="Times New Roman" w:hint="default"/>
        </w:rPr>
        <w:t>2014</w:t>
      </w:r>
      <w:r>
        <w:rPr/>
        <w:t>年支出华瑞银行投资款</w:t>
      </w:r>
      <w:r>
        <w:rPr>
          <w:rFonts w:ascii="Times New Roman" w:hAnsi="Times New Roman" w:cs="Times New Roman" w:eastAsia="Times New Roman" w:hint="default"/>
        </w:rPr>
        <w:t>4.5</w:t>
      </w:r>
      <w:r>
        <w:rPr/>
        <w:t>亿所致</w:t>
      </w:r>
    </w:p>
    <w:p>
      <w:pPr>
        <w:pStyle w:val="BodyText"/>
        <w:spacing w:line="240" w:lineRule="auto" w:before="63"/>
        <w:ind w:left="154" w:right="0"/>
        <w:jc w:val="left"/>
      </w:pPr>
      <w:r>
        <w:rPr>
          <w:rFonts w:ascii="Times New Roman" w:hAnsi="Times New Roman" w:cs="Times New Roman" w:eastAsia="Times New Roman" w:hint="default"/>
        </w:rPr>
        <w:t>3</w:t>
      </w:r>
      <w:r>
        <w:rPr/>
        <w:t>，筹资活动产生的现金流量净额上升了</w:t>
      </w:r>
      <w:r>
        <w:rPr>
          <w:rFonts w:ascii="Times New Roman" w:hAnsi="Times New Roman" w:cs="Times New Roman" w:eastAsia="Times New Roman" w:hint="default"/>
        </w:rPr>
        <w:t>122%</w:t>
      </w:r>
      <w:r>
        <w:rPr/>
        <w:t>，主要是因为</w:t>
      </w:r>
      <w:r>
        <w:rPr>
          <w:rFonts w:ascii="Times New Roman" w:hAnsi="Times New Roman" w:cs="Times New Roman" w:eastAsia="Times New Roman" w:hint="default"/>
        </w:rPr>
        <w:t>2014</w:t>
      </w:r>
      <w:r>
        <w:rPr/>
        <w:t>年公司经营性现金流较为充分，偿还了部分金融债务所致</w:t>
      </w:r>
    </w:p>
    <w:p>
      <w:pPr>
        <w:pStyle w:val="BodyText"/>
        <w:spacing w:line="240" w:lineRule="auto" w:before="63"/>
        <w:ind w:right="0"/>
        <w:jc w:val="left"/>
      </w:pPr>
      <w:r>
        <w:rPr>
          <w:rFonts w:ascii="Times New Roman" w:hAnsi="Times New Roman" w:cs="Times New Roman" w:eastAsia="Times New Roman" w:hint="default"/>
        </w:rPr>
        <w:t>4</w:t>
      </w:r>
      <w:r>
        <w:rPr/>
        <w:t>，利息保障倍数下降</w:t>
      </w:r>
      <w:r>
        <w:rPr>
          <w:rFonts w:ascii="Times New Roman" w:hAnsi="Times New Roman" w:cs="Times New Roman" w:eastAsia="Times New Roman" w:hint="default"/>
        </w:rPr>
        <w:t>101%</w:t>
      </w:r>
      <w:r>
        <w:rPr/>
        <w:t>，主要是因为</w:t>
      </w:r>
      <w:r>
        <w:rPr>
          <w:rFonts w:ascii="Times New Roman" w:hAnsi="Times New Roman" w:cs="Times New Roman" w:eastAsia="Times New Roman" w:hint="default"/>
        </w:rPr>
        <w:t>2015</w:t>
      </w:r>
      <w:r>
        <w:rPr/>
        <w:t>年公司净利润下滑所致</w:t>
      </w:r>
    </w:p>
    <w:p>
      <w:pPr>
        <w:pStyle w:val="BodyText"/>
        <w:spacing w:line="240" w:lineRule="auto" w:before="63"/>
        <w:ind w:right="0"/>
        <w:jc w:val="left"/>
      </w:pPr>
      <w:r>
        <w:rPr>
          <w:rFonts w:ascii="Times New Roman" w:hAnsi="Times New Roman" w:cs="Times New Roman" w:eastAsia="Times New Roman" w:hint="default"/>
        </w:rPr>
        <w:t>5</w:t>
      </w:r>
      <w:r>
        <w:rPr/>
        <w:t>，现金利息保障倍数下降</w:t>
      </w:r>
      <w:r>
        <w:rPr>
          <w:rFonts w:ascii="Times New Roman" w:hAnsi="Times New Roman" w:cs="Times New Roman" w:eastAsia="Times New Roman" w:hint="default"/>
        </w:rPr>
        <w:t>100%</w:t>
      </w:r>
      <w:r>
        <w:rPr/>
        <w:t>，主要是因为</w:t>
      </w:r>
      <w:r>
        <w:rPr>
          <w:rFonts w:ascii="Times New Roman" w:hAnsi="Times New Roman" w:cs="Times New Roman" w:eastAsia="Times New Roman" w:hint="default"/>
        </w:rPr>
        <w:t>2015</w:t>
      </w:r>
      <w:r>
        <w:rPr/>
        <w:t>年公司经营性现金流量金额同比由正转负所致</w:t>
      </w:r>
    </w:p>
    <w:p>
      <w:pPr>
        <w:pStyle w:val="BodyText"/>
        <w:spacing w:line="240" w:lineRule="auto" w:before="63"/>
        <w:ind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EBITDA</w:t>
      </w:r>
      <w:r>
        <w:rPr/>
        <w:t>利息保障倍数下降</w:t>
      </w:r>
      <w:r>
        <w:rPr>
          <w:rFonts w:ascii="Times New Roman" w:hAnsi="Times New Roman" w:cs="Times New Roman" w:eastAsia="Times New Roman" w:hint="default"/>
        </w:rPr>
        <w:t>64%</w:t>
      </w:r>
      <w:r>
        <w:rPr/>
        <w:t>，主要是因为</w:t>
      </w:r>
      <w:r>
        <w:rPr>
          <w:rFonts w:ascii="Times New Roman" w:hAnsi="Times New Roman" w:cs="Times New Roman" w:eastAsia="Times New Roman" w:hint="default"/>
        </w:rPr>
        <w:t>2015</w:t>
      </w:r>
      <w:r>
        <w:rPr/>
        <w:t>年公司净利润下滑所致</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9、截至报告期末的资产权利受限情况" w:id="105"/>
      <w:bookmarkEnd w:id="105"/>
      <w:r>
        <w:rPr>
          <w:b w:val="0"/>
          <w:bCs w:val="0"/>
        </w:rPr>
      </w: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45,467,584</w:t>
      </w:r>
      <w:r>
        <w:rPr/>
        <w:t>元的银行存款用于银行承兑汇票授信额度的保证金。</w:t>
      </w:r>
    </w:p>
    <w:p>
      <w:pPr>
        <w:pStyle w:val="BodyText"/>
        <w:spacing w:line="300" w:lineRule="auto" w:before="63"/>
        <w:ind w:left="154" w:right="1122"/>
        <w:jc w:val="left"/>
      </w:pPr>
      <w:r>
        <w:rPr>
          <w:rFonts w:ascii="Times New Roman" w:hAnsi="Times New Roman" w:cs="Times New Roman" w:eastAsia="Times New Roman" w:hint="default"/>
        </w:rPr>
        <w:t>2</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140,044,937</w:t>
      </w:r>
      <w:r>
        <w:rPr/>
        <w:t>元固定资产用于取得中国民生银行上海分行借款抵押；账面价值为人 民币</w:t>
      </w:r>
      <w:r>
        <w:rPr>
          <w:rFonts w:ascii="Times New Roman" w:hAnsi="Times New Roman" w:cs="Times New Roman" w:eastAsia="Times New Roman" w:hint="default"/>
        </w:rPr>
        <w:t>1,007,378,309</w:t>
      </w:r>
      <w:r>
        <w:rPr/>
        <w:t>元固定资产用于取得中国农业银行上海南汇支行借款抵押。 </w:t>
      </w:r>
      <w:r>
        <w:rPr>
          <w:rFonts w:ascii="Times New Roman" w:hAnsi="Times New Roman" w:cs="Times New Roman" w:eastAsia="Times New Roman" w:hint="default"/>
        </w:rPr>
        <w:t>3</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68,824,561</w:t>
      </w:r>
      <w:r>
        <w:rPr/>
        <w:t>元的土地使用权用于取得中国农业银行上海南汇支行银行借款抵押；</w:t>
      </w:r>
    </w:p>
    <w:p>
      <w:pPr>
        <w:pStyle w:val="BodyText"/>
        <w:spacing w:line="240" w:lineRule="auto" w:before="13"/>
        <w:ind w:right="0"/>
        <w:jc w:val="left"/>
      </w:pPr>
      <w:r>
        <w:rPr>
          <w:rFonts w:ascii="Times New Roman" w:hAnsi="Times New Roman" w:cs="Times New Roman" w:eastAsia="Times New Roman" w:hint="default"/>
        </w:rPr>
        <w:t>4</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47,768,145</w:t>
      </w:r>
      <w:r>
        <w:rPr/>
        <w:t>元投资性房地产用于取得中国农业银行上海南汇支行银行借款抵押。</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0、报告期内对其他债券和债务融资工具的付息兑付情况" w:id="106"/>
      <w:bookmarkEnd w:id="106"/>
      <w:r>
        <w:rPr>
          <w:b w:val="0"/>
          <w:bCs w:val="0"/>
        </w:rPr>
      </w:r>
      <w:r>
        <w:rPr>
          <w:rFonts w:ascii="Times New Roman" w:hAnsi="Times New Roman" w:cs="Times New Roman" w:eastAsia="Times New Roman" w:hint="default"/>
        </w:rPr>
        <w:t>10</w:t>
      </w:r>
      <w:r>
        <w:rPr/>
        <w:t>、报告期内对其他债券和债务融资工具的付息兑付情况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spacing w:line="547" w:lineRule="auto" w:before="0"/>
        <w:ind w:left="153" w:right="0" w:firstLine="0"/>
        <w:jc w:val="left"/>
        <w:rPr>
          <w:rFonts w:ascii="宋体" w:hAnsi="宋体" w:cs="宋体" w:eastAsia="宋体" w:hint="default"/>
          <w:sz w:val="21"/>
          <w:szCs w:val="21"/>
        </w:rPr>
      </w:pPr>
      <w:bookmarkStart w:name="11、报告期内获得的银行授信情况、使用情况以及偿还银行贷款的情况" w:id="107"/>
      <w:bookmarkEnd w:id="10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、报告期内获得的银行授信情况、使用情况以及偿还银行贷款的情况</w:t>
      </w:r>
      <w:r>
        <w:rPr>
          <w:rFonts w:ascii="宋体" w:hAnsi="宋体" w:cs="宋体" w:eastAsia="宋体" w:hint="default"/>
          <w:b/>
          <w:bCs/>
          <w:w w:val="99"/>
          <w:sz w:val="21"/>
          <w:szCs w:val="21"/>
        </w:rPr>
        <w:t> </w:t>
      </w:r>
      <w:r>
        <w:rPr>
          <w:rFonts w:ascii="宋体" w:hAnsi="宋体" w:cs="宋体" w:eastAsia="宋体" w:hint="default"/>
          <w:sz w:val="18"/>
          <w:szCs w:val="18"/>
        </w:rPr>
        <w:t>报告期内，公司共获得银行授信约</w:t>
      </w:r>
      <w:r>
        <w:rPr>
          <w:rFonts w:ascii="Times New Roman" w:hAnsi="Times New Roman" w:cs="Times New Roman" w:eastAsia="Times New Roman" w:hint="default"/>
          <w:sz w:val="18"/>
          <w:szCs w:val="18"/>
        </w:rPr>
        <w:t>35</w:t>
      </w:r>
      <w:r>
        <w:rPr>
          <w:rFonts w:ascii="宋体" w:hAnsi="宋体" w:cs="宋体" w:eastAsia="宋体" w:hint="default"/>
          <w:sz w:val="18"/>
          <w:szCs w:val="18"/>
        </w:rPr>
        <w:t>亿元，其中使用约</w:t>
      </w:r>
      <w:r>
        <w:rPr>
          <w:rFonts w:ascii="Times New Roman" w:hAnsi="Times New Roman" w:cs="Times New Roman" w:eastAsia="Times New Roman" w:hint="default"/>
          <w:sz w:val="18"/>
          <w:szCs w:val="18"/>
        </w:rPr>
        <w:t>10</w:t>
      </w:r>
      <w:r>
        <w:rPr>
          <w:rFonts w:ascii="宋体" w:hAnsi="宋体" w:cs="宋体" w:eastAsia="宋体" w:hint="default"/>
          <w:sz w:val="18"/>
          <w:szCs w:val="18"/>
        </w:rPr>
        <w:t>亿元，全部银行贷款均按时偿还。 </w:t>
      </w:r>
      <w:bookmarkStart w:name="12、报告期内执行公司债券募集说明书相关约定或承诺的情况" w:id="108"/>
      <w:bookmarkEnd w:id="108"/>
      <w:r>
        <w:rPr>
          <w:rFonts w:ascii="宋体" w:hAnsi="宋体" w:cs="宋体" w:eastAsia="宋体" w:hint="default"/>
          <w:sz w:val="18"/>
          <w:szCs w:val="18"/>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、报告期内执行公司债券募集说明书相关约定或承诺的情况</w:t>
      </w:r>
      <w:r>
        <w:rPr>
          <w:rFonts w:ascii="宋体" w:hAnsi="宋体" w:cs="宋体" w:eastAsia="宋体" w:hint="default"/>
          <w:sz w:val="21"/>
          <w:szCs w:val="21"/>
        </w:rPr>
      </w:r>
    </w:p>
    <w:p>
      <w:pPr>
        <w:pStyle w:val="BodyText"/>
        <w:spacing w:line="240" w:lineRule="auto" w:before="49"/>
        <w:ind w:right="0"/>
        <w:jc w:val="left"/>
      </w:pPr>
      <w:r>
        <w:rPr/>
        <w:t>报告期内，公司在债券募集说明书作出的募集资金使用、偿债计划及偿债保障措施等方面承诺均有效执行。</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3、报告期内发生的重大事项" w:id="109"/>
      <w:bookmarkEnd w:id="109"/>
      <w:r>
        <w:rPr>
          <w:b w:val="0"/>
          <w:bCs w:val="0"/>
        </w:rPr>
      </w:r>
      <w:r>
        <w:rPr>
          <w:rFonts w:ascii="Times New Roman" w:hAnsi="Times New Roman" w:cs="Times New Roman" w:eastAsia="Times New Roman" w:hint="default"/>
        </w:rPr>
        <w:t>13</w:t>
      </w:r>
      <w:r>
        <w:rPr/>
        <w:t>、报告期内发生的重大事项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rPr>
        <w:t>2015</w:t>
      </w:r>
      <w:r>
        <w:rPr/>
        <w:t>年度公司经审计的归属于上市公司股东的净利润为亏损</w:t>
      </w:r>
      <w:r>
        <w:rPr>
          <w:rFonts w:ascii="宋体" w:hAnsi="宋体" w:cs="宋体" w:eastAsia="宋体" w:hint="default"/>
        </w:rPr>
        <w:t>4.32</w:t>
      </w:r>
      <w:r>
        <w:rPr/>
        <w:t>亿元，超过</w:t>
      </w:r>
      <w:r>
        <w:rPr>
          <w:rFonts w:ascii="宋体" w:hAnsi="宋体" w:cs="宋体" w:eastAsia="宋体" w:hint="default"/>
        </w:rPr>
        <w:t>2014</w:t>
      </w:r>
      <w:r>
        <w:rPr/>
        <w:t>年末净审计净资产</w:t>
      </w:r>
      <w:r>
        <w:rPr>
          <w:rFonts w:ascii="宋体" w:hAnsi="宋体" w:cs="宋体" w:eastAsia="宋体" w:hint="default"/>
        </w:rPr>
        <w:t>36.37</w:t>
      </w:r>
      <w:r>
        <w:rPr/>
        <w:t>亿元的</w:t>
      </w:r>
      <w:r>
        <w:rPr>
          <w:rFonts w:ascii="宋体" w:hAnsi="宋体" w:cs="宋体" w:eastAsia="宋体" w:hint="default"/>
        </w:rPr>
        <w:t>10%</w:t>
      </w:r>
      <w:r>
        <w:rPr/>
        <w:t>。</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4、公司债券是否存在保证人" w:id="110"/>
      <w:bookmarkEnd w:id="110"/>
      <w:r>
        <w:rPr>
          <w:b w:val="0"/>
          <w:bCs w:val="0"/>
        </w:rPr>
      </w:r>
      <w:r>
        <w:rPr>
          <w:rFonts w:ascii="Times New Roman" w:hAnsi="Times New Roman" w:cs="Times New Roman" w:eastAsia="Times New Roman" w:hint="default"/>
        </w:rPr>
        <w:t>14</w:t>
      </w:r>
      <w:r>
        <w:rPr/>
        <w:t>、公司债券是否存在保证人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51" w:footer="979" w:top="13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ind w:left="2966" w:right="0"/>
        <w:jc w:val="left"/>
        <w:rPr>
          <w:b w:val="0"/>
          <w:bCs w:val="0"/>
        </w:rPr>
      </w:pPr>
      <w:bookmarkStart w:name="第六节 股份变动及股东情况" w:id="111"/>
      <w:bookmarkEnd w:id="111"/>
      <w:r>
        <w:rPr>
          <w:b w:val="0"/>
          <w:bCs w:val="0"/>
        </w:rPr>
      </w:r>
      <w:bookmarkStart w:name="_bookmark5" w:id="112"/>
      <w:bookmarkEnd w:id="1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3"/>
      <w:bookmarkEnd w:id="11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5"/>
        <w:gridCol w:w="1288"/>
        <w:gridCol w:w="708"/>
        <w:gridCol w:w="568"/>
        <w:gridCol w:w="992"/>
        <w:gridCol w:w="1134"/>
        <w:gridCol w:w="850"/>
        <w:gridCol w:w="1133"/>
        <w:gridCol w:w="1135"/>
        <w:gridCol w:w="528"/>
      </w:tblGrid>
      <w:tr>
        <w:trPr>
          <w:trHeight w:val="40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7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8"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52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一、有限售条件股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0.59%</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0.59%</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其中：境内法人持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0.59%</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二、无限售条件股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99.41%</w:t>
            </w: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2,512,500,000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99.47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1,005,000,000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99.41%</w:t>
            </w: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502,500,000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1,005,000,000</w:t>
            </w:r>
          </w:p>
        </w:tc>
        <w:tc>
          <w:tcPr>
            <w:tcW w:w="850"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1,507,500,000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2,512,500,000</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99.47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3"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8"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r>
      <w:tr>
        <w:trPr>
          <w:trHeight w:val="161"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r>
        <w:trPr>
          <w:trHeight w:val="161"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1,011,000,000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505,500,000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1,011,000,000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-1,500,000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1,515,000,000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2,526,000,000</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32" w:right="0"/>
              <w:jc w:val="center"/>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r>
      <w:tr>
        <w:trPr>
          <w:trHeight w:val="161"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jc w:val="left"/>
      </w:pPr>
      <w:r>
        <w:rPr>
          <w:rFonts w:ascii="Times New Roman" w:hAnsi="Times New Roman" w:cs="Times New Roman" w:eastAsia="Times New Roman" w:hint="default"/>
        </w:rPr>
        <w:t>1</w:t>
      </w:r>
      <w:r>
        <w:rPr/>
        <w:t>、年度利润分配 </w:t>
      </w:r>
      <w:r>
        <w:rPr>
          <w:spacing w:val="-1"/>
        </w:rPr>
        <w:t>根据</w:t>
      </w:r>
      <w:r>
        <w:rPr>
          <w:rFonts w:ascii="Times New Roman" w:hAnsi="Times New Roman" w:cs="Times New Roman" w:eastAsia="Times New Roman" w:hint="default"/>
          <w:spacing w:val="-1"/>
        </w:rPr>
        <w:t>2014</w:t>
      </w:r>
      <w:r>
        <w:rPr>
          <w:spacing w:val="-1"/>
        </w:rPr>
        <w:t>年度股东大会决议，报告期内公司实施了</w:t>
      </w:r>
      <w:r>
        <w:rPr>
          <w:rFonts w:ascii="Times New Roman" w:hAnsi="Times New Roman" w:cs="Times New Roman" w:eastAsia="Times New Roman" w:hint="default"/>
          <w:spacing w:val="-1"/>
        </w:rPr>
        <w:t>2014</w:t>
      </w:r>
      <w:r>
        <w:rPr>
          <w:spacing w:val="-1"/>
        </w:rPr>
        <w:t>年度利润分配预案，分配前本公司总股本为</w:t>
      </w:r>
      <w:r>
        <w:rPr>
          <w:rFonts w:ascii="Times New Roman" w:hAnsi="Times New Roman" w:cs="Times New Roman" w:eastAsia="Times New Roman" w:hint="default"/>
          <w:spacing w:val="-1"/>
        </w:rPr>
        <w:t>1,011,000,000</w:t>
      </w:r>
      <w:r>
        <w:rPr>
          <w:spacing w:val="-1"/>
        </w:rPr>
        <w:t>股，分配后</w:t>
      </w:r>
      <w:r>
        <w:rPr>
          <w:spacing w:val="-67"/>
        </w:rPr>
        <w:t> </w:t>
      </w:r>
      <w:r>
        <w:rPr>
          <w:spacing w:val="-67"/>
        </w:rPr>
      </w:r>
      <w:r>
        <w:rPr/>
        <w:t>总股本增至</w:t>
      </w:r>
      <w:r>
        <w:rPr>
          <w:rFonts w:ascii="Times New Roman" w:hAnsi="Times New Roman" w:cs="Times New Roman" w:eastAsia="Times New Roman" w:hint="default"/>
        </w:rPr>
        <w:t>2,527,500,000</w:t>
      </w:r>
      <w:r>
        <w:rPr/>
        <w:t>股。</w:t>
      </w:r>
    </w:p>
    <w:p>
      <w:pPr>
        <w:pStyle w:val="BodyText"/>
        <w:spacing w:line="319" w:lineRule="auto" w:before="13"/>
        <w:ind w:right="1123"/>
        <w:jc w:val="left"/>
      </w:pPr>
      <w:r>
        <w:rPr>
          <w:rFonts w:ascii="Times New Roman" w:hAnsi="Times New Roman" w:cs="Times New Roman" w:eastAsia="Times New Roman" w:hint="default"/>
        </w:rPr>
        <w:t>2</w:t>
      </w:r>
      <w:r>
        <w:rPr/>
        <w:t>、限制性股票激励计划 </w:t>
      </w:r>
      <w:r>
        <w:rPr>
          <w:spacing w:val="-2"/>
        </w:rPr>
        <w:t>根据第三届董事会第八次会议、第十一次会议决议，因公司</w:t>
      </w:r>
      <w:r>
        <w:rPr>
          <w:rFonts w:ascii="Times New Roman" w:hAnsi="Times New Roman" w:cs="Times New Roman" w:eastAsia="Times New Roman" w:hint="default"/>
          <w:spacing w:val="-2"/>
        </w:rPr>
        <w:t>2014</w:t>
      </w:r>
      <w:r>
        <w:rPr>
          <w:spacing w:val="-2"/>
        </w:rPr>
        <w:t>年业绩未达到公司限制性股票激励计划第一个解锁期解锁条</w:t>
      </w:r>
      <w:r>
        <w:rPr>
          <w:spacing w:val="-60"/>
        </w:rPr>
        <w:t> </w:t>
      </w:r>
      <w:r>
        <w:rPr/>
        <w:t>件，公司需回购并注销</w:t>
      </w:r>
      <w:r>
        <w:rPr>
          <w:rFonts w:ascii="Times New Roman" w:hAnsi="Times New Roman" w:cs="Times New Roman" w:eastAsia="Times New Roman" w:hint="default"/>
        </w:rPr>
        <w:t>2</w:t>
      </w:r>
      <w:r>
        <w:rPr/>
        <w:t>名激励对象第一个解锁期所涉及的已授予但未满足解锁条件的共计</w:t>
      </w:r>
      <w:r>
        <w:rPr>
          <w:rFonts w:ascii="Times New Roman" w:hAnsi="Times New Roman" w:cs="Times New Roman" w:eastAsia="Times New Roman" w:hint="default"/>
        </w:rPr>
        <w:t>60</w:t>
      </w:r>
      <w:r>
        <w:rPr/>
        <w:t>万股限制性股票，同时该等减</w:t>
      </w:r>
    </w:p>
    <w:p>
      <w:pPr>
        <w:pStyle w:val="BodyText"/>
        <w:spacing w:line="314" w:lineRule="auto"/>
        <w:ind w:right="1123"/>
        <w:jc w:val="left"/>
      </w:pPr>
      <w:r>
        <w:rPr>
          <w:spacing w:val="-2"/>
        </w:rPr>
        <w:t>少股票所享受的红股及转增股也应相应减少。根据《限制性股票激励计划》及公司股东大会的授权，公司董事会对公司授予</w:t>
      </w:r>
      <w:r>
        <w:rPr>
          <w:spacing w:val="-66"/>
        </w:rPr>
        <w:t> </w:t>
      </w:r>
      <w:r>
        <w:rPr>
          <w:spacing w:val="-66"/>
        </w:rPr>
      </w:r>
      <w:r>
        <w:rPr>
          <w:spacing w:val="-2"/>
        </w:rPr>
        <w:t>限制性股票价格和数量进行调整，经过本次调整，回购并注销</w:t>
      </w:r>
      <w:r>
        <w:rPr>
          <w:rFonts w:ascii="Times New Roman" w:hAnsi="Times New Roman" w:cs="Times New Roman" w:eastAsia="Times New Roman" w:hint="default"/>
          <w:spacing w:val="-2"/>
        </w:rPr>
        <w:t>2</w:t>
      </w:r>
      <w:r>
        <w:rPr>
          <w:spacing w:val="-2"/>
        </w:rPr>
        <w:t>名激励对象被授予的限制性股票由</w:t>
      </w:r>
      <w:r>
        <w:rPr>
          <w:rFonts w:ascii="Times New Roman" w:hAnsi="Times New Roman" w:cs="Times New Roman" w:eastAsia="Times New Roman" w:hint="default"/>
          <w:spacing w:val="-2"/>
        </w:rPr>
        <w:t>60</w:t>
      </w:r>
      <w:r>
        <w:rPr>
          <w:spacing w:val="-2"/>
        </w:rPr>
        <w:t>万股调整为</w:t>
      </w:r>
      <w:r>
        <w:rPr>
          <w:rFonts w:ascii="Times New Roman" w:hAnsi="Times New Roman" w:cs="Times New Roman" w:eastAsia="Times New Roman" w:hint="default"/>
          <w:spacing w:val="-2"/>
        </w:rPr>
        <w:t>150</w:t>
      </w:r>
      <w:r>
        <w:rPr>
          <w:spacing w:val="-2"/>
        </w:rPr>
        <w:t>万股，对</w:t>
      </w:r>
      <w:r>
        <w:rPr>
          <w:spacing w:val="-60"/>
        </w:rPr>
        <w:t> </w:t>
      </w:r>
      <w:r>
        <w:rPr>
          <w:spacing w:val="-60"/>
        </w:rPr>
      </w:r>
      <w:r>
        <w:rPr/>
        <w:t>本次拟回购注销的的回购注销价格由原限制性股票授予价格</w:t>
      </w:r>
      <w:r>
        <w:rPr>
          <w:rFonts w:ascii="Times New Roman" w:hAnsi="Times New Roman" w:cs="Times New Roman" w:eastAsia="Times New Roman" w:hint="default"/>
        </w:rPr>
        <w:t>11.63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4.652</w:t>
      </w:r>
      <w:r>
        <w:rPr/>
        <w:t>元</w:t>
      </w:r>
      <w:r>
        <w:rPr>
          <w:rFonts w:ascii="Times New Roman" w:hAnsi="Times New Roman" w:cs="Times New Roman" w:eastAsia="Times New Roman" w:hint="default"/>
        </w:rPr>
        <w:t>/</w:t>
      </w:r>
      <w:r>
        <w:rPr/>
        <w:t>股。根据上述情况，公司总股本需</w:t>
      </w:r>
      <w:r>
        <w:rPr>
          <w:spacing w:val="-14"/>
        </w:rPr>
        <w:t> </w:t>
      </w:r>
      <w:r>
        <w:rPr>
          <w:spacing w:val="-14"/>
        </w:rPr>
      </w:r>
      <w:r>
        <w:rPr/>
        <w:t>减少</w:t>
      </w:r>
      <w:r>
        <w:rPr>
          <w:rFonts w:ascii="Times New Roman" w:hAnsi="Times New Roman" w:cs="Times New Roman" w:eastAsia="Times New Roman" w:hint="default"/>
        </w:rPr>
        <w:t>1,500,000</w:t>
      </w:r>
      <w:r>
        <w:rPr/>
        <w:t>股，总股本变更为</w:t>
      </w:r>
      <w:r>
        <w:rPr>
          <w:rFonts w:ascii="Times New Roman" w:hAnsi="Times New Roman" w:cs="Times New Roman" w:eastAsia="Times New Roman" w:hint="default"/>
        </w:rPr>
        <w:t>2,526,000,000</w:t>
      </w:r>
      <w:r>
        <w:rPr/>
        <w:t>股。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日，公司已经完成上述回购注销工作，并由安永华明会计师事务所（特殊普通合伙）上海分所出具了验资</w:t>
      </w:r>
    </w:p>
    <w:p>
      <w:pPr>
        <w:pStyle w:val="BodyText"/>
        <w:spacing w:line="360" w:lineRule="auto" w:before="1"/>
        <w:ind w:right="1478"/>
        <w:jc w:val="left"/>
      </w:pPr>
      <w:r>
        <w:rPr/>
        <w:t>报告。 上述情况的详细内容，请见公司在深圳证券交易所网站及巨潮资讯网（</w:t>
      </w:r>
      <w:hyperlink r:id="rId11">
        <w:r>
          <w:rPr>
            <w:rFonts w:ascii="Times New Roman" w:hAnsi="Times New Roman" w:cs="Times New Roman" w:eastAsia="Times New Roman" w:hint="default"/>
          </w:rPr>
          <w:t>http://www.cninfo.com.cn</w:t>
        </w:r>
      </w:hyperlink>
      <w:r>
        <w:rPr/>
        <w:t>）上发布的相关公告。</w:t>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t>股份变动的批准情况</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27"/>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上述股份变动情况已经公司董事会及</w:t>
      </w:r>
      <w:r>
        <w:rPr>
          <w:rFonts w:ascii="Times New Roman" w:hAnsi="Times New Roman" w:cs="Times New Roman" w:eastAsia="Times New Roman" w:hint="default"/>
        </w:rPr>
        <w:t>2014</w:t>
      </w:r>
      <w:r>
        <w:rPr/>
        <w:t>年度股东大会批准。 股份变动的过户情况</w:t>
      </w:r>
    </w:p>
    <w:p>
      <w:pPr>
        <w:pStyle w:val="BodyText"/>
        <w:spacing w:line="338"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Heading2"/>
        <w:spacing w:line="240" w:lineRule="auto" w:before="26"/>
        <w:ind w:left="154" w:right="0"/>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511.5pt;margin-top:54.891739pt;width:23.4pt;height:15.6pt;mso-position-horizontal-relative:page;mso-position-vertical-relative:paragraph;z-index:-815080" type="#_x0000_t202" filled="false" stroked="false">
            <v:textbox inset="0,0,0,0">
              <w:txbxContent>
                <w:p>
                  <w:pPr>
                    <w:pStyle w:val="BodyText"/>
                    <w:spacing w:line="208" w:lineRule="exact"/>
                    <w:ind w:left="0" w:right="0"/>
                    <w:jc w:val="left"/>
                  </w:pPr>
                  <w:r>
                    <w:rPr/>
                    <w:t>）</w:t>
                  </w:r>
                </w:p>
              </w:txbxContent>
            </v:textbox>
            <w10:wrap type="none"/>
          </v:shape>
        </w:pict>
      </w:r>
      <w:r>
        <w:rPr/>
        <w:pict>
          <v:group style="position:absolute;margin-left:390.160004pt;margin-top:34.70174pt;width:24.05pt;height:20.8pt;mso-position-horizontal-relative:page;mso-position-vertical-relative:paragraph;z-index:-815056" coordorigin="7803,694" coordsize="481,416">
            <v:group style="position:absolute;left:7815;top:705;width:2;height:393" coordorigin="7815,705" coordsize="2,393">
              <v:shape style="position:absolute;left:7815;top:705;width:2;height:393" coordorigin="7815,705" coordsize="0,393" path="m7815,705l7815,1098e" filled="false" stroked="true" strokeweight="1.140pt" strokecolor="#ffffff">
                <v:path arrowok="t"/>
              </v:shape>
            </v:group>
            <v:group style="position:absolute;left:7826;top:705;width:458;height:393" coordorigin="7826,705" coordsize="458,393">
              <v:shape style="position:absolute;left:7826;top:705;width:458;height:393" coordorigin="7826,705" coordsize="458,393" path="m7826,1098l8284,1098,8284,705,7826,705,7826,1098xe" filled="true" fillcolor="#ffffff" stroked="false">
                <v:path arrowok="t"/>
                <v:fill type="solid"/>
              </v:shape>
            </v:group>
            <w10:wrap type="none"/>
          </v:group>
        </w:pict>
      </w:r>
      <w:r>
        <w:rPr/>
        <w:pict>
          <v:group style="position:absolute;margin-left:517.679993pt;margin-top:54.891739pt;width:17.25pt;height:15.6pt;mso-position-horizontal-relative:page;mso-position-vertical-relative:paragraph;z-index:-815032" coordorigin="10354,1098" coordsize="345,312">
            <v:shape style="position:absolute;left:10354;top:1098;width:345;height:312" coordorigin="10354,1098" coordsize="345,312" path="m10354,1410l10698,1410,10698,1098,10354,1098,10354,141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9"/>
        <w:gridCol w:w="854"/>
        <w:gridCol w:w="433"/>
        <w:gridCol w:w="851"/>
        <w:gridCol w:w="131"/>
        <w:gridCol w:w="436"/>
        <w:gridCol w:w="542"/>
        <w:gridCol w:w="167"/>
        <w:gridCol w:w="1276"/>
        <w:gridCol w:w="414"/>
        <w:gridCol w:w="152"/>
        <w:gridCol w:w="384"/>
        <w:gridCol w:w="751"/>
        <w:gridCol w:w="568"/>
        <w:gridCol w:w="697"/>
        <w:gridCol w:w="160"/>
        <w:gridCol w:w="205"/>
      </w:tblGrid>
      <w:tr>
        <w:trPr>
          <w:trHeight w:val="161"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99,300</w:t>
            </w:r>
          </w:p>
        </w:tc>
        <w:tc>
          <w:tcPr>
            <w:tcW w:w="14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pacing w:val="-3"/>
                <w:sz w:val="18"/>
              </w:rPr>
              <w:t>111,872</w:t>
            </w:r>
          </w:p>
        </w:tc>
        <w:tc>
          <w:tcPr>
            <w:tcW w:w="18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7"/>
                <w:sz w:val="18"/>
                <w:szCs w:val="18"/>
              </w:rPr>
              <w:t>优先股股东总数（如有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2" w:type="dxa"/>
            <w:tcBorders>
              <w:top w:val="single" w:sz="4" w:space="0" w:color="000000"/>
              <w:left w:val="single" w:sz="13" w:space="0" w:color="D2D2D2"/>
              <w:bottom w:val="nil" w:sz="6" w:space="0" w:color="auto"/>
              <w:right w:val="nil" w:sz="6" w:space="0" w:color="auto"/>
            </w:tcBorders>
          </w:tcPr>
          <w:p>
            <w:pPr/>
          </w:p>
        </w:tc>
        <w:tc>
          <w:tcPr>
            <w:tcW w:w="384" w:type="dxa"/>
            <w:tcBorders>
              <w:top w:val="single" w:sz="4" w:space="0" w:color="000000"/>
              <w:left w:val="nil" w:sz="6" w:space="0" w:color="auto"/>
              <w:bottom w:val="nil" w:sz="6" w:space="0" w:color="auto"/>
              <w:right w:val="single" w:sz="13" w:space="0" w:color="D2D2D2"/>
            </w:tcBorders>
          </w:tcPr>
          <w:p>
            <w:pPr/>
          </w:p>
        </w:tc>
        <w:tc>
          <w:tcPr>
            <w:tcW w:w="20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21"/>
                <w:sz w:val="18"/>
                <w:szCs w:val="18"/>
              </w:rPr>
              <w:t>东总数（如有）（参见注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tc>
        <w:tc>
          <w:tcPr>
            <w:tcW w:w="160" w:type="dxa"/>
            <w:tcBorders>
              <w:top w:val="single" w:sz="4" w:space="0" w:color="000000"/>
              <w:left w:val="single" w:sz="13" w:space="0" w:color="D2D2D2"/>
              <w:bottom w:val="nil" w:sz="6" w:space="0" w:color="auto"/>
              <w:right w:val="nil" w:sz="6" w:space="0" w:color="auto"/>
            </w:tcBorders>
          </w:tcPr>
          <w:p>
            <w:pPr/>
          </w:p>
        </w:tc>
        <w:tc>
          <w:tcPr>
            <w:tcW w:w="205" w:type="dxa"/>
            <w:tcBorders>
              <w:top w:val="single" w:sz="4" w:space="0" w:color="000000"/>
              <w:left w:val="nil" w:sz="6" w:space="0" w:color="auto"/>
              <w:bottom w:val="nil" w:sz="6" w:space="0" w:color="auto"/>
              <w:right w:val="single" w:sz="4" w:space="0" w:color="000000"/>
            </w:tcBorders>
          </w:tcPr>
          <w:p>
            <w:pPr/>
          </w:p>
        </w:tc>
      </w:tr>
      <w:tr>
        <w:trPr>
          <w:trHeight w:val="704"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854" w:type="dxa"/>
            <w:vMerge/>
            <w:tcBorders>
              <w:left w:val="single" w:sz="9" w:space="0" w:color="D2D2D2"/>
              <w:right w:val="single" w:sz="9" w:space="0" w:color="D2D2D2"/>
            </w:tcBorders>
          </w:tcPr>
          <w:p>
            <w:pPr/>
          </w:p>
        </w:tc>
        <w:tc>
          <w:tcPr>
            <w:tcW w:w="1414" w:type="dxa"/>
            <w:gridSpan w:val="3"/>
            <w:vMerge/>
            <w:tcBorders>
              <w:left w:val="single" w:sz="4" w:space="0" w:color="000000"/>
              <w:right w:val="single" w:sz="4" w:space="0" w:color="000000"/>
            </w:tcBorders>
            <w:shd w:val="clear" w:color="auto" w:fill="D2D2D2"/>
          </w:tcPr>
          <w:p>
            <w:pPr/>
          </w:p>
        </w:tc>
        <w:tc>
          <w:tcPr>
            <w:tcW w:w="978" w:type="dxa"/>
            <w:gridSpan w:val="2"/>
            <w:vMerge/>
            <w:tcBorders>
              <w:left w:val="single" w:sz="13" w:space="0" w:color="D2D2D2"/>
              <w:right w:val="single" w:sz="9" w:space="0" w:color="D2D2D2"/>
            </w:tcBorders>
          </w:tcPr>
          <w:p>
            <w:pPr/>
          </w:p>
        </w:tc>
        <w:tc>
          <w:tcPr>
            <w:tcW w:w="1857" w:type="dxa"/>
            <w:gridSpan w:val="3"/>
            <w:vMerge/>
            <w:tcBorders>
              <w:left w:val="single" w:sz="4" w:space="0" w:color="000000"/>
              <w:right w:val="single" w:sz="4" w:space="0" w:color="000000"/>
            </w:tcBorders>
            <w:shd w:val="clear" w:color="auto" w:fill="D2D2D2"/>
          </w:tcPr>
          <w:p>
            <w:pPr/>
          </w:p>
        </w:tc>
        <w:tc>
          <w:tcPr>
            <w:tcW w:w="152" w:type="dxa"/>
            <w:vMerge w:val="restart"/>
            <w:tcBorders>
              <w:top w:val="nil" w:sz="6" w:space="0" w:color="auto"/>
              <w:left w:val="single" w:sz="13" w:space="0" w:color="D2D2D2"/>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84" w:type="dxa"/>
            <w:tcBorders>
              <w:top w:val="nil" w:sz="6" w:space="0" w:color="auto"/>
              <w:left w:val="nil" w:sz="6" w:space="0" w:color="auto"/>
              <w:bottom w:val="nil" w:sz="6" w:space="0" w:color="auto"/>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15" w:type="dxa"/>
            <w:gridSpan w:val="3"/>
            <w:vMerge/>
            <w:tcBorders>
              <w:left w:val="single" w:sz="4" w:space="0" w:color="000000"/>
              <w:right w:val="single" w:sz="4" w:space="0" w:color="000000"/>
            </w:tcBorders>
            <w:shd w:val="clear" w:color="auto" w:fill="D2D2D2"/>
          </w:tcPr>
          <w:p>
            <w:pPr/>
          </w:p>
        </w:tc>
        <w:tc>
          <w:tcPr>
            <w:tcW w:w="160" w:type="dxa"/>
            <w:vMerge w:val="restart"/>
            <w:tcBorders>
              <w:top w:val="nil" w:sz="6" w:space="0" w:color="auto"/>
              <w:left w:val="single" w:sz="13" w:space="0" w:color="D2D2D2"/>
              <w:right w:val="nil" w:sz="6" w:space="0" w:color="auto"/>
            </w:tcBorders>
          </w:tcPr>
          <w:p>
            <w:pPr/>
          </w:p>
        </w:tc>
        <w:tc>
          <w:tcPr>
            <w:tcW w:w="20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0</w:t>
            </w:r>
          </w:p>
        </w:tc>
      </w:tr>
      <w:tr>
        <w:trPr>
          <w:trHeight w:val="166"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9" w:space="0" w:color="D2D2D2"/>
              <w:bottom w:val="single" w:sz="4" w:space="0" w:color="000000"/>
              <w:right w:val="single" w:sz="9" w:space="0" w:color="D2D2D2"/>
            </w:tcBorders>
          </w:tcPr>
          <w:p>
            <w:pPr/>
          </w:p>
        </w:tc>
        <w:tc>
          <w:tcPr>
            <w:tcW w:w="1414" w:type="dxa"/>
            <w:gridSpan w:val="3"/>
            <w:vMerge/>
            <w:tcBorders>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13" w:space="0" w:color="D2D2D2"/>
              <w:bottom w:val="single" w:sz="4" w:space="0" w:color="000000"/>
              <w:right w:val="single" w:sz="9" w:space="0" w:color="D2D2D2"/>
            </w:tcBorders>
          </w:tcPr>
          <w:p>
            <w:pPr/>
          </w:p>
        </w:tc>
        <w:tc>
          <w:tcPr>
            <w:tcW w:w="1857" w:type="dxa"/>
            <w:gridSpan w:val="3"/>
            <w:vMerge/>
            <w:tcBorders>
              <w:left w:val="single" w:sz="4" w:space="0" w:color="000000"/>
              <w:bottom w:val="single" w:sz="4" w:space="0" w:color="000000"/>
              <w:right w:val="single" w:sz="4" w:space="0" w:color="000000"/>
            </w:tcBorders>
            <w:shd w:val="clear" w:color="auto" w:fill="D2D2D2"/>
          </w:tcPr>
          <w:p>
            <w:pPr/>
          </w:p>
        </w:tc>
        <w:tc>
          <w:tcPr>
            <w:tcW w:w="152" w:type="dxa"/>
            <w:vMerge/>
            <w:tcBorders>
              <w:left w:val="single" w:sz="13" w:space="0" w:color="D2D2D2"/>
              <w:bottom w:val="single" w:sz="4" w:space="0" w:color="000000"/>
              <w:right w:val="nil" w:sz="6" w:space="0" w:color="auto"/>
            </w:tcBorders>
          </w:tcPr>
          <w:p>
            <w:pPr/>
          </w:p>
        </w:tc>
        <w:tc>
          <w:tcPr>
            <w:tcW w:w="384" w:type="dxa"/>
            <w:tcBorders>
              <w:top w:val="nil" w:sz="6" w:space="0" w:color="auto"/>
              <w:left w:val="nil" w:sz="6" w:space="0" w:color="auto"/>
              <w:bottom w:val="single" w:sz="4" w:space="0" w:color="000000"/>
              <w:right w:val="single" w:sz="13" w:space="0" w:color="D2D2D2"/>
            </w:tcBorders>
          </w:tcPr>
          <w:p>
            <w:pPr/>
          </w:p>
        </w:tc>
        <w:tc>
          <w:tcPr>
            <w:tcW w:w="2015" w:type="dxa"/>
            <w:gridSpan w:val="3"/>
            <w:vMerge/>
            <w:tcBorders>
              <w:left w:val="single" w:sz="4" w:space="0" w:color="000000"/>
              <w:bottom w:val="single" w:sz="4" w:space="0" w:color="000000"/>
              <w:right w:val="single" w:sz="4" w:space="0" w:color="000000"/>
            </w:tcBorders>
            <w:shd w:val="clear" w:color="auto" w:fill="D2D2D2"/>
          </w:tcPr>
          <w:p>
            <w:pPr/>
          </w:p>
        </w:tc>
        <w:tc>
          <w:tcPr>
            <w:tcW w:w="160" w:type="dxa"/>
            <w:vMerge/>
            <w:tcBorders>
              <w:left w:val="single" w:sz="13" w:space="0" w:color="D2D2D2"/>
              <w:bottom w:val="single" w:sz="4" w:space="0" w:color="000000"/>
              <w:right w:val="nil" w:sz="6" w:space="0" w:color="auto"/>
            </w:tcBorders>
          </w:tcPr>
          <w:p>
            <w:pPr/>
          </w:p>
        </w:tc>
        <w:tc>
          <w:tcPr>
            <w:tcW w:w="205"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9" w:hRule="exact"/>
        </w:trPr>
        <w:tc>
          <w:tcPr>
            <w:tcW w:w="2836" w:type="dxa"/>
            <w:gridSpan w:val="3"/>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567"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持有 有限 售条 件的 股份 数量</w:t>
            </w: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4" w:hRule="exact"/>
        </w:trPr>
        <w:tc>
          <w:tcPr>
            <w:tcW w:w="2836" w:type="dxa"/>
            <w:gridSpan w:val="3"/>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567" w:type="dxa"/>
            <w:gridSpan w:val="2"/>
            <w:vMerge/>
            <w:tcBorders>
              <w:left w:val="single" w:sz="4" w:space="0" w:color="000000"/>
              <w:bottom w:val="nil" w:sz="6" w:space="0" w:color="auto"/>
              <w:right w:val="single" w:sz="4" w:space="0" w:color="000000"/>
            </w:tcBorders>
            <w:shd w:val="clear" w:color="auto" w:fill="D2D2D2"/>
          </w:tcPr>
          <w:p>
            <w:pPr/>
          </w:p>
        </w:tc>
        <w:tc>
          <w:tcPr>
            <w:tcW w:w="70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0"/>
              <w:ind w:left="79" w:right="78"/>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0"/>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1062" w:type="dxa"/>
            <w:gridSpan w:val="3"/>
            <w:vMerge w:val="restart"/>
            <w:tcBorders>
              <w:top w:val="single" w:sz="4" w:space="0" w:color="000000"/>
              <w:left w:val="single" w:sz="4" w:space="0" w:color="000000"/>
              <w:right w:val="single" w:sz="4" w:space="0" w:color="000000"/>
            </w:tcBorders>
            <w:shd w:val="clear" w:color="auto" w:fill="D2D2D2"/>
          </w:tcPr>
          <w:p>
            <w:pPr/>
          </w:p>
        </w:tc>
      </w:tr>
      <w:tr>
        <w:trPr>
          <w:trHeight w:val="179" w:hRule="exact"/>
        </w:trPr>
        <w:tc>
          <w:tcPr>
            <w:tcW w:w="2836" w:type="dxa"/>
            <w:gridSpan w:val="3"/>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2"/>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9" w:type="dxa"/>
            <w:gridSpan w:val="2"/>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2"/>
              <w:ind w:left="272" w:right="91"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062" w:type="dxa"/>
            <w:gridSpan w:val="3"/>
            <w:vMerge/>
            <w:tcBorders>
              <w:left w:val="single" w:sz="4" w:space="0" w:color="000000"/>
              <w:right w:val="single" w:sz="4" w:space="0" w:color="000000"/>
            </w:tcBorders>
            <w:shd w:val="clear" w:color="auto" w:fill="D2D2D2"/>
          </w:tcPr>
          <w:p>
            <w:pPr/>
          </w:p>
        </w:tc>
      </w:tr>
      <w:tr>
        <w:trPr>
          <w:trHeight w:val="179" w:hRule="exact"/>
        </w:trPr>
        <w:tc>
          <w:tcPr>
            <w:tcW w:w="283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67" w:type="dxa"/>
            <w:gridSpan w:val="2"/>
            <w:vMerge/>
            <w:tcBorders>
              <w:left w:val="single" w:sz="4" w:space="0" w:color="000000"/>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5"/>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gridSpan w:val="3"/>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2836" w:type="dxa"/>
            <w:gridSpan w:val="3"/>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7" w:type="dxa"/>
            <w:gridSpan w:val="2"/>
            <w:vMerge/>
            <w:tcBorders>
              <w:left w:val="single" w:sz="4" w:space="0" w:color="000000"/>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836" w:type="dxa"/>
            <w:gridSpan w:val="3"/>
            <w:vMerge w:val="restart"/>
            <w:tcBorders>
              <w:top w:val="nil" w:sz="6" w:space="0" w:color="auto"/>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567" w:type="dxa"/>
            <w:gridSpan w:val="2"/>
            <w:vMerge/>
            <w:tcBorders>
              <w:left w:val="single" w:sz="4" w:space="0" w:color="000000"/>
              <w:bottom w:val="nil" w:sz="6" w:space="0" w:color="auto"/>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2836" w:type="dxa"/>
            <w:gridSpan w:val="3"/>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567"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gridSpan w:val="2"/>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062" w:type="dxa"/>
            <w:gridSpan w:val="3"/>
            <w:vMerge w:val="restart"/>
            <w:tcBorders>
              <w:top w:val="nil" w:sz="6" w:space="0" w:color="auto"/>
              <w:left w:val="single" w:sz="4" w:space="0" w:color="000000"/>
              <w:right w:val="single" w:sz="4" w:space="0" w:color="000000"/>
            </w:tcBorders>
            <w:shd w:val="clear" w:color="auto" w:fill="D2D2D2"/>
          </w:tcPr>
          <w:p>
            <w:pPr/>
          </w:p>
        </w:tc>
      </w:tr>
      <w:tr>
        <w:trPr>
          <w:trHeight w:val="473" w:hRule="exact"/>
        </w:trPr>
        <w:tc>
          <w:tcPr>
            <w:tcW w:w="2836" w:type="dxa"/>
            <w:gridSpan w:val="3"/>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567" w:type="dxa"/>
            <w:gridSpan w:val="2"/>
            <w:vMerge/>
            <w:tcBorders>
              <w:left w:val="single" w:sz="4" w:space="0" w:color="000000"/>
              <w:bottom w:val="single" w:sz="4" w:space="0" w:color="000000"/>
              <w:right w:val="single" w:sz="4" w:space="0" w:color="000000"/>
            </w:tcBorders>
            <w:shd w:val="clear" w:color="auto" w:fill="D2D2D2"/>
          </w:tcPr>
          <w:p>
            <w:pPr/>
          </w:p>
        </w:tc>
        <w:tc>
          <w:tcPr>
            <w:tcW w:w="7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gridSpan w:val="3"/>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2"/>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1,272,48</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6,359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22"/>
              <w:jc w:val="left"/>
              <w:rPr>
                <w:rFonts w:ascii="宋体" w:hAnsi="宋体" w:cs="宋体" w:eastAsia="宋体" w:hint="default"/>
                <w:sz w:val="18"/>
                <w:szCs w:val="18"/>
              </w:rPr>
            </w:pPr>
            <w:r>
              <w:rPr>
                <w:rFonts w:ascii="宋体" w:hAnsi="宋体" w:cs="宋体" w:eastAsia="宋体" w:hint="default"/>
                <w:spacing w:val="-6"/>
                <w:sz w:val="18"/>
                <w:szCs w:val="18"/>
              </w:rPr>
              <w:t>因利润分配、减</w:t>
            </w:r>
            <w:r>
              <w:rPr>
                <w:rFonts w:ascii="宋体" w:hAnsi="宋体" w:cs="宋体" w:eastAsia="宋体" w:hint="default"/>
                <w:sz w:val="18"/>
                <w:szCs w:val="18"/>
              </w:rPr>
              <w:t> 持及增持导致 持股数量产生 变动</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1,272,486,359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29" w:right="0"/>
              <w:jc w:val="left"/>
              <w:rPr>
                <w:rFonts w:ascii="Times New Roman" w:hAnsi="Times New Roman" w:cs="Times New Roman" w:eastAsia="Times New Roman" w:hint="default"/>
                <w:sz w:val="18"/>
                <w:szCs w:val="18"/>
              </w:rPr>
            </w:pPr>
            <w:r>
              <w:rPr>
                <w:rFonts w:ascii="Times New Roman"/>
                <w:sz w:val="18"/>
              </w:rPr>
              <w:t>269,410,000</w:t>
            </w:r>
          </w:p>
        </w:tc>
      </w:tr>
      <w:tr>
        <w:trPr>
          <w:trHeight w:val="1026"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8.91%</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61"/>
              <w:jc w:val="both"/>
              <w:rPr>
                <w:rFonts w:ascii="宋体" w:hAnsi="宋体" w:cs="宋体" w:eastAsia="宋体" w:hint="default"/>
                <w:sz w:val="18"/>
                <w:szCs w:val="18"/>
              </w:rPr>
            </w:pPr>
            <w:r>
              <w:rPr>
                <w:rFonts w:ascii="宋体" w:hAnsi="宋体" w:cs="宋体" w:eastAsia="宋体" w:hint="default"/>
                <w:sz w:val="18"/>
                <w:szCs w:val="18"/>
              </w:rPr>
              <w:t>因利润分配导 致持股数量产 生变动</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225,000,000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4.83%</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 w:right="0"/>
              <w:jc w:val="left"/>
              <w:rPr>
                <w:rFonts w:ascii="Times New Roman" w:hAnsi="Times New Roman" w:cs="Times New Roman" w:eastAsia="Times New Roman" w:hint="default"/>
                <w:sz w:val="18"/>
                <w:szCs w:val="18"/>
              </w:rPr>
            </w:pPr>
            <w:r>
              <w:rPr>
                <w:rFonts w:ascii="Times New Roman"/>
                <w:sz w:val="18"/>
              </w:rPr>
              <w:t>121,944,</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121,944,000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工银瑞信基金－农业银行－工银瑞 信中证金融资产管理计划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南方基金－农业银行－南方中证金 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中欧基金－农业银行－中欧中证金 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博时基金－农业银行－博时中证金 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大成基金－农业银行－大成中证金 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嘉实基金－农业银行－嘉实中证金 融资产管理计划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gridSpan w:val="3"/>
            <w:tcBorders>
              <w:top w:val="single" w:sz="4" w:space="0" w:color="000000"/>
              <w:left w:val="single" w:sz="4" w:space="0" w:color="000000"/>
              <w:bottom w:val="single" w:sz="12" w:space="0" w:color="D2D2D2"/>
              <w:right w:val="single" w:sz="4" w:space="0" w:color="000000"/>
            </w:tcBorders>
          </w:tcPr>
          <w:p>
            <w:pPr>
              <w:pStyle w:val="TableParagraph"/>
              <w:spacing w:line="319" w:lineRule="auto" w:before="85"/>
              <w:ind w:left="22" w:right="101"/>
              <w:jc w:val="left"/>
              <w:rPr>
                <w:rFonts w:ascii="宋体" w:hAnsi="宋体" w:cs="宋体" w:eastAsia="宋体" w:hint="default"/>
                <w:sz w:val="18"/>
                <w:szCs w:val="18"/>
              </w:rPr>
            </w:pPr>
            <w:r>
              <w:rPr>
                <w:rFonts w:ascii="宋体" w:hAnsi="宋体" w:cs="宋体" w:eastAsia="宋体" w:hint="default"/>
                <w:sz w:val="18"/>
                <w:szCs w:val="18"/>
              </w:rPr>
              <w:t>广发基金－农业银行－广发中证金 融资产管理计划</w:t>
            </w:r>
          </w:p>
        </w:tc>
        <w:tc>
          <w:tcPr>
            <w:tcW w:w="851" w:type="dxa"/>
            <w:tcBorders>
              <w:top w:val="single" w:sz="4" w:space="0" w:color="000000"/>
              <w:left w:val="single" w:sz="4" w:space="0" w:color="000000"/>
              <w:bottom w:val="single" w:sz="12" w:space="0" w:color="D2D2D2"/>
              <w:right w:val="single" w:sz="4" w:space="0" w:color="000000"/>
            </w:tcBorders>
          </w:tcPr>
          <w:p>
            <w:pPr>
              <w:pStyle w:val="TableParagraph"/>
              <w:spacing w:line="319" w:lineRule="auto" w:before="85"/>
              <w:ind w:left="22"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36,388,0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36,388,000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88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675"/>
        <w:gridCol w:w="1571"/>
        <w:gridCol w:w="1626"/>
        <w:gridCol w:w="1349"/>
        <w:gridCol w:w="1348"/>
      </w:tblGrid>
      <w:tr>
        <w:trPr>
          <w:trHeight w:val="362"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894" w:type="dxa"/>
            <w:gridSpan w:val="4"/>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3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4" w:type="dxa"/>
            <w:gridSpan w:val="4"/>
            <w:vMerge w:val="restart"/>
            <w:tcBorders>
              <w:top w:val="single" w:sz="4" w:space="0" w:color="000000"/>
              <w:left w:val="single" w:sz="10" w:space="0" w:color="D2D2D2"/>
              <w:right w:val="single" w:sz="4" w:space="0" w:color="000000"/>
            </w:tcBorders>
          </w:tcPr>
          <w:p>
            <w:pPr>
              <w:pStyle w:val="TableParagraph"/>
              <w:spacing w:line="316" w:lineRule="auto" w:before="51"/>
              <w:ind w:left="27" w:right="87"/>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 股东胡佳佳女士系父女关系。</w:t>
            </w:r>
          </w:p>
        </w:tc>
      </w:tr>
      <w:tr>
        <w:trPr>
          <w:trHeight w:val="392" w:hRule="exact"/>
        </w:trPr>
        <w:tc>
          <w:tcPr>
            <w:tcW w:w="3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94" w:type="dxa"/>
            <w:gridSpan w:val="4"/>
            <w:vMerge/>
            <w:tcBorders>
              <w:left w:val="single" w:sz="10" w:space="0" w:color="D2D2D2"/>
              <w:right w:val="single" w:sz="4" w:space="0" w:color="000000"/>
            </w:tcBorders>
          </w:tcPr>
          <w:p>
            <w:pPr/>
          </w:p>
        </w:tc>
      </w:tr>
      <w:tr>
        <w:trPr>
          <w:trHeight w:val="161" w:hRule="exact"/>
        </w:trPr>
        <w:tc>
          <w:tcPr>
            <w:tcW w:w="3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894" w:type="dxa"/>
            <w:gridSpan w:val="4"/>
            <w:vMerge/>
            <w:tcBorders>
              <w:left w:val="single" w:sz="10" w:space="0" w:color="D2D2D2"/>
              <w:bottom w:val="single" w:sz="4" w:space="0" w:color="000000"/>
              <w:right w:val="single" w:sz="4" w:space="0" w:color="000000"/>
            </w:tcBorders>
          </w:tcPr>
          <w:p>
            <w:pPr/>
          </w:p>
        </w:tc>
      </w:tr>
      <w:tr>
        <w:trPr>
          <w:trHeight w:val="398"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0" w:hRule="exact"/>
        </w:trPr>
        <w:tc>
          <w:tcPr>
            <w:tcW w:w="524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77" w:right="86"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524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6" w:type="dxa"/>
            <w:vMerge/>
            <w:tcBorders>
              <w:left w:val="single" w:sz="4" w:space="0" w:color="000000"/>
              <w:right w:val="single" w:sz="4" w:space="0" w:color="000000"/>
            </w:tcBorders>
            <w:shd w:val="clear" w:color="auto" w:fill="D2D2D2"/>
          </w:tcPr>
          <w:p>
            <w:pP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5246" w:type="dxa"/>
            <w:gridSpan w:val="2"/>
            <w:vMerge/>
            <w:tcBorders>
              <w:left w:val="single" w:sz="4" w:space="0" w:color="000000"/>
              <w:bottom w:val="nil" w:sz="6" w:space="0" w:color="auto"/>
              <w:right w:val="single" w:sz="4" w:space="0" w:color="000000"/>
            </w:tcBorders>
            <w:shd w:val="clear" w:color="auto" w:fill="D2D2D2"/>
          </w:tcPr>
          <w:p>
            <w:pPr/>
          </w:p>
        </w:tc>
        <w:tc>
          <w:tcPr>
            <w:tcW w:w="1626" w:type="dxa"/>
            <w:vMerge/>
            <w:tcBorders>
              <w:left w:val="single" w:sz="4" w:space="0" w:color="000000"/>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24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62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pacing w:val="-1"/>
                <w:sz w:val="18"/>
              </w:rPr>
              <w:t>1,272,486,359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1,272,486,359</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121,944,000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工银瑞信基金－农业银行－工银瑞信中证金融资产管理计划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南方基金－农业银行－南方中证金融资产管理计划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中欧基金－农业银行－中欧中证金融资产管理计划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博时基金－农业银行－博时中证金融资产管理计划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大成基金－农业银行－大成中证金融资产管理计划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嘉实基金－农业银行－嘉实中证金融资产管理计划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5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广发基金－农业银行－广发中证金融资产管理计划</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52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 周成建先生与本公司股东胡佳佳女士系父女关系。</w:t>
            </w:r>
          </w:p>
        </w:tc>
      </w:tr>
      <w:tr>
        <w:trPr>
          <w:trHeight w:val="1026" w:hRule="exact"/>
        </w:trPr>
        <w:tc>
          <w:tcPr>
            <w:tcW w:w="5246"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w:t>
            </w:r>
            <w:r>
              <w:rPr>
                <w:rFonts w:ascii="宋体" w:hAnsi="宋体" w:cs="宋体" w:eastAsia="宋体" w:hint="default"/>
                <w:spacing w:val="1"/>
                <w:sz w:val="18"/>
                <w:szCs w:val="18"/>
              </w:rPr>
              <w:t>股</w:t>
            </w:r>
            <w:r>
              <w:rPr>
                <w:rFonts w:ascii="宋体" w:hAnsi="宋体" w:cs="宋体" w:eastAsia="宋体" w:hint="default"/>
                <w:sz w:val="18"/>
                <w:szCs w:val="18"/>
              </w:rPr>
              <w:t>股东参与融资融券业务情况说</w:t>
            </w:r>
            <w:r>
              <w:rPr>
                <w:rFonts w:ascii="宋体" w:hAnsi="宋体" w:cs="宋体" w:eastAsia="宋体" w:hint="default"/>
                <w:spacing w:val="-39"/>
                <w:sz w:val="18"/>
                <w:szCs w:val="18"/>
              </w:rPr>
              <w:t>明</w:t>
            </w:r>
            <w:r>
              <w:rPr>
                <w:rFonts w:ascii="宋体" w:hAnsi="宋体" w:cs="宋体" w:eastAsia="宋体" w:hint="default"/>
                <w:sz w:val="18"/>
                <w:szCs w:val="18"/>
              </w:rPr>
              <w:t>（如有</w:t>
            </w:r>
            <w:r>
              <w:rPr>
                <w:rFonts w:ascii="宋体" w:hAnsi="宋体" w:cs="宋体" w:eastAsia="宋体" w:hint="default"/>
                <w:spacing w:val="-12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pacing w:val="-34"/>
                <w:sz w:val="18"/>
                <w:szCs w:val="18"/>
              </w:rPr>
              <w:t>）</w:t>
            </w:r>
            <w:r>
              <w:rPr>
                <w:rFonts w:ascii="宋体" w:hAnsi="宋体" w:cs="宋体" w:eastAsia="宋体" w:hint="default"/>
                <w:sz w:val="18"/>
                <w:szCs w:val="18"/>
              </w:rPr>
            </w:r>
          </w:p>
        </w:tc>
        <w:tc>
          <w:tcPr>
            <w:tcW w:w="4323" w:type="dxa"/>
            <w:gridSpan w:val="3"/>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报告期末，控股股东 </w:t>
            </w:r>
            <w:r>
              <w:rPr>
                <w:rFonts w:ascii="宋体" w:hAnsi="宋体" w:cs="宋体" w:eastAsia="宋体" w:hint="default"/>
                <w:sz w:val="18"/>
                <w:szCs w:val="18"/>
              </w:rPr>
              <w:t>股份数为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1,272,486,3</w:t>
            </w:r>
          </w:p>
          <w:p>
            <w:pPr>
              <w:pStyle w:val="TableParagraph"/>
              <w:spacing w:line="240" w:lineRule="auto"/>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270,000,00</w:t>
            </w:r>
          </w:p>
          <w:p>
            <w:pPr>
              <w:pStyle w:val="TableParagraph"/>
              <w:spacing w:line="240" w:lineRule="auto" w:before="51"/>
              <w:ind w:left="1578" w:right="0"/>
              <w:jc w:val="left"/>
              <w:rPr>
                <w:rFonts w:ascii="宋体" w:hAnsi="宋体" w:cs="宋体" w:eastAsia="宋体" w:hint="default"/>
                <w:sz w:val="18"/>
                <w:szCs w:val="18"/>
              </w:rPr>
            </w:pPr>
            <w:r>
              <w:rPr>
                <w:rFonts w:ascii="宋体" w:hAnsi="宋体" w:cs="宋体" w:eastAsia="宋体" w:hint="default"/>
                <w:sz w:val="18"/>
                <w:szCs w:val="18"/>
              </w:rPr>
              <w:t>上海华服投资有限公司持有本公司</w:t>
            </w:r>
          </w:p>
          <w:p>
            <w:pPr>
              <w:pStyle w:val="TableParagraph"/>
              <w:spacing w:line="240" w:lineRule="auto" w:before="75"/>
              <w:ind w:left="16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 </w:t>
            </w:r>
            <w:r>
              <w:rPr>
                <w:rFonts w:ascii="宋体" w:hAnsi="宋体" w:cs="宋体" w:eastAsia="宋体" w:hint="default"/>
                <w:sz w:val="18"/>
                <w:szCs w:val="18"/>
              </w:rPr>
              <w:t>股，其中通过信用证券账户持</w:t>
            </w:r>
          </w:p>
          <w:p>
            <w:pPr>
              <w:pStyle w:val="TableParagraph"/>
              <w:spacing w:line="240" w:lineRule="auto" w:before="64"/>
              <w:ind w:right="631"/>
              <w:jc w:val="center"/>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股。</w:t>
            </w:r>
          </w:p>
        </w:tc>
      </w:tr>
    </w:tbl>
    <w:p>
      <w:pPr>
        <w:pStyle w:val="BodyText"/>
        <w:spacing w:line="240" w:lineRule="auto" w:before="51"/>
        <w:ind w:left="154" w:right="0"/>
        <w:jc w:val="left"/>
      </w:pPr>
      <w:r>
        <w:rPr/>
        <w:pict>
          <v:group style="position:absolute;margin-left:320.380005pt;margin-top:-33.73827pt;width:213.4pt;height:15.6pt;mso-position-horizontal-relative:page;mso-position-vertical-relative:paragraph;z-index:-815008" coordorigin="6408,-675" coordsize="4268,312">
            <v:shape style="position:absolute;left:6408;top:-675;width:4268;height:312" coordorigin="6408,-675" coordsize="4268,312" path="m6408,-363l10675,-363,10675,-675,6408,-675,6408,-363xe" filled="true" fillcolor="#ffffff" stroked="false">
              <v:path arrowok="t"/>
              <v:fill type="solid"/>
            </v:shape>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66604978-3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3、公司实际控制人情况" w:id="123"/>
      <w:bookmarkEnd w:id="12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上海美特斯邦威服饰股份有限公司董事长、总裁</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3915" w:lineRule="exact"/>
        <w:ind w:left="135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1050" cy="24860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4591050"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5"/>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71"/>
        <w:ind w:left="3286" w:right="0"/>
        <w:jc w:val="left"/>
        <w:rPr>
          <w:b w:val="0"/>
          <w:bCs w:val="0"/>
        </w:rPr>
      </w:pPr>
      <w:bookmarkStart w:name="第七节 优先股相关情况" w:id="126"/>
      <w:bookmarkEnd w:id="126"/>
      <w:r>
        <w:rPr>
          <w:b w:val="0"/>
          <w:bCs w:val="0"/>
        </w:rPr>
      </w:r>
      <w:bookmarkStart w:name="_bookmark6" w:id="127"/>
      <w:bookmarkEnd w:id="12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51" w:footer="979" w:top="13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ind w:left="1680" w:right="0"/>
        <w:jc w:val="left"/>
        <w:rPr>
          <w:b w:val="0"/>
          <w:bCs w:val="0"/>
        </w:rPr>
      </w:pPr>
      <w:bookmarkStart w:name="第八节 董事、监事、高级管理人员和员工情况" w:id="128"/>
      <w:bookmarkEnd w:id="128"/>
      <w:r>
        <w:rPr>
          <w:b w:val="0"/>
          <w:bCs w:val="0"/>
        </w:rPr>
      </w:r>
      <w:bookmarkStart w:name="_bookmark7" w:id="129"/>
      <w:bookmarkEnd w:id="12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425"/>
        <w:gridCol w:w="425"/>
        <w:gridCol w:w="1701"/>
        <w:gridCol w:w="1560"/>
        <w:gridCol w:w="566"/>
        <w:gridCol w:w="568"/>
        <w:gridCol w:w="605"/>
        <w:gridCol w:w="798"/>
        <w:gridCol w:w="798"/>
      </w:tblGrid>
      <w:tr>
        <w:trPr>
          <w:trHeight w:val="164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9"/>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2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241"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241"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董事会秘 书、财务 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原任董 事、副总 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38"/>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241"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2072"/>
        <w:gridCol w:w="1276"/>
        <w:gridCol w:w="1560"/>
        <w:gridCol w:w="333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8"/>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6"/>
              <w:jc w:val="right"/>
              <w:rPr>
                <w:rFonts w:ascii="宋体" w:hAnsi="宋体" w:cs="宋体" w:eastAsia="宋体" w:hint="default"/>
                <w:sz w:val="18"/>
                <w:szCs w:val="18"/>
              </w:rPr>
            </w:pPr>
            <w:r>
              <w:rPr>
                <w:rFonts w:ascii="宋体" w:hAnsi="宋体" w:cs="宋体" w:eastAsia="宋体" w:hint="default"/>
                <w:sz w:val="18"/>
                <w:szCs w:val="18"/>
              </w:rPr>
              <w:t>原任董事、副总裁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154" w:right="0"/>
        <w:jc w:val="left"/>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90" w:right="1123" w:hanging="437"/>
        <w:jc w:val="left"/>
      </w:pPr>
      <w:r>
        <w:rPr/>
        <w:t>公司现任董事、监事、高级管理人员专业背景、主要工作经历以及目前在公司的主要职责 </w:t>
      </w:r>
      <w:r>
        <w:rPr>
          <w:spacing w:val="-1"/>
        </w:rPr>
        <w:t>周成建，男，中国国籍，浙江大学</w:t>
      </w:r>
      <w:r>
        <w:rPr>
          <w:rFonts w:ascii="Times New Roman" w:hAnsi="Times New Roman" w:cs="Times New Roman" w:eastAsia="Times New Roman" w:hint="default"/>
          <w:spacing w:val="-1"/>
        </w:rPr>
        <w:t>EMBA</w:t>
      </w:r>
      <w:r>
        <w:rPr>
          <w:spacing w:val="-1"/>
        </w:rPr>
        <w:t>，全国政协委员、上海市人大代表。于</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5</w:t>
      </w:r>
      <w:r>
        <w:rPr>
          <w:spacing w:val="-1"/>
        </w:rPr>
        <w:t>月开始个体经商，</w:t>
      </w:r>
      <w:r>
        <w:rPr>
          <w:rFonts w:ascii="Times New Roman" w:hAnsi="Times New Roman" w:cs="Times New Roman" w:eastAsia="Times New Roman" w:hint="default"/>
          <w:spacing w:val="-1"/>
        </w:rPr>
        <w:t>1995</w:t>
      </w:r>
      <w:r>
        <w:rPr>
          <w:spacing w:val="-1"/>
        </w:rPr>
        <w:t>年在温</w:t>
      </w:r>
    </w:p>
    <w:p>
      <w:pPr>
        <w:pStyle w:val="BodyText"/>
        <w:spacing w:line="215" w:lineRule="exact"/>
        <w:ind w:right="0"/>
        <w:jc w:val="left"/>
      </w:pPr>
      <w:r>
        <w:rPr/>
        <w:t>州开设第一家美特斯</w:t>
      </w:r>
      <w:r>
        <w:rPr>
          <w:rFonts w:ascii="Times New Roman" w:hAnsi="Times New Roman" w:cs="Times New Roman" w:eastAsia="Times New Roman" w:hint="default"/>
        </w:rPr>
        <w:t>·</w:t>
      </w:r>
      <w:r>
        <w:rPr/>
        <w:t>邦威专卖店，实行品牌连锁经营；曾任温州市凯莉莎服装厂总经理、温州市美特斯制衣有限公司董事</w:t>
      </w:r>
    </w:p>
    <w:p>
      <w:pPr>
        <w:pStyle w:val="BodyText"/>
        <w:spacing w:line="316" w:lineRule="auto" w:before="63"/>
        <w:ind w:right="0"/>
        <w:jc w:val="left"/>
      </w:pPr>
      <w:r>
        <w:rPr>
          <w:spacing w:val="-2"/>
        </w:rPr>
        <w:t>长、温州美特斯邦威有限公司董事长、美特斯邦威集团有限公司董事长兼总裁，本公司第一、二、三届董事会董事长。周成</w:t>
      </w:r>
      <w:r>
        <w:rPr>
          <w:spacing w:val="-68"/>
        </w:rPr>
        <w:t> </w:t>
      </w:r>
      <w:r>
        <w:rPr>
          <w:spacing w:val="-68"/>
        </w:rPr>
      </w:r>
      <w:r>
        <w:rPr/>
        <w:t>建先生为本公司的控股股东上海华服投资有限公司的实际控制人、本公司的实际控制人。</w:t>
      </w:r>
    </w:p>
    <w:p>
      <w:pPr>
        <w:spacing w:line="240" w:lineRule="auto" w:before="4"/>
        <w:rPr>
          <w:rFonts w:ascii="宋体" w:hAnsi="宋体" w:cs="宋体" w:eastAsia="宋体" w:hint="default"/>
          <w:sz w:val="25"/>
          <w:szCs w:val="25"/>
        </w:rPr>
      </w:pPr>
    </w:p>
    <w:p>
      <w:pPr>
        <w:pStyle w:val="BodyText"/>
        <w:spacing w:line="300" w:lineRule="auto"/>
        <w:ind w:right="1133" w:firstLine="436"/>
        <w:jc w:val="both"/>
      </w:pPr>
      <w:r>
        <w:rPr/>
        <w:t>周文武，男，中国国籍，大专学历，历任美邦企发公司中山生产办事处负责人、</w:t>
      </w:r>
      <w:r>
        <w:rPr>
          <w:rFonts w:ascii="Times New Roman" w:hAnsi="Times New Roman" w:cs="Times New Roman" w:eastAsia="Times New Roman" w:hint="default"/>
        </w:rPr>
        <w:t>Meters/bonwe</w:t>
      </w:r>
      <w:r>
        <w:rPr/>
        <w:t>品牌事业部副总裁、供 应链管理中心总监，本公司第一、二、三届董事会董事。周文武先生与系本公司实际控制人周成建先生的侄子。</w:t>
      </w:r>
    </w:p>
    <w:p>
      <w:pPr>
        <w:spacing w:line="240" w:lineRule="auto" w:before="3"/>
        <w:rPr>
          <w:rFonts w:ascii="宋体" w:hAnsi="宋体" w:cs="宋体" w:eastAsia="宋体" w:hint="default"/>
          <w:sz w:val="26"/>
          <w:szCs w:val="26"/>
        </w:rPr>
      </w:pPr>
    </w:p>
    <w:p>
      <w:pPr>
        <w:pStyle w:val="BodyText"/>
        <w:spacing w:line="300" w:lineRule="auto"/>
        <w:ind w:right="1039" w:firstLine="436"/>
        <w:jc w:val="both"/>
      </w:pPr>
      <w:r>
        <w:rPr/>
        <w:t>涂</w:t>
      </w:r>
      <w:r>
        <w:rPr>
          <w:spacing w:val="10"/>
        </w:rPr>
        <w:t> </w:t>
      </w:r>
      <w:r>
        <w:rPr/>
        <w:t>珂，男，中国国籍，</w:t>
      </w:r>
      <w:r>
        <w:rPr>
          <w:rFonts w:ascii="Times New Roman" w:hAnsi="Times New Roman" w:cs="Times New Roman" w:eastAsia="Times New Roman" w:hint="default"/>
        </w:rPr>
        <w:t>1998</w:t>
      </w:r>
      <w:r>
        <w:rPr/>
        <w:t>年毕业于西南财经大学，</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2007</w:t>
      </w:r>
      <w:r>
        <w:rPr/>
        <w:t>年任职于中国光大银行，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月加入本公司，</w:t>
      </w:r>
      <w:r>
        <w:rPr>
          <w:spacing w:val="1"/>
        </w:rPr>
        <w:t> </w:t>
      </w:r>
      <w:r>
        <w:rPr/>
        <w:t>曾任本公司监事长，现任本公司董事、董事会秘书兼财务总监。</w:t>
      </w:r>
    </w:p>
    <w:p>
      <w:pPr>
        <w:spacing w:line="240" w:lineRule="auto" w:before="3"/>
        <w:rPr>
          <w:rFonts w:ascii="宋体" w:hAnsi="宋体" w:cs="宋体" w:eastAsia="宋体" w:hint="default"/>
          <w:sz w:val="26"/>
          <w:szCs w:val="26"/>
        </w:rPr>
      </w:pPr>
    </w:p>
    <w:p>
      <w:pPr>
        <w:pStyle w:val="BodyText"/>
        <w:spacing w:line="300" w:lineRule="auto"/>
        <w:ind w:left="154" w:right="1128" w:firstLine="436"/>
        <w:jc w:val="both"/>
      </w:pPr>
      <w:r>
        <w:rPr/>
        <w:t>郁</w:t>
      </w:r>
      <w:r>
        <w:rPr>
          <w:spacing w:val="13"/>
        </w:rPr>
        <w:t> </w:t>
      </w:r>
      <w:r>
        <w:rPr/>
        <w:t>亮，男，中国国籍，北京大学硕士。曾在深圳外贸集团工作，</w:t>
      </w:r>
      <w:r>
        <w:rPr>
          <w:rFonts w:ascii="Times New Roman" w:hAnsi="Times New Roman" w:cs="Times New Roman" w:eastAsia="Times New Roman" w:hint="default"/>
        </w:rPr>
        <w:t>1990</w:t>
      </w:r>
      <w:r>
        <w:rPr/>
        <w:t>年加入万科企业股份有限公司；</w:t>
      </w:r>
      <w:r>
        <w:rPr>
          <w:rFonts w:ascii="Times New Roman" w:hAnsi="Times New Roman" w:cs="Times New Roman" w:eastAsia="Times New Roman" w:hint="default"/>
        </w:rPr>
        <w:t>1993</w:t>
      </w:r>
      <w:r>
        <w:rPr/>
        <w:t>年任深圳</w:t>
      </w:r>
      <w:r>
        <w:rPr>
          <w:spacing w:val="1"/>
        </w:rPr>
        <w:t> </w:t>
      </w:r>
      <w:r>
        <w:rPr/>
        <w:t>市万科财务顾问有限公司总经理，</w:t>
      </w:r>
      <w:r>
        <w:rPr>
          <w:rFonts w:ascii="Times New Roman" w:hAnsi="Times New Roman" w:cs="Times New Roman" w:eastAsia="Times New Roman" w:hint="default"/>
        </w:rPr>
        <w:t>2001</w:t>
      </w:r>
      <w:r>
        <w:rPr/>
        <w:t>年任万科企业股份有限公司总经理至今。</w:t>
      </w:r>
    </w:p>
    <w:p>
      <w:pPr>
        <w:spacing w:line="240" w:lineRule="auto" w:before="11"/>
        <w:rPr>
          <w:rFonts w:ascii="宋体" w:hAnsi="宋体" w:cs="宋体" w:eastAsia="宋体" w:hint="default"/>
          <w:sz w:val="24"/>
          <w:szCs w:val="24"/>
        </w:rPr>
      </w:pPr>
    </w:p>
    <w:p>
      <w:pPr>
        <w:pStyle w:val="BodyText"/>
        <w:spacing w:line="316" w:lineRule="auto"/>
        <w:ind w:left="154" w:right="1132" w:firstLine="436"/>
        <w:jc w:val="both"/>
      </w:pPr>
      <w:r>
        <w:rPr/>
        <w:t>单喆慜，女，中国国籍，上海市政协委员，上海财经大学管理学博士、中国注册会计师、美国证券分析师。先后就职 </w:t>
      </w:r>
      <w:r>
        <w:rPr>
          <w:spacing w:val="-2"/>
        </w:rPr>
        <w:t>于香港城市大学会计学系任研究员、上海财经大学会计学院副教授、申银万国证券公司证券投资总部高级投资经理及投资银</w:t>
      </w:r>
      <w:r>
        <w:rPr>
          <w:spacing w:val="-64"/>
        </w:rPr>
        <w:t> </w:t>
      </w:r>
      <w:r>
        <w:rPr>
          <w:spacing w:val="-64"/>
        </w:rPr>
      </w:r>
      <w:r>
        <w:rPr>
          <w:spacing w:val="-2"/>
        </w:rPr>
        <w:t>行总部内核专家。现任上海国家会计学院副教授，金融研究所所长，教研部副主任，同时担任清华大学五道口金融学院、清</w:t>
      </w:r>
      <w:r>
        <w:rPr>
          <w:spacing w:val="-66"/>
        </w:rPr>
        <w:t> </w:t>
      </w:r>
      <w:r>
        <w:rPr>
          <w:spacing w:val="-66"/>
        </w:rPr>
      </w:r>
      <w:r>
        <w:rPr/>
        <w:t>华大学经管学院，上海高级金融学院（</w:t>
      </w:r>
      <w:r>
        <w:rPr>
          <w:rFonts w:ascii="Times New Roman" w:hAnsi="Times New Roman" w:cs="Times New Roman" w:eastAsia="Times New Roman" w:hint="default"/>
        </w:rPr>
        <w:t>SAIF</w:t>
      </w:r>
      <w:r>
        <w:rPr/>
        <w:t>）、四川大学管理学院等知名高校</w:t>
      </w:r>
      <w:r>
        <w:rPr>
          <w:rFonts w:ascii="Times New Roman" w:hAnsi="Times New Roman" w:cs="Times New Roman" w:eastAsia="Times New Roman" w:hint="default"/>
        </w:rPr>
        <w:t>EMBA</w:t>
      </w:r>
      <w:r>
        <w:rPr/>
        <w:t>客座教授。</w:t>
      </w:r>
    </w:p>
    <w:p>
      <w:pPr>
        <w:spacing w:line="240" w:lineRule="auto" w:before="10"/>
        <w:rPr>
          <w:rFonts w:ascii="宋体" w:hAnsi="宋体" w:cs="宋体" w:eastAsia="宋体" w:hint="default"/>
          <w:sz w:val="23"/>
          <w:szCs w:val="23"/>
        </w:rPr>
      </w:pPr>
    </w:p>
    <w:p>
      <w:pPr>
        <w:pStyle w:val="BodyText"/>
        <w:spacing w:line="300" w:lineRule="auto"/>
        <w:ind w:left="154" w:right="1130" w:firstLine="436"/>
        <w:jc w:val="both"/>
      </w:pPr>
      <w:r>
        <w:rPr/>
        <w:t>徐</w:t>
      </w:r>
      <w:r>
        <w:rPr>
          <w:spacing w:val="11"/>
        </w:rPr>
        <w:t> </w:t>
      </w:r>
      <w:r>
        <w:rPr/>
        <w:t>斌，男，中国国籍，中国科技大学工商管理硕士，</w:t>
      </w:r>
      <w:r>
        <w:rPr>
          <w:rFonts w:ascii="Times New Roman" w:hAnsi="Times New Roman" w:cs="Times New Roman" w:eastAsia="Times New Roman" w:hint="default"/>
        </w:rPr>
        <w:t>2003</w:t>
      </w:r>
      <w:r>
        <w:rPr/>
        <w:t>年加入本公司，曾任本公司证券事务代表，现任本公司监 事长。</w:t>
      </w:r>
    </w:p>
    <w:p>
      <w:pPr>
        <w:spacing w:line="240" w:lineRule="auto" w:before="3"/>
        <w:rPr>
          <w:rFonts w:ascii="宋体" w:hAnsi="宋体" w:cs="宋体" w:eastAsia="宋体" w:hint="default"/>
          <w:sz w:val="26"/>
          <w:szCs w:val="26"/>
        </w:rPr>
      </w:pPr>
    </w:p>
    <w:p>
      <w:pPr>
        <w:pStyle w:val="BodyText"/>
        <w:spacing w:line="300" w:lineRule="auto"/>
        <w:ind w:right="1132" w:firstLine="436"/>
        <w:jc w:val="both"/>
      </w:pPr>
      <w:r>
        <w:rPr/>
        <w:t>张</w:t>
      </w:r>
      <w:r>
        <w:rPr>
          <w:spacing w:val="19"/>
        </w:rPr>
        <w:t> </w:t>
      </w:r>
      <w:r>
        <w:rPr/>
        <w:t>利，女，中国国籍，黑龙江商学院本科毕业，</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月加入美特斯邦威服饰股份有限公司，曾任财务管理中心副 总监，现任本公司监事。</w:t>
      </w:r>
    </w:p>
    <w:p>
      <w:pPr>
        <w:spacing w:line="240" w:lineRule="auto" w:before="3"/>
        <w:rPr>
          <w:rFonts w:ascii="宋体" w:hAnsi="宋体" w:cs="宋体" w:eastAsia="宋体" w:hint="default"/>
          <w:sz w:val="26"/>
          <w:szCs w:val="26"/>
        </w:rPr>
      </w:pPr>
    </w:p>
    <w:p>
      <w:pPr>
        <w:pStyle w:val="BodyText"/>
        <w:spacing w:line="300" w:lineRule="auto"/>
        <w:ind w:right="1132" w:firstLine="436"/>
        <w:jc w:val="both"/>
      </w:pPr>
      <w:r>
        <w:rPr/>
        <w:t>朱</w:t>
      </w:r>
      <w:r>
        <w:rPr>
          <w:spacing w:val="20"/>
        </w:rPr>
        <w:t> </w:t>
      </w:r>
      <w:r>
        <w:rPr/>
        <w:t>骏，男，中国国籍，硕士学历，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月加入本公司，历任财务部会计、培训与绩效管理部副总经理，现任资金 管理部总经理，现任本公司监事。</w:t>
      </w:r>
    </w:p>
    <w:p>
      <w:pPr>
        <w:spacing w:line="240" w:lineRule="auto" w:before="3"/>
        <w:rPr>
          <w:rFonts w:ascii="宋体" w:hAnsi="宋体" w:cs="宋体" w:eastAsia="宋体" w:hint="default"/>
          <w:sz w:val="26"/>
          <w:szCs w:val="26"/>
        </w:rPr>
      </w:pPr>
    </w:p>
    <w:p>
      <w:pPr>
        <w:pStyle w:val="BodyText"/>
        <w:spacing w:line="300" w:lineRule="auto"/>
        <w:ind w:right="1043" w:firstLine="436"/>
        <w:jc w:val="both"/>
      </w:pPr>
      <w:r>
        <w:rPr/>
        <w:t>林海舟，男，中国国籍。曾任宝洁天津公司总经理、宝洁大中华区物流及跨国供应链总经理。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月加入本公司， 现任本公司副总裁。</w:t>
      </w:r>
    </w:p>
    <w:p>
      <w:pPr>
        <w:spacing w:line="240" w:lineRule="auto" w:before="3"/>
        <w:rPr>
          <w:rFonts w:ascii="宋体" w:hAnsi="宋体" w:cs="宋体" w:eastAsia="宋体" w:hint="default"/>
          <w:sz w:val="26"/>
          <w:szCs w:val="26"/>
        </w:rPr>
      </w:pPr>
    </w:p>
    <w:p>
      <w:pPr>
        <w:pStyle w:val="BodyText"/>
        <w:spacing w:line="300" w:lineRule="auto"/>
        <w:ind w:right="1130" w:firstLine="436"/>
        <w:jc w:val="both"/>
      </w:pPr>
      <w:r>
        <w:rPr/>
        <w:t>刘</w:t>
      </w:r>
      <w:r>
        <w:rPr>
          <w:spacing w:val="22"/>
        </w:rPr>
        <w:t> </w:t>
      </w:r>
      <w:r>
        <w:rPr/>
        <w:t>毅，男，中国国籍，</w:t>
      </w:r>
      <w:r>
        <w:rPr>
          <w:rFonts w:ascii="Times New Roman" w:hAnsi="Times New Roman" w:cs="Times New Roman" w:eastAsia="Times New Roman" w:hint="default"/>
        </w:rPr>
        <w:t>1998</w:t>
      </w:r>
      <w:r>
        <w:rPr/>
        <w:t>年毕业于上海交通大学。长期供职于宝洁公司，负责零售管理的相关工作。</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月加</w:t>
      </w:r>
      <w:r>
        <w:rPr>
          <w:spacing w:val="1"/>
        </w:rPr>
        <w:t> </w:t>
      </w:r>
      <w:r>
        <w:rPr/>
        <w:t>入本公司，现任本公司副总裁。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本公司董事长兼总裁周成建先生现为美特斯邦威集团有限公司执行董事、华服投资执行董事、祺格实业执 行董事、上海佳威投资有限公司执行董事。本公司的其他董事、监事及高级管理人员均未在控股股东及其 控制的其他企业中担任除董事以外的其他职务，未在控股股东及其控制的其他企业中领薪。</w:t>
            </w:r>
          </w:p>
        </w:tc>
      </w:tr>
    </w:tbl>
    <w:p>
      <w:pPr>
        <w:pStyle w:val="BodyText"/>
        <w:spacing w:line="240" w:lineRule="auto" w:before="67"/>
        <w:ind w:left="154" w:right="0"/>
        <w:jc w:val="both"/>
      </w:pPr>
      <w:r>
        <w:rPr/>
        <w:t>在其他单位任职情况</w:t>
      </w:r>
    </w:p>
    <w:p>
      <w:pPr>
        <w:pStyle w:val="BodyText"/>
        <w:spacing w:line="338" w:lineRule="auto" w:before="117"/>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312" w:lineRule="auto" w:before="116"/>
        <w:ind w:left="154" w:right="1132"/>
        <w:jc w:val="both"/>
      </w:pPr>
      <w:r>
        <w:rPr>
          <w:rFonts w:ascii="Times New Roman" w:hAnsi="Times New Roman" w:cs="Times New Roman" w:eastAsia="Times New Roman" w:hint="default"/>
          <w:spacing w:val="-1"/>
        </w:rPr>
        <w:t>1</w:t>
      </w:r>
      <w:r>
        <w:rPr>
          <w:spacing w:val="-1"/>
        </w:rPr>
        <w:t>、董事、监事、高级管理人员年度报酬均经公司相关决策机构审议；在公司任职的董事、监事、高级管理人员按其职务根</w:t>
      </w:r>
      <w:r>
        <w:rPr>
          <w:spacing w:val="-88"/>
        </w:rPr>
        <w:t> </w:t>
      </w:r>
      <w:r>
        <w:rPr>
          <w:spacing w:val="-88"/>
        </w:rPr>
      </w:r>
      <w:r>
        <w:rPr/>
        <w:t>据公司现行的薪酬制度领取报酬，并依据风险、责任、利益相一致的原则，年底根据经营业绩和个人绩效，严格按照考核</w:t>
      </w:r>
      <w:r>
        <w:rPr>
          <w:spacing w:val="-55"/>
        </w:rPr>
        <w:t> </w:t>
      </w:r>
      <w:r>
        <w:rPr>
          <w:spacing w:val="-55"/>
        </w:rPr>
      </w:r>
      <w:r>
        <w:rPr/>
        <w:t>评定程序，由董事会确定其年度奖金和奖惩方式；董事、监事报酬每月按标准准时支付到个人账户。公司高级管理人员报</w:t>
      </w:r>
      <w:r>
        <w:rPr>
          <w:spacing w:val="-55"/>
        </w:rPr>
        <w:t> </w:t>
      </w:r>
      <w:r>
        <w:rPr>
          <w:spacing w:val="-55"/>
        </w:rPr>
      </w:r>
      <w:r>
        <w:rPr/>
        <w:t>酬按各自考核结果进行发放。</w:t>
      </w:r>
    </w:p>
    <w:p>
      <w:pPr>
        <w:pStyle w:val="BodyText"/>
        <w:spacing w:line="300" w:lineRule="auto" w:before="63"/>
        <w:ind w:right="0"/>
        <w:jc w:val="left"/>
      </w:pPr>
      <w:r>
        <w:rPr>
          <w:rFonts w:ascii="Times New Roman" w:hAnsi="Times New Roman" w:cs="Times New Roman" w:eastAsia="Times New Roman" w:hint="default"/>
          <w:spacing w:val="-2"/>
        </w:rPr>
        <w:t>2</w:t>
      </w:r>
      <w:r>
        <w:rPr>
          <w:spacing w:val="-2"/>
        </w:rPr>
        <w:t>、公司股东大会审议通过公司独立董事年度津贴为每人每年税后</w:t>
      </w:r>
      <w:r>
        <w:rPr>
          <w:rFonts w:ascii="Times New Roman" w:hAnsi="Times New Roman" w:cs="Times New Roman" w:eastAsia="Times New Roman" w:hint="default"/>
          <w:spacing w:val="-2"/>
        </w:rPr>
        <w:t>8</w:t>
      </w:r>
      <w:r>
        <w:rPr>
          <w:spacing w:val="-2"/>
        </w:rPr>
        <w:t>万元，公司负担独立董事为参加会议发生的差旅费、办公</w:t>
      </w:r>
      <w:r>
        <w:rPr>
          <w:spacing w:val="-64"/>
        </w:rPr>
        <w:t> </w:t>
      </w:r>
      <w:r>
        <w:rPr>
          <w:spacing w:val="-64"/>
        </w:rPr>
      </w:r>
      <w:r>
        <w:rPr/>
        <w:t>费等履职费用。</w:t>
      </w:r>
    </w:p>
    <w:p>
      <w:pPr>
        <w:pStyle w:val="BodyText"/>
        <w:spacing w:line="240" w:lineRule="auto" w:before="71"/>
        <w:ind w:right="0"/>
        <w:jc w:val="both"/>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44"/>
        <w:ind w:left="0" w:right="1144"/>
        <w:jc w:val="right"/>
      </w:pPr>
      <w:r>
        <w:rPr/>
        <w:pict>
          <v:shape style="position:absolute;margin-left:56.459999pt;margin-top:-284.068268pt;width:478.95pt;height:303.8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8"/>
                    <w:gridCol w:w="871"/>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291"/>
                          <w:jc w:val="righ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r>
                  <w:tr>
                    <w:trPr>
                      <w:trHeight w:val="3522"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both"/>
                          <w:rPr>
                            <w:rFonts w:ascii="宋体" w:hAnsi="宋体" w:cs="宋体" w:eastAsia="宋体" w:hint="default"/>
                            <w:sz w:val="18"/>
                            <w:szCs w:val="18"/>
                          </w:rPr>
                        </w:pPr>
                        <w:r>
                          <w:rPr>
                            <w:rFonts w:ascii="宋体" w:hAnsi="宋体" w:cs="宋体" w:eastAsia="宋体" w:hint="default"/>
                            <w:sz w:val="18"/>
                            <w:szCs w:val="18"/>
                          </w:rPr>
                          <w:t>根据第三届董事会第八次会议、第十一次会议决议，因公司</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年业绩未达到公司限制性股票激励</w:t>
                        </w:r>
                      </w:p>
                      <w:p>
                        <w:pPr>
                          <w:pStyle w:val="TableParagraph"/>
                          <w:spacing w:line="240" w:lineRule="auto" w:before="61"/>
                          <w:ind w:left="17" w:right="0"/>
                          <w:jc w:val="both"/>
                          <w:rPr>
                            <w:rFonts w:ascii="宋体" w:hAnsi="宋体" w:cs="宋体" w:eastAsia="宋体" w:hint="default"/>
                            <w:sz w:val="18"/>
                            <w:szCs w:val="18"/>
                          </w:rPr>
                        </w:pPr>
                        <w:r>
                          <w:rPr>
                            <w:rFonts w:ascii="宋体" w:hAnsi="宋体" w:cs="宋体" w:eastAsia="宋体" w:hint="default"/>
                            <w:sz w:val="18"/>
                            <w:szCs w:val="18"/>
                          </w:rPr>
                          <w:t>计划第一个解锁期解锁条件，公司需回购并注销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名激励对象第一个解锁期所涉及的已授予但未满</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足解锁条件的共计</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万股限制性股票，同时该等减少股票所享受的红股及转增股也应相应减少。同</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时，根据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年度股东大会决议，报告期内公司实施了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年度利润分配预案，分配前本公司总</w:t>
                        </w:r>
                      </w:p>
                      <w:p>
                        <w:pPr>
                          <w:pStyle w:val="TableParagraph"/>
                          <w:spacing w:line="309" w:lineRule="auto" w:before="63"/>
                          <w:ind w:left="17" w:right="21"/>
                          <w:jc w:val="both"/>
                          <w:rPr>
                            <w:rFonts w:ascii="宋体" w:hAnsi="宋体" w:cs="宋体" w:eastAsia="宋体" w:hint="default"/>
                            <w:sz w:val="18"/>
                            <w:szCs w:val="18"/>
                          </w:rPr>
                        </w:pPr>
                        <w:r>
                          <w:rPr>
                            <w:rFonts w:ascii="宋体" w:hAnsi="宋体" w:cs="宋体" w:eastAsia="宋体" w:hint="default"/>
                            <w:sz w:val="18"/>
                            <w:szCs w:val="18"/>
                          </w:rPr>
                          <w:t>股本为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1,011,000,000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股，分配后总股本增至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2,527,500,000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股。根据《限制性股票激励计划》及公司 股东大会的授权，公司董事会对公司授予限制性股票价格和数量进行调整，经过本次调整，回购并 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名激励对象被授予的限制性股票由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万股，对本次拟回购注销的的回购注销</w:t>
                        </w:r>
                      </w:p>
                      <w:p>
                        <w:pPr>
                          <w:pStyle w:val="TableParagraph"/>
                          <w:spacing w:line="240" w:lineRule="auto" w:before="5"/>
                          <w:ind w:left="17" w:right="0"/>
                          <w:jc w:val="both"/>
                          <w:rPr>
                            <w:rFonts w:ascii="宋体" w:hAnsi="宋体" w:cs="宋体" w:eastAsia="宋体" w:hint="default"/>
                            <w:sz w:val="18"/>
                            <w:szCs w:val="18"/>
                          </w:rPr>
                        </w:pPr>
                        <w:r>
                          <w:rPr>
                            <w:rFonts w:ascii="宋体" w:hAnsi="宋体" w:cs="宋体" w:eastAsia="宋体" w:hint="default"/>
                            <w:sz w:val="18"/>
                            <w:szCs w:val="18"/>
                          </w:rPr>
                          <w:t>价格由原限制性股票授予价格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股。根据上述情况，公司总股本需减少</w:t>
                        </w:r>
                      </w:p>
                      <w:p>
                        <w:pPr>
                          <w:pStyle w:val="TableParagraph"/>
                          <w:spacing w:line="309" w:lineRule="auto" w:before="63"/>
                          <w:ind w:left="17"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股，总股本变更为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2,526,000,000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日，公司已经完。。上述回购注</w:t>
                        </w:r>
                        <w:r>
                          <w:rPr>
                            <w:rFonts w:ascii="宋体" w:hAnsi="宋体" w:cs="宋体" w:eastAsia="宋体" w:hint="default"/>
                            <w:sz w:val="18"/>
                            <w:szCs w:val="18"/>
                          </w:rPr>
                          <w:t> 销工作，并由安永华明会计师事务所（特殊普通合伙）上海分所出具了验资报告。上述情况的详细 </w:t>
                        </w:r>
                        <w:r>
                          <w:rPr>
                            <w:rFonts w:ascii="宋体" w:hAnsi="宋体" w:cs="宋体" w:eastAsia="宋体" w:hint="default"/>
                            <w:spacing w:val="-3"/>
                            <w:sz w:val="18"/>
                            <w:szCs w:val="18"/>
                          </w:rPr>
                          <w:t>内容，请见公司在深圳证券交易所网站及巨潮资讯网（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）上发布的相关公告</w:t>
                        </w:r>
                      </w:p>
                    </w:tc>
                  </w:tr>
                </w:tbl>
                <w:p>
                  <w:pPr/>
                </w:p>
              </w:txbxContent>
            </v:textbox>
            <w10:wrap type="none"/>
          </v:shape>
        </w:pict>
      </w:r>
      <w:r>
        <w:rPr/>
        <w:t>。</w:t>
      </w:r>
    </w:p>
    <w:p>
      <w:pPr>
        <w:spacing w:line="240" w:lineRule="auto" w:before="13"/>
        <w:rPr>
          <w:rFonts w:ascii="宋体" w:hAnsi="宋体" w:cs="宋体" w:eastAsia="宋体" w:hint="default"/>
          <w:sz w:val="26"/>
          <w:szCs w:val="26"/>
        </w:rPr>
      </w:pPr>
    </w:p>
    <w:p>
      <w:pPr>
        <w:pStyle w:val="Heading2"/>
        <w:spacing w:line="240" w:lineRule="auto" w:before="26"/>
        <w:ind w:left="154"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设计及工艺</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1152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9420</w:t>
            </w:r>
          </w:p>
        </w:tc>
      </w:tr>
    </w:tbl>
    <w:p>
      <w:pPr>
        <w:spacing w:line="240" w:lineRule="auto" w:before="5"/>
        <w:rPr>
          <w:rFonts w:ascii="宋体" w:hAnsi="宋体" w:cs="宋体" w:eastAsia="宋体" w:hint="default"/>
          <w:b/>
          <w:bCs/>
          <w:sz w:val="20"/>
          <w:szCs w:val="20"/>
        </w:rPr>
      </w:pPr>
    </w:p>
    <w:p>
      <w:pPr>
        <w:pStyle w:val="Heading3"/>
        <w:spacing w:line="240" w:lineRule="auto" w:before="35"/>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spacing w:val="-2"/>
        </w:rPr>
        <w:t>公司一直致力于构建</w:t>
      </w:r>
      <w:r>
        <w:rPr>
          <w:rFonts w:ascii="Times New Roman" w:hAnsi="Times New Roman" w:cs="Times New Roman" w:eastAsia="Times New Roman" w:hint="default"/>
          <w:spacing w:val="-2"/>
        </w:rPr>
        <w:t>“</w:t>
      </w:r>
      <w:r>
        <w:rPr>
          <w:spacing w:val="-2"/>
        </w:rPr>
        <w:t>公平公开透明</w:t>
      </w:r>
      <w:r>
        <w:rPr>
          <w:rFonts w:ascii="Times New Roman" w:hAnsi="Times New Roman" w:cs="Times New Roman" w:eastAsia="Times New Roman" w:hint="default"/>
          <w:spacing w:val="-2"/>
        </w:rPr>
        <w:t>”</w:t>
      </w:r>
      <w:r>
        <w:rPr>
          <w:spacing w:val="-2"/>
        </w:rPr>
        <w:t>的薪酬绩效体系，以业绩结果为导向，建立科学合理的利润分享机制，引导业务团队始</w:t>
      </w:r>
      <w:r>
        <w:rPr>
          <w:spacing w:val="-43"/>
        </w:rPr>
        <w:t> </w:t>
      </w:r>
      <w:r>
        <w:rPr>
          <w:spacing w:val="-43"/>
        </w:rPr>
      </w:r>
      <w:r>
        <w:rPr/>
        <w:t>终关注客户、关注财务结果、关注投入产出，真正实现以岗位价值和业绩贡献来付薪的理念。</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公司建立了一套完整的人才选拔和发展机制，并通过长期实践形成了科学合理的人才培养体系。</w:t>
      </w:r>
    </w:p>
    <w:p>
      <w:pPr>
        <w:pStyle w:val="BodyText"/>
        <w:spacing w:line="300" w:lineRule="auto" w:before="77"/>
        <w:ind w:right="1119"/>
        <w:jc w:val="left"/>
      </w:pPr>
      <w:r>
        <w:rPr>
          <w:spacing w:val="-1"/>
        </w:rPr>
        <w:t>（</w:t>
      </w:r>
      <w:r>
        <w:rPr>
          <w:rFonts w:ascii="宋体" w:hAnsi="宋体" w:cs="宋体" w:eastAsia="宋体" w:hint="default"/>
          <w:spacing w:val="-1"/>
        </w:rPr>
        <w:t>1</w:t>
      </w:r>
      <w:r>
        <w:rPr>
          <w:spacing w:val="-1"/>
        </w:rPr>
        <w:t>）管理培训生项目每年从国内一流高校里选拔数百名优秀毕业生，通过</w:t>
      </w:r>
      <w:r>
        <w:rPr>
          <w:rFonts w:ascii="Times New Roman" w:hAnsi="Times New Roman" w:cs="Times New Roman" w:eastAsia="Times New Roman" w:hint="default"/>
          <w:spacing w:val="-1"/>
        </w:rPr>
        <w:t>2-3</w:t>
      </w:r>
      <w:r>
        <w:rPr>
          <w:spacing w:val="-1"/>
        </w:rPr>
        <w:t>年的聚焦培养和轮岗机制，帮助他们迅速成长</w:t>
      </w:r>
      <w:r>
        <w:rPr>
          <w:spacing w:val="-85"/>
        </w:rPr>
        <w:t> </w:t>
      </w:r>
      <w:r>
        <w:rPr>
          <w:spacing w:val="-85"/>
        </w:rPr>
      </w:r>
      <w:r>
        <w:rPr/>
        <w:t>成为各自业务领域的核心骨干。</w:t>
      </w:r>
    </w:p>
    <w:p>
      <w:pPr>
        <w:pStyle w:val="BodyText"/>
        <w:spacing w:line="316" w:lineRule="auto" w:before="31"/>
        <w:ind w:left="154" w:right="1122"/>
        <w:jc w:val="left"/>
      </w:pPr>
      <w:r>
        <w:rPr/>
        <w:t>（</w:t>
      </w:r>
      <w:r>
        <w:rPr>
          <w:rFonts w:ascii="宋体" w:hAnsi="宋体" w:cs="宋体" w:eastAsia="宋体" w:hint="default"/>
        </w:rPr>
        <w:t>2</w:t>
      </w:r>
      <w:r>
        <w:rPr/>
        <w:t>）高潜人才项目致力于选拔公司内部有发展潜力的骨干员工，聚焦资源重点培养发展，帮助他们尽快成为各自管理与专 业岗位的继任者。</w:t>
      </w:r>
    </w:p>
    <w:p>
      <w:pPr>
        <w:pStyle w:val="BodyText"/>
        <w:spacing w:line="316" w:lineRule="auto" w:before="19"/>
        <w:ind w:left="154" w:right="1122"/>
        <w:jc w:val="left"/>
      </w:pPr>
      <w:r>
        <w:rPr/>
        <w:t>（</w:t>
      </w:r>
      <w:r>
        <w:rPr>
          <w:rFonts w:ascii="宋体" w:hAnsi="宋体" w:cs="宋体" w:eastAsia="宋体" w:hint="default"/>
        </w:rPr>
        <w:t>3</w:t>
      </w:r>
      <w:r>
        <w:rPr/>
        <w:t>）公司组建了强大的专业培训团队，按照产品开发和上市节奏安排专业知识培训，并不断强化对于零售终端的场景化服 务及营销能力培训，提升团队的专业能力与销售技巧。</w:t>
      </w:r>
    </w:p>
    <w:p>
      <w:pPr>
        <w:pStyle w:val="BodyText"/>
        <w:spacing w:line="316" w:lineRule="auto" w:before="19"/>
        <w:ind w:left="154" w:right="1122"/>
        <w:jc w:val="left"/>
      </w:pPr>
      <w:r>
        <w:rPr/>
        <w:t>（</w:t>
      </w:r>
      <w:r>
        <w:rPr>
          <w:rFonts w:ascii="宋体" w:hAnsi="宋体" w:cs="宋体" w:eastAsia="宋体" w:hint="default"/>
        </w:rPr>
        <w:t>4</w:t>
      </w:r>
      <w:r>
        <w:rPr/>
        <w:t>）公司拥有美特斯邦威大学这一平台，重点聚焦企业文化传播落地、领导力与通用素质培养、各类培训资源与技术整合 以及移动培训平台建设，为专业培训与人才发展工作提供强有力的保障。</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51" w:footer="979" w:top="13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ind w:right="978"/>
        <w:jc w:val="center"/>
        <w:rPr>
          <w:b w:val="0"/>
          <w:bCs w:val="0"/>
        </w:rPr>
      </w:pPr>
      <w:bookmarkStart w:name="第九节 公司治理" w:id="139"/>
      <w:bookmarkEnd w:id="139"/>
      <w:r>
        <w:rPr>
          <w:b w:val="0"/>
          <w:bCs w:val="0"/>
        </w:rPr>
      </w:r>
      <w:bookmarkStart w:name="_bookmark8" w:id="140"/>
      <w:bookmarkEnd w:id="14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70"/>
        <w:jc w:val="both"/>
      </w:pPr>
      <w:r>
        <w:rPr>
          <w:spacing w:val="-1"/>
        </w:rPr>
        <w:t>报告期内，公司严格按照《公司法》、《证券法》、《上市公司治理准则》和《深圳证券交易所股票上市规则》等相</w:t>
      </w:r>
      <w:r>
        <w:rPr/>
        <w:t> 关法律、法规的规定，不断完善公司法人治理结构，健全内部控制体系，进一步实现规范运作。</w:t>
      </w:r>
    </w:p>
    <w:p>
      <w:pPr>
        <w:pStyle w:val="BodyText"/>
        <w:spacing w:line="316" w:lineRule="auto" w:before="19"/>
        <w:ind w:right="1133" w:firstLine="420"/>
        <w:jc w:val="both"/>
      </w:pPr>
      <w:r>
        <w:rPr/>
        <w:t>目前，公司整体运作比较规范、独立性强、信息披露规范，实际情况与中国证监会有关上市公司治理的规范性文件要 求基本符合。</w:t>
      </w:r>
    </w:p>
    <w:p>
      <w:pPr>
        <w:pStyle w:val="BodyText"/>
        <w:spacing w:line="300" w:lineRule="auto" w:before="19"/>
        <w:ind w:right="1130" w:firstLine="420"/>
        <w:jc w:val="both"/>
      </w:pPr>
      <w:r>
        <w:rPr>
          <w:rFonts w:ascii="Times New Roman" w:hAnsi="Times New Roman" w:cs="Times New Roman" w:eastAsia="Times New Roman" w:hint="default"/>
          <w:spacing w:val="-2"/>
        </w:rPr>
        <w:t>1</w:t>
      </w:r>
      <w:r>
        <w:rPr>
          <w:spacing w:val="-2"/>
        </w:rPr>
        <w:t>、关于股东与股东大会：报告期内，公司严格按照《上市公司股东大会规范意见》和《股东大会议事规则》的规定和</w:t>
      </w:r>
      <w:r>
        <w:rPr/>
        <w:t> 要求，规范股东大会的召集、召开、表决程序，平等对待所有股东，确保股东特别是中小股东能充分行使其权利。</w:t>
      </w:r>
    </w:p>
    <w:p>
      <w:pPr>
        <w:pStyle w:val="BodyText"/>
        <w:spacing w:line="309" w:lineRule="auto" w:before="31"/>
        <w:ind w:right="1132" w:firstLine="42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、关于控股股东与上市公司的关系：公司控股股东行为规范，能依法行使其权利，并承担相应义务，没有超越公司股</w:t>
      </w:r>
      <w:r>
        <w:rPr/>
        <w:t> </w:t>
      </w:r>
      <w:r>
        <w:rPr>
          <w:spacing w:val="-2"/>
        </w:rPr>
        <w:t>东大会直接或间接干预公司的决策和经营活动。公司具有独立的经营能力和完备的供销系统，公司董事会、监事会和内部机</w:t>
      </w:r>
      <w:r>
        <w:rPr>
          <w:spacing w:val="-66"/>
        </w:rPr>
        <w:t> </w:t>
      </w:r>
      <w:r>
        <w:rPr>
          <w:spacing w:val="-66"/>
        </w:rPr>
      </w:r>
      <w:r>
        <w:rPr/>
        <w:t>构能够独立运作。</w:t>
      </w:r>
    </w:p>
    <w:p>
      <w:pPr>
        <w:pStyle w:val="BodyText"/>
        <w:spacing w:line="309" w:lineRule="auto" w:before="24"/>
        <w:ind w:right="1129" w:firstLine="420"/>
        <w:jc w:val="both"/>
      </w:pPr>
      <w:r>
        <w:rPr>
          <w:rFonts w:ascii="Times New Roman" w:hAnsi="Times New Roman" w:cs="Times New Roman" w:eastAsia="Times New Roman" w:hint="default"/>
          <w:spacing w:val="-1"/>
        </w:rPr>
        <w:t>3</w:t>
      </w:r>
      <w:r>
        <w:rPr>
          <w:spacing w:val="-1"/>
        </w:rPr>
        <w:t>、关于董事和董事会：公司严格按照《公司法》、公司《章程》规定的选聘程序选举董事，董事会的人数及结构符合</w:t>
      </w:r>
      <w:r>
        <w:rPr/>
        <w:t> </w:t>
      </w:r>
      <w:r>
        <w:rPr>
          <w:spacing w:val="-2"/>
        </w:rPr>
        <w:t>法律法规和公司《章程》的要求。全体董事严格按照《公司法》和公司《章程》、《董事会议事规则》的规定，规范董事会</w:t>
      </w:r>
      <w:r>
        <w:rPr>
          <w:spacing w:val="-70"/>
        </w:rPr>
        <w:t> </w:t>
      </w:r>
      <w:r>
        <w:rPr>
          <w:spacing w:val="-70"/>
        </w:rPr>
      </w:r>
      <w:r>
        <w:rPr/>
        <w:t>的召集、召开和表决；认真出席董事会和股东大会，积极参加对相关知识的培训，熟悉有关法律法规，勤勉尽责。</w:t>
      </w:r>
    </w:p>
    <w:p>
      <w:pPr>
        <w:pStyle w:val="BodyText"/>
        <w:spacing w:line="312" w:lineRule="auto" w:before="24"/>
        <w:ind w:right="1129" w:firstLine="420"/>
        <w:jc w:val="both"/>
      </w:pPr>
      <w:r>
        <w:rPr>
          <w:rFonts w:ascii="Times New Roman" w:hAnsi="Times New Roman" w:cs="Times New Roman" w:eastAsia="Times New Roman" w:hint="default"/>
          <w:spacing w:val="-1"/>
        </w:rPr>
        <w:t>4</w:t>
      </w:r>
      <w:r>
        <w:rPr>
          <w:spacing w:val="-1"/>
        </w:rPr>
        <w:t>、关于监事和监事会：公司严格按照《公司法》、公司《章程》的规定选举产生监事，监事会的人数及结构符合法律</w:t>
      </w:r>
      <w:r>
        <w:rPr/>
        <w:t> </w:t>
      </w:r>
      <w:r>
        <w:rPr>
          <w:spacing w:val="-5"/>
        </w:rPr>
        <w:t>法规和公司《章程》的要求。监事会严格按照公司《章程》、《监事会议事规则》的规定，规范监事会的召集、召开和表决，</w:t>
      </w:r>
      <w:r>
        <w:rPr>
          <w:spacing w:val="-83"/>
        </w:rPr>
        <w:t> </w:t>
      </w:r>
      <w:r>
        <w:rPr>
          <w:spacing w:val="-83"/>
        </w:rPr>
      </w:r>
      <w:r>
        <w:rPr>
          <w:spacing w:val="-2"/>
        </w:rPr>
        <w:t>公司监事认真履行职责，诚信、勤勉、尽责地对公司财务以及董事、高级管理人员履行职责的合法、合规性进行监督，维护</w:t>
      </w:r>
      <w:r>
        <w:rPr>
          <w:spacing w:val="-68"/>
        </w:rPr>
        <w:t> </w:t>
      </w:r>
      <w:r>
        <w:rPr>
          <w:spacing w:val="-68"/>
        </w:rPr>
      </w:r>
      <w:r>
        <w:rPr/>
        <w:t>公司及股东的合法权益。</w:t>
      </w:r>
    </w:p>
    <w:p>
      <w:pPr>
        <w:pStyle w:val="BodyText"/>
        <w:spacing w:line="300" w:lineRule="auto" w:before="23"/>
        <w:ind w:right="1132" w:firstLine="42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、关于绩效评价与激励约束机制：公司逐步建立和完善公正、透明的董事、监事和高级管理人员的绩效评价标准和激</w:t>
      </w:r>
      <w:r>
        <w:rPr/>
        <w:t> 励约束机制，公司高管人员的聘任公开、透明，符合法律法规的规定。</w:t>
      </w:r>
    </w:p>
    <w:p>
      <w:pPr>
        <w:pStyle w:val="BodyText"/>
        <w:spacing w:line="300" w:lineRule="auto" w:before="31"/>
        <w:ind w:right="1129" w:firstLine="42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、关于相关利益者：公司能够充分尊重和维护相关利益者的合法权益，积极与相关利益者合作，加强与各方的沟通和</w:t>
      </w:r>
      <w:r>
        <w:rPr/>
        <w:t> 交流，实现股东、员工、社会等各方利益的均衡，以推动公司持续、稳定、健康地发展。</w:t>
      </w:r>
    </w:p>
    <w:p>
      <w:pPr>
        <w:pStyle w:val="BodyText"/>
        <w:spacing w:line="312" w:lineRule="auto" w:before="72"/>
        <w:ind w:left="154" w:right="1129"/>
        <w:jc w:val="both"/>
      </w:pPr>
      <w:r>
        <w:rPr>
          <w:rFonts w:ascii="Times New Roman" w:hAnsi="Times New Roman" w:cs="Times New Roman" w:eastAsia="Times New Roman" w:hint="default"/>
        </w:rPr>
        <w:t>7</w:t>
      </w:r>
      <w:r>
        <w:rPr/>
        <w:t>、关于信息披露与透明度：公司严格按照《信息披露管理制度》和《投资者关系管理制度》的要求，指定公司董事会秘书</w:t>
      </w:r>
      <w:r>
        <w:rPr>
          <w:spacing w:val="-82"/>
        </w:rPr>
        <w:t> </w:t>
      </w:r>
      <w:r>
        <w:rPr>
          <w:spacing w:val="-82"/>
        </w:rPr>
      </w:r>
      <w:r>
        <w:rPr>
          <w:spacing w:val="-2"/>
        </w:rPr>
        <w:t>负责信息披露工作、接待股东来访和咨询，严格按照有关规定真实、准确、完整、及时地披露有关信息，确保公司所有股东</w:t>
      </w:r>
      <w:r>
        <w:rPr>
          <w:spacing w:val="-67"/>
        </w:rPr>
        <w:t> </w:t>
      </w:r>
      <w:r>
        <w:rPr>
          <w:spacing w:val="-67"/>
        </w:rPr>
      </w:r>
      <w:r>
        <w:rPr>
          <w:spacing w:val="-2"/>
        </w:rPr>
        <w:t>能够以平等的机会获得信息。为加大对年报信息披露责任人的问责力度，提高年报信息披露质量和透明度，截至本报告出具</w:t>
      </w:r>
      <w:r>
        <w:rPr>
          <w:spacing w:val="-66"/>
        </w:rPr>
        <w:t> </w:t>
      </w:r>
      <w:r>
        <w:rPr>
          <w:spacing w:val="-66"/>
        </w:rPr>
      </w:r>
      <w:r>
        <w:rPr/>
        <w:t>日，公司已建立年报信息披露重大差错责任追究机制。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154"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公司在业务、资产、人员、机构和财务等方面均与公司控股股东、实际控制人及其控制的其他企业严格分开，具备完整</w:t>
      </w:r>
      <w:r>
        <w:rPr/>
        <w:t> 的与经营有关的业务体系及独立面向市场的能力。</w:t>
      </w:r>
    </w:p>
    <w:p>
      <w:pPr>
        <w:pStyle w:val="BodyText"/>
        <w:spacing w:line="302" w:lineRule="auto" w:before="56"/>
        <w:ind w:left="154" w:right="1140" w:firstLine="360"/>
        <w:jc w:val="both"/>
      </w:pPr>
      <w:r>
        <w:rPr>
          <w:rFonts w:ascii="Times New Roman" w:hAnsi="Times New Roman" w:cs="Times New Roman" w:eastAsia="Times New Roman" w:hint="default"/>
        </w:rPr>
        <w:t>1</w:t>
      </w:r>
      <w:r>
        <w:rPr/>
        <w:t>、资产完整及独立：公司合法拥有与目前业务有关的土地、房屋、设备以及商标等资产的所有权或使用权。公司独立 拥有该等资产，不存在被股东单位或其他关联方占用的情形。</w:t>
      </w:r>
    </w:p>
    <w:p>
      <w:pPr>
        <w:pStyle w:val="BodyText"/>
        <w:spacing w:line="300" w:lineRule="auto" w:before="69"/>
        <w:ind w:left="154" w:right="1042" w:firstLine="360"/>
        <w:jc w:val="both"/>
      </w:pPr>
      <w:r>
        <w:rPr>
          <w:rFonts w:ascii="Times New Roman" w:hAnsi="Times New Roman" w:cs="Times New Roman" w:eastAsia="Times New Roman" w:hint="default"/>
        </w:rPr>
        <w:t>2</w:t>
      </w:r>
      <w:r>
        <w:rPr/>
        <w:t>、业务独立：公司拥有独立完整的业务体系，能够面向市场独立经营，独立核算和决策，独立承担责任与风险，未受 </w:t>
      </w:r>
      <w:r>
        <w:rPr>
          <w:spacing w:val="-4"/>
        </w:rPr>
        <w:t>到公司控股股东的干涉、控制，亦未因与公司控股股东及其控制的其他企业之间存在关联关系而使公司经营自主权的完整性、</w:t>
      </w:r>
    </w:p>
    <w:p>
      <w:pPr>
        <w:spacing w:after="0" w:line="300"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t>独立性受到不良影响。</w:t>
      </w:r>
    </w:p>
    <w:p>
      <w:pPr>
        <w:pStyle w:val="BodyText"/>
        <w:spacing w:line="309" w:lineRule="auto" w:before="115"/>
        <w:ind w:left="154" w:right="0" w:firstLine="360"/>
        <w:jc w:val="left"/>
      </w:pPr>
      <w:r>
        <w:rPr>
          <w:rFonts w:ascii="Times New Roman" w:hAnsi="Times New Roman" w:cs="Times New Roman" w:eastAsia="Times New Roman" w:hint="default"/>
        </w:rPr>
        <w:t>3</w:t>
      </w:r>
      <w:r>
        <w:rPr/>
        <w:t>、人员独立：公司董事、监事及其他高级管理人员均按照《公司法》及公司《公司章程》合法产生；公司的总经理、 </w:t>
      </w:r>
      <w:r>
        <w:rPr>
          <w:spacing w:val="-4"/>
        </w:rPr>
        <w:t>副总经理、财务负责人和董事会秘书等高级管理人员未在控股股东及其控制的其他企业中担任除董事、监事以外的其它职务，</w:t>
      </w:r>
      <w:r>
        <w:rPr>
          <w:spacing w:val="-44"/>
        </w:rPr>
        <w:t> </w:t>
      </w:r>
      <w:r>
        <w:rPr>
          <w:spacing w:val="-44"/>
        </w:rPr>
      </w:r>
      <w:r>
        <w:rPr/>
        <w:t>未在控股股东及其控制的其他企业中领薪；公司财务人员未在控股股东、实际控制人及其控制的其他企业中兼职。</w:t>
      </w:r>
    </w:p>
    <w:p>
      <w:pPr>
        <w:pStyle w:val="BodyText"/>
        <w:spacing w:line="309" w:lineRule="auto" w:before="64"/>
        <w:ind w:left="154" w:right="1132" w:firstLine="360"/>
        <w:jc w:val="both"/>
      </w:pPr>
      <w:r>
        <w:rPr>
          <w:rFonts w:ascii="Times New Roman" w:hAnsi="Times New Roman" w:cs="Times New Roman" w:eastAsia="Times New Roman" w:hint="default"/>
        </w:rPr>
        <w:t>4</w:t>
      </w:r>
      <w:r>
        <w:rPr/>
        <w:t>、机构独立：公司已依法建立健全股东大会、董事会、监事会等机构，聘请了总经理、副总经理、财务负责人、董事 </w:t>
      </w:r>
      <w:r>
        <w:rPr>
          <w:spacing w:val="-2"/>
        </w:rPr>
        <w:t>会秘书等高级管理人员在内的高级管理层，公司独立行使经营管理职权，独立于公司的控股股东、实际控制人及其控制的其</w:t>
      </w:r>
      <w:r>
        <w:rPr>
          <w:spacing w:val="-66"/>
        </w:rPr>
        <w:t> </w:t>
      </w:r>
      <w:r>
        <w:rPr>
          <w:spacing w:val="-66"/>
        </w:rPr>
      </w:r>
      <w:r>
        <w:rPr/>
        <w:t>他企业，不存在机构混同的情形。公司的办公场所独立于股东单位，不存在混合经营、合署办公的情形。</w:t>
      </w:r>
    </w:p>
    <w:p>
      <w:pPr>
        <w:pStyle w:val="BodyText"/>
        <w:spacing w:line="312" w:lineRule="auto" w:before="62"/>
        <w:ind w:left="154" w:right="1131" w:firstLine="360"/>
        <w:jc w:val="both"/>
      </w:pPr>
      <w:r>
        <w:rPr>
          <w:rFonts w:ascii="Times New Roman" w:hAnsi="Times New Roman" w:cs="Times New Roman" w:eastAsia="Times New Roman" w:hint="default"/>
        </w:rPr>
        <w:t>5</w:t>
      </w:r>
      <w:r>
        <w:rPr/>
        <w:t>、财务独立：公司设立了独立的财务会计部门，并依据《中华人民共和国会计法》、《企业会计准则》建立了独立的 </w:t>
      </w:r>
      <w:r>
        <w:rPr>
          <w:spacing w:val="-2"/>
        </w:rPr>
        <w:t>财务核算体系和规范的财务管理制度，能够独立作出财务决策，具有规范的财务会计制度和对子公司的财务管理制度。公司</w:t>
      </w:r>
      <w:r>
        <w:rPr>
          <w:spacing w:val="-66"/>
        </w:rPr>
        <w:t> </w:t>
      </w:r>
      <w:r>
        <w:rPr>
          <w:spacing w:val="-66"/>
        </w:rPr>
      </w:r>
      <w:r>
        <w:rPr>
          <w:spacing w:val="-2"/>
        </w:rPr>
        <w:t>在银行独立开立账户，依法进行纳税申报和履行纳税义务，独立对外签订合同，不存在与控股股东、实际控制人及其控制的</w:t>
      </w:r>
      <w:r>
        <w:rPr>
          <w:spacing w:val="-66"/>
        </w:rPr>
        <w:t> </w:t>
      </w:r>
      <w:r>
        <w:rPr>
          <w:spacing w:val="-66"/>
        </w:rPr>
      </w:r>
      <w:r>
        <w:rPr/>
        <w:t>其它企业共用银行账户的情形。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left="154"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956"/>
        <w:gridCol w:w="1594"/>
        <w:gridCol w:w="1594"/>
        <w:gridCol w:w="1595"/>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本报告期应参加</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以通讯方式参加</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6" w:right="0"/>
              <w:jc w:val="left"/>
              <w:rPr>
                <w:rFonts w:ascii="宋体" w:hAnsi="宋体" w:cs="宋体" w:eastAsia="宋体" w:hint="default"/>
                <w:sz w:val="18"/>
                <w:szCs w:val="18"/>
              </w:rPr>
            </w:pPr>
            <w:r>
              <w:rPr>
                <w:rFonts w:ascii="宋体" w:hAnsi="宋体" w:cs="宋体" w:eastAsia="宋体" w:hint="default"/>
                <w:sz w:val="18"/>
                <w:szCs w:val="18"/>
              </w:rPr>
              <w:t>是否连续两次未</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6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67"/>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130" w:firstLine="360"/>
        <w:jc w:val="both"/>
      </w:pPr>
      <w:r>
        <w:rPr>
          <w:spacing w:val="-2"/>
        </w:rPr>
        <w:t>公司独立董事郁亮先生、单喆慜女士，严格按照有关法律、法规及公司《章程》的规定履行职责，按时亲自以现场或通</w:t>
      </w:r>
      <w:r>
        <w:rPr/>
        <w:t> </w:t>
      </w:r>
      <w:r>
        <w:rPr>
          <w:spacing w:val="-2"/>
        </w:rPr>
        <w:t>讯方式参加了全部董事会会议，认真审议各项议案，客观的发表自己的看法及观点，并利用自己的专业知识做出独立、公正</w:t>
      </w:r>
      <w:r>
        <w:rPr>
          <w:spacing w:val="-66"/>
        </w:rPr>
        <w:t> </w:t>
      </w:r>
      <w:r>
        <w:rPr>
          <w:spacing w:val="-66"/>
        </w:rPr>
      </w:r>
      <w:r>
        <w:rPr>
          <w:spacing w:val="-2"/>
        </w:rPr>
        <w:t>的判断。同时各位独立董事还深入公司现场调查，了解公司经营状况和内部控制的建设及董事会决议执行情况，为公司经营</w:t>
      </w:r>
      <w:r>
        <w:rPr>
          <w:spacing w:val="-66"/>
        </w:rPr>
        <w:t> </w:t>
      </w:r>
      <w:r>
        <w:rPr>
          <w:spacing w:val="-66"/>
        </w:rPr>
      </w:r>
      <w:r>
        <w:rPr/>
        <w:t>和发展提出了合理化的意见和建议。</w:t>
      </w:r>
    </w:p>
    <w:p>
      <w:pPr>
        <w:pStyle w:val="BodyText"/>
        <w:spacing w:line="319" w:lineRule="auto" w:before="58"/>
        <w:ind w:right="1131" w:firstLine="360"/>
        <w:jc w:val="both"/>
      </w:pPr>
      <w:r>
        <w:rPr>
          <w:spacing w:val="-2"/>
        </w:rPr>
        <w:t>本年度，公司共召开了八次董事会和四次股东大会。本年内公司董事会、股东大会的召集召开符合法定程序，重大经营</w:t>
      </w:r>
      <w:r>
        <w:rPr/>
        <w:t> </w:t>
      </w:r>
      <w:r>
        <w:rPr>
          <w:spacing w:val="-2"/>
        </w:rPr>
        <w:t>决策事项均履行了相关程序，合法有效，未发生独立董事对公司董事会各项议案及公司其它事项提出异议的情况，独立董事</w:t>
      </w:r>
      <w:r>
        <w:rPr>
          <w:spacing w:val="-66"/>
        </w:rPr>
        <w:t> </w:t>
      </w:r>
      <w:r>
        <w:rPr>
          <w:spacing w:val="-66"/>
        </w:rPr>
      </w:r>
      <w:r>
        <w:rPr/>
        <w:t>对公司有关建议均被公司采纳。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before="0"/>
        <w:ind w:left="153" w:right="0"/>
        <w:jc w:val="left"/>
        <w:rPr>
          <w:b w:val="0"/>
          <w:bCs w:val="0"/>
        </w:rPr>
      </w:pPr>
      <w:r>
        <w:rPr>
          <w:rFonts w:ascii="Times New Roman" w:hAnsi="Times New Roman" w:cs="Times New Roman" w:eastAsia="Times New Roman" w:hint="default"/>
        </w:rPr>
        <w:t>1</w:t>
      </w:r>
      <w:r>
        <w:rPr/>
        <w:t>、审计委员会</w:t>
      </w:r>
      <w:r>
        <w:rPr>
          <w:b w:val="0"/>
          <w:bCs w:val="0"/>
        </w:rPr>
      </w:r>
    </w:p>
    <w:p>
      <w:pPr>
        <w:pStyle w:val="BodyText"/>
        <w:spacing w:line="314" w:lineRule="auto" w:before="63"/>
        <w:ind w:right="1131" w:firstLine="360"/>
        <w:jc w:val="both"/>
      </w:pPr>
      <w:r>
        <w:rPr/>
        <w:t>报告期内，董事会审计委员会共召开</w:t>
      </w:r>
      <w:r>
        <w:rPr>
          <w:rFonts w:ascii="Times New Roman" w:hAnsi="Times New Roman" w:cs="Times New Roman" w:eastAsia="Times New Roman" w:hint="default"/>
        </w:rPr>
        <w:t>4</w:t>
      </w:r>
      <w:r>
        <w:rPr/>
        <w:t>次会议，审议了公司定期报告、内审部门提交的内部审计报告、年度审计计划及 </w:t>
      </w:r>
      <w:r>
        <w:rPr>
          <w:spacing w:val="-2"/>
        </w:rPr>
        <w:t>总结等事项，详细了解公司财务状况和经营情况，严格审查公司内部控制制度的建设及执行情况，对公司财务状况和经营情</w:t>
      </w:r>
      <w:r>
        <w:rPr>
          <w:spacing w:val="-66"/>
        </w:rPr>
        <w:t> </w:t>
      </w:r>
      <w:r>
        <w:rPr>
          <w:spacing w:val="-66"/>
        </w:rPr>
      </w:r>
      <w:r>
        <w:rPr>
          <w:spacing w:val="-2"/>
        </w:rPr>
        <w:t>况实施了有效的指导和监督。在年度审计工作过程中，公司董事会审计委员会在公司年审注册会计师进场前审阅了公司编制</w:t>
      </w:r>
      <w:r>
        <w:rPr>
          <w:spacing w:val="-64"/>
        </w:rPr>
        <w:t> </w:t>
      </w:r>
      <w:r>
        <w:rPr>
          <w:spacing w:val="-64"/>
        </w:rPr>
      </w:r>
      <w:r>
        <w:rPr>
          <w:spacing w:val="-2"/>
        </w:rPr>
        <w:t>的财务会计报表，认为财务会计报表基本能够反映公司的财务状况和经营成果。年审注册会计师进场前，审计委员会与会计</w:t>
      </w:r>
      <w:r>
        <w:rPr>
          <w:spacing w:val="-66"/>
        </w:rPr>
        <w:t> </w:t>
      </w:r>
      <w:r>
        <w:rPr>
          <w:spacing w:val="-66"/>
        </w:rPr>
      </w:r>
      <w:r>
        <w:rPr>
          <w:spacing w:val="-2"/>
        </w:rPr>
        <w:t>师事务所共同协商确定了公司本年度财务报告审计工作的时间安排，并不断加强与年审会计师的沟通，督促其在约定时限内</w:t>
      </w:r>
      <w:r>
        <w:rPr>
          <w:spacing w:val="-64"/>
        </w:rPr>
        <w:t> </w:t>
      </w:r>
      <w:r>
        <w:rPr>
          <w:spacing w:val="-64"/>
        </w:rPr>
      </w:r>
      <w:r>
        <w:rPr>
          <w:spacing w:val="-2"/>
        </w:rPr>
        <w:t>提交审计报告。在年审注册会计师出具初步审计意见后审计委员会又一次审阅了公司财务会计报表，认为公司财务会计报表</w:t>
      </w:r>
      <w:r>
        <w:rPr>
          <w:spacing w:val="-64"/>
        </w:rPr>
        <w:t> </w:t>
      </w:r>
      <w:r>
        <w:rPr>
          <w:spacing w:val="-64"/>
        </w:rPr>
      </w:r>
      <w:r>
        <w:rPr/>
        <w:t>真实、准确、完整的反映了公司的财务状况和经营成果。</w:t>
      </w:r>
    </w:p>
    <w:p>
      <w:pPr>
        <w:pStyle w:val="Heading5"/>
        <w:spacing w:line="240" w:lineRule="auto"/>
        <w:ind w:right="0"/>
        <w:jc w:val="left"/>
        <w:rPr>
          <w:b w:val="0"/>
          <w:bCs w:val="0"/>
        </w:rPr>
      </w:pPr>
      <w:r>
        <w:rPr>
          <w:rFonts w:ascii="Times New Roman" w:hAnsi="Times New Roman" w:cs="Times New Roman" w:eastAsia="Times New Roman" w:hint="default"/>
        </w:rPr>
        <w:t>2</w:t>
      </w:r>
      <w:r>
        <w:rPr/>
        <w:t>、战略委员会</w:t>
      </w:r>
      <w:r>
        <w:rPr>
          <w:b w:val="0"/>
          <w:bCs w:val="0"/>
        </w:rPr>
      </w:r>
    </w:p>
    <w:p>
      <w:pPr>
        <w:pStyle w:val="BodyText"/>
        <w:spacing w:line="240" w:lineRule="auto" w:before="63"/>
        <w:ind w:left="514" w:right="0"/>
        <w:jc w:val="left"/>
      </w:pPr>
      <w:r>
        <w:rPr/>
        <w:t>报告期内，公司董事会战略委员会召开会议对公司非公开发行股票的事项进行了探讨和规划。</w:t>
      </w:r>
    </w:p>
    <w:p>
      <w:pPr>
        <w:pStyle w:val="BodyText"/>
        <w:spacing w:line="300" w:lineRule="auto" w:before="76"/>
        <w:ind w:left="513" w:right="0" w:hanging="360"/>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99"/>
        </w:rPr>
        <w:t> </w:t>
      </w:r>
      <w:r>
        <w:rPr>
          <w:spacing w:val="-4"/>
        </w:rPr>
        <w:t>报告期内，公司董事会薪酬与考核委员会共召开</w:t>
      </w:r>
      <w:r>
        <w:rPr>
          <w:rFonts w:ascii="Times New Roman" w:hAnsi="Times New Roman" w:cs="Times New Roman" w:eastAsia="Times New Roman" w:hint="default"/>
          <w:spacing w:val="-4"/>
        </w:rPr>
        <w:t>3</w:t>
      </w:r>
      <w:r>
        <w:rPr>
          <w:spacing w:val="-4"/>
        </w:rPr>
        <w:t>次会议，审议了董事和高管薪酬、限制性股票激励计划的执行等事宜。</w:t>
      </w:r>
    </w:p>
    <w:p>
      <w:pPr>
        <w:pStyle w:val="BodyText"/>
        <w:spacing w:line="240" w:lineRule="auto" w:before="13"/>
        <w:ind w:left="154" w:right="0"/>
        <w:jc w:val="left"/>
      </w:pPr>
      <w:r>
        <w:rPr/>
        <w:t>为公司激励计划的实施、董事会的规范运作提出了合理的建议。</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26"/>
        <w:ind w:right="0"/>
        <w:jc w:val="left"/>
        <w:rPr>
          <w:b w:val="0"/>
          <w:bCs w:val="0"/>
        </w:rPr>
      </w:pPr>
      <w:r>
        <w:rPr>
          <w:rFonts w:ascii="Times New Roman" w:hAnsi="Times New Roman" w:cs="Times New Roman" w:eastAsia="Times New Roman" w:hint="default"/>
        </w:rPr>
        <w:t>4</w:t>
      </w:r>
      <w:r>
        <w:rPr/>
        <w:t>、提名委员会</w:t>
      </w:r>
      <w:r>
        <w:rPr>
          <w:b w:val="0"/>
          <w:bCs w:val="0"/>
        </w:rPr>
      </w:r>
    </w:p>
    <w:p>
      <w:pPr>
        <w:pStyle w:val="BodyText"/>
        <w:spacing w:line="316" w:lineRule="auto" w:before="103"/>
        <w:ind w:left="154" w:right="1116" w:firstLine="360"/>
        <w:jc w:val="left"/>
      </w:pPr>
      <w:r>
        <w:rPr>
          <w:spacing w:val="-2"/>
        </w:rPr>
        <w:t>报告期内，董事会提名委员会召开会议，对公司拟提名的董事任职资格等事项进行了认真的核查，并同意提交董事会审</w:t>
      </w:r>
      <w:r>
        <w:rPr/>
        <w:t> 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left="154"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3" w:firstLine="360"/>
        <w:jc w:val="left"/>
      </w:pPr>
      <w:r>
        <w:rPr>
          <w:rFonts w:ascii="Times New Roman" w:hAnsi="Times New Roman" w:cs="Times New Roman" w:eastAsia="Times New Roman" w:hint="default"/>
        </w:rPr>
        <w:t>1</w:t>
      </w:r>
      <w:r>
        <w:rPr/>
        <w:t>、报告期内，公司以量化的考核指标定期对高级管理人员进行业绩考核。经过考评，</w:t>
      </w:r>
      <w:r>
        <w:rPr>
          <w:rFonts w:ascii="Times New Roman" w:hAnsi="Times New Roman" w:cs="Times New Roman" w:eastAsia="Times New Roman" w:hint="default"/>
        </w:rPr>
        <w:t>2015</w:t>
      </w:r>
      <w:r>
        <w:rPr/>
        <w:t>年度公司高管人员认真的履 行了工作职责，但由于受外部经济环境的影响，本年度公司业绩目标未能达成。</w:t>
      </w:r>
    </w:p>
    <w:p>
      <w:pPr>
        <w:pStyle w:val="BodyText"/>
        <w:spacing w:line="302" w:lineRule="auto" w:before="69"/>
        <w:ind w:right="0" w:firstLine="360"/>
        <w:jc w:val="left"/>
      </w:pPr>
      <w:r>
        <w:rPr>
          <w:rFonts w:ascii="Times New Roman" w:hAnsi="Times New Roman" w:cs="Times New Roman" w:eastAsia="Times New Roman" w:hint="default"/>
          <w:spacing w:val="-2"/>
        </w:rPr>
        <w:t>2</w:t>
      </w:r>
      <w:r>
        <w:rPr>
          <w:spacing w:val="-2"/>
        </w:rPr>
        <w:t>、报告期内，根据公司《限制性股票激励计划（草案修订稿）》的相关规定，公司已回购并注销</w:t>
      </w:r>
      <w:r>
        <w:rPr>
          <w:rFonts w:ascii="Times New Roman" w:hAnsi="Times New Roman" w:cs="Times New Roman" w:eastAsia="Times New Roman" w:hint="default"/>
          <w:spacing w:val="-2"/>
        </w:rPr>
        <w:t>2</w:t>
      </w:r>
      <w:r>
        <w:rPr>
          <w:spacing w:val="-2"/>
        </w:rPr>
        <w:t>名激励对象第一个解</w:t>
      </w:r>
      <w:r>
        <w:rPr/>
        <w:t> 锁期所涉及的已授予但未满足解锁条件的部分限制性股票。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left="154" w:right="0"/>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2189"/>
        <w:gridCol w:w="3335"/>
        <w:gridCol w:w="3051"/>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61"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4" w:type="dxa"/>
            <w:gridSpan w:val="2"/>
            <w:vMerge w:val="restart"/>
            <w:tcBorders>
              <w:top w:val="single" w:sz="4" w:space="0" w:color="000000"/>
              <w:left w:val="single" w:sz="9" w:space="0" w:color="D2D2D2"/>
              <w:right w:val="single" w:sz="4" w:space="0" w:color="000000"/>
            </w:tcBorders>
          </w:tcPr>
          <w:p>
            <w:pPr>
              <w:pStyle w:val="TableParagraph"/>
              <w:spacing w:line="338" w:lineRule="auto" w:before="52"/>
              <w:ind w:left="16" w:right="89"/>
              <w:jc w:val="left"/>
              <w:rPr>
                <w:rFonts w:ascii="宋体" w:hAnsi="宋体" w:cs="宋体" w:eastAsia="宋体" w:hint="default"/>
                <w:sz w:val="18"/>
                <w:szCs w:val="18"/>
              </w:rPr>
            </w:pPr>
            <w:r>
              <w:rPr>
                <w:rFonts w:ascii="宋体" w:hAnsi="宋体" w:cs="宋体" w:eastAsia="宋体" w:hint="default"/>
                <w:sz w:val="18"/>
                <w:szCs w:val="18"/>
              </w:rPr>
              <w:t>重大缺陷： 是指一个或多个控制缺陷的组合，可能导致企业严重偏离控制目标。 出现下列情形之一的，认定为重大缺陷：</w:t>
            </w:r>
          </w:p>
          <w:p>
            <w:pPr>
              <w:pStyle w:val="TableParagraph"/>
              <w:tabs>
                <w:tab w:pos="436" w:val="left" w:leader="none"/>
              </w:tabs>
              <w:spacing w:line="240" w:lineRule="auto" w:before="4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董事、监事和高级管理人员舞弊行为；</w:t>
            </w:r>
          </w:p>
          <w:p>
            <w:pPr>
              <w:pStyle w:val="TableParagraph"/>
              <w:tabs>
                <w:tab w:pos="436" w:val="left" w:leader="none"/>
              </w:tabs>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公司审计委员会和审计部对内部控制的监督无效；</w:t>
            </w:r>
          </w:p>
          <w:p>
            <w:pPr>
              <w:pStyle w:val="TableParagraph"/>
              <w:tabs>
                <w:tab w:pos="436" w:val="left" w:leader="none"/>
              </w:tabs>
              <w:spacing w:line="300" w:lineRule="auto" w:before="63"/>
              <w:ind w:left="436" w:right="29" w:hanging="4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注册会计师对公司财务报表出具无保留意见以外的其他三种意见 审计报告。</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tabs>
                <w:tab w:pos="442" w:val="left" w:leader="none"/>
              </w:tabs>
              <w:spacing w:line="300" w:lineRule="auto" w:before="116"/>
              <w:ind w:left="442" w:right="76" w:hanging="4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重要业务缺乏制度控制或制度体 系失效</w:t>
            </w:r>
          </w:p>
          <w:p>
            <w:pPr>
              <w:pStyle w:val="TableParagraph"/>
              <w:tabs>
                <w:tab w:pos="442" w:val="left" w:leader="none"/>
              </w:tabs>
              <w:spacing w:line="340" w:lineRule="auto" w:before="3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内部控制重大缺陷未得到整改。 重要缺陷：</w:t>
            </w:r>
          </w:p>
          <w:p>
            <w:pPr>
              <w:pStyle w:val="TableParagraph"/>
              <w:tabs>
                <w:tab w:pos="442" w:val="left" w:leader="none"/>
              </w:tabs>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重要业务制度体系存在缺陷；</w:t>
            </w:r>
          </w:p>
        </w:tc>
      </w:tr>
      <w:tr>
        <w:trPr>
          <w:trHeight w:val="393"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5524" w:type="dxa"/>
            <w:gridSpan w:val="2"/>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61"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4" w:type="dxa"/>
            <w:gridSpan w:val="2"/>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993"/>
        <w:gridCol w:w="5525"/>
        <w:gridCol w:w="3051"/>
      </w:tblGrid>
      <w:tr>
        <w:trPr>
          <w:trHeight w:val="305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2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重要缺陷： 是指一个或多个控制缺陷的组合，其严重程度和经济后果低于重大缺 陷，但是仍有可能导致企业偏离控制目标。出现下列情形之一的，认</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定为重大缺陷：</w:t>
            </w:r>
          </w:p>
          <w:p>
            <w:pPr>
              <w:pStyle w:val="TableParagraph"/>
              <w:tabs>
                <w:tab w:pos="443" w:val="left" w:leader="none"/>
              </w:tabs>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未建立反舞弊程序和控制措施；</w:t>
            </w:r>
          </w:p>
          <w:p>
            <w:pPr>
              <w:pStyle w:val="TableParagraph"/>
              <w:tabs>
                <w:tab w:pos="443" w:val="left" w:leader="none"/>
              </w:tabs>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公司内部审计机构未能有效发挥监督职能；</w:t>
            </w:r>
          </w:p>
          <w:p>
            <w:pPr>
              <w:pStyle w:val="TableParagraph"/>
              <w:tabs>
                <w:tab w:pos="443" w:val="left" w:leader="none"/>
              </w:tabs>
              <w:spacing w:line="350" w:lineRule="auto" w:before="63"/>
              <w:ind w:left="23" w:right="7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公司以前的财务报告出现重大错报需要进行追溯调整。 一般缺陷： 不属于重大缺陷、重要缺陷的其他内部控制缺陷。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10"/>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内部控制重要缺陷未得到整改。 </w:t>
            </w:r>
            <w:r>
              <w:rPr>
                <w:rFonts w:ascii="宋体" w:hAnsi="宋体" w:cs="宋体" w:eastAsia="宋体" w:hint="default"/>
                <w:spacing w:val="-4"/>
                <w:sz w:val="18"/>
                <w:szCs w:val="18"/>
              </w:rPr>
              <w:t>一般缺陷：不属于重大缺陷、重要缺陷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的其他内部控制缺陷。</w:t>
            </w:r>
          </w:p>
        </w:tc>
      </w:tr>
      <w:tr>
        <w:trPr>
          <w:trHeight w:val="305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5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财务报表的错报金额落在如下区间的为重大缺陷：</w:t>
            </w:r>
          </w:p>
          <w:p>
            <w:pPr>
              <w:pStyle w:val="TableParagraph"/>
              <w:tabs>
                <w:tab w:pos="443" w:val="left" w:leader="none"/>
              </w:tabs>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错报≥合并报表营业收入的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tabs>
                <w:tab w:pos="443" w:val="left" w:leader="none"/>
              </w:tabs>
              <w:spacing w:line="340" w:lineRule="auto" w:before="63"/>
              <w:ind w:left="23" w:right="14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错报≥合并报表资产总额的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4"/>
                <w:sz w:val="18"/>
                <w:szCs w:val="18"/>
              </w:rPr>
              <w:t>财务报表的错报金额落在如下区间的为重要缺陷：、</w:t>
            </w:r>
          </w:p>
          <w:p>
            <w:pPr>
              <w:pStyle w:val="TableParagraph"/>
              <w:tabs>
                <w:tab w:pos="443" w:val="left" w:leader="none"/>
              </w:tabs>
              <w:spacing w:line="240" w:lineRule="auto" w:before="40"/>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tabs>
                <w:tab w:pos="443" w:val="left" w:leader="none"/>
              </w:tabs>
              <w:spacing w:line="340" w:lineRule="auto" w:before="63"/>
              <w:ind w:left="2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合并报表资产总额的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财务报表的错报金额落在如下区间的为一般缺陷：</w:t>
            </w:r>
          </w:p>
          <w:p>
            <w:pPr>
              <w:pStyle w:val="TableParagraph"/>
              <w:tabs>
                <w:tab w:pos="443" w:val="left" w:leader="none"/>
              </w:tabs>
              <w:spacing w:line="240" w:lineRule="auto" w:before="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p>
            <w:pPr>
              <w:pStyle w:val="TableParagraph"/>
              <w:tabs>
                <w:tab w:pos="443" w:val="left" w:leader="none"/>
              </w:tabs>
              <w:spacing w:line="240" w:lineRule="auto" w:before="71"/>
              <w:ind w:left="23" w:right="0"/>
              <w:jc w:val="left"/>
              <w:rPr>
                <w:rFonts w:ascii="宋体" w:hAnsi="宋体" w:cs="宋体" w:eastAsia="宋体" w:hint="default"/>
                <w:sz w:val="18"/>
                <w:szCs w:val="18"/>
              </w:rPr>
            </w:pPr>
            <w:r>
              <w:rPr>
                <w:rFonts w:ascii="Calibri" w:hAnsi="Calibri" w:cs="Calibri" w:eastAsia="Calibri" w:hint="default"/>
                <w:sz w:val="21"/>
                <w:szCs w:val="21"/>
              </w:rPr>
              <w:t>2.</w:t>
              <w:tab/>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 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重要缺陷：合并报表资产总额的 </w:t>
            </w:r>
            <w:r>
              <w:rPr>
                <w:rFonts w:ascii="Times New Roman" w:hAnsi="Times New Roman" w:cs="Times New Roman" w:eastAsia="Times New Roman" w:hint="default"/>
                <w:sz w:val="18"/>
                <w:szCs w:val="18"/>
              </w:rPr>
              <w:t>0.25%&lt;</w:t>
            </w:r>
            <w:r>
              <w:rPr>
                <w:rFonts w:ascii="宋体" w:hAnsi="宋体" w:cs="宋体" w:eastAsia="宋体" w:hint="default"/>
                <w:sz w:val="18"/>
                <w:szCs w:val="18"/>
              </w:rPr>
              <w:t>直接财产损失金额≤合并报表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4"/>
                <w:sz w:val="18"/>
                <w:szCs w:val="18"/>
              </w:rPr>
              <w:t>一般缺陷：直接财产损失金额≤合并报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财务报告重 大缺陷数量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非财务报告 重大缺陷数 量（个）</w:t>
            </w:r>
          </w:p>
        </w:tc>
        <w:tc>
          <w:tcPr>
            <w:tcW w:w="8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财务报告重 要缺陷数量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非财务报告 重要缺陷数 量（个）</w:t>
            </w:r>
          </w:p>
        </w:tc>
        <w:tc>
          <w:tcPr>
            <w:tcW w:w="8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r>
        <w:rPr/>
        <w:pict>
          <v:group style="position:absolute;margin-left:55.200001pt;margin-top:70.559982pt;width:485pt;height:.1pt;mso-position-horizontal-relative:page;mso-position-vertical-relative:page;z-index:1840" coordorigin="1104,1411" coordsize="9700,2">
            <v:shape style="position:absolute;left:1104;top:1411;width:9700;height:2" coordorigin="1104,1411" coordsize="9700,0" path="m1104,1411l10804,1411e" filled="false" stroked="true" strokeweight=".72pt" strokecolor="#000000">
              <v:path arrowok="t"/>
            </v:shape>
            <w10:wrap type="none"/>
          </v:group>
        </w:pict>
      </w:r>
    </w:p>
    <w:p>
      <w:pPr>
        <w:pStyle w:val="Heading2"/>
        <w:spacing w:line="240" w:lineRule="auto" w:before="26"/>
        <w:ind w:left="154"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日我司公司及其子公司在内部控制评估报告中所述与财务报表相关的内部控制 在所有重大方面有效地保持了按照财政部颁发的《内部会计控制规范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》的有关规范标准中与财务报表相 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4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会计师事务所出具非标准意见的内部控制鉴证报告的说明 无</w:t>
      </w:r>
    </w:p>
    <w:p>
      <w:pPr>
        <w:pStyle w:val="BodyText"/>
        <w:spacing w:line="240" w:lineRule="auto" w:before="36"/>
        <w:ind w:left="154" w:right="0"/>
        <w:jc w:val="left"/>
      </w:pPr>
      <w:r>
        <w:rPr/>
        <w:t>会计师事务所出具的内部控制鉴证报告与董事会的自我评价报告意见是否一致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51" w:footer="979" w:top="13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ind w:right="978"/>
        <w:jc w:val="center"/>
        <w:rPr>
          <w:b w:val="0"/>
          <w:bCs w:val="0"/>
        </w:rPr>
      </w:pPr>
      <w:bookmarkStart w:name="第十节 财务报告" w:id="158"/>
      <w:bookmarkEnd w:id="158"/>
      <w:r>
        <w:rPr>
          <w:b w:val="0"/>
          <w:bCs w:val="0"/>
        </w:rPr>
      </w:r>
      <w:bookmarkStart w:name="_bookmark9" w:id="159"/>
      <w:bookmarkEnd w:id="159"/>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(2016)</w:t>
            </w:r>
            <w:r>
              <w:rPr>
                <w:rFonts w:ascii="宋体" w:hAnsi="宋体" w:cs="宋体" w:eastAsia="宋体" w:hint="default"/>
                <w:sz w:val="18"/>
                <w:szCs w:val="18"/>
              </w:rPr>
              <w:t>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张炯、何凝</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976"/>
        <w:jc w:val="center"/>
      </w:pPr>
      <w:r>
        <w:rPr/>
        <w:t>审计报告正文</w:t>
      </w:r>
    </w:p>
    <w:p>
      <w:pPr>
        <w:spacing w:line="240" w:lineRule="auto" w:before="3"/>
        <w:rPr>
          <w:rFonts w:ascii="宋体" w:hAnsi="宋体" w:cs="宋体" w:eastAsia="宋体" w:hint="default"/>
          <w:sz w:val="29"/>
          <w:szCs w:val="29"/>
        </w:rPr>
      </w:pPr>
    </w:p>
    <w:p>
      <w:pPr>
        <w:pStyle w:val="BodyText"/>
        <w:spacing w:line="240" w:lineRule="auto" w:before="44"/>
        <w:ind w:left="6763" w:right="0"/>
        <w:jc w:val="left"/>
      </w:pPr>
      <w:r>
        <w:rPr/>
        <w:t>安永华明</w:t>
      </w:r>
      <w:r>
        <w:rPr>
          <w:rFonts w:ascii="Times New Roman" w:hAnsi="Times New Roman" w:cs="Times New Roman" w:eastAsia="Times New Roman" w:hint="default"/>
        </w:rPr>
        <w:t>(2016)</w:t>
      </w:r>
      <w:r>
        <w:rPr/>
        <w:t>审字第</w:t>
      </w:r>
      <w:r>
        <w:rPr>
          <w:rFonts w:ascii="Times New Roman" w:hAnsi="Times New Roman" w:cs="Times New Roman" w:eastAsia="Times New Roman" w:hint="default"/>
        </w:rPr>
        <w:t>60644982_B01</w:t>
      </w:r>
      <w:r>
        <w:rPr/>
        <w:t>号</w:t>
      </w:r>
    </w:p>
    <w:p>
      <w:pPr>
        <w:spacing w:line="240" w:lineRule="auto" w:before="3"/>
        <w:rPr>
          <w:rFonts w:ascii="宋体" w:hAnsi="宋体" w:cs="宋体" w:eastAsia="宋体" w:hint="default"/>
          <w:sz w:val="25"/>
          <w:szCs w:val="25"/>
        </w:rPr>
      </w:pPr>
    </w:p>
    <w:p>
      <w:pPr>
        <w:pStyle w:val="BodyText"/>
        <w:spacing w:line="240" w:lineRule="auto" w:before="44"/>
        <w:ind w:right="0"/>
        <w:jc w:val="left"/>
      </w:pPr>
      <w:r>
        <w:rPr/>
        <w:t>上海美特斯邦威服饰股份有限公司全体股东：</w:t>
      </w:r>
    </w:p>
    <w:p>
      <w:pPr>
        <w:spacing w:line="240" w:lineRule="auto" w:before="0"/>
        <w:rPr>
          <w:rFonts w:ascii="宋体" w:hAnsi="宋体" w:cs="宋体" w:eastAsia="宋体" w:hint="default"/>
          <w:sz w:val="18"/>
          <w:szCs w:val="18"/>
        </w:rPr>
      </w:pPr>
    </w:p>
    <w:p>
      <w:pPr>
        <w:pStyle w:val="BodyText"/>
        <w:spacing w:line="240" w:lineRule="auto" w:before="153"/>
        <w:ind w:left="633" w:right="0"/>
        <w:jc w:val="left"/>
      </w:pPr>
      <w:r>
        <w:rPr/>
        <w:t>我们审计了后附的上海美特斯邦威服饰股份有限公司的财务报表，包括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日的合并及公司的资产负债表，</w:t>
      </w:r>
    </w:p>
    <w:p>
      <w:pPr>
        <w:pStyle w:val="BodyText"/>
        <w:spacing w:line="600" w:lineRule="auto" w:before="63"/>
        <w:ind w:left="633" w:right="4273" w:hanging="480"/>
        <w:jc w:val="left"/>
      </w:pPr>
      <w:r>
        <w:rPr>
          <w:rFonts w:ascii="Times New Roman" w:hAnsi="Times New Roman" w:cs="Times New Roman" w:eastAsia="Times New Roman" w:hint="default"/>
        </w:rPr>
        <w:t>2015</w:t>
      </w:r>
      <w:r>
        <w:rPr/>
        <w:t>年度合并及公司的利润表、股东权益变动表和现金流量表以及财务报表附注。 一、管理层对财务报表的责任</w:t>
      </w:r>
    </w:p>
    <w:p>
      <w:pPr>
        <w:pStyle w:val="BodyText"/>
        <w:spacing w:line="300" w:lineRule="auto" w:before="118"/>
        <w:ind w:right="1131" w:firstLine="480"/>
        <w:jc w:val="both"/>
      </w:pPr>
      <w:r>
        <w:rPr>
          <w:spacing w:val="-1"/>
        </w:rPr>
        <w:t>编制和公允列报财务报表是上海美特斯邦威服饰股份有限公司管理层的责任。这种责任包括：</w:t>
      </w:r>
      <w:r>
        <w:rPr>
          <w:rFonts w:ascii="Times New Roman" w:hAnsi="Times New Roman" w:cs="Times New Roman" w:eastAsia="Times New Roman" w:hint="default"/>
          <w:spacing w:val="-1"/>
        </w:rPr>
        <w:t>(1)</w:t>
      </w:r>
      <w:r>
        <w:rPr>
          <w:spacing w:val="-1"/>
        </w:rPr>
        <w:t>按照企业会计准则的</w:t>
      </w:r>
      <w:r>
        <w:rPr/>
        <w:t> 规定编制财务报表，并使其实现公允反映；</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设计、执行和维护必要的内部控制，以使财务报表不存在由于舞弊或错误导 致的重大错报。</w:t>
      </w:r>
    </w:p>
    <w:p>
      <w:pPr>
        <w:pStyle w:val="BodyText"/>
        <w:spacing w:line="624" w:lineRule="exact" w:before="54"/>
        <w:ind w:left="633" w:right="0"/>
        <w:jc w:val="left"/>
      </w:pPr>
      <w:r>
        <w:rPr/>
        <w:t>二、注册会计师的责任 </w:t>
      </w:r>
      <w:r>
        <w:rPr>
          <w:spacing w:val="-1"/>
        </w:rPr>
        <w:t>我们的责任是在执行审计工作的基础上对财务报表发表审计意见。我们按照中国注册会计师审计准则的规定执行了审</w:t>
      </w:r>
    </w:p>
    <w:p>
      <w:pPr>
        <w:pStyle w:val="BodyText"/>
        <w:spacing w:line="213" w:lineRule="exact"/>
        <w:ind w:right="0"/>
        <w:jc w:val="left"/>
      </w:pPr>
      <w:r>
        <w:rPr/>
        <w:t>计工作。中国注册会计师审计准则要求我们遵守中国注册会计师职业道德守则，计划和执行审计工作以对财务报表是否不存</w:t>
      </w:r>
    </w:p>
    <w:p>
      <w:pPr>
        <w:pStyle w:val="BodyText"/>
        <w:spacing w:line="240" w:lineRule="auto" w:before="76"/>
        <w:ind w:right="0"/>
        <w:jc w:val="left"/>
      </w:pPr>
      <w:r>
        <w:rPr/>
        <w:t>在重大错报获取合理保证。</w:t>
      </w:r>
    </w:p>
    <w:p>
      <w:pPr>
        <w:spacing w:line="240" w:lineRule="auto" w:before="0"/>
        <w:rPr>
          <w:rFonts w:ascii="宋体" w:hAnsi="宋体" w:cs="宋体" w:eastAsia="宋体" w:hint="default"/>
          <w:sz w:val="18"/>
          <w:szCs w:val="18"/>
        </w:rPr>
      </w:pPr>
    </w:p>
    <w:p>
      <w:pPr>
        <w:pStyle w:val="BodyText"/>
        <w:spacing w:line="316" w:lineRule="auto" w:before="153"/>
        <w:ind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240" w:lineRule="auto"/>
        <w:ind w:left="633" w:right="0"/>
        <w:jc w:val="left"/>
      </w:pPr>
      <w:r>
        <w:rPr/>
        <w:t>我们相信，我们获取的审计证据是充分、适当的，为发表审计意见提供了基础。</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6"/>
          <w:szCs w:val="26"/>
        </w:rPr>
      </w:pPr>
    </w:p>
    <w:p>
      <w:pPr>
        <w:pStyle w:val="BodyText"/>
        <w:spacing w:line="316" w:lineRule="auto" w:before="44"/>
        <w:ind w:left="633" w:right="1116"/>
        <w:jc w:val="left"/>
      </w:pPr>
      <w:r>
        <w:rPr/>
        <w:t>三、审计意见 </w:t>
      </w:r>
      <w:r>
        <w:rPr>
          <w:spacing w:val="-1"/>
        </w:rPr>
        <w:t>我们认为，上述财务报表在所有重大方面按照企业会计准则的规定编制，公允反映了上海美特斯邦威服饰股份有限公</w:t>
      </w:r>
    </w:p>
    <w:p>
      <w:pPr>
        <w:pStyle w:val="BodyText"/>
        <w:spacing w:line="240" w:lineRule="auto" w:before="19"/>
        <w:ind w:right="0"/>
        <w:jc w:val="left"/>
      </w:pPr>
      <w:r>
        <w:rPr/>
        <w:t>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日的合并及公司的财务状况以及</w:t>
      </w:r>
      <w:r>
        <w:rPr>
          <w:rFonts w:ascii="Times New Roman" w:hAnsi="Times New Roman" w:cs="Times New Roman" w:eastAsia="Times New Roman" w:hint="default"/>
        </w:rPr>
        <w:t>2015</w:t>
      </w:r>
      <w:r>
        <w:rPr/>
        <w:t>年度的合并及公司的经营成果和现金流量。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tabs>
          <w:tab w:pos="6724" w:val="left" w:leader="none"/>
        </w:tabs>
        <w:spacing w:line="240" w:lineRule="auto"/>
        <w:ind w:left="633" w:right="0"/>
        <w:jc w:val="left"/>
      </w:pPr>
      <w:r>
        <w:rPr/>
        <w:t>安永华明会计师事务所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中国注册会计师：张炯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tabs>
          <w:tab w:pos="5790" w:val="left" w:leader="none"/>
        </w:tabs>
        <w:spacing w:line="240" w:lineRule="auto"/>
        <w:ind w:left="0" w:right="2339"/>
        <w:jc w:val="right"/>
      </w:pPr>
      <w:r>
        <w:rPr/>
        <w:t>中国北京</w:t>
        <w:tab/>
        <w:t>中国注册会计师：何凝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2309"/>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p>
    <w:p>
      <w:pPr>
        <w:spacing w:after="0" w:line="240" w:lineRule="auto"/>
        <w:jc w:val="righ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ind w:left="154" w:right="0"/>
        <w:jc w:val="left"/>
        <w:rPr>
          <w:b w:val="0"/>
          <w:bCs w:val="0"/>
        </w:rPr>
      </w:pPr>
      <w:r>
        <w:rPr/>
        <w:t>二、财务报表</w:t>
      </w:r>
      <w:r>
        <w:rPr>
          <w:b w:val="0"/>
          <w:bCs w:val="0"/>
        </w:rPr>
      </w:r>
    </w:p>
    <w:p>
      <w:pPr>
        <w:pStyle w:val="BodyText"/>
        <w:spacing w:line="240" w:lineRule="auto" w:before="88"/>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编制单位：上海美特斯邦威服饰股份有限公司</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1,194,066,765.00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1,407,459,236.00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328,610,000.00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248,056,889.00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234,536,158.00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221,367,184.00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183,146,015.00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118,029,745.00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80,812,986.00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1,874,766,301.00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1,435,635,551.00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52,297,413.00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15,287,722.00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4,029,309,297.00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3,685,487,668.00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109,672,840.00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117,456,829.00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449,359,713.00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128,014,093.00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131,625,337.00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1,808,018,883.00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1,864,534,886.00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2,502,316.00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14,397,796.00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154,357,644.00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160,932,576.00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118,860,629.00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124,714,158.00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147,038,035.00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429,757,754.00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7,835,724.00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457,835,724.00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2,925,659,877.00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3,301,255,060.00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6,954,969,174.00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6,986,742,728.00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1,275,725,000.00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778,630,418.00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35,655,331.00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18,336,468.00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482,456,530.00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348,840,798.00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53,668,408.00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63,122,521.00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151,789,253.00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129,478,145.00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112,529,069.00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130,487,918.00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1,596,000.00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1,596,000.00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276,198,662.00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272,663,736.00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55.200001pt;margin-top:70.559982pt;width:485pt;height:.1pt;mso-position-horizontal-relative:page;mso-position-vertical-relative:page;z-index:1888" coordorigin="1104,1411" coordsize="9700,2">
            <v:shape style="position:absolute;left:1104;top:1411;width:9700;height:2" coordorigin="1104,1411" coordsize="9700,0" path="m1104,1411l10804,1411e" filled="false" stroked="true" strokeweight=".72pt" strokecolor="#000000">
              <v:path arrowok="t"/>
            </v:shape>
            <w10:wrap type="none"/>
          </v:group>
        </w:pict>
      </w:r>
    </w:p>
    <w:p>
      <w:pPr>
        <w:spacing w:after="0"/>
        <w:rPr>
          <w:sz w:val="2"/>
          <w:szCs w:val="2"/>
        </w:rPr>
        <w:sectPr>
          <w:pgSz w:w="11910" w:h="16840"/>
          <w:pgMar w:header="851" w:footer="979" w:top="1440" w:bottom="1160" w:left="980" w:right="0"/>
        </w:sect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605,643,334.00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731,780,000.00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2,995,261,587.00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2,474,936,004.00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806,667,296.00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805,494,932.00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48,846,000.00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855,513,296.00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875,274,932.00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3,850,774,883.00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3,350,210,936.00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2,526,000,000.00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1,011,000,000.00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209,179,545.00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1,123,873,545.00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62,802,000.00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523,531,753.00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621,769,207.00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-91,715,007.00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949,669,040.00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3,104,194,291.00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3,636,531,792.00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3,104,194,291.00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3,636,531,792.00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0" w:right="0"/>
              <w:jc w:val="left"/>
              <w:rPr>
                <w:rFonts w:ascii="Times New Roman" w:hAnsi="Times New Roman" w:cs="Times New Roman" w:eastAsia="Times New Roman" w:hint="default"/>
                <w:sz w:val="18"/>
                <w:szCs w:val="18"/>
              </w:rPr>
            </w:pPr>
            <w:r>
              <w:rPr>
                <w:rFonts w:ascii="Times New Roman"/>
                <w:sz w:val="18"/>
              </w:rPr>
              <w:t>6,954,969,174.00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5" w:right="0"/>
              <w:jc w:val="left"/>
              <w:rPr>
                <w:rFonts w:ascii="Times New Roman" w:hAnsi="Times New Roman" w:cs="Times New Roman" w:eastAsia="Times New Roman" w:hint="default"/>
                <w:sz w:val="18"/>
                <w:szCs w:val="18"/>
              </w:rPr>
            </w:pPr>
            <w:r>
              <w:rPr>
                <w:rFonts w:ascii="Times New Roman"/>
                <w:sz w:val="18"/>
              </w:rPr>
              <w:t>6,986,742,728.00</w:t>
            </w:r>
          </w:p>
        </w:tc>
      </w:tr>
    </w:tbl>
    <w:p>
      <w:pPr>
        <w:spacing w:line="240" w:lineRule="auto" w:before="6"/>
        <w:rPr>
          <w:rFonts w:ascii="宋体" w:hAnsi="宋体" w:cs="宋体" w:eastAsia="宋体" w:hint="default"/>
          <w:sz w:val="20"/>
          <w:szCs w:val="20"/>
        </w:rPr>
      </w:pPr>
    </w:p>
    <w:p>
      <w:pPr>
        <w:pStyle w:val="BodyText"/>
        <w:tabs>
          <w:tab w:pos="3510" w:val="left" w:leader="none"/>
          <w:tab w:pos="7561" w:val="left" w:leader="none"/>
        </w:tabs>
        <w:spacing w:line="240" w:lineRule="auto" w:before="44"/>
        <w:ind w:left="0" w:right="1229"/>
        <w:jc w:val="right"/>
      </w:pPr>
      <w:r>
        <w:rPr/>
        <w:t>法定代表人：周成建</w:t>
        <w:tab/>
        <w:t>主管会计工作负责人：涂珂</w:t>
        <w:tab/>
        <w:t>会计机构负责人：董祝秀</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663,888,863.00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1,035,170,264.00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420,725,000.00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328,610,000.00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2,740,226,129.00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3,153,286,524.00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72,149,213.00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42,789,596.00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369,698,713.00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383,230,873.00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1,155,918,354.00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829,900,010.00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43,678,850.00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4,611,542.00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5,466,285,122.00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5,777,598,809.00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6,996,365.00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9,683,484.00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845,743,739.00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1,164,824,053.00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1,196,136,776.00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346,619,808.00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352,813,794.00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2,207,611.00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13,996,952.00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359,297,913.00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366,292,098.00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7,475,842.00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2,197,758.00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7,835,724.00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457,835,724.00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2,741,001,055.00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2,797,340,612.00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8,207,286,177.00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8,574,939,421.00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1,275,725,000.00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778,630,418.00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35,655,331.00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18,336,468.00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766,285,863.00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1,168,860,796.00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73,342,012.00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160,412,194.00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80,374,756.00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52,546,218.00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80,678,588.00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83,843,703.00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1,596,000.00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1,596,000.00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357,866,704.00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538,107,719.00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605,643,334.00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731,780,000.00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3,277,167,588.00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3,534,113,516.00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806,667,296.00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805,494,932.00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48,846,000.00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855,513,296.00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875,274,932.00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4,132,680,884.00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4,409,388,448.00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134,014,819.00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1,048,708,819.00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402,347,032.00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1,075,045,442.00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1,673,122,154.00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4,074,605,293.00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4,165,550,973.00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8,207,286,177.00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8,574,939,421.00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6,294,783,764.00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6,620,767,477.00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6,294,783,764.00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6,620,767,477.00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6,444,721,415.00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6,466,482,144.00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3,524,126,145.00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3,629,859,517.00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50,603,405.00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57,957,580.00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2,194,489,454.00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2,166,133,578.00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322,352,412.00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227,151,728.00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116,583,880.00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129,165,859.00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236,566,119.00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256,213,882.00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5"/>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-150,577,938.00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178,250,190.00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30,970,647.00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106,038,866.00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342,825.00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6,982,654.00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12,789,319.00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38,011,363.00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5,699,402.00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26,190,592.00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-132,396,610.00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246,277,693.00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299,524,891.00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100,637,180.00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8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 其他综合收益中享有的份额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8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 的其他综合收益中享有的份额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6"/>
        <w:rPr>
          <w:rFonts w:ascii="宋体" w:hAnsi="宋体" w:cs="宋体" w:eastAsia="宋体" w:hint="default"/>
          <w:sz w:val="20"/>
          <w:szCs w:val="20"/>
        </w:rPr>
      </w:pPr>
    </w:p>
    <w:p>
      <w:pPr>
        <w:pStyle w:val="BodyText"/>
        <w:tabs>
          <w:tab w:pos="3510" w:val="left" w:leader="none"/>
          <w:tab w:pos="7561" w:val="left" w:leader="none"/>
        </w:tabs>
        <w:spacing w:line="240" w:lineRule="auto" w:before="44"/>
        <w:ind w:left="0" w:right="1229"/>
        <w:jc w:val="right"/>
      </w:pPr>
      <w:r>
        <w:rPr/>
        <w:t>法定代表人：周成建</w:t>
        <w:tab/>
        <w:t>主管会计工作负责人：涂珂</w:t>
        <w:tab/>
        <w:t>会计机构负责人：董祝秀</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4,531,222,864.00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4,644,863,830.00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3,765,888,369.00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3,601,440,703.00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7,676,986.00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9,787,531.00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753,371,992.00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611,487,826.00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404,069,877.00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347,921,406.00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124,560,763.00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140,521,615.00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135,354,216.00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227,669,747.00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2"/>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658,839,562.00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2"/>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-859,777.00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-270,000,141.00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14,629,397.00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47,432,526.00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305,263.00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6,577,748.00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4,299,300.00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5,370,321.00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136,642.00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621,552.00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9,470,320.00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-227,937,936.00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38,430,799.00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9,470,320.00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-266,368,735.00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2"/>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7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 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7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 的其他综合收益中享有的份额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9,470,320.00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-266,368,735.00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7,401,989,001.00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7,848,942,477.00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7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72"/>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 产净增加额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754,030.00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24,280,019.00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56,393,530.00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162,550,928.00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7,459,136,561.00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8,035,773,424.00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4,772,839,966.00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4,120,096,873.00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985,813,221.00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898,323,578.00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551,248,220.00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567,153,533.00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1,334,239,540.00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1,128,025,477.00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7,644,140,947.00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6,713,599,461.00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-185,004,386.00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1,322,173,963.00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2,923,608.00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33,289,822.00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2,923,608.00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99,289,822.00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174,766,873.00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144,230,308.00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174,766,873.00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594,230,308.00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-171,843,265.00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-494,940,486.00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1,400,000,000.00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1,263,076,026.00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13,549,740.00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26,657,754.00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2,013,549,740.00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2,059,513,780.00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1,595,020,418.00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2,100,784,066.00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2553"/>
        <w:gridCol w:w="2338"/>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252,746,402.00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423,645,070.00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49,305,171.00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35,936,174.00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1,904,049,991.00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2,560,365,310.00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109,499,749.00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-500,851,530.00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-247,347,902.00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326,381,947.00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1,395,947,083.00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1,148,599,181.00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5,529,338,562.00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6,067,973,143.00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500,135.00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24,955,331.00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89,225,600.00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5,554,293,893.00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6,157,698,878.00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4,755,241,048.00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4,080,601,690.00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399,853,456.00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319,622,595.00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114,244,562.00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56,984,846.00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698,296,993.00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243,480,226.00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5,967,636,059.00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4,700,689,357.00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-413,342,166.00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1,457,009,521.00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661,479,849.00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415,168.00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28,967,491.00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661,895,017.00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94,967,491.00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763,289,432.00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123,617,619.00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60" w:type="dxa"/>
        <w:tblLayout w:type="fixed"/>
        <w:tblCellMar>
          <w:top w:w="0" w:type="dxa"/>
          <w:left w:w="0" w:type="dxa"/>
          <w:bottom w:w="0" w:type="dxa"/>
          <w:right w:w="0" w:type="dxa"/>
        </w:tblCellMar>
        <w:tblLook w:val="01E0"/>
      </w:tblPr>
      <w:tblGrid>
        <w:gridCol w:w="4656"/>
        <w:gridCol w:w="2564"/>
        <w:gridCol w:w="2338"/>
      </w:tblGrid>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763,289,432.00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573,617,619.00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-101,394,415.00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-478,650,128.00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1,400,000,000.00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1,263,076,026.00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13,549,740.00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26,657,754.00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2,013,549,740.00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2,059,513,780.00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1,595,020,418.00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2,100,784,066.00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252,746,402.00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423,645,070.00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6,978,000.00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49,305,171.00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35,936,174.00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1,904,049,991.00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2,560,365,310.00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109,499,749.00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-500,851,530.00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-405,236,832.00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477,507,863.00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2"/>
                <w:sz w:val="18"/>
              </w:rPr>
              <w:t>1,023,658,111.00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546,150,248.00</w:t>
            </w:r>
          </w:p>
        </w:tc>
      </w:tr>
      <w:tr>
        <w:trPr>
          <w:trHeight w:val="402"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618,421,279.00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2"/>
                <w:sz w:val="18"/>
              </w:rPr>
              <w:t>1,023,658,111.00</w:t>
            </w:r>
          </w:p>
        </w:tc>
      </w:tr>
    </w:tbl>
    <w:p>
      <w:pPr>
        <w:spacing w:line="240" w:lineRule="auto" w:before="6"/>
        <w:rPr>
          <w:rFonts w:ascii="宋体" w:hAnsi="宋体" w:cs="宋体" w:eastAsia="宋体" w:hint="default"/>
          <w:sz w:val="18"/>
          <w:szCs w:val="18"/>
        </w:rPr>
      </w:pPr>
    </w:p>
    <w:p>
      <w:pPr>
        <w:pStyle w:val="Heading3"/>
        <w:spacing w:line="240" w:lineRule="auto" w:before="35"/>
        <w:ind w:right="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73,545.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621,769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,207.00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949,669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,040.00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73,545.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621,769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,207.00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949,669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-98,237,</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454.00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-1,041,3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7,501.0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1,501.0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1,501.0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-4,794,0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684,000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-4,794,0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684,000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2,862,5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46.00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2,862,5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46.00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-2,862,5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1,011,</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-909,90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-101,10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909,90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209,179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,753.00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-91,715,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613,685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,062.00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71,279.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613,685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,062.00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92,672.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71,279.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63,780,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8,084,1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145,640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,513.00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145,640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63,780,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63,780,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8,084,1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8,084,1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-8,084,1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45.00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69,780,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621,769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949,669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1,048,708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,819.00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4,165,550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,973.00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1,048,708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,819.00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4,165,550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,973.00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1,515,00</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-914,694,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-6,978,00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-100,152,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968.00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6,712.0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-90,945,6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9,470,3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9,470,320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-4,794,00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-6,978,00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-4,794,00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-6,978,00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505,500,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947,032.0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947,032.0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-947,03</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505,500,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-909,900,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909,900,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-909,900,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134,014,8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45,442.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4,074,605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,293.00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1,005,00</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984,928,8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2,222,5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70,889.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4,714,999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,708.00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1,005,00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984,928,8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4,714,999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,708.00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63,780,00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8,735.0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-549,448,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735.00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8,735.0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-266,368,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735.00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63,780,00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63,780,00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-283,080,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-283,080,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1,011,00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1,048,708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69,780,00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502,500,0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22,154.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4,165,550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,973.00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69"/>
      <w:bookmarkEnd w:id="16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jc w:val="both"/>
      </w:pPr>
      <w:r>
        <w:rPr>
          <w:spacing w:val="-2"/>
        </w:rPr>
        <w:t>本公司总部位于上海市浦东新区康桥镇康桥东路</w:t>
      </w:r>
      <w:r>
        <w:rPr>
          <w:rFonts w:ascii="Times New Roman" w:hAnsi="Times New Roman" w:cs="Times New Roman" w:eastAsia="Times New Roman" w:hint="default"/>
          <w:spacing w:val="-2"/>
        </w:rPr>
        <w:t>800</w:t>
      </w:r>
      <w:r>
        <w:rPr>
          <w:spacing w:val="-2"/>
        </w:rPr>
        <w:t>号，注册地址位于上海市浦东新区康桥镇康桥东路</w:t>
      </w:r>
      <w:r>
        <w:rPr>
          <w:rFonts w:ascii="Times New Roman" w:hAnsi="Times New Roman" w:cs="Times New Roman" w:eastAsia="Times New Roman" w:hint="default"/>
          <w:spacing w:val="-2"/>
        </w:rPr>
        <w:t>800</w:t>
      </w:r>
      <w:r>
        <w:rPr>
          <w:spacing w:val="-2"/>
        </w:rPr>
        <w:t>号。本公司及其子</w:t>
      </w:r>
      <w:r>
        <w:rPr>
          <w:spacing w:val="-58"/>
        </w:rPr>
        <w:t> </w:t>
      </w:r>
      <w:r>
        <w:rPr>
          <w:spacing w:val="-58"/>
        </w:rPr>
      </w:r>
      <w:r>
        <w:rPr>
          <w:spacing w:val="-6"/>
        </w:rPr>
        <w:t>公司</w:t>
      </w:r>
      <w:r>
        <w:rPr>
          <w:rFonts w:ascii="Times New Roman" w:hAnsi="Times New Roman" w:cs="Times New Roman" w:eastAsia="Times New Roman" w:hint="default"/>
          <w:spacing w:val="-6"/>
        </w:rPr>
        <w:t>(</w:t>
      </w:r>
      <w:r>
        <w:rPr>
          <w:spacing w:val="-6"/>
        </w:rPr>
        <w:t>统称</w:t>
      </w:r>
      <w:r>
        <w:rPr>
          <w:rFonts w:ascii="Times New Roman" w:hAnsi="Times New Roman" w:cs="Times New Roman" w:eastAsia="Times New Roman" w:hint="default"/>
          <w:spacing w:val="-6"/>
        </w:rPr>
        <w:t>“</w:t>
      </w:r>
      <w:r>
        <w:rPr>
          <w:spacing w:val="-6"/>
        </w:rPr>
        <w:t>本集团</w:t>
      </w:r>
      <w:r>
        <w:rPr>
          <w:rFonts w:ascii="Times New Roman" w:hAnsi="Times New Roman" w:cs="Times New Roman" w:eastAsia="Times New Roman" w:hint="default"/>
          <w:spacing w:val="-6"/>
        </w:rPr>
        <w:t>”)</w:t>
      </w:r>
      <w:r>
        <w:rPr>
          <w:spacing w:val="-6"/>
        </w:rPr>
        <w:t>主要从事服装设计开发；服装、鞋、针织品、皮革制品、羽绒制品、箱包、玩具、饰品、工艺品</w:t>
      </w:r>
      <w:r>
        <w:rPr>
          <w:rFonts w:ascii="Times New Roman" w:hAnsi="Times New Roman" w:cs="Times New Roman" w:eastAsia="Times New Roman" w:hint="default"/>
          <w:spacing w:val="-6"/>
        </w:rPr>
        <w:t>(</w:t>
      </w:r>
      <w:r>
        <w:rPr>
          <w:spacing w:val="-6"/>
        </w:rPr>
        <w:t>除金银</w:t>
      </w:r>
      <w:r>
        <w:rPr>
          <w:rFonts w:ascii="Times New Roman" w:hAnsi="Times New Roman" w:cs="Times New Roman" w:eastAsia="Times New Roman" w:hint="default"/>
          <w:spacing w:val="-6"/>
        </w:rPr>
        <w:t>)</w:t>
      </w:r>
      <w:r>
        <w:rPr>
          <w:spacing w:val="-6"/>
        </w:rPr>
        <w:t>、</w:t>
      </w:r>
      <w:r>
        <w:rPr>
          <w:spacing w:val="-43"/>
        </w:rPr>
        <w:t> </w:t>
      </w:r>
      <w:r>
        <w:rPr/>
        <w:t>纸制品的销售；附设分支机构</w:t>
      </w:r>
      <w:r>
        <w:rPr>
          <w:rFonts w:ascii="Times New Roman" w:hAnsi="Times New Roman" w:cs="Times New Roman" w:eastAsia="Times New Roman" w:hint="default"/>
        </w:rPr>
        <w:t>(</w:t>
      </w:r>
      <w:r>
        <w:rPr/>
        <w:t>凡涉及行政许可证凭许可证经营</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240" w:lineRule="auto"/>
        <w:ind w:right="0"/>
        <w:jc w:val="both"/>
      </w:pPr>
      <w:r>
        <w:rPr/>
        <w:t>详见本附注八、合并范围的变更及本附注九、在其他主体中的权益。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152" w:firstLine="420"/>
        <w:jc w:val="left"/>
      </w:pPr>
      <w:r>
        <w:rPr/>
        <w:t>本财务报表按照财政部颁布的《企业会计准则</w:t>
      </w:r>
      <w:r>
        <w:rPr>
          <w:rFonts w:ascii="Times New Roman" w:hAnsi="Times New Roman" w:cs="Times New Roman" w:eastAsia="Times New Roman" w:hint="default"/>
        </w:rPr>
        <w:t>—</w:t>
      </w:r>
      <w:r>
        <w:rPr/>
        <w:t>基本准则》以及其后颁布及修订的具体会计准则、应用指南、解释以 及其他相关规定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pStyle w:val="BodyText"/>
        <w:spacing w:line="316" w:lineRule="auto" w:before="13"/>
        <w:ind w:left="574" w:right="1872"/>
        <w:jc w:val="left"/>
      </w:pPr>
      <w:r>
        <w:rPr/>
        <w:t>本财务报表以持续经营为基础列报。 编制本财务报表时，均以历史成本为计价原则。资产如果发生减值，则按照相关规定计提相应的减值准备。</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53"/>
        <w:jc w:val="left"/>
      </w:pPr>
      <w:r>
        <w:rPr/>
        <w:t>具体会计政策和会计估计提示： 不适用</w:t>
      </w:r>
    </w:p>
    <w:p>
      <w:pPr>
        <w:spacing w:line="240" w:lineRule="auto" w:before="2"/>
        <w:rPr>
          <w:rFonts w:ascii="宋体" w:hAnsi="宋体" w:cs="宋体" w:eastAsia="宋体" w:hint="default"/>
          <w:sz w:val="20"/>
          <w:szCs w:val="20"/>
        </w:rPr>
      </w:pPr>
    </w:p>
    <w:p>
      <w:pPr>
        <w:pStyle w:val="Heading3"/>
        <w:spacing w:line="240" w:lineRule="auto"/>
        <w:ind w:left="153" w:right="0"/>
        <w:jc w:val="both"/>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3" w:firstLine="420"/>
        <w:jc w:val="left"/>
      </w:pPr>
      <w:r>
        <w:rPr/>
        <w:t>本财务报表符合企业会计准则的要求，真实、完整地反映了本公司及本集团于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2015</w:t>
      </w:r>
      <w:r>
        <w:rPr/>
        <w:t>年 度的经营成果和现金流量。</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3、记账本位币" w:id="175"/>
      <w:bookmarkEnd w:id="175"/>
      <w:r>
        <w:rPr>
          <w:b w:val="0"/>
          <w:bCs w:val="0"/>
        </w:rPr>
      </w:r>
      <w:r>
        <w:rPr>
          <w:rFonts w:ascii="Times New Roman" w:hAnsi="Times New Roman" w:cs="Times New Roman" w:eastAsia="Times New Roman" w:hint="default"/>
        </w:rPr>
        <w:t>3</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本集团记账本位币和编制本财务报表所采用的货币均为人民币。除有特别说明外，均以人民币元为单位表示。</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4、同一控制下和非同一控制下企业合并的会计处理方法" w:id="176"/>
      <w:bookmarkEnd w:id="176"/>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0" w:firstLine="420"/>
        <w:jc w:val="both"/>
      </w:pPr>
      <w:r>
        <w:rPr/>
        <w:t>企业合并，是指将两个或两个以上单独的企业合并形成一个报告主体的交易或事项。企业合并分为同一控制下企业合 并和非同一控制下企业合并。</w:t>
      </w:r>
    </w:p>
    <w:p>
      <w:pPr>
        <w:pStyle w:val="BodyText"/>
        <w:spacing w:line="300" w:lineRule="auto" w:before="19"/>
        <w:ind w:left="574" w:right="115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left="154"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00" w:lineRule="auto" w:before="19"/>
        <w:ind w:right="1130" w:firstLine="420"/>
        <w:jc w:val="both"/>
      </w:pPr>
      <w:r>
        <w:rPr>
          <w:spacing w:val="-2"/>
        </w:rPr>
        <w:t>合并方在同一控制下企业合并中取得的资产和负债</w:t>
      </w:r>
      <w:r>
        <w:rPr>
          <w:rFonts w:ascii="Times New Roman" w:hAnsi="Times New Roman" w:cs="Times New Roman" w:eastAsia="Times New Roman" w:hint="default"/>
          <w:spacing w:val="-2"/>
        </w:rPr>
        <w:t>(</w:t>
      </w:r>
      <w:r>
        <w:rPr>
          <w:spacing w:val="-2"/>
        </w:rPr>
        <w:t>包括最终控制方收购被合并方而形成的商誉</w:t>
      </w:r>
      <w:r>
        <w:rPr>
          <w:rFonts w:ascii="Times New Roman" w:hAnsi="Times New Roman" w:cs="Times New Roman" w:eastAsia="Times New Roman" w:hint="default"/>
          <w:spacing w:val="-2"/>
        </w:rPr>
        <w:t>)</w:t>
      </w:r>
      <w:r>
        <w:rPr>
          <w:spacing w:val="-2"/>
        </w:rPr>
        <w:t>，按合并日在最终控制</w:t>
      </w:r>
      <w:r>
        <w:rPr/>
        <w:t> 方财务报表中的账面价值为基础进行相关会计处理。合并方取得的净资产账面价值与支付的合并对价的账面价值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 份面值总额</w:t>
      </w:r>
      <w:r>
        <w:rPr>
          <w:rFonts w:ascii="Times New Roman" w:hAnsi="Times New Roman" w:cs="Times New Roman" w:eastAsia="Times New Roman" w:hint="default"/>
        </w:rPr>
        <w:t>)</w:t>
      </w:r>
      <w:r>
        <w:rPr/>
        <w:t>的差额，调整资本公积中的股本溢价，不足冲减的则调整留存收益。</w:t>
      </w:r>
    </w:p>
    <w:p>
      <w:pPr>
        <w:pStyle w:val="BodyText"/>
        <w:spacing w:line="300" w:lineRule="auto" w:before="13"/>
        <w:ind w:left="573" w:right="1153"/>
        <w:jc w:val="left"/>
      </w:pPr>
      <w:r>
        <w:rPr/>
        <w:t>（</w:t>
      </w:r>
      <w:r>
        <w:rPr>
          <w:rFonts w:ascii="Times New Roman" w:hAnsi="Times New Roman" w:cs="Times New Roman" w:eastAsia="Times New Roman" w:hint="default"/>
        </w:rPr>
        <w:t>2</w:t>
      </w:r>
      <w:r>
        <w:rPr/>
        <w:t>）非同一控制下的企业合并 参与合并的企业在合并前后不受同一方或相同的多方最终控制的，为非同一控制下的企业合并。非同一控制下的企业</w:t>
      </w:r>
    </w:p>
    <w:p>
      <w:pPr>
        <w:pStyle w:val="BodyText"/>
        <w:spacing w:line="316" w:lineRule="auto" w:before="31"/>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left="573" w:right="1213"/>
        <w:jc w:val="left"/>
      </w:pPr>
      <w:r>
        <w:rPr/>
        <w:t>非同一控制下企业合并中所取得的被购买方可辨认资产、负债及或有负债在收购日以公允价值计量。 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与购买日之前持有的被购买方的股权的公允价值之和大</w:t>
      </w:r>
    </w:p>
    <w:p>
      <w:pPr>
        <w:pStyle w:val="BodyText"/>
        <w:spacing w:line="307" w:lineRule="auto"/>
        <w:ind w:right="0"/>
        <w:jc w:val="left"/>
      </w:pPr>
      <w:r>
        <w:rPr>
          <w:spacing w:val="-2"/>
        </w:rPr>
        <w:t>于合并中取得的被购买方可辨认净资产公允价值份额的差额，确认为商誉，并以成本减去累计减值损失进行后续计量。支付</w:t>
      </w:r>
      <w:r>
        <w:rPr>
          <w:spacing w:val="-66"/>
        </w:rPr>
        <w:t> </w:t>
      </w:r>
      <w:r>
        <w:rPr>
          <w:spacing w:val="-66"/>
        </w:rPr>
      </w:r>
      <w:r>
        <w:rPr/>
        <w:t>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与购买日之前持有的被购买方的股权的公允价值之和小于合并中 </w:t>
      </w:r>
      <w:r>
        <w:rPr>
          <w:spacing w:val="-2"/>
        </w:rPr>
        <w:t>取得的被购买方可辨认净资产公允价值份额的，首先对取得的被购买方各项可辨认资产、负债及或有负债的公允价值以及支</w:t>
      </w:r>
      <w:r>
        <w:rPr>
          <w:spacing w:val="-64"/>
        </w:rPr>
        <w:t> </w:t>
      </w:r>
      <w:r>
        <w:rPr>
          <w:spacing w:val="-64"/>
        </w:rPr>
      </w:r>
      <w:r>
        <w:rPr/>
        <w:t>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及购买日之前持有的被购买方的股权的公允价值的计量进行复 </w:t>
      </w:r>
      <w:r>
        <w:rPr>
          <w:spacing w:val="-1"/>
        </w:rPr>
        <w:t>核，复核后支付的合并对价的公允价值</w:t>
      </w:r>
      <w:r>
        <w:rPr>
          <w:rFonts w:ascii="Times New Roman" w:hAnsi="Times New Roman" w:cs="Times New Roman" w:eastAsia="Times New Roman" w:hint="default"/>
          <w:spacing w:val="-1"/>
        </w:rPr>
        <w:t>(</w:t>
      </w:r>
      <w:r>
        <w:rPr>
          <w:spacing w:val="-1"/>
        </w:rPr>
        <w:t>或发行的权益性证券的公允价值</w:t>
      </w:r>
      <w:r>
        <w:rPr>
          <w:rFonts w:ascii="Times New Roman" w:hAnsi="Times New Roman" w:cs="Times New Roman" w:eastAsia="Times New Roman" w:hint="default"/>
          <w:spacing w:val="-1"/>
        </w:rPr>
        <w:t>)</w:t>
      </w:r>
      <w:r>
        <w:rPr>
          <w:spacing w:val="-1"/>
        </w:rPr>
        <w:t>与购买日之前持有的被购买方的股权的公允价值之</w:t>
      </w:r>
      <w:r>
        <w:rPr>
          <w:spacing w:val="-57"/>
        </w:rPr>
        <w:t> </w:t>
      </w:r>
      <w:r>
        <w:rPr/>
        <w:t>和仍小于合并中取得的被购买方可辨认净资产公允价值份额的，其差额计入当期损益。</w:t>
      </w:r>
    </w:p>
    <w:p>
      <w:pPr>
        <w:spacing w:line="240" w:lineRule="auto" w:before="1"/>
        <w:rPr>
          <w:rFonts w:ascii="宋体" w:hAnsi="宋体" w:cs="宋体" w:eastAsia="宋体" w:hint="default"/>
          <w:sz w:val="23"/>
          <w:szCs w:val="23"/>
        </w:rPr>
      </w:pPr>
    </w:p>
    <w:p>
      <w:pPr>
        <w:pStyle w:val="Heading3"/>
        <w:spacing w:line="240" w:lineRule="auto"/>
        <w:ind w:left="153" w:right="0"/>
        <w:jc w:val="left"/>
        <w:rPr>
          <w:b w:val="0"/>
          <w:bCs w:val="0"/>
        </w:rPr>
      </w:pPr>
      <w:bookmarkStart w:name="5、合并财务报表的编制方法" w:id="177"/>
      <w:bookmarkEnd w:id="177"/>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69" w:firstLine="420"/>
        <w:jc w:val="both"/>
      </w:pPr>
      <w:r>
        <w:rPr/>
        <w:t>合并财务报表的合并范围以控制为基础确定，包括本公司及全部子公司截至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日止年度的财务报表。子公 司，是指被本公司控制的主体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w:t>
      </w:r>
    </w:p>
    <w:p>
      <w:pPr>
        <w:pStyle w:val="BodyText"/>
        <w:spacing w:line="316" w:lineRule="auto" w:before="13"/>
        <w:ind w:right="1170" w:firstLine="420"/>
        <w:jc w:val="both"/>
      </w:pPr>
      <w:r>
        <w:rPr/>
        <w:t>编制合并财务报表时，子公司采用与本公司一致的会计期间和会计政策。本集团内部各公司之间的所有交易产生的资 产、负债、权益、收入、费用和现金流量于合并时全额抵销。</w:t>
      </w:r>
    </w:p>
    <w:p>
      <w:pPr>
        <w:pStyle w:val="BodyText"/>
        <w:spacing w:line="316" w:lineRule="auto" w:before="19"/>
        <w:ind w:left="154" w:right="1170" w:firstLine="420"/>
        <w:jc w:val="both"/>
      </w:pPr>
      <w:r>
        <w:rPr/>
        <w:t>子公司少数股东分担的当期亏损超过了少数股东在该子公司期初股东权益中所享有的份额的，其余额仍冲减少数股东 权益。</w:t>
      </w:r>
    </w:p>
    <w:p>
      <w:pPr>
        <w:pStyle w:val="BodyText"/>
        <w:spacing w:line="316" w:lineRule="auto" w:before="19"/>
        <w:ind w:left="154" w:right="1131" w:firstLine="420"/>
        <w:jc w:val="both"/>
      </w:pPr>
      <w:r>
        <w:rPr/>
        <w:t>对于通过非同一控制下的企业合并取得的子公司，被购买方的经营成果和现金流量自本集团取得控制权之日起纳入合 </w:t>
      </w:r>
      <w:r>
        <w:rPr>
          <w:spacing w:val="-2"/>
        </w:rPr>
        <w:t>并财务报表，直至本集团对其控制权终止。在编制合并财务报表时，以购买日确定的各项可辨认资产、负债及或有负债的公</w:t>
      </w:r>
      <w:r>
        <w:rPr>
          <w:spacing w:val="-66"/>
        </w:rPr>
        <w:t> </w:t>
      </w:r>
      <w:r>
        <w:rPr>
          <w:spacing w:val="-66"/>
        </w:rPr>
      </w:r>
      <w:r>
        <w:rPr/>
        <w:t>允价值为基础对子公司的财务报表进行调整。</w:t>
      </w:r>
    </w:p>
    <w:p>
      <w:pPr>
        <w:pStyle w:val="BodyText"/>
        <w:spacing w:line="316" w:lineRule="auto" w:before="19"/>
        <w:ind w:left="154" w:right="1132" w:firstLine="420"/>
        <w:jc w:val="both"/>
      </w:pPr>
      <w:r>
        <w:rPr/>
        <w:t>对于通过同一控制下的企业合并取得的子公司，被合并方的经营成果和现金流量自合并当期期初纳入合并财务报表。 </w:t>
      </w:r>
      <w:r>
        <w:rPr>
          <w:spacing w:val="-2"/>
        </w:rPr>
        <w:t>编制比较合并财务报表时，对前期财务报表的相关项目进行调整，视同合并后形成的报告主体自最终控制方开始实施控制时</w:t>
      </w:r>
      <w:r>
        <w:rPr>
          <w:spacing w:val="-64"/>
        </w:rPr>
        <w:t> </w:t>
      </w:r>
      <w:r>
        <w:rPr>
          <w:spacing w:val="-64"/>
        </w:rPr>
      </w:r>
      <w:r>
        <w:rPr/>
        <w:t>一直存在。</w:t>
      </w:r>
    </w:p>
    <w:p>
      <w:pPr>
        <w:pStyle w:val="BodyText"/>
        <w:spacing w:line="240" w:lineRule="auto" w:before="19"/>
        <w:ind w:left="574" w:right="0"/>
        <w:jc w:val="left"/>
      </w:pPr>
      <w:r>
        <w:rPr/>
        <w:t>如果相关事实和情况的变化导致对控制要素中的一项或多项发生变化的，本集团重新评估是否控制被投资方。</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6、现金及现金等价物的确定标准" w:id="178"/>
      <w:bookmarkEnd w:id="178"/>
      <w:r>
        <w:rPr>
          <w:b w:val="0"/>
          <w:bCs w:val="0"/>
        </w:rPr>
      </w:r>
      <w:r>
        <w:rPr>
          <w:rFonts w:ascii="Times New Roman" w:hAnsi="Times New Roman" w:cs="Times New Roman" w:eastAsia="Times New Roman" w:hint="default"/>
        </w:rPr>
        <w:t>6</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0" w:firstLine="420"/>
        <w:jc w:val="both"/>
      </w:pPr>
      <w:r>
        <w:rPr/>
        <w:t>现金，是指本集团的库存现金以及可以随时用于支付的存款；现金等价物，是指本集团持有的期限短、流动性强、易 于转换为已知金额的现金、价值变动风险很小的投资。</w:t>
      </w:r>
    </w:p>
    <w:p>
      <w:pPr>
        <w:spacing w:after="0" w:line="316"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7、金融工具" w:id="179"/>
      <w:bookmarkEnd w:id="179"/>
      <w:r>
        <w:rPr>
          <w:b w:val="0"/>
          <w:bCs w:val="0"/>
        </w:rPr>
      </w:r>
      <w:r>
        <w:rPr>
          <w:rFonts w:ascii="Times New Roman" w:hAnsi="Times New Roman" w:cs="Times New Roman" w:eastAsia="Times New Roman" w:hint="default"/>
        </w:rPr>
        <w:t>7</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金融工具，是指形成一个企业的金融资产，并形成其他单位的金融负债或权益工具的合同。</w:t>
      </w:r>
    </w:p>
    <w:p>
      <w:pPr>
        <w:pStyle w:val="BodyText"/>
        <w:spacing w:line="314" w:lineRule="auto" w:before="76"/>
        <w:ind w:left="154"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本集团的金融资产于初始确认时分类为：以公允价值计量且其变动计入当期损益的金融资产、持有至到期投资、贷款和应收</w:t>
      </w:r>
      <w:r>
        <w:rPr>
          <w:spacing w:val="-66"/>
        </w:rPr>
        <w:t> </w:t>
      </w:r>
      <w:r>
        <w:rPr>
          <w:spacing w:val="-66"/>
        </w:rPr>
      </w:r>
      <w:r>
        <w:rPr>
          <w:spacing w:val="-2"/>
        </w:rPr>
        <w:t>款项、可供出售金融资产、被指定为有效套期工具的衍生工具。本集团在初始确认时确定金融资产的分类。本集团的金融负</w:t>
      </w:r>
      <w:r>
        <w:rPr>
          <w:spacing w:val="-66"/>
        </w:rPr>
        <w:t> </w:t>
      </w:r>
      <w:r>
        <w:rPr>
          <w:spacing w:val="-66"/>
        </w:rPr>
      </w:r>
      <w:r>
        <w:rPr>
          <w:spacing w:val="-2"/>
        </w:rPr>
        <w:t>债于初始确认时分类为：以公允价值计量且其变动计入当期损益的金融负债、其他金融负债、被指定为有效套期工具的衍生</w:t>
      </w:r>
      <w:r>
        <w:rPr>
          <w:spacing w:val="-66"/>
        </w:rPr>
        <w:t> </w:t>
      </w:r>
      <w:r>
        <w:rPr>
          <w:spacing w:val="-66"/>
        </w:rPr>
      </w:r>
      <w:r>
        <w:rPr/>
        <w:t>工具。本集团在初始确认时确定金融负债的分类。</w:t>
      </w:r>
    </w:p>
    <w:p>
      <w:pPr>
        <w:spacing w:line="300" w:lineRule="auto" w:before="20"/>
        <w:ind w:left="153" w:right="53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）金融工具的确认依据和计量方法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本集团于成为金融工具合同的一方时确认一项金融资产或金融负债。</w:t>
      </w:r>
    </w:p>
    <w:p>
      <w:pPr>
        <w:pStyle w:val="BodyText"/>
        <w:spacing w:line="316" w:lineRule="auto" w:before="31"/>
        <w:ind w:right="1116"/>
        <w:jc w:val="left"/>
      </w:pPr>
      <w:r>
        <w:rPr>
          <w:spacing w:val="-2"/>
        </w:rPr>
        <w:t>金融资产在初始确认时以公允价值计量。对于以公允价值计量且其变动计入当期损益的金融资产，相关交易费用直接计入当</w:t>
      </w:r>
      <w:r>
        <w:rPr>
          <w:spacing w:val="-64"/>
        </w:rPr>
        <w:t> </w:t>
      </w:r>
      <w:r>
        <w:rPr>
          <w:spacing w:val="-64"/>
        </w:rPr>
      </w:r>
      <w:r>
        <w:rPr>
          <w:spacing w:val="-2"/>
        </w:rPr>
        <w:t>期损益，其他类别的金融资产相关交易费用计入其初始确认金额。本集团无以公允价值计量且其变动计入当期损益的金融资</w:t>
      </w:r>
      <w:r>
        <w:rPr>
          <w:spacing w:val="-64"/>
        </w:rPr>
        <w:t> </w:t>
      </w:r>
      <w:r>
        <w:rPr>
          <w:spacing w:val="-64"/>
        </w:rPr>
      </w:r>
      <w:r>
        <w:rPr/>
        <w:t>产、持有至到期投资、可供出售金融资产和被指定为有效套期工具的衍生工具。金融资产的后续计量取决于其分类： </w:t>
      </w:r>
      <w:r>
        <w:rPr>
          <w:rFonts w:ascii="Times New Roman" w:hAnsi="Times New Roman" w:cs="Times New Roman" w:eastAsia="Times New Roman" w:hint="default"/>
        </w:rPr>
        <w:t>1</w:t>
      </w:r>
      <w:r>
        <w:rPr/>
        <w:t>）贷款和应收款项 </w:t>
      </w:r>
      <w:r>
        <w:rPr>
          <w:spacing w:val="-2"/>
        </w:rPr>
        <w:t>贷款和应收款项，是指在活跃市场中没有报价、回收金额固定或可确定的非衍生金融资产。对于此类金融资产，采用实际利</w:t>
      </w:r>
      <w:r>
        <w:rPr>
          <w:spacing w:val="-66"/>
        </w:rPr>
        <w:t> </w:t>
      </w:r>
      <w:r>
        <w:rPr>
          <w:spacing w:val="-66"/>
        </w:rPr>
      </w:r>
      <w:r>
        <w:rPr/>
        <w:t>率法，按照摊余成本进行后续计量，其摊销或减值产生的利得或损失，均计入当期损益。 </w:t>
      </w:r>
      <w:r>
        <w:rPr>
          <w:spacing w:val="-2"/>
        </w:rPr>
        <w:t>对于以公允价值计量且其变动计入当期损益的金融负债，相关交易费用直接计入当期损益，其他金融负债的相关交易费用计</w:t>
      </w:r>
      <w:r>
        <w:rPr>
          <w:spacing w:val="-64"/>
        </w:rPr>
        <w:t> </w:t>
      </w:r>
      <w:r>
        <w:rPr>
          <w:spacing w:val="-64"/>
        </w:rPr>
      </w:r>
      <w:r>
        <w:rPr>
          <w:spacing w:val="-2"/>
        </w:rPr>
        <w:t>入其初始确认金额。本集团无以公允价值计量且其变动计入当期损益的金融负债和被指定为有效套期工具的衍生工具。金融</w:t>
      </w:r>
      <w:r>
        <w:rPr>
          <w:spacing w:val="-64"/>
        </w:rPr>
        <w:t> </w:t>
      </w:r>
      <w:r>
        <w:rPr>
          <w:spacing w:val="-64"/>
        </w:rPr>
      </w:r>
      <w:r>
        <w:rPr/>
        <w:t>负债的后续计量取决于其分类：</w:t>
      </w:r>
    </w:p>
    <w:p>
      <w:pPr>
        <w:pStyle w:val="BodyText"/>
        <w:spacing w:line="300" w:lineRule="auto" w:before="19"/>
        <w:ind w:left="154" w:right="5352"/>
        <w:jc w:val="left"/>
      </w:pPr>
      <w:r>
        <w:rPr>
          <w:rFonts w:ascii="Times New Roman" w:hAnsi="Times New Roman" w:cs="Times New Roman" w:eastAsia="Times New Roman" w:hint="default"/>
        </w:rPr>
        <w:t>2</w:t>
      </w:r>
      <w:r>
        <w:rPr/>
        <w:t>）其他金融负债 对于此类金融负债，采用实际利率法，按照摊余成本进行后续计量。</w:t>
      </w:r>
    </w:p>
    <w:p>
      <w:pPr>
        <w:pStyle w:val="BodyText"/>
        <w:spacing w:line="240" w:lineRule="auto" w:before="31"/>
        <w:ind w:right="0"/>
        <w:jc w:val="left"/>
      </w:pPr>
      <w:r>
        <w:rPr/>
        <w:t>满足下列条件的，终止确认金融资产</w:t>
      </w:r>
      <w:r>
        <w:rPr>
          <w:rFonts w:ascii="Times New Roman" w:hAnsi="Times New Roman" w:cs="Times New Roman" w:eastAsia="Times New Roman" w:hint="default"/>
        </w:rPr>
        <w:t>(</w:t>
      </w:r>
      <w:r>
        <w:rPr/>
        <w:t>或金融资产的一部分，或一组类似金融资产的一部分</w:t>
      </w:r>
      <w:r>
        <w:rPr>
          <w:rFonts w:ascii="Times New Roman" w:hAnsi="Times New Roman" w:cs="Times New Roman" w:eastAsia="Times New Roman" w:hint="default"/>
        </w:rPr>
        <w:t>)</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收取金融资产现金流量的</w:t>
      </w:r>
    </w:p>
    <w:p>
      <w:pPr>
        <w:pStyle w:val="BodyText"/>
        <w:spacing w:line="309" w:lineRule="auto" w:before="63"/>
        <w:ind w:right="1131"/>
        <w:jc w:val="both"/>
      </w:pPr>
      <w:r>
        <w:rPr/>
        <w:t>权利届满；</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转移了收取金融资产现金流量的权利，或在</w:t>
      </w:r>
      <w:r>
        <w:rPr>
          <w:rFonts w:ascii="Times New Roman" w:hAnsi="Times New Roman" w:cs="Times New Roman" w:eastAsia="Times New Roman" w:hint="default"/>
        </w:rPr>
        <w:t>“</w:t>
      </w:r>
      <w:r>
        <w:rPr/>
        <w:t>过手</w:t>
      </w:r>
      <w:r>
        <w:rPr>
          <w:rFonts w:ascii="Times New Roman" w:hAnsi="Times New Roman" w:cs="Times New Roman" w:eastAsia="Times New Roman" w:hint="default"/>
        </w:rPr>
        <w:t>”</w:t>
      </w:r>
      <w:r>
        <w:rPr/>
        <w:t>协议下承担了及时将收取的现金流量全额支付给第三方的 义务；并且</w:t>
      </w:r>
      <w:r>
        <w:rPr>
          <w:rFonts w:ascii="Times New Roman" w:hAnsi="Times New Roman" w:cs="Times New Roman" w:eastAsia="Times New Roman" w:hint="default"/>
        </w:rPr>
        <w:t>(a)</w:t>
      </w:r>
      <w:r>
        <w:rPr/>
        <w:t>实质上转让了金融资产所有权上几乎所有的风险和报酬，或</w:t>
      </w:r>
      <w:r>
        <w:rPr>
          <w:rFonts w:ascii="Times New Roman" w:hAnsi="Times New Roman" w:cs="Times New Roman" w:eastAsia="Times New Roman" w:hint="default"/>
        </w:rPr>
        <w:t>(b)</w:t>
      </w:r>
      <w:r>
        <w:rPr/>
        <w:t>虽然实质上既没有转移也没有保留金融资产所 </w:t>
      </w:r>
      <w:r>
        <w:rPr>
          <w:spacing w:val="-2"/>
        </w:rPr>
        <w:t>有权上几乎所有的风险和报酬，但放弃了对该金融资产的控制。以常规方式买卖金融资产，按交易日会计进行确认和终止确</w:t>
      </w:r>
      <w:r>
        <w:rPr>
          <w:spacing w:val="-66"/>
        </w:rPr>
        <w:t> </w:t>
      </w:r>
      <w:r>
        <w:rPr>
          <w:spacing w:val="-66"/>
        </w:rPr>
      </w:r>
      <w:r>
        <w:rPr>
          <w:spacing w:val="-2"/>
        </w:rPr>
        <w:t>认。常规方式买卖金融资产，是指按照合同条款的约定，在法规或通行惯例规定的期限内收取或交付金融资产。交易日，是</w:t>
      </w:r>
      <w:r>
        <w:rPr>
          <w:spacing w:val="-67"/>
        </w:rPr>
        <w:t> </w:t>
      </w:r>
      <w:r>
        <w:rPr>
          <w:spacing w:val="-67"/>
        </w:rPr>
      </w:r>
      <w:r>
        <w:rPr/>
        <w:t>指本集团承诺买入或卖出金融资产的日期。</w:t>
      </w:r>
    </w:p>
    <w:p>
      <w:pPr>
        <w:pStyle w:val="BodyText"/>
        <w:spacing w:line="314" w:lineRule="auto" w:before="24"/>
        <w:ind w:right="103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所有的风险和报酬的，不终止确认该金融资产。本集团既没有转移也没有保留金融资产所有权上几乎所有的风险和报酬的，</w:t>
      </w:r>
      <w:r>
        <w:rPr>
          <w:spacing w:val="-85"/>
        </w:rPr>
        <w:t> </w:t>
      </w:r>
      <w:r>
        <w:rPr>
          <w:spacing w:val="-85"/>
        </w:rPr>
      </w:r>
      <w:r>
        <w:rPr>
          <w:spacing w:val="-2"/>
        </w:rPr>
        <w:t>分别下列情况处理：放弃了对该金融资产控制的，终止确认该金融资产并确认产生的资产和负债；未放弃对该金融资产控制</w:t>
      </w:r>
      <w:r>
        <w:rPr>
          <w:spacing w:val="-66"/>
        </w:rPr>
        <w:t> </w:t>
      </w:r>
      <w:r>
        <w:rPr>
          <w:spacing w:val="-66"/>
        </w:rPr>
      </w:r>
      <w:r>
        <w:rPr/>
        <w:t>的，按照其继续涉入所转移金融资产的程度确认有关金融资产，并相应确认有关负债。</w:t>
      </w:r>
    </w:p>
    <w:p>
      <w:pPr>
        <w:pStyle w:val="BodyText"/>
        <w:spacing w:line="312" w:lineRule="auto" w:before="20"/>
        <w:ind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如果金融负债的责任已履行、撤销或届满，则对金融负债进行终止确认。如果现有金融负债被同一债权人以实质上几乎完全</w:t>
      </w:r>
      <w:r>
        <w:rPr>
          <w:spacing w:val="-66"/>
        </w:rPr>
        <w:t> </w:t>
      </w:r>
      <w:r>
        <w:rPr>
          <w:spacing w:val="-66"/>
        </w:rPr>
      </w:r>
      <w:r>
        <w:rPr>
          <w:spacing w:val="-2"/>
        </w:rPr>
        <w:t>不同条款的另一金融负债所取代，或现有负债的条款几乎全部被实质性修改，则此类替换或修改作为终止确认原负债和确认</w:t>
      </w:r>
      <w:r>
        <w:rPr>
          <w:spacing w:val="-64"/>
        </w:rPr>
        <w:t> </w:t>
      </w:r>
      <w:r>
        <w:rPr>
          <w:spacing w:val="-64"/>
        </w:rPr>
      </w:r>
      <w:r>
        <w:rPr/>
        <w:t>新负债处理，差额计入当期损益。</w:t>
      </w:r>
    </w:p>
    <w:p>
      <w:pPr>
        <w:pStyle w:val="BodyText"/>
        <w:spacing w:line="314" w:lineRule="auto" w:before="22"/>
        <w:ind w:right="0"/>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99"/>
        </w:rPr>
        <w:t> </w:t>
      </w:r>
      <w:r>
        <w:rPr>
          <w:spacing w:val="-2"/>
        </w:rPr>
        <w:t>存在活跃市场的金融资产或金融负债，采用活跃市场中的报价确定其公允价值。金融工具不存在活跃市场的，本集团采用估</w:t>
      </w:r>
      <w:r>
        <w:rPr>
          <w:spacing w:val="-66"/>
        </w:rPr>
        <w:t> </w:t>
      </w:r>
      <w:r>
        <w:rPr>
          <w:spacing w:val="-66"/>
        </w:rPr>
      </w:r>
      <w:r>
        <w:rPr>
          <w:spacing w:val="-2"/>
        </w:rPr>
        <w:t>值技术确定其公允价值，估值技术包括参考熟悉情况并自愿交易的各方最近进行的市场交易中使用的价格、参照实质上相同</w:t>
      </w:r>
      <w:r>
        <w:rPr>
          <w:spacing w:val="-64"/>
        </w:rPr>
        <w:t> </w:t>
      </w:r>
      <w:r>
        <w:rPr>
          <w:spacing w:val="-64"/>
        </w:rPr>
      </w:r>
      <w:r>
        <w:rPr>
          <w:spacing w:val="-2"/>
        </w:rPr>
        <w:t>的其他金融工具的当前公允价值、现金流量折现法和期权定价模型等。金融资产在初始确认时以公允价值计量。对于以公允</w:t>
      </w:r>
      <w:r>
        <w:rPr>
          <w:spacing w:val="-66"/>
        </w:rPr>
        <w:t> </w:t>
      </w:r>
      <w:r>
        <w:rPr>
          <w:spacing w:val="-66"/>
        </w:rPr>
      </w:r>
      <w:r>
        <w:rPr>
          <w:spacing w:val="-2"/>
        </w:rPr>
        <w:t>价值计量且其变动计入当期损益的金融资产，相关交易费用直接计入当期损益，其他类别的金融资产相关交易费用计入其初</w:t>
      </w:r>
      <w:r>
        <w:rPr>
          <w:spacing w:val="-64"/>
        </w:rPr>
        <w:t> </w:t>
      </w:r>
      <w:r>
        <w:rPr>
          <w:spacing w:val="-64"/>
        </w:rPr>
      </w:r>
      <w:r>
        <w:rPr>
          <w:spacing w:val="-2"/>
        </w:rPr>
        <w:t>始确认金额。本集团无以公允价值计量且其变动计入当期损益的金融资产、持有至到期投资、可供出售金融资产和被指定为</w:t>
      </w:r>
      <w:r>
        <w:rPr>
          <w:spacing w:val="-65"/>
        </w:rPr>
        <w:t> </w:t>
      </w:r>
      <w:r>
        <w:rPr>
          <w:spacing w:val="-65"/>
        </w:rPr>
      </w:r>
      <w:r>
        <w:rPr>
          <w:spacing w:val="-2"/>
        </w:rPr>
        <w:t>有效套期工具的衍生工具。对于以公允价值计量且其变动计入当期损益的金融负债，相关交易费用直接计入当期损益，其他</w:t>
      </w:r>
      <w:r>
        <w:rPr>
          <w:spacing w:val="-66"/>
        </w:rPr>
        <w:t> </w:t>
      </w:r>
      <w:r>
        <w:rPr>
          <w:spacing w:val="-66"/>
        </w:rPr>
      </w:r>
      <w:r>
        <w:rPr>
          <w:spacing w:val="-2"/>
        </w:rPr>
        <w:t>金融负债的相关交易费用计入其初始确认金额。本集团无以公允价值计量且其变动计入当期损益的金融负债和被指定为有效</w:t>
      </w:r>
    </w:p>
    <w:p>
      <w:pPr>
        <w:spacing w:after="0" w:line="314"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6"/>
        <w:ind w:left="154" w:right="0"/>
        <w:jc w:val="left"/>
      </w:pPr>
      <w:r>
        <w:rPr/>
        <w:t>套期工具的衍生工具。</w:t>
      </w:r>
    </w:p>
    <w:p>
      <w:pPr>
        <w:spacing w:line="312" w:lineRule="auto" w:before="76"/>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）金融资产（不含应收款项）减值测试方法、减值准备计提方法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本集团于资产负债表日对金融资产的账面价值进行检查，有客观证据表明该金融资产发生减值的，计提减值准备。表明金融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资产发生减值的客观证据，是指金融资产初始确认后实际发生的、对该金融资产的预计未来现金流量有影响，且企业能够对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该影响进行可靠计量的事项。</w:t>
      </w:r>
    </w:p>
    <w:p>
      <w:pPr>
        <w:pStyle w:val="BodyText"/>
        <w:spacing w:line="309" w:lineRule="auto" w:before="22"/>
        <w:ind w:right="0"/>
        <w:jc w:val="left"/>
      </w:pPr>
      <w:r>
        <w:rPr>
          <w:rFonts w:ascii="Times New Roman" w:hAnsi="Times New Roman" w:cs="Times New Roman" w:eastAsia="Times New Roman" w:hint="default"/>
        </w:rPr>
        <w:t>1</w:t>
      </w:r>
      <w:r>
        <w:rPr/>
        <w:t>）以摊余成本计量的金融资产 如果有客观证据表明该金融资产发生减值，则将该金融资产的账面通过备抵项目价值减记至预计未来现金流量</w:t>
      </w:r>
      <w:r>
        <w:rPr>
          <w:rFonts w:ascii="Times New Roman" w:hAnsi="Times New Roman" w:cs="Times New Roman" w:eastAsia="Times New Roman" w:hint="default"/>
        </w:rPr>
        <w:t>(</w:t>
      </w:r>
      <w:r>
        <w:rPr/>
        <w:t>不包括尚未 </w:t>
      </w:r>
      <w:r>
        <w:rPr>
          <w:spacing w:val="-1"/>
        </w:rPr>
        <w:t>发生的未来信用损失</w:t>
      </w:r>
      <w:r>
        <w:rPr>
          <w:rFonts w:ascii="Times New Roman" w:hAnsi="Times New Roman" w:cs="Times New Roman" w:eastAsia="Times New Roman" w:hint="default"/>
          <w:spacing w:val="-1"/>
        </w:rPr>
        <w:t>)</w:t>
      </w:r>
      <w:r>
        <w:rPr>
          <w:spacing w:val="-1"/>
        </w:rPr>
        <w:t>现值，减记金额计入当期损益。预计未来现金流量现值，按照该金融资产原实际利率</w:t>
      </w:r>
      <w:r>
        <w:rPr>
          <w:rFonts w:ascii="Times New Roman" w:hAnsi="Times New Roman" w:cs="Times New Roman" w:eastAsia="Times New Roman" w:hint="default"/>
          <w:spacing w:val="-1"/>
        </w:rPr>
        <w:t>(</w:t>
      </w:r>
      <w:r>
        <w:rPr>
          <w:spacing w:val="-1"/>
        </w:rPr>
        <w:t>即初始确认时计</w:t>
      </w:r>
      <w:r>
        <w:rPr>
          <w:spacing w:val="-59"/>
        </w:rPr>
        <w:t> </w:t>
      </w:r>
      <w:r>
        <w:rPr/>
        <w:t>算确定的实际利率</w:t>
      </w:r>
      <w:r>
        <w:rPr>
          <w:rFonts w:ascii="Times New Roman" w:hAnsi="Times New Roman" w:cs="Times New Roman" w:eastAsia="Times New Roman" w:hint="default"/>
        </w:rPr>
        <w:t>)</w:t>
      </w:r>
      <w:r>
        <w:rPr/>
        <w:t>折现确定，并考虑相关担保物的价值。减值后利息收入按照确定减值损失时对未来现金流量进行折现采 </w:t>
      </w:r>
      <w:r>
        <w:rPr>
          <w:spacing w:val="-2"/>
        </w:rPr>
        <w:t>用的折现率作为利率计算确认。对单项金额重大的金融资产单独进行减值测试，如有客观证据表明其已发生减值，确认减值</w:t>
      </w:r>
      <w:r>
        <w:rPr>
          <w:spacing w:val="-65"/>
        </w:rPr>
        <w:t> </w:t>
      </w:r>
      <w:r>
        <w:rPr>
          <w:spacing w:val="-65"/>
        </w:rPr>
      </w:r>
      <w:r>
        <w:rPr>
          <w:spacing w:val="-2"/>
        </w:rPr>
        <w:t>损失，计入当期损益。对单项金额不重大的金融资产，包括在具有类似信用风险特征的金融资产组合中进行减值测试或单独</w:t>
      </w:r>
      <w:r>
        <w:rPr>
          <w:spacing w:val="-66"/>
        </w:rPr>
        <w:t> </w:t>
      </w:r>
      <w:r>
        <w:rPr>
          <w:spacing w:val="-66"/>
        </w:rPr>
      </w:r>
      <w:r>
        <w:rPr>
          <w:spacing w:val="-1"/>
        </w:rPr>
        <w:t>进行减值测试。单独测试未发生减值的金融资产</w:t>
      </w:r>
      <w:r>
        <w:rPr>
          <w:rFonts w:ascii="Times New Roman" w:hAnsi="Times New Roman" w:cs="Times New Roman" w:eastAsia="Times New Roman" w:hint="default"/>
          <w:spacing w:val="-1"/>
        </w:rPr>
        <w:t>(</w:t>
      </w:r>
      <w:r>
        <w:rPr>
          <w:spacing w:val="-1"/>
        </w:rPr>
        <w:t>包括单项金额重大和不重大的金融资产</w:t>
      </w:r>
      <w:r>
        <w:rPr>
          <w:rFonts w:ascii="Times New Roman" w:hAnsi="Times New Roman" w:cs="Times New Roman" w:eastAsia="Times New Roman" w:hint="default"/>
          <w:spacing w:val="-1"/>
        </w:rPr>
        <w:t>)</w:t>
      </w:r>
      <w:r>
        <w:rPr>
          <w:spacing w:val="-1"/>
        </w:rPr>
        <w:t>，包括在具有类似信用风险特征的</w:t>
      </w:r>
      <w:r>
        <w:rPr>
          <w:spacing w:val="-57"/>
        </w:rPr>
        <w:t> </w:t>
      </w:r>
      <w:r>
        <w:rPr>
          <w:spacing w:val="-57"/>
        </w:rPr>
      </w:r>
      <w:r>
        <w:rPr>
          <w:spacing w:val="-2"/>
        </w:rPr>
        <w:t>金融资产组合中再进行减值测试。已单项确认减值损失的金融资产，不包括在具有类似信用风险特征的金融资产组合中进行</w:t>
      </w:r>
      <w:r>
        <w:rPr>
          <w:spacing w:val="-64"/>
        </w:rPr>
        <w:t> </w:t>
      </w:r>
      <w:r>
        <w:rPr>
          <w:spacing w:val="-64"/>
        </w:rPr>
      </w:r>
      <w:r>
        <w:rPr>
          <w:spacing w:val="-2"/>
        </w:rPr>
        <w:t>减值测试。本集团对以摊余成本计量的金融资产确认减值损失后，如有客观证据表明该金融资产价值已恢复，且客观上与确</w:t>
      </w:r>
      <w:r>
        <w:rPr>
          <w:spacing w:val="-66"/>
        </w:rPr>
        <w:t> </w:t>
      </w:r>
      <w:r>
        <w:rPr>
          <w:spacing w:val="-66"/>
        </w:rPr>
      </w:r>
      <w:r>
        <w:rPr>
          <w:spacing w:val="-2"/>
        </w:rPr>
        <w:t>认该损失后发生的事项有关，原确认的减值损失予以转回，计入当期损益。但是，该转回后的账面价值不超过假定不计提减</w:t>
      </w:r>
      <w:r>
        <w:rPr>
          <w:spacing w:val="-65"/>
        </w:rPr>
        <w:t> </w:t>
      </w:r>
      <w:r>
        <w:rPr>
          <w:spacing w:val="-65"/>
        </w:rPr>
      </w:r>
      <w:r>
        <w:rPr/>
        <w:t>值准备情况下该金融资产在转回日的摊余成本。</w:t>
      </w:r>
    </w:p>
    <w:p>
      <w:pPr>
        <w:pStyle w:val="BodyText"/>
        <w:spacing w:line="309" w:lineRule="auto" w:before="24"/>
        <w:ind w:left="154" w:right="0"/>
        <w:jc w:val="left"/>
      </w:pPr>
      <w:r>
        <w:rPr>
          <w:rFonts w:ascii="Times New Roman" w:hAnsi="Times New Roman" w:cs="Times New Roman" w:eastAsia="Times New Roman" w:hint="default"/>
        </w:rPr>
        <w:t>2</w:t>
      </w:r>
      <w:r>
        <w:rPr/>
        <w:t>）以成本计量的金融资产 </w:t>
      </w:r>
      <w:r>
        <w:rPr>
          <w:spacing w:val="-2"/>
        </w:rPr>
        <w:t>如果有客观证据表明该金融资产发生减值，将该金融资产的账面价值，与按照类似金融资产当时市场收益率对未来现金流量</w:t>
      </w:r>
      <w:r>
        <w:rPr>
          <w:spacing w:val="-64"/>
        </w:rPr>
        <w:t> </w:t>
      </w:r>
      <w:r>
        <w:rPr>
          <w:spacing w:val="-64"/>
        </w:rPr>
      </w:r>
      <w:r>
        <w:rPr/>
        <w:t>折现确定的现值之间的差额，确认为减值损失，计入当期损益。发生的减值损失一经确认，不再转回。</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8、应收款项" w:id="180"/>
      <w:bookmarkEnd w:id="180"/>
      <w:r>
        <w:rPr>
          <w:b w:val="0"/>
          <w:bCs w:val="0"/>
        </w:rPr>
      </w:r>
      <w:r>
        <w:rPr>
          <w:rFonts w:ascii="Times New Roman" w:hAnsi="Times New Roman" w:cs="Times New Roman" w:eastAsia="Times New Roman" w:hint="default"/>
        </w:rPr>
        <w:t>8</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40" w:lineRule="auto" w:before="42"/>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预计是否可收回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9、存货" w:id="184"/>
      <w:bookmarkEnd w:id="184"/>
      <w:r>
        <w:rPr>
          <w:b w:val="0"/>
          <w:bCs w:val="0"/>
        </w:rPr>
      </w: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5712"/>
        <w:jc w:val="left"/>
      </w:pPr>
      <w:r>
        <w:rPr/>
        <w:t>（</w:t>
      </w:r>
      <w:r>
        <w:rPr>
          <w:rFonts w:ascii="Times New Roman" w:hAnsi="Times New Roman" w:cs="Times New Roman" w:eastAsia="Times New Roman" w:hint="default"/>
        </w:rPr>
        <w:t>1</w:t>
      </w:r>
      <w:r>
        <w:rPr/>
        <w:t>）存货的分类 存货包括原材料、产成品及商品、委托加工材料和低值易耗品。</w:t>
      </w:r>
    </w:p>
    <w:p>
      <w:pPr>
        <w:pStyle w:val="BodyText"/>
        <w:spacing w:line="300" w:lineRule="auto" w:before="32"/>
        <w:ind w:left="154" w:right="8682"/>
        <w:jc w:val="left"/>
      </w:pPr>
      <w:r>
        <w:rPr/>
        <w:t>（</w:t>
      </w:r>
      <w:r>
        <w:rPr>
          <w:rFonts w:ascii="Times New Roman" w:hAnsi="Times New Roman" w:cs="Times New Roman" w:eastAsia="Times New Roman" w:hint="default"/>
        </w:rPr>
        <w:t>2</w:t>
      </w:r>
      <w:r>
        <w:rPr/>
        <w:t>）发出存货的计价方法 计价方法：加权平均法</w:t>
      </w:r>
    </w:p>
    <w:p>
      <w:pPr>
        <w:pStyle w:val="BodyText"/>
        <w:spacing w:line="316" w:lineRule="auto" w:before="31"/>
        <w:ind w:left="154" w:right="1032"/>
        <w:jc w:val="left"/>
      </w:pPr>
      <w:r>
        <w:rPr/>
        <w:t>存货按照成本进行初始计量。存货成本包括采购成本、加工成本和其他成本。发出存货，采用加权平均法确定其实际成本。</w:t>
      </w:r>
      <w:r>
        <w:rPr>
          <w:spacing w:val="-85"/>
        </w:rPr>
        <w:t> </w:t>
      </w:r>
      <w:r>
        <w:rPr>
          <w:spacing w:val="-85"/>
        </w:rPr>
      </w:r>
      <w:r>
        <w:rPr/>
        <w:t>周转材料包括低值易耗品和包装物等，低值易耗品和包装物釆用一次转销法进行摊销。</w:t>
      </w:r>
    </w:p>
    <w:p>
      <w:pPr>
        <w:pStyle w:val="BodyText"/>
        <w:spacing w:line="314" w:lineRule="auto" w:before="19"/>
        <w:ind w:left="154"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于资产负债表日，存货按照成本与可变现净值孰低计量，对成本高于可变现净值的，计提存货跌价准备，计入当期损益。如</w:t>
      </w:r>
      <w:r>
        <w:rPr>
          <w:spacing w:val="-66"/>
        </w:rPr>
        <w:t> </w:t>
      </w:r>
      <w:r>
        <w:rPr>
          <w:spacing w:val="-66"/>
        </w:rPr>
      </w:r>
      <w:r>
        <w:rPr>
          <w:spacing w:val="-2"/>
        </w:rPr>
        <w:t>果以前计提存货跌价准备的影响因素已经消失，使得存货的可变现净值高于其账面价值，则在原已计提的存货跌价准备金额</w:t>
      </w:r>
      <w:r>
        <w:rPr>
          <w:spacing w:val="-64"/>
        </w:rPr>
        <w:t> </w:t>
      </w:r>
      <w:r>
        <w:rPr>
          <w:spacing w:val="-64"/>
        </w:rPr>
      </w:r>
      <w:r>
        <w:rPr/>
        <w:t>内，将以前减记的金额予以恢复，转回的金额计入当期损益。 </w:t>
      </w: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w:t>
      </w:r>
    </w:p>
    <w:p>
      <w:pPr>
        <w:pStyle w:val="BodyText"/>
        <w:spacing w:line="309" w:lineRule="auto" w:before="20"/>
        <w:ind w:left="154" w:right="8052"/>
        <w:jc w:val="left"/>
      </w:pPr>
      <w:r>
        <w:rPr/>
        <w:t>（</w:t>
      </w:r>
      <w:r>
        <w:rPr>
          <w:rFonts w:ascii="Times New Roman" w:hAnsi="Times New Roman" w:cs="Times New Roman" w:eastAsia="Times New Roman" w:hint="default"/>
        </w:rPr>
        <w:t>4</w:t>
      </w:r>
      <w:r>
        <w:rPr/>
        <w:t>）存货的盘存制度 盘存制度：永续盘存制 存货的盘存制度采用永续盘存制。</w:t>
      </w:r>
    </w:p>
    <w:p>
      <w:pPr>
        <w:pStyle w:val="BodyText"/>
        <w:spacing w:line="309" w:lineRule="auto" w:before="24"/>
        <w:ind w:left="154" w:right="7782"/>
        <w:jc w:val="left"/>
      </w:pPr>
      <w:r>
        <w:rPr/>
        <w:t>（</w:t>
      </w:r>
      <w:r>
        <w:rPr>
          <w:rFonts w:ascii="Times New Roman" w:hAnsi="Times New Roman" w:cs="Times New Roman" w:eastAsia="Times New Roman" w:hint="default"/>
        </w:rPr>
        <w:t>5</w:t>
      </w:r>
      <w:r>
        <w:rPr/>
        <w:t>）低值易耗品和包装物的摊销方法 低值易耗品摊销方法：一次摊销法 包装物摊销方法：一次摊销法</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0、长期股权投资" w:id="185"/>
      <w:bookmarkEnd w:id="185"/>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）初始投资成本的确定</w:t>
      </w:r>
      <w:r>
        <w:rPr>
          <w:rFonts w:ascii="宋体" w:hAnsi="宋体" w:cs="宋体" w:eastAsia="宋体" w:hint="default"/>
          <w:b/>
          <w:bCs/>
          <w:w w:val="99"/>
        </w:rPr>
        <w:t> </w:t>
      </w:r>
      <w:r>
        <w:rPr>
          <w:spacing w:val="-2"/>
        </w:rPr>
        <w:t>长期股权投资包括对子公司、合营企业和联营企业的权益性投资。长期股权投资在取得时以初始投资成本进行初始计量。对</w:t>
      </w:r>
      <w:r>
        <w:rPr>
          <w:spacing w:val="-66"/>
        </w:rPr>
        <w:t> </w:t>
      </w:r>
      <w:r>
        <w:rPr>
          <w:spacing w:val="-66"/>
        </w:rPr>
      </w:r>
      <w:r>
        <w:rPr>
          <w:spacing w:val="-2"/>
        </w:rPr>
        <w:t>于企业合并形成的长期股权投资，通过同一控制下的企业合并取得的长期股权投资，以合并日取得被合并方所有者权益在最</w:t>
      </w:r>
      <w:r>
        <w:rPr>
          <w:spacing w:val="-64"/>
        </w:rPr>
        <w:t> </w:t>
      </w:r>
      <w:r>
        <w:rPr>
          <w:spacing w:val="-64"/>
        </w:rPr>
      </w:r>
      <w:r>
        <w:rPr>
          <w:spacing w:val="-2"/>
        </w:rPr>
        <w:t>终控制方合并财务报表中的账面价值的份额作为初始投资成本；初始投资成本与合并对价账面价值之间差额，调整资本公积</w:t>
      </w:r>
      <w:r>
        <w:rPr>
          <w:spacing w:val="-64"/>
        </w:rPr>
        <w:t> </w:t>
      </w:r>
      <w:r>
        <w:rPr>
          <w:spacing w:val="-64"/>
        </w:rPr>
      </w:r>
      <w:r>
        <w:rPr>
          <w:rFonts w:ascii="Times New Roman" w:hAnsi="Times New Roman" w:cs="Times New Roman" w:eastAsia="Times New Roman" w:hint="default"/>
          <w:spacing w:val="-1"/>
        </w:rPr>
        <w:t>(</w:t>
      </w:r>
      <w:r>
        <w:rPr>
          <w:spacing w:val="-1"/>
        </w:rPr>
        <w:t>不足冲减的，冲减留存收益</w:t>
      </w:r>
      <w:r>
        <w:rPr>
          <w:rFonts w:ascii="Times New Roman" w:hAnsi="Times New Roman" w:cs="Times New Roman" w:eastAsia="Times New Roman" w:hint="default"/>
          <w:spacing w:val="-1"/>
        </w:rPr>
        <w:t>)</w:t>
      </w:r>
      <w:r>
        <w:rPr>
          <w:spacing w:val="-1"/>
        </w:rPr>
        <w:t>；合并日之前的其他综合收益，在处置该项投资时采用与被投资单位直接处置相关资产或负债</w:t>
      </w:r>
      <w:r>
        <w:rPr>
          <w:spacing w:val="-59"/>
        </w:rPr>
        <w:t> </w:t>
      </w:r>
      <w:r>
        <w:rPr>
          <w:spacing w:val="-59"/>
        </w:rPr>
      </w:r>
      <w:r>
        <w:rPr>
          <w:spacing w:val="-2"/>
        </w:rPr>
        <w:t>相同的基础进行会计处理，因被投资方除净损益、其他综合收益和利润分配以外的其他股东权益变动而确认的股东权益，在</w:t>
      </w:r>
      <w:r>
        <w:rPr>
          <w:spacing w:val="-66"/>
        </w:rPr>
        <w:t> </w:t>
      </w:r>
      <w:r>
        <w:rPr>
          <w:spacing w:val="-66"/>
        </w:rPr>
      </w:r>
      <w:r>
        <w:rPr>
          <w:spacing w:val="-2"/>
        </w:rPr>
        <w:t>处置该项投资时转入当期损益；其中，处置后仍为长期股权投资的按比例结转，处置后转换为金融工具的则全额结转。通过</w:t>
      </w:r>
      <w:r>
        <w:rPr>
          <w:spacing w:val="-66"/>
        </w:rPr>
        <w:t> </w:t>
      </w:r>
      <w:r>
        <w:rPr>
          <w:spacing w:val="-66"/>
        </w:rPr>
      </w:r>
      <w:r>
        <w:rPr>
          <w:spacing w:val="-2"/>
        </w:rPr>
        <w:t>非同一控制下的企业合并取得的，以合并成本作为初始投资成本。合并成本包括购买方付出的资产、发生或承担的负债、发</w:t>
      </w:r>
      <w:r>
        <w:rPr>
          <w:spacing w:val="-66"/>
        </w:rPr>
        <w:t> </w:t>
      </w:r>
      <w:r>
        <w:rPr>
          <w:spacing w:val="-66"/>
        </w:rPr>
      </w:r>
      <w:r>
        <w:rPr>
          <w:spacing w:val="-2"/>
        </w:rPr>
        <w:t>行的权益性证券的公允价值之和；购买日之前持有的因采用权益法核算而确认的其他综合收益，在处置该项投资时采用与被</w:t>
      </w:r>
      <w:r>
        <w:rPr>
          <w:spacing w:val="-64"/>
        </w:rPr>
        <w:t> </w:t>
      </w:r>
      <w:r>
        <w:rPr>
          <w:spacing w:val="-64"/>
        </w:rPr>
      </w:r>
      <w:r>
        <w:rPr>
          <w:spacing w:val="-2"/>
        </w:rPr>
        <w:t>投资单位直接处置相关资产或负债相同的基础进行会计处理，因被投资方除净损益、其他综合收益和利润分配以外的其他股</w:t>
      </w:r>
      <w:r>
        <w:rPr>
          <w:spacing w:val="-64"/>
        </w:rPr>
        <w:t> </w:t>
      </w:r>
      <w:r>
        <w:rPr>
          <w:spacing w:val="-64"/>
        </w:rPr>
      </w:r>
      <w:r>
        <w:rPr>
          <w:spacing w:val="-2"/>
        </w:rPr>
        <w:t>东权益变动而确认的股东权益，在处置该项投资时转入当期损益；其中，处置后仍为长期股权投资的按比例结转，处置后转</w:t>
      </w:r>
      <w:r>
        <w:rPr>
          <w:spacing w:val="-66"/>
        </w:rPr>
        <w:t> </w:t>
      </w:r>
      <w:r>
        <w:rPr>
          <w:spacing w:val="-66"/>
        </w:rPr>
      </w:r>
      <w:r>
        <w:rPr>
          <w:spacing w:val="-2"/>
        </w:rPr>
        <w:t>换为金融工具的则全额结转。除企业合并形成的长期股权投资以外方式取得的长期股权投资，按照下列方法确定初始投资成</w:t>
      </w:r>
      <w:r>
        <w:rPr>
          <w:spacing w:val="-64"/>
        </w:rPr>
        <w:t> </w:t>
      </w:r>
      <w:r>
        <w:rPr>
          <w:spacing w:val="-64"/>
        </w:rPr>
      </w:r>
      <w:r>
        <w:rPr>
          <w:spacing w:val="-2"/>
        </w:rPr>
        <w:t>本：支付现金取得的，以实际支付的购买价款及与取得长期股权投资直接相关的费用、税金及其他必要支出作为初始投资成</w:t>
      </w:r>
      <w:r>
        <w:rPr>
          <w:spacing w:val="-66"/>
        </w:rPr>
        <w:t> </w:t>
      </w:r>
      <w:r>
        <w:rPr>
          <w:spacing w:val="-66"/>
        </w:rPr>
      </w:r>
      <w:r>
        <w:rPr/>
        <w:t>本；发行权益性证券取得的，以发行权益性证券的公允价值作为初始投资成本。</w:t>
      </w:r>
    </w:p>
    <w:p>
      <w:pPr>
        <w:pStyle w:val="BodyText"/>
        <w:spacing w:line="314" w:lineRule="auto" w:before="19"/>
        <w:ind w:right="103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）后续计量及损益确认方法</w:t>
      </w:r>
      <w:r>
        <w:rPr>
          <w:rFonts w:ascii="宋体" w:hAnsi="宋体" w:cs="宋体" w:eastAsia="宋体" w:hint="default"/>
          <w:b/>
          <w:bCs/>
          <w:w w:val="99"/>
        </w:rPr>
        <w:t> </w:t>
      </w:r>
      <w:r>
        <w:rPr>
          <w:spacing w:val="-2"/>
        </w:rPr>
        <w:t>本公司能够对被投资单位实施控制的长期股权投资，在本公司个别财务报表中采用成本法核算。控制，是指拥有对被投资方</w:t>
      </w:r>
      <w:r>
        <w:rPr>
          <w:spacing w:val="-66"/>
        </w:rPr>
        <w:t> </w:t>
      </w:r>
      <w:r>
        <w:rPr>
          <w:spacing w:val="-66"/>
        </w:rPr>
      </w:r>
      <w:r>
        <w:rPr/>
        <w:t>的权力，通过参与被投资方的相关活动而享有可变回报，并且有能力运用对被投资方的权力影响回报金额。采用成本法时，</w:t>
      </w:r>
      <w:r>
        <w:rPr>
          <w:spacing w:val="-85"/>
        </w:rPr>
        <w:t> </w:t>
      </w:r>
      <w:r>
        <w:rPr>
          <w:spacing w:val="-85"/>
        </w:rPr>
      </w:r>
      <w:r>
        <w:rPr>
          <w:spacing w:val="-5"/>
        </w:rPr>
        <w:t>长期股权投资按初始投资成本计价。追加或收回投资的，调整长期股权投资的成本。被投资单位宣告分派的现金股利或利润，</w:t>
      </w:r>
      <w:r>
        <w:rPr>
          <w:spacing w:val="-79"/>
        </w:rPr>
        <w:t> </w:t>
      </w:r>
      <w:r>
        <w:rPr>
          <w:spacing w:val="-79"/>
        </w:rPr>
      </w:r>
      <w:r>
        <w:rPr/>
        <w:t>确认为当期投资收益。 </w:t>
      </w:r>
      <w:r>
        <w:rPr>
          <w:spacing w:val="-2"/>
        </w:rPr>
        <w:t>本集团对被投资单位具有共同控制或重大影响的，长期股权投资采用权益法核算。采用权益法时，长期股权投资的初始投资</w:t>
      </w:r>
      <w:r>
        <w:rPr>
          <w:spacing w:val="-66"/>
        </w:rPr>
        <w:t> </w:t>
      </w:r>
      <w:r>
        <w:rPr>
          <w:spacing w:val="-66"/>
        </w:rPr>
      </w:r>
      <w:r>
        <w:rPr>
          <w:spacing w:val="-2"/>
        </w:rPr>
        <w:t>成本大于投资时应享有被投资单位可辨认净资产公允价值份额的，归入长期股权投资的初始投资成本；长期股权投资的初始</w:t>
      </w:r>
    </w:p>
    <w:p>
      <w:pPr>
        <w:spacing w:after="0" w:line="314"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6"/>
        <w:ind w:left="154" w:right="1032"/>
        <w:jc w:val="left"/>
      </w:pPr>
      <w:r>
        <w:rPr>
          <w:spacing w:val="-4"/>
        </w:rPr>
        <w:t>投资成本小于投资时应享有被投资单位可辨认净资产公允价值份额的，其差额计入当期损益，同时调整长期股权投资的成本。</w:t>
      </w:r>
      <w:r>
        <w:rPr>
          <w:spacing w:val="-43"/>
        </w:rPr>
        <w:t> </w:t>
      </w:r>
      <w:r>
        <w:rPr>
          <w:spacing w:val="-43"/>
        </w:rPr>
      </w:r>
      <w:r>
        <w:rPr>
          <w:spacing w:val="-2"/>
        </w:rPr>
        <w:t>采用权益法时，取得长期股权投资后，按照应享有或应分担的被投资单位实现的净损益和其他综合收益的份额，分别确认投</w:t>
      </w:r>
      <w:r>
        <w:rPr>
          <w:spacing w:val="-66"/>
        </w:rPr>
        <w:t> </w:t>
      </w:r>
      <w:r>
        <w:rPr>
          <w:spacing w:val="-66"/>
        </w:rPr>
      </w:r>
      <w:r>
        <w:rPr>
          <w:spacing w:val="-2"/>
        </w:rPr>
        <w:t>资损益和其他综合收益并调整长期股权投资的账面价值。在确认应享有被投资单位净损益的份额时，以取得投资时被投资单</w:t>
      </w:r>
      <w:r>
        <w:rPr>
          <w:spacing w:val="-64"/>
        </w:rPr>
        <w:t> </w:t>
      </w:r>
      <w:r>
        <w:rPr>
          <w:spacing w:val="-64"/>
        </w:rPr>
      </w:r>
      <w:r>
        <w:rPr>
          <w:spacing w:val="-2"/>
        </w:rPr>
        <w:t>位各项可辨认资产等的公允价值为基础，按照本集团的会计政策及会计期间，并抵销与联营企业及合营企业之间发生的内部</w:t>
      </w:r>
      <w:r>
        <w:rPr>
          <w:spacing w:val="-64"/>
        </w:rPr>
        <w:t> </w:t>
      </w:r>
      <w:r>
        <w:rPr>
          <w:spacing w:val="-64"/>
        </w:rPr>
      </w:r>
      <w:r>
        <w:rPr/>
        <w:t>交易损益按照持股比例计算归属于投资企业的部分</w:t>
      </w:r>
      <w:r>
        <w:rPr>
          <w:rFonts w:ascii="Times New Roman" w:hAnsi="Times New Roman" w:cs="Times New Roman" w:eastAsia="Times New Roman" w:hint="default"/>
        </w:rPr>
        <w:t>(</w:t>
      </w:r>
      <w:r>
        <w:rPr/>
        <w:t>但内部交易损失属于资产减值损失的，应全额确认</w:t>
      </w:r>
      <w:r>
        <w:rPr>
          <w:rFonts w:ascii="Times New Roman" w:hAnsi="Times New Roman" w:cs="Times New Roman" w:eastAsia="Times New Roman" w:hint="default"/>
        </w:rPr>
        <w:t>)</w:t>
      </w:r>
      <w:r>
        <w:rPr/>
        <w:t>，对被投资单位的净 </w:t>
      </w:r>
      <w:r>
        <w:rPr>
          <w:spacing w:val="-4"/>
        </w:rPr>
        <w:t>利润进行调整后确认，但投出或出售的资产构成业务的除外。按照被投资单位宣告分派的利润或现金股利计算应分得的部分，</w:t>
      </w:r>
      <w:r>
        <w:rPr>
          <w:spacing w:val="-44"/>
        </w:rPr>
        <w:t> </w:t>
      </w:r>
      <w:r>
        <w:rPr>
          <w:spacing w:val="-44"/>
        </w:rPr>
      </w:r>
      <w:r>
        <w:rPr>
          <w:spacing w:val="-2"/>
        </w:rPr>
        <w:t>相应减少长期股权投资的账面价值。本集团确认被投资单位发生的净亏损，以长期股权投资的账面价值以及其他实质上构成</w:t>
      </w:r>
      <w:r>
        <w:rPr>
          <w:spacing w:val="-64"/>
        </w:rPr>
        <w:t> </w:t>
      </w:r>
      <w:r>
        <w:rPr>
          <w:spacing w:val="-64"/>
        </w:rPr>
      </w:r>
      <w:r>
        <w:rPr>
          <w:spacing w:val="-2"/>
        </w:rPr>
        <w:t>对被投资单位净投资的长期权益减记至零为限，本集团负有承担额外损失义务的除外。对于被投资单位除净损益、其他综合</w:t>
      </w:r>
      <w:r>
        <w:rPr>
          <w:spacing w:val="-66"/>
        </w:rPr>
        <w:t> </w:t>
      </w:r>
      <w:r>
        <w:rPr>
          <w:spacing w:val="-66"/>
        </w:rPr>
      </w:r>
      <w:r>
        <w:rPr/>
        <w:t>收益和利润分配以外股东权益的其他变动，调整长期股权投资的账面价值并计入股东权益。 </w:t>
      </w:r>
      <w:r>
        <w:rPr>
          <w:spacing w:val="-2"/>
        </w:rPr>
        <w:t>处置长期股权投资，其账面价值与实际取得价款的差额，计入当期损益。采用权益法核算的长期股权投资，终止采用权益法</w:t>
      </w:r>
      <w:r>
        <w:rPr>
          <w:spacing w:val="-66"/>
        </w:rPr>
        <w:t> </w:t>
      </w:r>
      <w:r>
        <w:rPr>
          <w:spacing w:val="-66"/>
        </w:rPr>
      </w:r>
      <w:r>
        <w:rPr>
          <w:spacing w:val="-2"/>
        </w:rPr>
        <w:t>的，原权益法核算的相关其他综合收益采用与被投资单位直接处置相关资产或负债相同的基础进行会计处理，因被投资方除</w:t>
      </w:r>
      <w:r>
        <w:rPr>
          <w:spacing w:val="-64"/>
        </w:rPr>
        <w:t> </w:t>
      </w:r>
      <w:r>
        <w:rPr>
          <w:spacing w:val="-64"/>
        </w:rPr>
      </w:r>
      <w:r>
        <w:rPr>
          <w:spacing w:val="-2"/>
        </w:rPr>
        <w:t>净损益、其他综合收益和利润分配以外的其他股东权益变动而确认的股东权益，全部转入当期损益；仍采用权益法的，原权</w:t>
      </w:r>
      <w:r>
        <w:rPr>
          <w:spacing w:val="-66"/>
        </w:rPr>
        <w:t> </w:t>
      </w:r>
      <w:r>
        <w:rPr>
          <w:spacing w:val="-66"/>
        </w:rPr>
      </w:r>
      <w:r>
        <w:rPr/>
        <w:t>益法核算的相关其他综合收益采用与被投资单位直接处置相关资产或负债相同的基础进行会计处理并按比例转入当期损益，</w:t>
      </w:r>
      <w:r>
        <w:rPr>
          <w:spacing w:val="-85"/>
        </w:rPr>
        <w:t> </w:t>
      </w:r>
      <w:r>
        <w:rPr>
          <w:spacing w:val="-85"/>
        </w:rPr>
      </w:r>
      <w:r>
        <w:rPr/>
        <w:t>因被投资方除净损益、其他综合收益和利润分配以外的其他股东权益变动而确认的股东权益，按相应的比例转入当期损益。</w:t>
      </w:r>
    </w:p>
    <w:p>
      <w:pPr>
        <w:pStyle w:val="BodyText"/>
        <w:spacing w:line="314" w:lineRule="auto" w:before="19"/>
        <w:ind w:right="111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）确定对被投资单位具有共同控制、重大影响的依据</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t>能决策。 </w:t>
      </w:r>
      <w:r>
        <w:rPr>
          <w:spacing w:val="-2"/>
        </w:rPr>
        <w:t>重大影响，是指对被投资单位的财务和经营政策有参与决策的权力，但并不能够控制或者与其他方一起共同控制这些政策的</w:t>
      </w:r>
      <w:r>
        <w:rPr>
          <w:spacing w:val="-64"/>
        </w:rPr>
        <w:t> </w:t>
      </w:r>
      <w:r>
        <w:rPr>
          <w:spacing w:val="-64"/>
        </w:rPr>
      </w:r>
      <w:r>
        <w:rPr/>
        <w:t>制定。</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1、投资性房地产" w:id="186"/>
      <w:bookmarkEnd w:id="186"/>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574" w:right="0"/>
        <w:jc w:val="left"/>
      </w:pPr>
      <w:r>
        <w:rPr/>
        <w:t>投资性房地产，是指为赚取租金或资本增值，或两者兼有而持有的房地产，包括已出租的建筑物。</w:t>
      </w:r>
    </w:p>
    <w:p>
      <w:pPr>
        <w:spacing w:line="240" w:lineRule="auto" w:before="0"/>
        <w:rPr>
          <w:rFonts w:ascii="宋体" w:hAnsi="宋体" w:cs="宋体" w:eastAsia="宋体" w:hint="default"/>
          <w:sz w:val="18"/>
          <w:szCs w:val="18"/>
        </w:rPr>
      </w:pPr>
    </w:p>
    <w:p>
      <w:pPr>
        <w:pStyle w:val="BodyText"/>
        <w:spacing w:line="316" w:lineRule="auto" w:before="153"/>
        <w:ind w:right="1153" w:firstLine="420"/>
        <w:jc w:val="left"/>
      </w:pPr>
      <w:r>
        <w:rPr/>
        <w:t>投资性房地产按照成本进行初始计量。与投资性房地产有关的后续支出，如果与该资产有关的经济利益很可能流入且 其成本能够可靠地计量，则计入投资性房地产成本。否则，于发生时计入当期损益。</w:t>
      </w:r>
    </w:p>
    <w:p>
      <w:pPr>
        <w:spacing w:line="240" w:lineRule="auto" w:before="4"/>
        <w:rPr>
          <w:rFonts w:ascii="宋体" w:hAnsi="宋体" w:cs="宋体" w:eastAsia="宋体" w:hint="default"/>
          <w:sz w:val="25"/>
          <w:szCs w:val="25"/>
        </w:rPr>
      </w:pPr>
    </w:p>
    <w:p>
      <w:pPr>
        <w:pStyle w:val="BodyText"/>
        <w:spacing w:line="300" w:lineRule="auto"/>
        <w:ind w:right="1040" w:firstLine="420"/>
        <w:jc w:val="left"/>
      </w:pPr>
      <w:r>
        <w:rPr/>
        <w:t>本集团采用成本模式对投资性房地产进行后续计量，折旧采用年限平均法计提，投资性房地产的使用寿命为</w:t>
      </w:r>
      <w:r>
        <w:rPr>
          <w:rFonts w:ascii="Times New Roman" w:hAnsi="Times New Roman" w:cs="Times New Roman" w:eastAsia="Times New Roman" w:hint="default"/>
        </w:rPr>
        <w:t>40-50</w:t>
      </w:r>
      <w:r>
        <w:rPr/>
        <w:t>年，</w:t>
      </w:r>
      <w:r>
        <w:rPr>
          <w:spacing w:val="2"/>
        </w:rPr>
        <w:t> </w:t>
      </w:r>
      <w:r>
        <w:rPr/>
        <w:t>预计净残值率为</w:t>
      </w:r>
      <w:r>
        <w:rPr>
          <w:rFonts w:ascii="Times New Roman" w:hAnsi="Times New Roman" w:cs="Times New Roman" w:eastAsia="Times New Roman" w:hint="default"/>
        </w:rPr>
        <w:t>5%</w:t>
      </w:r>
      <w:r>
        <w:rPr/>
        <w:t>，年折旧率为</w:t>
      </w:r>
      <w:r>
        <w:rPr>
          <w:rFonts w:ascii="Times New Roman" w:hAnsi="Times New Roman" w:cs="Times New Roman" w:eastAsia="Times New Roman" w:hint="default"/>
        </w:rPr>
        <w:t>1.9%-2.38%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0"/>
        <w:jc w:val="left"/>
        <w:rPr>
          <w:b w:val="0"/>
          <w:bCs w:val="0"/>
        </w:rPr>
      </w:pPr>
      <w:bookmarkStart w:name="12、固定资产" w:id="187"/>
      <w:bookmarkEnd w:id="18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52" w:firstLine="420"/>
        <w:jc w:val="left"/>
      </w:pPr>
      <w:r>
        <w:rPr/>
        <w:t>固定资产仅在与其有关的经济利益很可能流入本集团，且其成本能够可靠地计量时才予以确认。与固定资产有关的后 续支出，符合该确认条件的，计入固定资产成本，并终止确认被替换部分的账面价值；否则，在发生时计入当期损益。</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2.97%-2.38%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bl>
    <w:p>
      <w:pPr>
        <w:pStyle w:val="BodyText"/>
        <w:spacing w:line="240" w:lineRule="auto" w:before="26"/>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3、在建工程" w:id="190"/>
      <w:bookmarkEnd w:id="190"/>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2593"/>
        <w:jc w:val="left"/>
      </w:pPr>
      <w:r>
        <w:rPr/>
        <w:t>在建工程成本按实际工程支出确定，包括在建期间发生的各项必要工程支出以及其他相关费用等。 在建工程在达到预定可使用状态时转入固定资产、长期待摊费用或者其他。</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4、借款费用" w:id="191"/>
      <w:bookmarkEnd w:id="191"/>
      <w:r>
        <w:rPr>
          <w:b w:val="0"/>
          <w:bCs w:val="0"/>
        </w:rPr>
      </w:r>
      <w:r>
        <w:rPr>
          <w:rFonts w:ascii="Times New Roman" w:hAnsi="Times New Roman" w:cs="Times New Roman" w:eastAsia="Times New Roman" w:hint="default"/>
        </w:rPr>
        <w:t>14</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借款费用，是指本集团因借款而发生的利息及其他相关成本，包括借款利息、折价或者溢价的摊销、辅助费用等。 </w:t>
      </w:r>
      <w:r>
        <w:rPr>
          <w:spacing w:val="-2"/>
        </w:rPr>
        <w:t>可直接归属于符合资本化条件的资产的购建或者生产的借款费用，予以资本化，其他借款费用计入当期损益。符合资本化条</w:t>
      </w:r>
      <w:r>
        <w:rPr>
          <w:spacing w:val="-66"/>
        </w:rPr>
        <w:t> </w:t>
      </w:r>
      <w:r>
        <w:rPr>
          <w:spacing w:val="-66"/>
        </w:rPr>
      </w:r>
      <w:r>
        <w:rPr>
          <w:spacing w:val="-2"/>
        </w:rPr>
        <w:t>件的资产，是指需要经过相当长时间的购建或者生产活动才能达到预定可使用或者可销售状态的固定资产、投资性房地产和</w:t>
      </w:r>
      <w:r>
        <w:rPr>
          <w:spacing w:val="-64"/>
        </w:rPr>
        <w:t> </w:t>
      </w:r>
      <w:r>
        <w:rPr>
          <w:spacing w:val="-64"/>
        </w:rPr>
      </w:r>
      <w:r>
        <w:rPr/>
        <w:t>存货等资产。</w:t>
      </w: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309" w:lineRule="auto" w:before="63"/>
        <w:ind w:right="1131"/>
        <w:jc w:val="both"/>
      </w:pPr>
      <w:r>
        <w:rPr/>
        <w:t>借款费用同时满足下列条件的，才能开始资本化： </w:t>
      </w:r>
      <w:r>
        <w:rPr>
          <w:rFonts w:ascii="Times New Roman" w:hAnsi="Times New Roman" w:cs="Times New Roman" w:eastAsia="Times New Roman" w:hint="default"/>
        </w:rPr>
        <w:t>(a) </w:t>
      </w:r>
      <w:r>
        <w:rPr/>
        <w:t>资产支出已经发生； </w:t>
      </w:r>
      <w:r>
        <w:rPr>
          <w:rFonts w:ascii="Times New Roman" w:hAnsi="Times New Roman" w:cs="Times New Roman" w:eastAsia="Times New Roman" w:hint="default"/>
        </w:rPr>
        <w:t>(b) </w:t>
      </w:r>
      <w:r>
        <w:rPr/>
        <w:t>借款费用已经发生； </w:t>
      </w:r>
      <w:r>
        <w:rPr>
          <w:rFonts w:ascii="Times New Roman" w:hAnsi="Times New Roman" w:cs="Times New Roman" w:eastAsia="Times New Roman" w:hint="default"/>
        </w:rPr>
        <w:t>(c)</w:t>
      </w:r>
      <w:r>
        <w:rPr>
          <w:rFonts w:ascii="Times New Roman" w:hAnsi="Times New Roman" w:cs="Times New Roman" w:eastAsia="Times New Roman" w:hint="default"/>
          <w:spacing w:val="-22"/>
        </w:rPr>
        <w:t> </w:t>
      </w:r>
      <w:r>
        <w:rPr/>
        <w:t>为使资产达到预定 </w:t>
      </w:r>
      <w:r>
        <w:rPr>
          <w:spacing w:val="-2"/>
        </w:rPr>
        <w:t>可使用或者可销售状态所必要的购建或者生产活动已经开始。购建或者生产符合资本化条件的资产达到预定可使用或者可销</w:t>
      </w:r>
      <w:r>
        <w:rPr>
          <w:spacing w:val="-64"/>
        </w:rPr>
        <w:t> </w:t>
      </w:r>
      <w:r>
        <w:rPr>
          <w:spacing w:val="-64"/>
        </w:rPr>
      </w:r>
      <w:r>
        <w:rPr/>
        <w:t>售状态时，借款费用停止资本化。之后发生的借款费用计入当期损益。</w:t>
      </w:r>
    </w:p>
    <w:p>
      <w:pPr>
        <w:pStyle w:val="BodyText"/>
        <w:spacing w:line="307" w:lineRule="auto" w:before="24"/>
        <w:ind w:left="154" w:right="112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符合资本化条件的资产在购建或者生产过程中，发生除达到预定可使用或者可销售状态必要的程序之外的非正常中断、且中</w:t>
      </w:r>
      <w:r>
        <w:rPr>
          <w:spacing w:val="-64"/>
        </w:rPr>
        <w:t> </w:t>
      </w:r>
      <w:r>
        <w:rPr>
          <w:spacing w:val="-64"/>
        </w:rPr>
      </w:r>
      <w:r>
        <w:rPr/>
        <w:t>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个月的，暂停借款费用的资本化。在中断期间发生的借款费用确认为费用，计入当期损益，直至资产的购 建或者生产活动重新开始。</w:t>
      </w:r>
    </w:p>
    <w:p>
      <w:pPr>
        <w:pStyle w:val="Heading5"/>
        <w:spacing w:line="240" w:lineRule="auto" w:before="26"/>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pStyle w:val="BodyText"/>
        <w:spacing w:line="300" w:lineRule="auto" w:before="63"/>
        <w:ind w:right="1132"/>
        <w:jc w:val="both"/>
      </w:pPr>
      <w:r>
        <w:rPr/>
        <w:t>在资本化期间内，每一会计期间的利息资本化金额，按照下列方法确定：</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专门借款以当期实际发生的利息费用，减去暂 时性的存款利息收入或投资收益后的金额确定。</w:t>
      </w:r>
      <w:r>
        <w:rPr>
          <w:spacing w:val="-68"/>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占用的一般借款，根据累计资产支出超过专门借款部分的资产支出加权 平均数乘以所占用一般借款的加权平均利率计算确定。</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5、无形资产" w:id="192"/>
      <w:bookmarkEnd w:id="192"/>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）无形资产的计价方法</w:t>
      </w:r>
      <w:r>
        <w:rPr>
          <w:rFonts w:ascii="宋体" w:hAnsi="宋体" w:cs="宋体" w:eastAsia="宋体" w:hint="default"/>
          <w:b/>
          <w:bCs/>
          <w:w w:val="99"/>
        </w:rPr>
        <w:t> </w:t>
      </w:r>
      <w:r>
        <w:rPr>
          <w:spacing w:val="-2"/>
        </w:rPr>
        <w:t>无形资产仅在与其有关的经济利益很可能流入本集团，且其成本能够可靠地计量时才予以确认，并以成本进行初始计量。但</w:t>
      </w:r>
      <w:r>
        <w:rPr>
          <w:spacing w:val="-66"/>
        </w:rPr>
        <w:t> </w:t>
      </w:r>
      <w:r>
        <w:rPr>
          <w:spacing w:val="-66"/>
        </w:rPr>
      </w:r>
      <w:r>
        <w:rPr/>
        <w:t>非同一控制下企业合并中取得的无形资产，其公允价值能够可靠地计量的，即单独确认为无形资产并按照公允价值计量。 </w:t>
      </w:r>
      <w:r>
        <w:rPr>
          <w:spacing w:val="-2"/>
        </w:rPr>
        <w:t>本集团取得的土地使用权，通常作为无形资产核算。自行开发建造厂房等建筑物，相关的土地使用权和建筑物分别作为无形</w:t>
      </w:r>
      <w:r>
        <w:rPr>
          <w:spacing w:val="-66"/>
        </w:rPr>
        <w:t> </w:t>
      </w:r>
      <w:r>
        <w:rPr>
          <w:spacing w:val="-66"/>
        </w:rPr>
      </w:r>
      <w:r>
        <w:rPr>
          <w:spacing w:val="-2"/>
        </w:rPr>
        <w:t>资产和固定资产核算。外购土地及建筑物支付的价款在土地使用权和建筑物之间进行分配，难以合理分配的，全部作为固定</w:t>
      </w:r>
      <w:r>
        <w:rPr>
          <w:spacing w:val="-66"/>
        </w:rPr>
        <w:t> </w:t>
      </w:r>
      <w:r>
        <w:rPr>
          <w:spacing w:val="-66"/>
        </w:rPr>
      </w:r>
      <w:r>
        <w:rPr/>
        <w:t>资产处理。</w:t>
      </w: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）无形资产的使用寿命</w:t>
      </w:r>
      <w:r>
        <w:rPr>
          <w:b w:val="0"/>
          <w:bCs w:val="0"/>
        </w:rPr>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6"/>
        <w:ind w:left="154" w:right="0"/>
        <w:jc w:val="left"/>
      </w:pPr>
      <w:r>
        <w:rPr/>
        <w:t>无形资产按照其能为本集团带来经济利益的期限确定使用寿命。 </w:t>
      </w:r>
      <w:r>
        <w:rPr>
          <w:spacing w:val="-2"/>
        </w:rPr>
        <w:t>使用寿命有限的无形资产，在其使用寿命内采用直线法摊销。本集团至少于每年年度终了，对使用寿命有限的无形资产的使</w:t>
      </w:r>
      <w:r>
        <w:rPr>
          <w:spacing w:val="-66"/>
        </w:rPr>
        <w:t> </w:t>
      </w:r>
      <w:r>
        <w:rPr>
          <w:spacing w:val="-66"/>
        </w:rPr>
      </w:r>
      <w:r>
        <w:rPr/>
        <w:t>用寿命及摊销方法进行复核，必要时进行调整。</w:t>
      </w:r>
    </w:p>
    <w:p>
      <w:pPr>
        <w:spacing w:line="300" w:lineRule="auto" w:before="19"/>
        <w:ind w:left="153" w:right="668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z w:val="18"/>
          <w:szCs w:val="18"/>
        </w:rPr>
        <w:t>各项无形资产的使用寿命如下：</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255"/>
        <w:gridCol w:w="4276"/>
      </w:tblGrid>
      <w:tr>
        <w:trPr>
          <w:trHeight w:val="334" w:hRule="exact"/>
        </w:trPr>
        <w:tc>
          <w:tcPr>
            <w:tcW w:w="42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8" w:lineRule="exact"/>
              <w:ind w:left="2" w:right="0"/>
              <w:jc w:val="left"/>
              <w:rPr>
                <w:rFonts w:ascii="宋体" w:hAnsi="宋体" w:cs="宋体" w:eastAsia="宋体" w:hint="default"/>
                <w:sz w:val="21"/>
                <w:szCs w:val="21"/>
              </w:rPr>
            </w:pPr>
            <w:r>
              <w:rPr>
                <w:rFonts w:ascii="宋体" w:hAnsi="宋体" w:cs="宋体" w:eastAsia="宋体" w:hint="default"/>
                <w:sz w:val="21"/>
                <w:szCs w:val="21"/>
              </w:rPr>
              <w:t>分类</w:t>
            </w:r>
          </w:p>
        </w:tc>
        <w:tc>
          <w:tcPr>
            <w:tcW w:w="4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47-50</w:t>
            </w:r>
            <w:r>
              <w:rPr>
                <w:rFonts w:ascii="宋体" w:hAnsi="宋体" w:cs="宋体" w:eastAsia="宋体" w:hint="default"/>
                <w:sz w:val="21"/>
                <w:szCs w:val="21"/>
              </w:rPr>
              <w:t>年</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2-10</w:t>
            </w:r>
            <w:r>
              <w:rPr>
                <w:rFonts w:ascii="宋体" w:hAnsi="宋体" w:cs="宋体" w:eastAsia="宋体" w:hint="default"/>
                <w:sz w:val="21"/>
                <w:szCs w:val="21"/>
              </w:rPr>
              <w:t>年</w:t>
            </w:r>
          </w:p>
        </w:tc>
      </w:tr>
      <w:tr>
        <w:trPr>
          <w:trHeight w:val="348"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r>
    </w:tbl>
    <w:p>
      <w:pPr>
        <w:spacing w:line="300" w:lineRule="auto" w:before="10"/>
        <w:ind w:left="153" w:right="48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）使用寿命不确定的无形资产的判断依据</w:t>
      </w:r>
      <w:r>
        <w:rPr>
          <w:rFonts w:ascii="宋体" w:hAnsi="宋体" w:cs="宋体" w:eastAsia="宋体" w:hint="default"/>
          <w:b/>
          <w:bCs/>
          <w:w w:val="99"/>
          <w:sz w:val="18"/>
          <w:szCs w:val="18"/>
        </w:rPr>
        <w:t> </w:t>
      </w:r>
      <w:r>
        <w:rPr>
          <w:rFonts w:ascii="宋体" w:hAnsi="宋体" w:cs="宋体" w:eastAsia="宋体" w:hint="default"/>
          <w:sz w:val="18"/>
          <w:szCs w:val="18"/>
        </w:rPr>
        <w:t>无法预见其为本集团带来经济利益期限的作为使用寿命不确定的无形资产。</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16、长期资产减值" w:id="194"/>
      <w:bookmarkEnd w:id="194"/>
      <w:r>
        <w:rPr>
          <w:b w:val="0"/>
          <w:bCs w:val="0"/>
        </w:rPr>
      </w:r>
      <w:r>
        <w:rPr>
          <w:rFonts w:ascii="Times New Roman" w:hAnsi="Times New Roman" w:cs="Times New Roman" w:eastAsia="Times New Roman" w:hint="default"/>
        </w:rPr>
        <w:t>16</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70" w:firstLine="420"/>
        <w:jc w:val="both"/>
      </w:pPr>
      <w:r>
        <w:rPr/>
        <w:t>本集团对除存货、递延所得税、金融资产、按成本法核算的在活跃市场中没有报价且其公允价值不能可靠计量的长期 股权投资外的资产减值，按以下方法确定：</w:t>
      </w:r>
    </w:p>
    <w:p>
      <w:pPr>
        <w:pStyle w:val="BodyText"/>
        <w:spacing w:line="316" w:lineRule="auto" w:before="19"/>
        <w:ind w:left="154" w:right="1133" w:firstLine="420"/>
        <w:jc w:val="both"/>
      </w:pPr>
      <w:r>
        <w:rPr/>
        <w:t>本集团于资产负债表日判断资产是否存在可能发生减值的迹象，存在减值迹象的，本集团将估计其可收回金额，进行 </w:t>
      </w:r>
      <w:r>
        <w:rPr>
          <w:spacing w:val="-5"/>
        </w:rPr>
        <w:t>减值测试。对因企业合并所形成的商誉和使用寿命不确定的无形资产，无论是否存在减值迹象，至少于每年末进行减值测试。</w:t>
      </w:r>
      <w:r>
        <w:rPr>
          <w:spacing w:val="-79"/>
        </w:rPr>
        <w:t> </w:t>
      </w:r>
      <w:r>
        <w:rPr>
          <w:spacing w:val="-79"/>
        </w:rPr>
      </w:r>
      <w:r>
        <w:rPr/>
        <w:t>对于尚未达到可使用状态的无形资产，也每年进行减值测试。</w:t>
      </w:r>
    </w:p>
    <w:p>
      <w:pPr>
        <w:pStyle w:val="BodyText"/>
        <w:spacing w:line="316" w:lineRule="auto" w:before="19"/>
        <w:ind w:left="154" w:right="1132" w:firstLine="420"/>
        <w:jc w:val="both"/>
      </w:pPr>
      <w:r>
        <w:rPr/>
        <w:t>可收回金额根据资产的公允价值减去处置费用后的净额与资产预计未来现金流量的现值两者之间较高者确定。本集团 </w:t>
      </w:r>
      <w:r>
        <w:rPr>
          <w:spacing w:val="-2"/>
        </w:rPr>
        <w:t>以单项资产为基础估计其可收回金额；难以对单项资产的可收回金额进行估计的，以该资产所属的资产组为基础确定资产组</w:t>
      </w:r>
      <w:r>
        <w:rPr>
          <w:spacing w:val="-64"/>
        </w:rPr>
        <w:t> </w:t>
      </w:r>
      <w:r>
        <w:rPr>
          <w:spacing w:val="-64"/>
        </w:rPr>
      </w:r>
      <w:r>
        <w:rPr/>
        <w:t>的可收回金额。资产组的认定，以资产组产生的主要现金流入是否独立于其他资产或者资产组的现金流入为依据。</w:t>
      </w:r>
    </w:p>
    <w:p>
      <w:pPr>
        <w:pStyle w:val="BodyText"/>
        <w:spacing w:line="316" w:lineRule="auto" w:before="19"/>
        <w:ind w:right="1170" w:firstLine="420"/>
        <w:jc w:val="both"/>
      </w:pPr>
      <w:r>
        <w:rPr/>
        <w:t>当资产或者资产组的可收回金额低于其账面价值时，本集团将其账面价值减记至可收回金额，减记的金额计入当期损 益，同时计提相应的资产减值准备。</w:t>
      </w:r>
    </w:p>
    <w:p>
      <w:pPr>
        <w:pStyle w:val="BodyText"/>
        <w:spacing w:line="240" w:lineRule="auto" w:before="19"/>
        <w:ind w:left="573" w:right="0"/>
        <w:jc w:val="left"/>
      </w:pPr>
      <w:r>
        <w:rPr/>
        <w:t>上述资产减值损失一经确认，在以后会计期间不再转回。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7、长期待摊费用" w:id="195"/>
      <w:bookmarkEnd w:id="195"/>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70" w:firstLine="420"/>
        <w:jc w:val="both"/>
      </w:pPr>
      <w:r>
        <w:rPr/>
        <w:t>长期待摊费用包括预付经营租赁费用及经营租入固定资产改良，按租赁期和预计受益期孰短采用直线法摊销，并以实 际支出减去累计摊销与减值准备后的净额列示。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8、职工薪酬" w:id="196"/>
      <w:bookmarkEnd w:id="196"/>
      <w:r>
        <w:rPr>
          <w:b w:val="0"/>
          <w:bCs w:val="0"/>
        </w:rPr>
      </w:r>
      <w:r>
        <w:rPr>
          <w:rFonts w:ascii="Times New Roman" w:hAnsi="Times New Roman" w:cs="Times New Roman" w:eastAsia="Times New Roman" w:hint="default"/>
        </w:rPr>
        <w:t>18</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职工薪酬，是指本集团为获得职工提供的服务或解除劳动关系而给予的除股份支付以外各种形式的报酬或补偿以及其他相关</w:t>
      </w:r>
      <w:r>
        <w:rPr>
          <w:spacing w:val="-64"/>
        </w:rPr>
        <w:t> </w:t>
      </w:r>
      <w:r>
        <w:rPr>
          <w:spacing w:val="-64"/>
        </w:rPr>
      </w:r>
      <w:r>
        <w:rPr>
          <w:spacing w:val="-2"/>
        </w:rPr>
        <w:t>支出。职工薪酬包括短期薪酬、离职后福利、辞退福利和其他长期职工福利。本集团提供给职工配偶、子女、受赡养人、已</w:t>
      </w:r>
      <w:r>
        <w:rPr>
          <w:spacing w:val="-71"/>
        </w:rPr>
        <w:t> </w:t>
      </w:r>
      <w:r>
        <w:rPr>
          <w:spacing w:val="-71"/>
        </w:rPr>
      </w:r>
      <w:r>
        <w:rPr/>
        <w:t>故员工遗属及其他受益人等的福利，也属于职工薪酬。</w:t>
      </w:r>
    </w:p>
    <w:p>
      <w:pPr>
        <w:pStyle w:val="BodyText"/>
        <w:spacing w:line="316" w:lineRule="auto" w:before="19"/>
        <w:ind w:left="154" w:right="2832"/>
        <w:jc w:val="left"/>
      </w:pPr>
      <w:r>
        <w:rPr/>
        <w:t>短期薪酬 在职工提供服务的会计期间，将实际发生的短期薪酬确认为负债，并计入当期损益或相关资产成本。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离职后福利即设定提存计划。本集团的职工参加由当地政府管理的养老保险、医疗保险、失业保险等社会保险费和住房公积</w:t>
      </w:r>
    </w:p>
    <w:p>
      <w:pPr>
        <w:spacing w:after="0" w:line="240"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6"/>
        <w:ind w:left="154" w:right="0"/>
        <w:jc w:val="left"/>
      </w:pPr>
      <w:r>
        <w:rPr/>
        <w:t>金，相应支出在发生时计入相关资产成本或当期损益。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本集团向职工提供辞退福利的，在下列两者孰早日确认辞退福利产生的职工薪酬负债，并计入当期损益：企业不能单方面撤</w:t>
      </w:r>
      <w:r>
        <w:rPr>
          <w:spacing w:val="-66"/>
        </w:rPr>
        <w:t> </w:t>
      </w:r>
      <w:r>
        <w:rPr>
          <w:spacing w:val="-66"/>
        </w:rPr>
      </w:r>
      <w:r>
        <w:rPr/>
        <w:t>回因解除劳动关系计划或裁减建议所提供的辞退福利时；企业确认与涉及支付辞退福利的重组相关的成本或费用时。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0"/>
        <w:jc w:val="left"/>
        <w:rPr>
          <w:b w:val="0"/>
          <w:bCs w:val="0"/>
        </w:rPr>
      </w:pPr>
      <w:bookmarkStart w:name="（4）其他长期职工福利的会计处理方法" w:id="200"/>
      <w:bookmarkEnd w:id="20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本集团无其他长期职工福利。</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9、预计负债" w:id="201"/>
      <w:bookmarkEnd w:id="201"/>
      <w:r>
        <w:rPr>
          <w:b w:val="0"/>
          <w:bCs w:val="0"/>
        </w:rPr>
      </w: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除了非同一控制下企业合并中的或有对价及承担的或有负债之外，当与或有事项相关的义务同时符合以下条件，本集</w:t>
      </w:r>
    </w:p>
    <w:p>
      <w:pPr>
        <w:pStyle w:val="BodyText"/>
        <w:spacing w:line="240" w:lineRule="auto" w:before="31"/>
        <w:ind w:left="154" w:right="0"/>
        <w:jc w:val="left"/>
      </w:pPr>
      <w:r>
        <w:rPr/>
        <w:t>团将其确认为预计负债：</w:t>
      </w:r>
    </w:p>
    <w:p>
      <w:pPr>
        <w:pStyle w:val="BodyText"/>
        <w:tabs>
          <w:tab w:pos="573" w:val="left" w:leader="none"/>
        </w:tabs>
        <w:spacing w:line="240" w:lineRule="auto" w:before="76"/>
        <w:ind w:left="154" w:right="0"/>
        <w:jc w:val="left"/>
      </w:pPr>
      <w:r>
        <w:rPr>
          <w:rFonts w:ascii="Times New Roman" w:hAnsi="Times New Roman" w:cs="Times New Roman" w:eastAsia="Times New Roman" w:hint="default"/>
        </w:rPr>
        <w:t>1)</w:t>
        <w:tab/>
      </w:r>
      <w:r>
        <w:rPr/>
        <w:t>该义务是本集团承担的现时义务；</w:t>
      </w:r>
    </w:p>
    <w:p>
      <w:pPr>
        <w:pStyle w:val="BodyText"/>
        <w:tabs>
          <w:tab w:pos="573" w:val="left" w:leader="none"/>
        </w:tabs>
        <w:spacing w:line="240" w:lineRule="auto" w:before="63"/>
        <w:ind w:left="154" w:right="0"/>
        <w:jc w:val="left"/>
      </w:pPr>
      <w:r>
        <w:rPr>
          <w:rFonts w:ascii="Times New Roman" w:hAnsi="Times New Roman" w:cs="Times New Roman" w:eastAsia="Times New Roman" w:hint="default"/>
        </w:rPr>
        <w:t>2)</w:t>
        <w:tab/>
      </w:r>
      <w:r>
        <w:rPr/>
        <w:t>该义务的履行很可能导致经济利益流出本集团；</w:t>
      </w:r>
    </w:p>
    <w:p>
      <w:pPr>
        <w:pStyle w:val="BodyText"/>
        <w:tabs>
          <w:tab w:pos="573" w:val="left" w:leader="none"/>
        </w:tabs>
        <w:spacing w:line="240" w:lineRule="auto" w:before="63"/>
        <w:ind w:left="154" w:right="0"/>
        <w:jc w:val="left"/>
      </w:pPr>
      <w:r>
        <w:rPr>
          <w:rFonts w:ascii="Times New Roman" w:hAnsi="Times New Roman" w:cs="Times New Roman" w:eastAsia="Times New Roman" w:hint="default"/>
        </w:rPr>
        <w:t>3)</w:t>
        <w:tab/>
      </w:r>
      <w:r>
        <w:rPr/>
        <w:t>该义务的金额能够可靠地计量。</w:t>
      </w:r>
    </w:p>
    <w:p>
      <w:pPr>
        <w:spacing w:line="300" w:lineRule="auto" w:before="63"/>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预计负债按照履行相关现时义务所需支出的最佳估计数进行初始计量，并综合考虑与或有事项有关的风险、不确定性</w:t>
      </w:r>
    </w:p>
    <w:p>
      <w:pPr>
        <w:pStyle w:val="BodyText"/>
        <w:spacing w:line="316" w:lineRule="auto" w:before="32"/>
        <w:ind w:left="154" w:right="0"/>
        <w:jc w:val="left"/>
      </w:pPr>
      <w:r>
        <w:rPr>
          <w:spacing w:val="-2"/>
        </w:rPr>
        <w:t>和货币时间价值等因素。每个资产负债表日对预计负债的账面价值进行复核。有确凿证据表明该账面价值不能反映当前最佳</w:t>
      </w:r>
      <w:r>
        <w:rPr>
          <w:spacing w:val="-64"/>
        </w:rPr>
        <w:t> </w:t>
      </w:r>
      <w:r>
        <w:rPr>
          <w:spacing w:val="-64"/>
        </w:rPr>
      </w:r>
      <w:r>
        <w:rPr/>
        <w:t>估计数的，按照当前最佳估计数对该账面价值进行调整。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0、股份支付" w:id="202"/>
      <w:bookmarkEnd w:id="202"/>
      <w:r>
        <w:rPr>
          <w:b w:val="0"/>
          <w:bCs w:val="0"/>
        </w:rPr>
      </w:r>
      <w:r>
        <w:rPr>
          <w:rFonts w:ascii="Times New Roman" w:hAnsi="Times New Roman" w:cs="Times New Roman" w:eastAsia="Times New Roman" w:hint="default"/>
        </w:rPr>
        <w:t>20</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股份支付的种类</w:t>
      </w:r>
      <w:r>
        <w:rPr>
          <w:rFonts w:ascii="宋体" w:hAnsi="宋体" w:cs="宋体" w:eastAsia="宋体" w:hint="default"/>
          <w:b/>
          <w:bCs/>
          <w:w w:val="99"/>
        </w:rPr>
        <w:t> </w:t>
      </w:r>
      <w:r>
        <w:rPr>
          <w:spacing w:val="-2"/>
        </w:rPr>
        <w:t>股份支付，分为以权益结算的股份支付和以现金结算的股份支付。以权益结算的股份支付，是指本集团为获取服务以股份或</w:t>
      </w:r>
      <w:r>
        <w:rPr>
          <w:spacing w:val="-66"/>
        </w:rPr>
        <w:t> </w:t>
      </w:r>
      <w:r>
        <w:rPr>
          <w:spacing w:val="-66"/>
        </w:rPr>
      </w:r>
      <w:r>
        <w:rPr/>
        <w:t>其他权益工具作为对价进行结算的交易。</w:t>
      </w:r>
    </w:p>
    <w:p>
      <w:pPr>
        <w:pStyle w:val="BodyText"/>
        <w:spacing w:line="312" w:lineRule="auto" w:before="24"/>
        <w:ind w:right="104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0"/>
        </w:rPr>
        <w:t> </w:t>
      </w:r>
      <w:r>
        <w:rPr>
          <w:rFonts w:ascii="宋体" w:hAnsi="宋体" w:cs="宋体" w:eastAsia="宋体" w:hint="default"/>
          <w:b/>
          <w:bCs/>
        </w:rPr>
        <w:t>权益工具公允价值的确定方法及确认可行权权益工具最佳估计的依据</w:t>
      </w:r>
      <w:r>
        <w:rPr>
          <w:rFonts w:ascii="宋体" w:hAnsi="宋体" w:cs="宋体" w:eastAsia="宋体" w:hint="default"/>
          <w:b/>
          <w:bCs/>
          <w:w w:val="99"/>
        </w:rPr>
        <w:t> </w:t>
      </w:r>
      <w:r>
        <w:rPr>
          <w:spacing w:val="-2"/>
        </w:rPr>
        <w:t>以权益结算的股份支付换取职工提供服务的，以授予职工权益工具的公允价值计量。完成等待期内的服务或达到规定业绩条</w:t>
      </w:r>
      <w:r>
        <w:rPr>
          <w:spacing w:val="-64"/>
        </w:rPr>
        <w:t> </w:t>
      </w:r>
      <w:r>
        <w:rPr>
          <w:spacing w:val="-64"/>
        </w:rPr>
      </w:r>
      <w:r>
        <w:rPr>
          <w:spacing w:val="-2"/>
        </w:rPr>
        <w:t>件才可行权的，在等待期内每个资产负债表日，本集团根据最新取得的可行权职工人数变动、是否达到规定业绩条件等后续</w:t>
      </w:r>
      <w:r>
        <w:rPr>
          <w:spacing w:val="-66"/>
        </w:rPr>
        <w:t> </w:t>
      </w:r>
      <w:r>
        <w:rPr>
          <w:spacing w:val="-66"/>
        </w:rPr>
      </w:r>
      <w:r>
        <w:rPr/>
        <w:t>信息对可行权权益工具数量作出最佳估计，以此为基础，按照授予日的公允价值，将当期取得的服务计入相关成本或费用，</w:t>
      </w:r>
      <w:r>
        <w:rPr>
          <w:spacing w:val="-85"/>
        </w:rPr>
        <w:t> </w:t>
      </w:r>
      <w:r>
        <w:rPr>
          <w:spacing w:val="-85"/>
        </w:rPr>
      </w:r>
      <w:r>
        <w:rPr/>
        <w:t>相应增加资本公积。权益工具的公允价值采用布莱克</w:t>
      </w:r>
      <w:r>
        <w:rPr>
          <w:rFonts w:ascii="Times New Roman" w:hAnsi="Times New Roman" w:cs="Times New Roman" w:eastAsia="Times New Roman" w:hint="default"/>
        </w:rPr>
        <w:t>-</w:t>
      </w:r>
      <w:r>
        <w:rPr/>
        <w:t>斯克尔期权定价模型确定。 </w:t>
      </w:r>
      <w:r>
        <w:rPr>
          <w:spacing w:val="-5"/>
        </w:rPr>
        <w:t>在满足业绩条件和服务期限条件的期间，应确认以权益结算的股份支付的成本或费用，并相应增加资本公积。可行权日之前，</w:t>
      </w:r>
      <w:r>
        <w:rPr>
          <w:spacing w:val="-79"/>
        </w:rPr>
        <w:t> </w:t>
      </w:r>
      <w:r>
        <w:rPr>
          <w:spacing w:val="-79"/>
        </w:rPr>
      </w:r>
      <w:r>
        <w:rPr/>
        <w:t>于每个资产负债表日为以权益结算的股份支付确认的累计金额反映了等待期已届满的部分以及本集团对最终可行权的权益 工具数量的最佳估计。</w:t>
      </w:r>
    </w:p>
    <w:p>
      <w:pPr>
        <w:pStyle w:val="BodyText"/>
        <w:spacing w:line="314" w:lineRule="auto" w:before="22"/>
        <w:ind w:right="0"/>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0"/>
        </w:rPr>
        <w:t> </w:t>
      </w:r>
      <w:r>
        <w:rPr>
          <w:rFonts w:ascii="宋体" w:hAnsi="宋体" w:cs="宋体" w:eastAsia="宋体" w:hint="default"/>
          <w:b/>
          <w:bCs/>
        </w:rPr>
        <w:t>修改及终止股份支付计划的相关会计处理</w:t>
      </w:r>
      <w:r>
        <w:rPr>
          <w:rFonts w:ascii="宋体" w:hAnsi="宋体" w:cs="宋体" w:eastAsia="宋体" w:hint="default"/>
          <w:b/>
          <w:bCs/>
          <w:w w:val="99"/>
        </w:rPr>
        <w:t>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p>
    <w:p>
      <w:pPr>
        <w:spacing w:after="0" w:line="314"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6"/>
        <w:ind w:left="154" w:right="0"/>
        <w:jc w:val="left"/>
      </w:pP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收入" w:id="203"/>
      <w:bookmarkEnd w:id="203"/>
      <w:r>
        <w:rPr>
          <w:b w:val="0"/>
          <w:bCs w:val="0"/>
        </w:rPr>
      </w:r>
      <w:r>
        <w:rPr>
          <w:rFonts w:ascii="Times New Roman" w:hAnsi="Times New Roman" w:cs="Times New Roman" w:eastAsia="Times New Roman" w:hint="default"/>
        </w:rPr>
        <w:t>21</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收入在经济利益很可能流入本集团、且金额能够可靠计量，并同时满足下列条件时予以确认。</w:t>
      </w:r>
    </w:p>
    <w:p>
      <w:pPr>
        <w:pStyle w:val="BodyText"/>
        <w:tabs>
          <w:tab w:pos="994" w:val="left" w:leader="none"/>
        </w:tabs>
        <w:spacing w:line="300" w:lineRule="auto" w:before="76"/>
        <w:ind w:left="574" w:right="1170" w:hanging="420"/>
        <w:jc w:val="left"/>
      </w:pPr>
      <w:r>
        <w:rPr>
          <w:rFonts w:ascii="宋体" w:hAnsi="宋体" w:cs="宋体" w:eastAsia="宋体" w:hint="default"/>
          <w:b/>
          <w:bCs/>
          <w:w w:val="95"/>
        </w:rPr>
        <w:t>（</w:t>
      </w: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销售商品收入</w:t>
      </w:r>
      <w:r>
        <w:rPr>
          <w:rFonts w:ascii="宋体" w:hAnsi="宋体" w:cs="宋体" w:eastAsia="宋体" w:hint="default"/>
          <w:b/>
          <w:bCs/>
          <w:w w:val="99"/>
        </w:rPr>
        <w:t> </w:t>
      </w:r>
      <w:r>
        <w:rPr/>
        <w:t>本集团已将商品所有权上的主要风险和报酬转移给购货方，并不再对该商品保留通常与所有权相联系的继续管理权和</w:t>
      </w:r>
    </w:p>
    <w:p>
      <w:pPr>
        <w:pStyle w:val="BodyText"/>
        <w:spacing w:line="316" w:lineRule="auto" w:before="31"/>
        <w:ind w:left="154" w:right="1131"/>
        <w:jc w:val="both"/>
      </w:pPr>
      <w:r>
        <w:rPr>
          <w:spacing w:val="-2"/>
        </w:rPr>
        <w:t>实施有效控制，且相关的已发生或将发生的成本能够可靠地计量，确认为收入的实现。销售商品收入金额，按照从购货方已</w:t>
      </w:r>
      <w:r>
        <w:rPr>
          <w:spacing w:val="-66"/>
        </w:rPr>
        <w:t> </w:t>
      </w:r>
      <w:r>
        <w:rPr>
          <w:spacing w:val="-66"/>
        </w:rPr>
      </w:r>
      <w:r>
        <w:rPr>
          <w:spacing w:val="-2"/>
        </w:rPr>
        <w:t>收或应收的合同或协议价款确定，但已收或应收的合同或协议价款不公允的除外；合同或协议价款的收取采用递延方式，实</w:t>
      </w:r>
      <w:r>
        <w:rPr>
          <w:spacing w:val="-66"/>
        </w:rPr>
        <w:t> </w:t>
      </w:r>
      <w:r>
        <w:rPr>
          <w:spacing w:val="-66"/>
        </w:rPr>
      </w:r>
      <w:r>
        <w:rPr/>
        <w:t>质上具有融资性质的，按照应收的合同或协议价款的公允价值确定。</w:t>
      </w:r>
    </w:p>
    <w:p>
      <w:pPr>
        <w:pStyle w:val="BodyText"/>
        <w:spacing w:line="300" w:lineRule="auto" w:before="19"/>
        <w:ind w:right="0" w:firstLine="420"/>
        <w:jc w:val="left"/>
      </w:pPr>
      <w:r>
        <w:rPr/>
        <w:t>公司具体的销售商品收入确认原则如下：</w:t>
      </w:r>
      <w:r>
        <w:rPr>
          <w:rFonts w:ascii="Times New Roman" w:hAnsi="Times New Roman" w:cs="Times New Roman" w:eastAsia="Times New Roman" w:hint="default"/>
        </w:rPr>
        <w:t>1.</w:t>
      </w:r>
      <w:r>
        <w:rPr/>
        <w:t>对加盟商的销售：于向加盟商发出货物时，确认销售收入。</w:t>
      </w:r>
      <w:r>
        <w:rPr>
          <w:rFonts w:ascii="Times New Roman" w:hAnsi="Times New Roman" w:cs="Times New Roman" w:eastAsia="Times New Roman" w:hint="default"/>
        </w:rPr>
        <w:t>2.</w:t>
      </w:r>
      <w:r>
        <w:rPr/>
        <w:t>直营店销售： 于商品交付给消费者并收取价款时，确认销售收入。</w:t>
      </w:r>
    </w:p>
    <w:p>
      <w:pPr>
        <w:tabs>
          <w:tab w:pos="994" w:val="left" w:leader="none"/>
        </w:tabs>
        <w:spacing w:line="300" w:lineRule="auto" w:before="31"/>
        <w:ind w:left="574" w:right="5670" w:hanging="420"/>
        <w:jc w:val="lef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利息收入</w:t>
      </w:r>
      <w:r>
        <w:rPr>
          <w:rFonts w:ascii="宋体" w:hAnsi="宋体" w:cs="宋体" w:eastAsia="宋体" w:hint="default"/>
          <w:b/>
          <w:bCs/>
          <w:w w:val="99"/>
          <w:sz w:val="18"/>
          <w:szCs w:val="18"/>
        </w:rPr>
        <w:t> </w:t>
      </w:r>
      <w:r>
        <w:rPr>
          <w:rFonts w:ascii="宋体" w:hAnsi="宋体" w:cs="宋体" w:eastAsia="宋体" w:hint="default"/>
          <w:sz w:val="18"/>
          <w:szCs w:val="18"/>
        </w:rPr>
        <w:t>按照他人使用本集团货币资金的时间和实际利率计算确定。</w:t>
      </w:r>
    </w:p>
    <w:p>
      <w:pPr>
        <w:pStyle w:val="BodyText"/>
        <w:tabs>
          <w:tab w:pos="994" w:val="left" w:leader="none"/>
        </w:tabs>
        <w:spacing w:line="300" w:lineRule="auto" w:before="31"/>
        <w:ind w:left="574" w:right="1710" w:hanging="420"/>
        <w:jc w:val="left"/>
      </w:pPr>
      <w:r>
        <w:rPr>
          <w:rFonts w:ascii="宋体" w:hAnsi="宋体" w:cs="宋体" w:eastAsia="宋体" w:hint="default"/>
          <w:b/>
          <w:bCs/>
          <w:w w:val="95"/>
        </w:rPr>
        <w:t>（</w:t>
      </w:r>
      <w:r>
        <w:rPr>
          <w:rFonts w:ascii="Times New Roman" w:hAnsi="Times New Roman" w:cs="Times New Roman" w:eastAsia="Times New Roman" w:hint="default"/>
          <w:b/>
          <w:bCs/>
          <w:w w:val="95"/>
        </w:rPr>
        <w:t>3</w:t>
      </w:r>
      <w:r>
        <w:rPr>
          <w:rFonts w:ascii="宋体" w:hAnsi="宋体" w:cs="宋体" w:eastAsia="宋体" w:hint="default"/>
          <w:b/>
          <w:bCs/>
          <w:w w:val="95"/>
        </w:rPr>
        <w:t>）</w:t>
        <w:tab/>
      </w:r>
      <w:r>
        <w:rPr>
          <w:rFonts w:ascii="宋体" w:hAnsi="宋体" w:cs="宋体" w:eastAsia="宋体" w:hint="default"/>
          <w:b/>
          <w:bCs/>
        </w:rPr>
        <w:t>租赁收入</w:t>
      </w:r>
      <w:r>
        <w:rPr>
          <w:rFonts w:ascii="宋体" w:hAnsi="宋体" w:cs="宋体" w:eastAsia="宋体" w:hint="default"/>
          <w:b/>
          <w:bCs/>
          <w:w w:val="99"/>
        </w:rPr>
        <w:t> </w:t>
      </w:r>
      <w:r>
        <w:rPr/>
        <w:t>经营租赁的租金收入在租赁期内各个期间按照直线法确认为当期损益，或有租金在实际发生时计入当期损益。</w:t>
      </w:r>
    </w:p>
    <w:p>
      <w:pPr>
        <w:tabs>
          <w:tab w:pos="994" w:val="left" w:leader="none"/>
        </w:tabs>
        <w:spacing w:line="300" w:lineRule="auto" w:before="31"/>
        <w:ind w:left="574" w:right="4230" w:hanging="420"/>
        <w:jc w:val="lef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4</w:t>
      </w:r>
      <w:r>
        <w:rPr>
          <w:rFonts w:ascii="宋体" w:hAnsi="宋体" w:cs="宋体" w:eastAsia="宋体" w:hint="default"/>
          <w:b/>
          <w:bCs/>
          <w:w w:val="95"/>
          <w:sz w:val="18"/>
          <w:szCs w:val="18"/>
        </w:rPr>
        <w:t>）</w:t>
        <w:tab/>
      </w:r>
      <w:r>
        <w:rPr>
          <w:rFonts w:ascii="宋体" w:hAnsi="宋体" w:cs="宋体" w:eastAsia="宋体" w:hint="default"/>
          <w:b/>
          <w:bCs/>
          <w:sz w:val="18"/>
          <w:szCs w:val="18"/>
        </w:rPr>
        <w:t>提供劳务收入</w:t>
      </w:r>
      <w:r>
        <w:rPr>
          <w:rFonts w:ascii="宋体" w:hAnsi="宋体" w:cs="宋体" w:eastAsia="宋体" w:hint="default"/>
          <w:b/>
          <w:bCs/>
          <w:w w:val="99"/>
          <w:sz w:val="18"/>
          <w:szCs w:val="18"/>
        </w:rPr>
        <w:t> </w:t>
      </w:r>
      <w:r>
        <w:rPr>
          <w:rFonts w:ascii="宋体" w:hAnsi="宋体" w:cs="宋体" w:eastAsia="宋体" w:hint="default"/>
          <w:sz w:val="18"/>
          <w:szCs w:val="18"/>
        </w:rPr>
        <w:t>在劳务已经提供，收到价款或取得收取价款的依据时，确认劳务收入的实现。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left="153" w:right="0"/>
        <w:jc w:val="left"/>
        <w:rPr>
          <w:b w:val="0"/>
          <w:bCs w:val="0"/>
        </w:rPr>
      </w:pPr>
      <w:bookmarkStart w:name="22、政府补助" w:id="204"/>
      <w:bookmarkEnd w:id="204"/>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政府文件规定用于购建或以其他方式形成长期资产的，作为与资产相关的政府补助；政府文件不明确的，以取得该补助必须</w:t>
      </w:r>
      <w:r>
        <w:rPr>
          <w:spacing w:val="-66"/>
        </w:rPr>
        <w:t> </w:t>
      </w:r>
      <w:r>
        <w:rPr>
          <w:spacing w:val="-66"/>
        </w:rPr>
      </w:r>
      <w:r>
        <w:rPr/>
        <w:t>具备的基本条件为基础进行判断，以购建或其他方式形成长期资产为基本条件的作为与资产相关的政府补助。 </w:t>
      </w:r>
      <w:r>
        <w:rPr>
          <w:spacing w:val="-2"/>
        </w:rPr>
        <w:t>与资产相关的政府补助，确认为递延收益，在相关资产使用寿命内平均分配，计入当期损益。但按照名义金额计量的政府补</w:t>
      </w:r>
      <w:r>
        <w:rPr>
          <w:spacing w:val="-66"/>
        </w:rPr>
        <w:t> </w:t>
      </w:r>
      <w:r>
        <w:rPr>
          <w:spacing w:val="-66"/>
        </w:rPr>
      </w:r>
      <w:r>
        <w:rPr/>
        <w:t>助，直接计入当期损益。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jc w:val="left"/>
      </w:pPr>
      <w:r>
        <w:rPr/>
        <w:t>除第</w:t>
      </w:r>
      <w:r>
        <w:rPr>
          <w:rFonts w:ascii="Times New Roman" w:hAnsi="Times New Roman" w:cs="Times New Roman" w:eastAsia="Times New Roman" w:hint="default"/>
        </w:rPr>
        <w:t>(1)</w:t>
      </w:r>
      <w:r>
        <w:rPr/>
        <w:t>项认定为与资产相关的政府补助之外的，作为与收益相关的政府补助。 </w:t>
      </w:r>
      <w:r>
        <w:rPr>
          <w:spacing w:val="-5"/>
        </w:rPr>
        <w:t>与收益相关的政府补助，用于补偿以后期间的相关费用或损失的，确认为递延收益，并在确认相关费用的期间计入当期损益；</w:t>
      </w:r>
      <w:r>
        <w:rPr>
          <w:spacing w:val="-79"/>
        </w:rPr>
        <w:t> </w:t>
      </w:r>
      <w:r>
        <w:rPr>
          <w:spacing w:val="-79"/>
        </w:rPr>
      </w:r>
      <w:r>
        <w:rPr/>
        <w:t>用于补偿已发生的相关费用或损失的，直接计入当期损益。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 政府补助的确认和计量" w:id="207"/>
      <w:bookmarkEnd w:id="207"/>
      <w:r>
        <w:rPr>
          <w:b w:val="0"/>
          <w:bCs w:val="0"/>
        </w:rPr>
      </w:r>
      <w:r>
        <w:rPr/>
        <w:t>（</w:t>
      </w:r>
      <w:r>
        <w:rPr>
          <w:rFonts w:ascii="Times New Roman" w:hAnsi="Times New Roman" w:cs="Times New Roman" w:eastAsia="Times New Roman" w:hint="default"/>
        </w:rPr>
        <w:t>3</w:t>
      </w:r>
      <w:r>
        <w:rPr/>
        <w:t>）</w:t>
      </w:r>
      <w:r>
        <w:rPr>
          <w:spacing w:val="-3"/>
        </w:rPr>
        <w:t> </w:t>
      </w:r>
      <w:r>
        <w:rPr/>
        <w:t>政府补助的确认和计量</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3、递延所得税资产/递延所得税负债" w:id="208"/>
      <w:bookmarkEnd w:id="208"/>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所得税包括当期所得税和递延所得税，除由于企业合并产生的调整商誉，或与直接计入股东权益的交易或者事项相关的计入</w:t>
      </w:r>
      <w:r>
        <w:rPr>
          <w:spacing w:val="-64"/>
        </w:rPr>
        <w:t> </w:t>
      </w:r>
      <w:r>
        <w:rPr>
          <w:spacing w:val="-64"/>
        </w:rPr>
      </w:r>
      <w:r>
        <w:rPr/>
        <w:t>股东权益外，均作为所得税费用或收益计入当期损益。</w:t>
      </w:r>
    </w:p>
    <w:p>
      <w:pPr>
        <w:spacing w:after="0" w:line="316"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6"/>
        <w:ind w:right="793"/>
        <w:jc w:val="left"/>
        <w:rPr>
          <w:rFonts w:ascii="宋体" w:hAnsi="宋体" w:cs="宋体" w:eastAsia="宋体" w:hint="default"/>
        </w:rPr>
      </w:pPr>
      <w:r>
        <w:rPr/>
        <w:t>本集团对于当期和以前期间形成的当期所得税负债或资产，按照税法规定计算的预期应交纳或返还的所得税金额计量。 </w:t>
      </w:r>
      <w:r>
        <w:rPr>
          <w:spacing w:val="-2"/>
        </w:rPr>
        <w:t>本集团根据资产与负债于资产负债表日的账面价值与计税基础之间的暂时性差异，以及未作为资产和负债确认但按照税法规</w:t>
      </w:r>
      <w:r>
        <w:rPr>
          <w:spacing w:val="-64"/>
        </w:rPr>
        <w:t> </w:t>
      </w:r>
      <w:r>
        <w:rPr>
          <w:spacing w:val="-64"/>
        </w:rPr>
      </w:r>
      <w:r>
        <w:rPr>
          <w:spacing w:val="-2"/>
        </w:rPr>
        <w:t>定可以确定其计税基础的项目的账面价值与计税基础之间的差额产生的暂时性差异，采用资产负债表债务法计提递延所得税。</w:t>
      </w:r>
      <w:r>
        <w:rPr>
          <w:spacing w:val="-62"/>
        </w:rPr>
        <w:t> </w:t>
      </w:r>
      <w:r>
        <w:rPr>
          <w:spacing w:val="-62"/>
        </w:rPr>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29"/>
        </w:rPr>
        <w:t> </w:t>
      </w:r>
      <w:r>
        <w:rPr>
          <w:rFonts w:ascii="宋体" w:hAnsi="宋体" w:cs="宋体" w:eastAsia="宋体" w:hint="default"/>
          <w:b/>
          <w:bCs/>
        </w:rPr>
        <w:t>确认递延所得税负债</w:t>
      </w:r>
      <w:r>
        <w:rPr>
          <w:rFonts w:ascii="宋体" w:hAnsi="宋体" w:cs="宋体" w:eastAsia="宋体" w:hint="default"/>
        </w:rPr>
      </w:r>
    </w:p>
    <w:p>
      <w:pPr>
        <w:pStyle w:val="BodyText"/>
        <w:spacing w:line="235" w:lineRule="exact"/>
        <w:ind w:left="154" w:right="0"/>
        <w:jc w:val="left"/>
      </w:pPr>
      <w:r>
        <w:rPr/>
        <w:t>各种应纳税暂时性差异均据以确认递延所得税负债，除非：</w:t>
      </w:r>
    </w:p>
    <w:p>
      <w:pPr>
        <w:pStyle w:val="BodyText"/>
        <w:spacing w:line="300" w:lineRule="auto" w:before="76"/>
        <w:ind w:left="1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应纳税暂时性差异是在以下交易中产生的：商誉的初始确认，或者具有以下特征的交易中产生的资产或负债的初始确认：</w:t>
      </w:r>
      <w:r>
        <w:rPr>
          <w:spacing w:val="-87"/>
        </w:rPr>
        <w:t> </w:t>
      </w:r>
      <w:r>
        <w:rPr>
          <w:spacing w:val="-87"/>
        </w:rPr>
      </w:r>
      <w:r>
        <w:rPr/>
        <w:t>该交易不是企业合并，并且交易发生时既不影响会计利润也不影响应纳税所得额或可抵扣亏损。</w:t>
      </w:r>
    </w:p>
    <w:p>
      <w:pPr>
        <w:pStyle w:val="BodyText"/>
        <w:spacing w:line="300" w:lineRule="auto" w:before="31"/>
        <w:ind w:right="11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对于与子公司、合营企业及联营企业投资相关的应纳税暂时性差异，该暂时性差异转回的时间能够控制并且该暂时性差</w:t>
      </w:r>
      <w:r>
        <w:rPr>
          <w:w w:val="99"/>
        </w:rPr>
        <w:t> </w:t>
      </w:r>
      <w:r>
        <w:rPr/>
        <w:t>异在可预见的未来很可能不会转回。</w:t>
      </w:r>
    </w:p>
    <w:p>
      <w:pPr>
        <w:pStyle w:val="BodyText"/>
        <w:spacing w:line="309" w:lineRule="auto" w:before="31"/>
        <w:ind w:right="0"/>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确认递延所得税资产</w:t>
      </w:r>
      <w:r>
        <w:rPr>
          <w:rFonts w:ascii="宋体" w:hAnsi="宋体" w:cs="宋体" w:eastAsia="宋体" w:hint="default"/>
          <w:b/>
          <w:bCs/>
          <w:w w:val="99"/>
        </w:rPr>
        <w:t> </w:t>
      </w:r>
      <w:r>
        <w:rPr>
          <w:spacing w:val="-2"/>
        </w:rPr>
        <w:t>对于可抵扣暂时性差异、能够结转以后年度的可抵扣亏损和税款抵减，本集团以很可能取得用来抵扣可抵扣暂时性差异、可</w:t>
      </w:r>
      <w:r>
        <w:rPr>
          <w:spacing w:val="-66"/>
        </w:rPr>
        <w:t> </w:t>
      </w:r>
      <w:r>
        <w:rPr>
          <w:spacing w:val="-66"/>
        </w:rPr>
      </w:r>
      <w:r>
        <w:rPr/>
        <w:t>抵扣亏损和税款抵减的未来应纳税所得额为限，确认由此产生的递延所得税资产，除非：</w:t>
      </w:r>
    </w:p>
    <w:p>
      <w:pPr>
        <w:pStyle w:val="BodyText"/>
        <w:spacing w:line="300" w:lineRule="auto" w:before="24"/>
        <w:ind w:right="117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可抵扣暂时性差异是在以下交易中产生的：该交易不是企业合并，并且交易发生时既不影响会计利润也不影响应纳税所</w:t>
      </w:r>
      <w:r>
        <w:rPr>
          <w:w w:val="99"/>
        </w:rPr>
        <w:t> </w:t>
      </w:r>
      <w:r>
        <w:rPr/>
        <w:t>得额或可抵扣亏损。</w:t>
      </w:r>
    </w:p>
    <w:p>
      <w:pPr>
        <w:pStyle w:val="BodyText"/>
        <w:spacing w:line="316" w:lineRule="auto" w:before="31"/>
        <w:ind w:right="1033"/>
        <w:jc w:val="left"/>
      </w:pPr>
      <w:r>
        <w:rPr>
          <w:rFonts w:ascii="Times New Roman" w:hAnsi="Times New Roman" w:cs="Times New Roman" w:eastAsia="Times New Roman" w:hint="default"/>
        </w:rPr>
        <w:t>2) </w:t>
      </w:r>
      <w:r>
        <w:rPr>
          <w:spacing w:val="-3"/>
        </w:rPr>
        <w:t>对于与子公司、合营企业及联营企业投资相关的可抵扣暂时性差异，同时满足下列条件的，确认相应的递延所得税资产：</w:t>
      </w:r>
      <w:r>
        <w:rPr>
          <w:spacing w:val="-79"/>
        </w:rPr>
        <w:t> </w:t>
      </w:r>
      <w:r>
        <w:rPr>
          <w:spacing w:val="-79"/>
        </w:rPr>
      </w:r>
      <w:r>
        <w:rPr/>
        <w:t>暂时性差异在可预见的未来很可能转回，且未来很可能获得用来抵扣可抵扣暂时性差异的应纳税所得额。</w:t>
      </w:r>
      <w:r>
        <w:rPr>
          <w:w w:val="99"/>
        </w:rPr>
        <w:t> </w:t>
      </w:r>
      <w:r>
        <w:rPr>
          <w:spacing w:val="-2"/>
        </w:rPr>
        <w:t>本集团于资产负债表日，对于递延所得税资产和递延所得税负债，依据税法规定，按照预期收回该资产或清偿该负债期间的</w:t>
      </w:r>
      <w:r>
        <w:rPr>
          <w:spacing w:val="-67"/>
        </w:rPr>
        <w:t> </w:t>
      </w:r>
      <w:r>
        <w:rPr>
          <w:spacing w:val="-67"/>
        </w:rPr>
      </w:r>
      <w:r>
        <w:rPr/>
        <w:t>适用税率计量，并反映资产负债表日预期收回资产或清偿负债方式的所得税影响。</w:t>
      </w:r>
      <w:r>
        <w:rPr>
          <w:w w:val="99"/>
        </w:rPr>
        <w:t> </w:t>
      </w:r>
      <w:r>
        <w:rPr>
          <w:spacing w:val="-2"/>
        </w:rPr>
        <w:t>于资产负债表日，本集团对递延所得税资产的账面价值进行复核，如果未来期间很可能无法获得足够的应纳税所得额用以抵</w:t>
      </w:r>
      <w:r>
        <w:rPr>
          <w:spacing w:val="-65"/>
        </w:rPr>
        <w:t> </w:t>
      </w:r>
      <w:r>
        <w:rPr>
          <w:spacing w:val="-65"/>
        </w:rPr>
      </w:r>
      <w:r>
        <w:rPr/>
        <w:t>扣递延所得税资产的利益，减记递延所得税资产的账面价值。于资产负债表日，本集团重新评估未确认的递延所得税资产，</w:t>
      </w:r>
      <w:r>
        <w:rPr>
          <w:spacing w:val="-85"/>
        </w:rPr>
        <w:t> </w:t>
      </w:r>
      <w:r>
        <w:rPr>
          <w:spacing w:val="-85"/>
        </w:rPr>
      </w:r>
      <w:r>
        <w:rPr/>
        <w:t>在很可能获得足够的应纳税所得额可供所有或部分递延所得税资产转回的限度内，确认递延所得税资产。</w:t>
      </w:r>
      <w:r>
        <w:rPr>
          <w:w w:val="99"/>
        </w:rPr>
        <w:t> </w:t>
      </w:r>
      <w:r>
        <w:rPr>
          <w:spacing w:val="-2"/>
          <w:w w:val="99"/>
        </w:rPr>
        <w:t>如果拥有以净额结算当期所得税资产及当期所得税负债的法定权利，且递延所得税与同一应纳税主体和同一税收征管部门相</w:t>
      </w:r>
      <w:r>
        <w:rPr>
          <w:spacing w:val="-64"/>
          <w:w w:val="99"/>
        </w:rPr>
        <w:t> </w:t>
      </w:r>
      <w:r>
        <w:rPr>
          <w:spacing w:val="-64"/>
          <w:w w:val="99"/>
        </w:rPr>
      </w:r>
      <w:r>
        <w:rPr/>
        <w:t>关，则将递延所得税资产和递延所得税负债以抵销后的净额列示。</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4、租赁" w:id="209"/>
      <w:bookmarkEnd w:id="209"/>
      <w:r>
        <w:rPr>
          <w:b w:val="0"/>
          <w:bCs w:val="0"/>
        </w:rPr>
      </w:r>
      <w:r>
        <w:rPr>
          <w:rFonts w:ascii="Times New Roman" w:hAnsi="Times New Roman" w:cs="Times New Roman" w:eastAsia="Times New Roman" w:hint="default"/>
        </w:rPr>
        <w:t>24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实质上转移了与资产所有权有关的全部风险和报酬的租赁为融资租赁，除此之外的均为经营租赁。</w:t>
      </w:r>
    </w:p>
    <w:p>
      <w:pPr>
        <w:pStyle w:val="BodyText"/>
        <w:spacing w:line="309" w:lineRule="auto" w:before="76"/>
        <w:ind w:left="154" w:right="1116"/>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3"/>
        </w:rPr>
        <w:t> </w:t>
      </w:r>
      <w:r>
        <w:rPr>
          <w:rFonts w:ascii="宋体" w:hAnsi="宋体" w:cs="宋体" w:eastAsia="宋体" w:hint="default"/>
          <w:b/>
          <w:bCs/>
        </w:rPr>
        <w:t>作为经营租赁承租人</w:t>
      </w:r>
      <w:r>
        <w:rPr>
          <w:rFonts w:ascii="宋体" w:hAnsi="宋体" w:cs="宋体" w:eastAsia="宋体" w:hint="default"/>
          <w:b/>
          <w:bCs/>
          <w:w w:val="99"/>
        </w:rPr>
        <w:t> </w:t>
      </w:r>
      <w:r>
        <w:rPr>
          <w:spacing w:val="-2"/>
        </w:rPr>
        <w:t>经营租赁的租金支出，在租赁期内各个期间按照直线法计入相关的资产成本或当期损益，或有租金在实际发生时计入当期损</w:t>
      </w:r>
      <w:r>
        <w:rPr>
          <w:spacing w:val="-64"/>
        </w:rPr>
        <w:t> </w:t>
      </w:r>
      <w:r>
        <w:rPr>
          <w:spacing w:val="-64"/>
        </w:rPr>
      </w:r>
      <w:r>
        <w:rPr/>
        <w:t>益。</w:t>
      </w:r>
    </w:p>
    <w:p>
      <w:pPr>
        <w:spacing w:line="300" w:lineRule="auto" w:before="24"/>
        <w:ind w:left="154" w:right="229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作为经营租赁出租人</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经营租赁的租金收入在租赁期内各个期间按直线法确认为当期损益，或有租金在实际发生时计入当期损益。</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5、其他重要的会计政策和会计估计" w:id="212"/>
      <w:bookmarkEnd w:id="212"/>
      <w:r>
        <w:rPr>
          <w:b w:val="0"/>
          <w:bCs w:val="0"/>
        </w:rPr>
      </w:r>
      <w:r>
        <w:rPr>
          <w:rFonts w:ascii="Times New Roman" w:hAnsi="Times New Roman" w:cs="Times New Roman" w:eastAsia="Times New Roman" w:hint="default"/>
        </w:rPr>
        <w:t>25</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t>编制财务报表要求管理层作出判断估计和假设，这些判断估计和假设会影响收入、费用、资产和负债的列报金额及其披露，</w:t>
      </w:r>
      <w:r>
        <w:rPr>
          <w:spacing w:val="-85"/>
        </w:rPr>
        <w:t> </w:t>
      </w:r>
      <w:r>
        <w:rPr>
          <w:spacing w:val="-85"/>
        </w:rPr>
      </w:r>
      <w:r>
        <w:rPr>
          <w:spacing w:val="-2"/>
        </w:rPr>
        <w:t>以及资产负债表日或有负债的披露。然而，这些假设和估计的不确定性所导致的结果可能造成对未来受影响的资产或负债的</w:t>
      </w:r>
      <w:r>
        <w:rPr>
          <w:spacing w:val="-64"/>
        </w:rPr>
        <w:t> </w:t>
      </w:r>
      <w:r>
        <w:rPr>
          <w:spacing w:val="-64"/>
        </w:rPr>
      </w:r>
      <w:r>
        <w:rPr/>
        <w:t>账面金额进行重大调整。</w:t>
      </w:r>
    </w:p>
    <w:p>
      <w:pPr>
        <w:pStyle w:val="Heading5"/>
        <w:spacing w:line="240" w:lineRule="auto" w:before="19"/>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判断</w:t>
      </w:r>
      <w:r>
        <w:rPr>
          <w:b w:val="0"/>
          <w:bCs w:val="0"/>
        </w:rPr>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6"/>
        <w:ind w:left="154" w:right="0"/>
        <w:jc w:val="left"/>
      </w:pPr>
      <w:r>
        <w:rPr/>
        <w:t>在应用本集团的会计政策的过程中，管理层作出了以下对财务报表所确认的金额具有重大影响的判断：</w:t>
      </w:r>
    </w:p>
    <w:p>
      <w:pPr>
        <w:pStyle w:val="BodyText"/>
        <w:spacing w:line="309" w:lineRule="auto" w:before="76"/>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经营租赁</w:t>
      </w:r>
      <w:r>
        <w:rPr>
          <w:rFonts w:ascii="Times New Roman" w:hAnsi="Times New Roman" w:cs="Times New Roman" w:eastAsia="Times New Roman" w:hint="default"/>
        </w:rPr>
        <w:t>——</w:t>
      </w:r>
      <w:r>
        <w:rPr/>
        <w:t>作为出租人</w:t>
      </w:r>
      <w:r>
        <w:rPr>
          <w:w w:val="99"/>
        </w:rPr>
        <w:t> </w:t>
      </w:r>
      <w:r>
        <w:rPr>
          <w:spacing w:val="-2"/>
        </w:rPr>
        <w:t>本集团就投资性房地产签订了租赁合同。本集团认为，根据租赁合同的条款，本集团保留了这些房地产所有权上的所有重大</w:t>
      </w:r>
      <w:r>
        <w:rPr>
          <w:spacing w:val="-67"/>
        </w:rPr>
        <w:t> </w:t>
      </w:r>
      <w:r>
        <w:rPr>
          <w:spacing w:val="-67"/>
        </w:rPr>
      </w:r>
      <w:r>
        <w:rPr/>
        <w:t>风险和报酬，因此作为经营租赁处理。</w:t>
      </w:r>
    </w:p>
    <w:p>
      <w:pPr>
        <w:pStyle w:val="BodyText"/>
        <w:spacing w:line="309" w:lineRule="auto" w:before="24"/>
        <w:ind w:right="1116"/>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估计的不确定性</w:t>
      </w:r>
      <w:r>
        <w:rPr>
          <w:rFonts w:ascii="宋体" w:hAnsi="宋体" w:cs="宋体" w:eastAsia="宋体" w:hint="default"/>
          <w:b/>
          <w:bCs/>
          <w:w w:val="99"/>
        </w:rPr>
        <w:t> </w:t>
      </w:r>
      <w:r>
        <w:rPr>
          <w:spacing w:val="-2"/>
        </w:rPr>
        <w:t>以下为于资产负债表日有关未来的关键假设以及估计不确定性的其他关键来源，可能会导致未来会计期间资产和负债账面金</w:t>
      </w:r>
      <w:r>
        <w:rPr>
          <w:spacing w:val="-64"/>
        </w:rPr>
        <w:t> </w:t>
      </w:r>
      <w:r>
        <w:rPr>
          <w:spacing w:val="-64"/>
        </w:rPr>
      </w:r>
      <w:r>
        <w:rPr/>
        <w:t>额重大调整。</w:t>
      </w:r>
    </w:p>
    <w:p>
      <w:pPr>
        <w:pStyle w:val="BodyText"/>
        <w:spacing w:line="314" w:lineRule="auto" w:before="24"/>
        <w:ind w:right="10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除金融资产之外的非流动资产减值</w:t>
      </w:r>
      <w:r>
        <w:rPr>
          <w:rFonts w:ascii="Times New Roman" w:hAnsi="Times New Roman" w:cs="Times New Roman" w:eastAsia="Times New Roman" w:hint="default"/>
        </w:rPr>
        <w:t>(</w:t>
      </w:r>
      <w:r>
        <w:rPr/>
        <w:t>除商誉外</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本集团于资产负债表日对除金融资产之外的非流动资产判断是否存在可能发生减值的迹象。对使用寿命不确定的无形资产，</w:t>
      </w:r>
      <w:r>
        <w:rPr>
          <w:spacing w:val="-85"/>
        </w:rPr>
        <w:t> </w:t>
      </w:r>
      <w:r>
        <w:rPr>
          <w:spacing w:val="-85"/>
        </w:rPr>
      </w:r>
      <w:r>
        <w:rPr>
          <w:spacing w:val="-2"/>
        </w:rPr>
        <w:t>除每年进行的减值测试外，当其存在减值迹象时，也进行减值测试。其他除金融资产之外的非流动资产，当存在迹象表明其</w:t>
      </w:r>
      <w:r>
        <w:rPr>
          <w:spacing w:val="-67"/>
        </w:rPr>
        <w:t> </w:t>
      </w:r>
      <w:r>
        <w:rPr>
          <w:spacing w:val="-67"/>
        </w:rPr>
      </w:r>
      <w:r>
        <w:rPr>
          <w:spacing w:val="-2"/>
        </w:rPr>
        <w:t>账面金额不可收回时，进行减值测试。当资产或资产组的账面价值高于可收回金额，即公允价值减去处置费用后的净额和预</w:t>
      </w:r>
      <w:r>
        <w:rPr>
          <w:spacing w:val="-67"/>
        </w:rPr>
        <w:t> </w:t>
      </w:r>
      <w:r>
        <w:rPr>
          <w:spacing w:val="-67"/>
        </w:rPr>
      </w:r>
      <w:r>
        <w:rPr>
          <w:spacing w:val="-2"/>
        </w:rPr>
        <w:t>计未来现金流量的现值中的较高者，表明发生了减值。公允价值减去处置费用后的净额，参考公平交易中类似资产的销售协</w:t>
      </w:r>
      <w:r>
        <w:rPr>
          <w:spacing w:val="-67"/>
        </w:rPr>
        <w:t> </w:t>
      </w:r>
      <w:r>
        <w:rPr>
          <w:spacing w:val="-67"/>
        </w:rPr>
      </w:r>
      <w:r>
        <w:rPr>
          <w:spacing w:val="-2"/>
        </w:rPr>
        <w:t>议价格或可观察到的市场价格，减去可直接归属于该资产处置的增量成本确定。预计未来现金流量现值时，管理层必须估计</w:t>
      </w:r>
      <w:r>
        <w:rPr>
          <w:spacing w:val="-66"/>
        </w:rPr>
        <w:t> </w:t>
      </w:r>
      <w:r>
        <w:rPr>
          <w:spacing w:val="-66"/>
        </w:rPr>
      </w:r>
      <w:r>
        <w:rPr/>
        <w:t>该项资产或资产组的预计未来现金流量，并选择恰当的折现率确定未来现金流量的现值。</w:t>
      </w:r>
    </w:p>
    <w:p>
      <w:pPr>
        <w:pStyle w:val="BodyText"/>
        <w:spacing w:line="312" w:lineRule="auto" w:before="20"/>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递延所得税资产</w:t>
      </w:r>
      <w:r>
        <w:rPr>
          <w:w w:val="99"/>
        </w:rPr>
        <w:t> </w:t>
      </w:r>
      <w:r>
        <w:rPr>
          <w:spacing w:val="-2"/>
        </w:rPr>
        <w:t>在很可能有足够的应纳税所得额用以抵扣预提费用、抵销的内部未实现销售毛利和可抵扣亏损的限度内，确认递延所得税资</w:t>
      </w:r>
      <w:r>
        <w:rPr>
          <w:spacing w:val="-65"/>
        </w:rPr>
        <w:t> </w:t>
      </w:r>
      <w:r>
        <w:rPr>
          <w:spacing w:val="-65"/>
        </w:rPr>
      </w:r>
      <w:r>
        <w:rPr>
          <w:spacing w:val="-2"/>
        </w:rPr>
        <w:t>产。这需要管理层运用大量的判断来估计未来取得应纳税所得额的时间和金额，结合纳税筹划策略，以决定应确认的递延所</w:t>
      </w:r>
      <w:r>
        <w:rPr>
          <w:spacing w:val="-67"/>
        </w:rPr>
        <w:t> </w:t>
      </w:r>
      <w:r>
        <w:rPr>
          <w:spacing w:val="-67"/>
        </w:rPr>
      </w:r>
      <w:r>
        <w:rPr/>
        <w:t>得税资产的金额。</w:t>
      </w:r>
    </w:p>
    <w:p>
      <w:pPr>
        <w:pStyle w:val="BodyText"/>
        <w:spacing w:line="309" w:lineRule="auto" w:before="22"/>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对投资性房地产及固定资产使用寿命的评估</w:t>
      </w:r>
      <w:r>
        <w:rPr>
          <w:w w:val="99"/>
        </w:rPr>
        <w:t> </w:t>
      </w:r>
      <w:r>
        <w:rPr>
          <w:spacing w:val="-2"/>
          <w:w w:val="99"/>
        </w:rPr>
        <w:t>本集团基于对投资性房地产及固定资产预计使用寿命的预测确定投资性房地产及固定资产的折旧年限，这需要管理层运用大</w:t>
      </w:r>
      <w:r>
        <w:rPr>
          <w:spacing w:val="-63"/>
          <w:w w:val="99"/>
        </w:rPr>
        <w:t> </w:t>
      </w:r>
      <w:r>
        <w:rPr>
          <w:spacing w:val="-63"/>
          <w:w w:val="99"/>
        </w:rPr>
      </w:r>
      <w:r>
        <w:rPr/>
        <w:t>量的判断和估计，以决定适用的折旧年限。</w:t>
      </w:r>
    </w:p>
    <w:p>
      <w:pPr>
        <w:spacing w:line="240" w:lineRule="auto" w:before="13"/>
        <w:rPr>
          <w:rFonts w:ascii="宋体" w:hAnsi="宋体" w:cs="宋体" w:eastAsia="宋体" w:hint="default"/>
          <w:sz w:val="22"/>
          <w:szCs w:val="22"/>
        </w:rPr>
      </w:pPr>
    </w:p>
    <w:p>
      <w:pPr>
        <w:pStyle w:val="Heading3"/>
        <w:spacing w:line="240" w:lineRule="auto"/>
        <w:ind w:left="153" w:right="0"/>
        <w:jc w:val="left"/>
        <w:rPr>
          <w:b w:val="0"/>
          <w:bCs w:val="0"/>
        </w:rPr>
      </w:pPr>
      <w:bookmarkStart w:name="26、重要会计政策和会计估计变更" w:id="213"/>
      <w:bookmarkEnd w:id="213"/>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6%-17%</w:t>
            </w:r>
            <w:r>
              <w:rPr>
                <w:rFonts w:ascii="宋体" w:hAnsi="宋体" w:cs="宋体" w:eastAsia="宋体" w:hint="default"/>
                <w:spacing w:val="-5"/>
                <w:sz w:val="18"/>
                <w:szCs w:val="18"/>
              </w:rPr>
              <w:t>计算销项税，并按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扣除当期允许抵扣的进项税额后的差额 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企业所得税按应纳税所得额的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 </w:t>
            </w:r>
            <w:r>
              <w:rPr>
                <w:rFonts w:ascii="Times New Roman" w:hAnsi="Times New Roman" w:cs="Times New Roman" w:eastAsia="Times New Roman" w:hint="default"/>
                <w:sz w:val="18"/>
                <w:szCs w:val="18"/>
              </w:rPr>
              <w:t>(</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r>
    </w:tbl>
    <w:p>
      <w:pPr>
        <w:pStyle w:val="BodyText"/>
        <w:spacing w:line="240" w:lineRule="auto" w:before="67"/>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1"/>
        </w:rPr>
        <w:t>本公司下属上海邦购信息科技有限公司，按《财税</w:t>
      </w:r>
      <w:r>
        <w:rPr>
          <w:rFonts w:ascii="Times New Roman" w:hAnsi="Times New Roman" w:cs="Times New Roman" w:eastAsia="Times New Roman" w:hint="default"/>
          <w:spacing w:val="-1"/>
        </w:rPr>
        <w:t>[2000]25</w:t>
      </w:r>
      <w:r>
        <w:rPr>
          <w:spacing w:val="-1"/>
        </w:rPr>
        <w:t>号关于鼓励软件产业和集成电路产业发展有关税收政策问题的通</w:t>
      </w:r>
      <w:r>
        <w:rPr>
          <w:spacing w:val="-55"/>
        </w:rPr>
        <w:t> </w:t>
      </w:r>
      <w:r>
        <w:rPr>
          <w:spacing w:val="-2"/>
        </w:rPr>
        <w:t>知》的有关规定享受企业所得税优惠政策，即自首个获利年度起，</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2011</w:t>
      </w:r>
      <w:r>
        <w:rPr>
          <w:spacing w:val="-2"/>
        </w:rPr>
        <w:t>年免缴企业所得税，自</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2014</w:t>
      </w:r>
      <w:r>
        <w:rPr>
          <w:spacing w:val="-2"/>
        </w:rPr>
        <w:t>年减半</w:t>
      </w:r>
      <w:r>
        <w:rPr>
          <w:spacing w:val="-49"/>
        </w:rPr>
        <w:t> </w:t>
      </w:r>
      <w:r>
        <w:rPr/>
        <w:t>缴纳企业所得税，本年度适用税率为</w:t>
      </w:r>
      <w:r>
        <w:rPr>
          <w:rFonts w:ascii="Times New Roman" w:hAnsi="Times New Roman" w:cs="Times New Roman" w:eastAsia="Times New Roman" w:hint="default"/>
        </w:rPr>
        <w:t>25%</w:t>
      </w:r>
      <w:r>
        <w:rPr/>
        <w:t>。 </w:t>
      </w:r>
      <w:r>
        <w:rPr>
          <w:spacing w:val="-1"/>
        </w:rPr>
        <w:t>本公司下属上海华邦科创信息科技有限公司，按《财税</w:t>
      </w:r>
      <w:r>
        <w:rPr>
          <w:rFonts w:ascii="Times New Roman" w:hAnsi="Times New Roman" w:cs="Times New Roman" w:eastAsia="Times New Roman" w:hint="default"/>
          <w:spacing w:val="-1"/>
        </w:rPr>
        <w:t>[2000]25</w:t>
      </w:r>
      <w:r>
        <w:rPr>
          <w:spacing w:val="-1"/>
        </w:rPr>
        <w:t>号关于鼓励软件产业和集成电路产业发展有关税收政策问题</w:t>
      </w:r>
      <w:r>
        <w:rPr>
          <w:spacing w:val="-55"/>
        </w:rPr>
        <w:t> </w:t>
      </w:r>
      <w:r>
        <w:rPr>
          <w:spacing w:val="-55"/>
        </w:rPr>
      </w:r>
      <w:r>
        <w:rPr/>
        <w:t>的通知》的有关规定享受企业所得税优惠政策，即自首个获利年度起，</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2013</w:t>
      </w:r>
      <w:r>
        <w:rPr/>
        <w:t>年免缴企业所得税，自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 </w:t>
      </w:r>
      <w:r>
        <w:rPr/>
        <w:t>年减半缴纳企业所得税，本年度适用税率为</w:t>
      </w:r>
      <w:r>
        <w:rPr>
          <w:rFonts w:ascii="Times New Roman" w:hAnsi="Times New Roman" w:cs="Times New Roman" w:eastAsia="Times New Roman" w:hint="default"/>
        </w:rPr>
        <w:t>12.5%</w:t>
      </w:r>
      <w:r>
        <w:rPr/>
        <w:t>。</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2,574,698.00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2,607,968.00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1,071,576,638.00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1,393,339,115.00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119,915,429.00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11,512,153.00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1,194,066,765.00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1,407,459,236.00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pStyle w:val="BodyText"/>
        <w:spacing w:line="300" w:lineRule="auto" w:before="116"/>
        <w:ind w:right="0"/>
        <w:jc w:val="left"/>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日，本集团的使用权受到限制的货币资金为人民币</w:t>
      </w:r>
      <w:r>
        <w:rPr>
          <w:rFonts w:ascii="Times New Roman" w:hAnsi="Times New Roman" w:cs="Times New Roman" w:eastAsia="Times New Roman" w:hint="default"/>
          <w:spacing w:val="-1"/>
        </w:rPr>
        <w:t>45,467,584</w:t>
      </w:r>
      <w:r>
        <w:rPr>
          <w:spacing w:val="-1"/>
        </w:rPr>
        <w:t>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rFonts w:ascii="Times New Roman" w:hAnsi="Times New Roman" w:cs="Times New Roman" w:eastAsia="Times New Roman" w:hint="default"/>
          <w:spacing w:val="-1"/>
        </w:rPr>
        <w:t>11,512,153</w:t>
      </w:r>
      <w:r>
        <w:rPr>
          <w:spacing w:val="-1"/>
        </w:rPr>
        <w:t>元</w:t>
      </w:r>
      <w:r>
        <w:rPr>
          <w:rFonts w:ascii="Times New Roman" w:hAnsi="Times New Roman" w:cs="Times New Roman" w:eastAsia="Times New Roman" w:hint="default"/>
          <w:spacing w:val="-1"/>
        </w:rPr>
        <w:t>)</w:t>
      </w:r>
      <w:r>
        <w:rPr>
          <w:spacing w:val="-1"/>
        </w:rPr>
        <w:t>系在</w:t>
      </w:r>
      <w:r>
        <w:rPr>
          <w:spacing w:val="-45"/>
        </w:rPr>
        <w:t> </w:t>
      </w:r>
      <w:r>
        <w:rPr/>
        <w:t>其他货币资金中的银行承兑汇票保证金。</w:t>
      </w:r>
    </w:p>
    <w:p>
      <w:pPr>
        <w:pStyle w:val="BodyText"/>
        <w:spacing w:line="240" w:lineRule="auto" w:before="31"/>
        <w:ind w:right="0"/>
        <w:jc w:val="left"/>
      </w:pPr>
      <w:r>
        <w:rPr/>
        <w:t>银行活期存款按照银行活期存款利率取得利息收入。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应收票据" w:id="221"/>
      <w:bookmarkEnd w:id="221"/>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328,610,000.00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328,610,000.00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期末公司已质押的应收票据" w:id="223"/>
      <w:bookmarkEnd w:id="22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320,725,000.00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320,725,000.00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5"/>
      <w:bookmarkEnd w:id="22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693"/>
        <w:jc w:val="left"/>
      </w:pPr>
      <w:r>
        <w:rPr/>
        <w:t>其他说明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320,725,000</w:t>
      </w:r>
      <w:r>
        <w:rPr/>
        <w:t>元的商业承兑汇票已贴现取得短期借款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p>
    <w:p>
      <w:pPr>
        <w:pStyle w:val="BodyText"/>
        <w:spacing w:line="214" w:lineRule="exact"/>
        <w:ind w:right="0"/>
        <w:jc w:val="left"/>
      </w:pPr>
      <w:r>
        <w:rPr>
          <w:rFonts w:ascii="Times New Roman" w:hAnsi="Times New Roman" w:cs="Times New Roman" w:eastAsia="Times New Roman" w:hint="default"/>
        </w:rPr>
        <w:t>328,610,000</w:t>
      </w:r>
      <w:r>
        <w:rPr/>
        <w:t>元</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应收账款" w:id="226"/>
      <w:bookmarkEnd w:id="22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7"/>
      <w:bookmarkEnd w:id="2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25,525,7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25,525,73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236,735,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14,204,0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222,531,1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256,879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22,343,77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234,536,15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262,260,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14,204,0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248,056,8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256,879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22,343,77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234,536,15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8.00</w:t>
            </w:r>
          </w:p>
        </w:tc>
      </w:tr>
    </w:tbl>
    <w:p>
      <w:pPr>
        <w:pStyle w:val="BodyText"/>
        <w:spacing w:line="240" w:lineRule="auto" w:before="67"/>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09" w:lineRule="auto" w:before="39"/>
        <w:ind w:right="1243"/>
        <w:jc w:val="left"/>
      </w:pPr>
      <w:r>
        <w:rPr/>
        <w:t>本集团的应收账款主要包括对加盟商、电商和百货公司专柜的产品销售而产生的应收货款。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日，单项金额虽不重大但单独进行减值测试的应收账款坏账计提准备为人民币</w:t>
      </w:r>
      <w:r>
        <w:rPr>
          <w:rFonts w:ascii="Times New Roman" w:hAnsi="Times New Roman" w:cs="Times New Roman" w:eastAsia="Times New Roman" w:hint="default"/>
        </w:rPr>
        <w:t>14,204,040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日：人民币</w:t>
      </w:r>
      <w:r>
        <w:rPr>
          <w:rFonts w:ascii="Times New Roman" w:hAnsi="Times New Roman" w:cs="Times New Roman" w:eastAsia="Times New Roman" w:hint="default"/>
        </w:rPr>
        <w:t>22,343,771</w:t>
      </w:r>
      <w:r>
        <w:rPr/>
        <w:t>元</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3,760,122.00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58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29"/>
      <w:bookmarkEnd w:id="2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11,899,853.00</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11,899,853.00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逾期不可收回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11,899,853.00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30"/>
      <w:bookmarkEnd w:id="2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33"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340" w:right="159" w:hanging="180"/>
              <w:jc w:val="left"/>
              <w:rPr>
                <w:rFonts w:ascii="宋体" w:hAnsi="宋体" w:cs="宋体" w:eastAsia="宋体" w:hint="default"/>
                <w:sz w:val="18"/>
                <w:szCs w:val="18"/>
              </w:rPr>
            </w:pPr>
            <w:r>
              <w:rPr>
                <w:rFonts w:ascii="宋体" w:hAnsi="宋体" w:cs="宋体" w:eastAsia="宋体" w:hint="default"/>
                <w:sz w:val="18"/>
                <w:szCs w:val="18"/>
              </w:rPr>
              <w:t>占应收账款期末 余额的比例</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6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580" w:bottom="1160" w:left="980" w:right="0"/>
        </w:sectPr>
      </w:pPr>
    </w:p>
    <w:p>
      <w:pPr>
        <w:spacing w:line="240" w:lineRule="auto" w:before="9"/>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2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25,525,739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10%</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12,523,551</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5%</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2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6,935,124</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0.00</w:t>
            </w:r>
          </w:p>
        </w:tc>
      </w:tr>
      <w:tr>
        <w:trPr>
          <w:trHeight w:val="428"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5,276,633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40" w:hRule="exact"/>
        </w:trPr>
        <w:tc>
          <w:tcPr>
            <w:tcW w:w="15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4,676,956</w:t>
            </w:r>
          </w:p>
        </w:tc>
        <w:tc>
          <w:tcPr>
            <w:tcW w:w="15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1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0"/>
                <w:szCs w:val="20"/>
              </w:rPr>
            </w:pPr>
            <w:r>
              <w:rPr>
                <w:rFonts w:ascii="Times New Roman"/>
                <w:spacing w:val="-1"/>
                <w:sz w:val="20"/>
              </w:rPr>
              <w:t>54,938,003</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0"/>
                <w:szCs w:val="20"/>
              </w:rPr>
            </w:pPr>
            <w:r>
              <w:rPr>
                <w:rFonts w:ascii="Times New Roman"/>
                <w:sz w:val="20"/>
              </w:rPr>
              <w:t>22%</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231"/>
      <w:bookmarkEnd w:id="2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232"/>
      <w:bookmarkEnd w:id="2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4" w:right="9852"/>
        <w:jc w:val="left"/>
      </w:pPr>
      <w:r>
        <w:rPr/>
        <w:t>不适用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预付款项" w:id="233"/>
      <w:bookmarkEnd w:id="23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221,084,547.00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158,830,563.00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24,315,452.00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221,367,184.00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183,146,015.00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392"/>
        <w:gridCol w:w="2392"/>
        <w:gridCol w:w="2391"/>
        <w:gridCol w:w="2393"/>
      </w:tblGrid>
      <w:tr>
        <w:trPr>
          <w:trHeight w:val="733" w:hRule="exact"/>
        </w:trPr>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57"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739" w:right="557" w:hanging="180"/>
              <w:jc w:val="left"/>
              <w:rPr>
                <w:rFonts w:ascii="宋体" w:hAnsi="宋体" w:cs="宋体" w:eastAsia="宋体" w:hint="default"/>
                <w:sz w:val="18"/>
                <w:szCs w:val="18"/>
              </w:rPr>
            </w:pPr>
            <w:r>
              <w:rPr>
                <w:rFonts w:ascii="宋体" w:hAnsi="宋体" w:cs="宋体" w:eastAsia="宋体" w:hint="default"/>
                <w:sz w:val="18"/>
                <w:szCs w:val="18"/>
              </w:rPr>
              <w:t>占预付款项期末 余额的比例</w:t>
            </w:r>
          </w:p>
        </w:tc>
      </w:tr>
      <w:tr>
        <w:trPr>
          <w:trHeight w:val="428"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5,462,525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w:t>
            </w:r>
          </w:p>
        </w:tc>
      </w:tr>
      <w:tr>
        <w:trPr>
          <w:trHeight w:val="426"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4,956,064</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2%</w:t>
            </w:r>
          </w:p>
        </w:tc>
      </w:tr>
      <w:tr>
        <w:trPr>
          <w:trHeight w:val="428"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4,692,218</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w:t>
            </w:r>
          </w:p>
        </w:tc>
      </w:tr>
    </w:tbl>
    <w:p>
      <w:pPr>
        <w:spacing w:after="0" w:line="240" w:lineRule="auto"/>
        <w:jc w:val="right"/>
        <w:rPr>
          <w:rFonts w:ascii="Times New Roman" w:hAnsi="Times New Roman" w:cs="Times New Roman" w:eastAsia="Times New Roman" w:hint="default"/>
          <w:sz w:val="20"/>
          <w:szCs w:val="20"/>
        </w:rPr>
        <w:sectPr>
          <w:pgSz w:w="11910" w:h="16840"/>
          <w:pgMar w:header="851" w:footer="979" w:top="1360" w:bottom="1160" w:left="980" w:right="0"/>
        </w:sectPr>
      </w:pPr>
    </w:p>
    <w:p>
      <w:pPr>
        <w:spacing w:line="240" w:lineRule="auto" w:before="9"/>
        <w:rPr>
          <w:rFonts w:ascii="宋体" w:hAnsi="宋体" w:cs="宋体" w:eastAsia="宋体" w:hint="default"/>
          <w:b/>
          <w:bCs/>
          <w:sz w:val="5"/>
          <w:szCs w:val="5"/>
        </w:rPr>
      </w:pPr>
    </w:p>
    <w:tbl>
      <w:tblPr>
        <w:tblW w:w="0" w:type="auto"/>
        <w:jc w:val="left"/>
        <w:tblInd w:w="146" w:type="dxa"/>
        <w:tblLayout w:type="fixed"/>
        <w:tblCellMar>
          <w:top w:w="0" w:type="dxa"/>
          <w:left w:w="0" w:type="dxa"/>
          <w:bottom w:w="0" w:type="dxa"/>
          <w:right w:w="0" w:type="dxa"/>
        </w:tblCellMar>
        <w:tblLook w:val="01E0"/>
      </w:tblPr>
      <w:tblGrid>
        <w:gridCol w:w="2392"/>
        <w:gridCol w:w="2392"/>
        <w:gridCol w:w="2391"/>
        <w:gridCol w:w="2393"/>
      </w:tblGrid>
      <w:tr>
        <w:trPr>
          <w:trHeight w:val="42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3,750,603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w:t>
            </w:r>
          </w:p>
        </w:tc>
      </w:tr>
      <w:tr>
        <w:trPr>
          <w:trHeight w:val="427" w:hRule="exact"/>
        </w:trPr>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2,919,129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w:t>
            </w:r>
          </w:p>
        </w:tc>
      </w:tr>
      <w:tr>
        <w:trPr>
          <w:trHeight w:val="422" w:hRule="exact"/>
        </w:trPr>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21,780,539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9%</w:t>
            </w:r>
          </w:p>
        </w:tc>
      </w:tr>
    </w:tbl>
    <w:p>
      <w:pPr>
        <w:spacing w:line="240" w:lineRule="auto" w:before="11"/>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其他应收款" w:id="236"/>
      <w:bookmarkEnd w:id="236"/>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7"/>
      <w:bookmarkEnd w:id="23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70,333,4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70,333,44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16,052,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914.00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16,052,914.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49,552,9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1,856,63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47,696,29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66,597,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272.00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1,837,200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64,760,072.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119,886,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377.00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1,856,63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118,029,7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82,650,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186.00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1,837,200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80,812,986.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60" w:bottom="1160" w:left="98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19,432.00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58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58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39"/>
      <w:bookmarkEnd w:id="23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40"/>
      <w:bookmarkEnd w:id="24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21,885,973.00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22,722,106.00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20,480,853.00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30,648,358.00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直营店营业款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16,172,687.00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18,038,849.00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5,043,408.00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7,217,246.00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6,303,456.00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4,023,627.00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119,886,377.00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82,650,186.00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1"/>
      <w:bookmarkEnd w:id="24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20,333,447.00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744,768.00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72,878,215.00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6）涉及政府补助的应收款项" w:id="242"/>
      <w:bookmarkEnd w:id="24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43"/>
      <w:bookmarkEnd w:id="24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44"/>
      <w:bookmarkEnd w:id="24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不适用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6、存货" w:id="245"/>
      <w:bookmarkEnd w:id="245"/>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23,288,312.00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6,686,463.00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16,601,849.00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29,363,418.00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29,363,418.00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2,258,319,457.00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402,782,305.00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1,855,537,152.00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1,715,976,506.00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1,403,314,570.00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2,957,563.00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2,957,563.00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2,284,235,069.00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409,468,768.00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1,874,766,301.00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1,748,297,487.00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1,435,635,551.00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10,416,049.00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3,729,586.00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6,686,463.00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188,618,840.00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98,498,471.00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402,782,305.00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312,661,936.00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199,034,889.00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102,228,057.00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409,468,768.00</w:t>
            </w:r>
          </w:p>
        </w:tc>
      </w:tr>
    </w:tbl>
    <w:p>
      <w:pPr>
        <w:pStyle w:val="BodyText"/>
        <w:spacing w:line="316" w:lineRule="auto" w:before="10"/>
        <w:ind w:left="154" w:right="0"/>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w:t>
      </w:r>
    </w:p>
    <w:p>
      <w:pPr>
        <w:spacing w:after="0" w:line="316"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6"/>
        <w:ind w:right="0"/>
        <w:jc w:val="left"/>
      </w:pP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 对已经计提跌价准备的存货，如果有部分已经销售，则在结转销售成本时同时结转对其已计提的存货跌价准备。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7、其他流动资产" w:id="248"/>
      <w:bookmarkEnd w:id="24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49,099,846.00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11,109,140.00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3,197,567.00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4,178,582.00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52,297,413.00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15,287,722.00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长期应收款" w:id="249"/>
      <w:bookmarkEnd w:id="249"/>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0"/>
      <w:bookmarkEnd w:id="25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992"/>
        <w:gridCol w:w="1503"/>
        <w:gridCol w:w="1475"/>
        <w:gridCol w:w="861"/>
        <w:gridCol w:w="1266"/>
        <w:gridCol w:w="1063"/>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商铺保证金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109,672,840.00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109,672,840.00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117,456,829.00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117,456,829.00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center"/>
              <w:rPr>
                <w:rFonts w:ascii="Times New Roman" w:hAnsi="Times New Roman" w:cs="Times New Roman" w:eastAsia="Times New Roman" w:hint="default"/>
                <w:sz w:val="18"/>
                <w:szCs w:val="18"/>
              </w:rPr>
            </w:pPr>
            <w:r>
              <w:rPr>
                <w:rFonts w:ascii="Times New Roman"/>
                <w:sz w:val="18"/>
              </w:rPr>
              <w:t>4.35%-6.15%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109,672,840.00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109,672,840.00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117,456,829.00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6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117,456,829.00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长期股权投资" w:id="251"/>
      <w:bookmarkEnd w:id="25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480"/>
        <w:gridCol w:w="1418"/>
        <w:gridCol w:w="494"/>
        <w:gridCol w:w="1065"/>
        <w:gridCol w:w="532"/>
        <w:gridCol w:w="798"/>
        <w:gridCol w:w="798"/>
        <w:gridCol w:w="565"/>
        <w:gridCol w:w="568"/>
        <w:gridCol w:w="1261"/>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55" w:right="5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23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48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1"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8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449,359,713.00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449,359,713.00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449,359,713.00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1"/>
        <w:ind w:right="0"/>
        <w:jc w:val="left"/>
        <w:rPr>
          <w:b w:val="0"/>
          <w:bCs w:val="0"/>
        </w:rPr>
      </w:pPr>
      <w:bookmarkStart w:name="10、投资性房地产" w:id="252"/>
      <w:bookmarkEnd w:id="252"/>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3"/>
      <w:bookmarkEnd w:id="25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159,631,810.00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162,907,304.00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159,631,810.00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162,907,304.00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30,597,911.00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684,056.00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31,281,967.00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3,611,244.00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3,550,861.00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3,611,244.00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34,148,772.00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744,439.00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34,893,211.00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125,483,038.00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2,531,055.00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128,014,093.00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129,033,899.00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2,591,438.00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131,625,337.00</w:t>
            </w:r>
          </w:p>
        </w:tc>
      </w:tr>
    </w:tbl>
    <w:p>
      <w:pPr>
        <w:spacing w:line="240" w:lineRule="auto" w:before="5"/>
        <w:rPr>
          <w:rFonts w:ascii="宋体" w:hAnsi="宋体" w:cs="宋体" w:eastAsia="宋体" w:hint="default"/>
          <w:sz w:val="20"/>
          <w:szCs w:val="20"/>
        </w:rPr>
      </w:pPr>
    </w:p>
    <w:p>
      <w:pPr>
        <w:pStyle w:val="Heading3"/>
        <w:spacing w:line="240" w:lineRule="auto" w:before="35"/>
        <w:ind w:right="0"/>
        <w:jc w:val="left"/>
        <w:rPr>
          <w:b w:val="0"/>
          <w:bCs w:val="0"/>
        </w:rPr>
      </w:pPr>
      <w:bookmarkStart w:name="（2）采用公允价值计量模式的投资性房地产" w:id="254"/>
      <w:bookmarkEnd w:id="25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55"/>
      <w:bookmarkEnd w:id="25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1、固定资产" w:id="256"/>
      <w:bookmarkEnd w:id="256"/>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7"/>
      <w:bookmarkEnd w:id="25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2,019,333,062.00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36,365,219.00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77,566,288.00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267,983,073.00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20,271,877.00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2,421,519,519.00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1,085,411.00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3,282,104.00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28,621,004.00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3,325,937.00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36,534,654.00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220,198.00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3,282,104.00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28,111,445.00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3,325,937.00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35,403,209.00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621,886.00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509,559.00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1,131,445.00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-2,797,506.00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-7,543,302.00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-933,314.00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-12,555,297.00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-2,797,506.00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-7,543,302.00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-933,314.00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-12,555,297.00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2,020,418,473.00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35,304,242.00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78,050,886.00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289,060,775.00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2,445,498,876.00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278,540,473.00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32,171,330.00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48,646,302.00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190,015,315.00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7,611,213.00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556,984,633.00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47,689,652.00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1,364,973.00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7,485,531.00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30,418,556.00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2,479,669.00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89,438,381.00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47,689,652.00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1,364,973.00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7,485,531.00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30,418,556.00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89,438,381.00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-1,201,266.00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-5,262,010.00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-507,256.00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-8,943,021.00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-1,201,266.00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-1,972,489.00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-5,262,010.00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-507,256.00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-8,943,021.00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326,230,125.00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32,335,037.00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54,159,344.00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215,171,861.00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9,583,626.00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637,479,993.00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1,694,188,348.00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2,969,205.00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23,891,542.00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73,888,914.00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13,080,874.00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1,808,018,883.00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1,740,792,589.00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4,193,889.00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28,919,986.00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77,967,758.00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12,660,664.00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1,864,534,886.00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暂时闲置的固定资产情况" w:id="258"/>
      <w:bookmarkEnd w:id="25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59"/>
      <w:bookmarkEnd w:id="25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0"/>
      <w:bookmarkEnd w:id="26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1"/>
      <w:bookmarkEnd w:id="26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西安万达的房产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48,526,275.00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2、在建工程" w:id="262"/>
      <w:bookmarkEnd w:id="262"/>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3"/>
      <w:bookmarkEnd w:id="26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4,921,243.00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4,921,243.00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743,886.00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743,886.00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8,085,592.00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8,085,592.00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六灶工业园区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249,706.00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249,706.00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250,844.00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250,844.00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1,324,969.00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1,324,969.00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990,117.00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990,117.00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2,502,316.00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2,502,316.00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14,397,796.00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14,397,796.00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重要在建工程项目本期变动情况" w:id="264"/>
      <w:bookmarkEnd w:id="26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总部办 公楼改 良</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4,921,24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15,374,2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19,534,8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系统升 级项目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8,085,59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6,209,22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13,174,8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六灶工 业园区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门店装 修工程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990,117.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4,366,01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4,031,16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1,324,96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14,397,7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26,904,4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1,131,44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37,668,4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2,502,31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65"/>
      <w:bookmarkEnd w:id="26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3、无形资产" w:id="266"/>
      <w:bookmarkEnd w:id="266"/>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7"/>
      <w:bookmarkEnd w:id="26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财务管理软件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网络管理软件</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85,595,346.00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2,139,493.00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160,178,807.00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3,743,177.00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251,656,823.00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12,083,716.00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1,117,630.00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13,201,346.00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85,595,346.00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2,139,493.00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172,262,523.00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4,860,807.00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264,858,169.00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15,076,909.00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897,660.00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73,002,161.00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1,747,517.00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90,724,247.00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1,693,872.00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222,086.00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17,341,209.00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519,111.00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19,776,278.00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1,693,872.00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222,086.00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17,341,209.00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519,111.00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19,776,278.00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16,770,781.00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1,119,746.00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90,343,370.00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2,266,628.00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110,500,525.00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55.200001pt;margin-top:70.559982pt;width:485pt;height:.1pt;mso-position-horizontal-relative:page;mso-position-vertical-relative:page;z-index:2392" coordorigin="1104,1411" coordsize="9700,2">
            <v:shape style="position:absolute;left:1104;top:1411;width:9700;height:2" coordorigin="1104,1411" coordsize="9700,0" path="m1104,1411l10804,1411e" filled="false" stroked="true" strokeweight=".72pt" strokecolor="#000000">
              <v:path arrowok="t"/>
            </v:shape>
            <w10:wrap type="none"/>
          </v:group>
        </w:pict>
      </w:r>
    </w:p>
    <w:p>
      <w:pPr>
        <w:spacing w:after="0"/>
        <w:rPr>
          <w:sz w:val="2"/>
          <w:szCs w:val="2"/>
        </w:rPr>
        <w:sectPr>
          <w:pgSz w:w="11910" w:h="16840"/>
          <w:pgMar w:header="851" w:footer="979" w:top="144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68,824,565.00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1,019,747.00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81,919,153.00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2,594,179.00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154,357,644.00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70,518,437.00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1,241,833.00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87,176,646.00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1,995,660.00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160,932,576.00</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未办妥产权证书的土地使用权情况" w:id="268"/>
      <w:bookmarkEnd w:id="26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4、开发支出" w:id="269"/>
      <w:bookmarkEnd w:id="269"/>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信息技术研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115,170,147.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115,170,147.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115,170,147.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6283"/>
        <w:jc w:val="left"/>
      </w:pPr>
      <w:r>
        <w:rPr/>
        <w:t>其他说明 本期开发支出占本期研究开发项目支出总额的比例</w:t>
      </w:r>
      <w:r>
        <w:rPr>
          <w:rFonts w:ascii="Times New Roman" w:hAnsi="Times New Roman" w:cs="Times New Roman" w:eastAsia="Times New Roman" w:hint="default"/>
        </w:rPr>
        <w:t>57%</w:t>
      </w:r>
      <w:r>
        <w:rPr/>
        <w:t>。</w:t>
      </w:r>
    </w:p>
    <w:p>
      <w:pPr>
        <w:pStyle w:val="BodyText"/>
        <w:spacing w:line="214" w:lineRule="exact"/>
        <w:ind w:left="154" w:right="0"/>
        <w:jc w:val="left"/>
      </w:pPr>
      <w:r>
        <w:rPr/>
        <w:t>通过公司内部研发形成的无形资产占无形资产期末账面价值的比例</w:t>
      </w:r>
      <w:r>
        <w:rPr>
          <w:rFonts w:ascii="Times New Roman" w:hAnsi="Times New Roman" w:cs="Times New Roman" w:eastAsia="Times New Roman" w:hint="default"/>
        </w:rPr>
        <w:t>0%</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5、长期待摊费用" w:id="270"/>
      <w:bookmarkEnd w:id="270"/>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92,560,052.00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84,101,722.00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62,230,852.00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38,419,585.00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76,011,337.00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预付租金一年以上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32,154,106.00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25,910,008.00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21,402,421.00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36,661,693.00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9,112,127.00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2,924,528.00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6,187,599.00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124,714,158.00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119,123,857.00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86,557,801.00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38,419,585.00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118,860,629.00</w:t>
            </w:r>
          </w:p>
        </w:tc>
      </w:tr>
    </w:tbl>
    <w:p>
      <w:pPr>
        <w:pStyle w:val="BodyText"/>
        <w:spacing w:line="357" w:lineRule="auto" w:before="51"/>
        <w:ind w:right="4723"/>
        <w:jc w:val="left"/>
      </w:pPr>
      <w:r>
        <w:rPr/>
        <w:t>其他说明 其他减少额中包含本年计提的长期待摊费用中装修费减值准备</w:t>
      </w:r>
      <w:r>
        <w:rPr>
          <w:rFonts w:ascii="Times New Roman" w:hAnsi="Times New Roman" w:cs="Times New Roman" w:eastAsia="Times New Roman" w:hint="default"/>
        </w:rPr>
        <w:t>33,751,676</w:t>
      </w:r>
      <w:r>
        <w:rPr/>
        <w:t>元。</w:t>
      </w:r>
    </w:p>
    <w:p>
      <w:pPr>
        <w:spacing w:line="240" w:lineRule="auto" w:before="5"/>
        <w:rPr>
          <w:rFonts w:ascii="宋体" w:hAnsi="宋体" w:cs="宋体" w:eastAsia="宋体" w:hint="default"/>
          <w:sz w:val="18"/>
          <w:szCs w:val="18"/>
        </w:rPr>
      </w:pPr>
    </w:p>
    <w:p>
      <w:pPr>
        <w:pStyle w:val="Heading3"/>
        <w:spacing w:line="240" w:lineRule="auto"/>
        <w:ind w:left="153" w:right="0"/>
        <w:jc w:val="left"/>
        <w:rPr>
          <w:b w:val="0"/>
          <w:bCs w:val="0"/>
        </w:rPr>
      </w:pPr>
      <w:bookmarkStart w:name="16、递延所得税资产/递延所得税负债" w:id="271"/>
      <w:bookmarkEnd w:id="271"/>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72"/>
      <w:bookmarkEnd w:id="27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59,630,627.00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14,907,657.00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45,324,622.00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11,331,156.00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50,557,948.00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12,639,487.00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362,713,028.00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90,678,257.00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438,268,502.00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109,567,126.00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1,215,561,211.00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303,890,303.00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39,695,062.00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9,923,765.00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96,463,775.00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23,858,038.00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588,152,139.00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147,038,035.00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1,720,062,636.00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429,757,754.00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抵销后净额列示的递延所得税资产或负债" w:id="273"/>
      <w:bookmarkEnd w:id="273"/>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147,038,035.00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429,757,754.00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74"/>
      <w:bookmarkEnd w:id="274"/>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628,505,339.00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501,976,893.00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1,427,101,275.00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546,576,153.00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抵消内部交易未实现利润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42,767,026.00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24,479,388.00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2,098,373,640.00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1,073,032,434.00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75"/>
      <w:bookmarkEnd w:id="275"/>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68,434,413.00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308,979,497.00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235,708,524.00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346,609,095.00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179,372,214.00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131,671,709.00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39,443,650.00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51,523,419.00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23,617,352.00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588,317,555.00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1,427,101,275.00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546,576,153.00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7、其他非流动资产" w:id="276"/>
      <w:bookmarkEnd w:id="276"/>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457,835,724.00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8、短期借款" w:id="277"/>
      <w:bookmarkEnd w:id="277"/>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50,020,418.00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328,610,000.00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1,275,725,000.00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778,630,418.00</w:t>
            </w:r>
          </w:p>
        </w:tc>
      </w:tr>
    </w:tbl>
    <w:p>
      <w:pPr>
        <w:pStyle w:val="BodyText"/>
        <w:spacing w:line="357" w:lineRule="auto" w:before="51"/>
        <w:ind w:left="154" w:right="8952"/>
        <w:jc w:val="left"/>
      </w:pPr>
      <w:r>
        <w:rPr/>
        <w:t>短期借款分类的说明：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已逾期未偿还的短期借款情况" w:id="279"/>
      <w:bookmarkEnd w:id="27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893"/>
        <w:jc w:val="left"/>
      </w:pPr>
      <w:r>
        <w:rPr/>
        <w:t>其他说明：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日，本集团没有已到期但未偿还的短期借款。</w:t>
      </w:r>
    </w:p>
    <w:p>
      <w:pPr>
        <w:pStyle w:val="BodyText"/>
        <w:spacing w:line="214" w:lineRule="exact"/>
        <w:ind w:right="0"/>
        <w:jc w:val="left"/>
      </w:pPr>
      <w:r>
        <w:rPr/>
        <w:t>本集团的抵押借款是以本集团所拥有的投资性房地产</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47,768,145</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40" w:lineRule="auto" w:before="63"/>
        <w:ind w:right="0"/>
        <w:jc w:val="left"/>
      </w:pPr>
      <w:r>
        <w:rPr/>
        <w:t>人民币</w:t>
      </w:r>
      <w:r>
        <w:rPr>
          <w:rFonts w:ascii="Times New Roman" w:hAnsi="Times New Roman" w:cs="Times New Roman" w:eastAsia="Times New Roman" w:hint="default"/>
        </w:rPr>
        <w:t>49,161,749)</w:t>
      </w:r>
      <w:r>
        <w:rPr/>
        <w:t>、房屋建筑物</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1,147,423,246</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p>
    <w:p>
      <w:pPr>
        <w:pStyle w:val="BodyText"/>
        <w:spacing w:line="240" w:lineRule="auto" w:before="63"/>
        <w:ind w:right="0"/>
        <w:jc w:val="left"/>
      </w:pPr>
      <w:r>
        <w:rPr>
          <w:rFonts w:ascii="Times New Roman" w:hAnsi="Times New Roman" w:cs="Times New Roman" w:eastAsia="Times New Roman" w:hint="default"/>
        </w:rPr>
        <w:t>1,179,495,757</w:t>
      </w:r>
      <w:r>
        <w:rPr/>
        <w:t>元</w:t>
      </w:r>
      <w:r>
        <w:rPr>
          <w:rFonts w:ascii="Times New Roman" w:hAnsi="Times New Roman" w:cs="Times New Roman" w:eastAsia="Times New Roman" w:hint="default"/>
        </w:rPr>
        <w:t>)</w:t>
      </w:r>
      <w:r>
        <w:rPr/>
        <w:t>和土地使用权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68,824,561</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p>
    <w:p>
      <w:pPr>
        <w:pStyle w:val="BodyText"/>
        <w:spacing w:line="300" w:lineRule="auto" w:before="63"/>
        <w:ind w:right="1183"/>
        <w:jc w:val="left"/>
      </w:pPr>
      <w:r>
        <w:rPr>
          <w:rFonts w:ascii="Times New Roman" w:hAnsi="Times New Roman" w:cs="Times New Roman" w:eastAsia="Times New Roman" w:hint="default"/>
        </w:rPr>
        <w:t>70,518,435</w:t>
      </w:r>
      <w:r>
        <w:rPr/>
        <w:t>元</w:t>
      </w:r>
      <w:r>
        <w:rPr>
          <w:rFonts w:ascii="Times New Roman" w:hAnsi="Times New Roman" w:cs="Times New Roman" w:eastAsia="Times New Roman" w:hint="default"/>
        </w:rPr>
        <w:t>)</w:t>
      </w:r>
      <w:r>
        <w:rPr/>
        <w:t>作抵押。于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日，本集团实际取得的抵押借款余额为人民币</w:t>
      </w:r>
      <w:r>
        <w:rPr>
          <w:rFonts w:ascii="Times New Roman" w:hAnsi="Times New Roman" w:cs="Times New Roman" w:eastAsia="Times New Roman" w:hint="default"/>
        </w:rPr>
        <w:t>690,000,000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 币</w:t>
      </w:r>
      <w:r>
        <w:rPr>
          <w:rFonts w:ascii="Times New Roman" w:hAnsi="Times New Roman" w:cs="Times New Roman" w:eastAsia="Times New Roman" w:hint="default"/>
        </w:rPr>
        <w:t>400,000,000</w:t>
      </w:r>
      <w:r>
        <w:rPr/>
        <w:t>元</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19、应付票据" w:id="280"/>
      <w:bookmarkEnd w:id="280"/>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35,655,331.00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18,336,468.00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35,655,331.00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18,336,468.00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应付账款" w:id="281"/>
      <w:bookmarkEnd w:id="281"/>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82"/>
      <w:bookmarkEnd w:id="28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346,050,075.00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272,405,652.00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70,121,330.00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42,919,623.00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66,285,125.00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33,515,523.00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482,456,530.00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348,840,798.00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after="0" w:line="357"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1、预收款项" w:id="284"/>
      <w:bookmarkEnd w:id="284"/>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5"/>
      <w:bookmarkEnd w:id="28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53,668,408.00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63,122,521.00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53,668,408.00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63,122,521.00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87"/>
      <w:bookmarkEnd w:id="287"/>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8"/>
      <w:bookmarkEnd w:id="28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126,508,631.00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884,271,736.00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862,710,538.00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148,069,829.00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2,969,514.00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91,348,461.00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90,598,551.00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3,719,424.00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2,869,212.00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2,869,212.00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129,478,145.00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978,489,409.00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956,178,301.00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151,789,253.00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89"/>
      <w:bookmarkEnd w:id="28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104,753,112.00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728,000,577.00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710,783,630.00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121,970,059.00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81,714,706.00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81,714,706.00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2,021,264.00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47,061,397.00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46,687,774.00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2,394,887.00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41,440,189.00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41,109,202.00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2,195,447.00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2,317,697.00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3,303,511.00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3,280,204.00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552,282.00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20,360,864.00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20,188,387.00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724,759.00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851"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19,181,973.00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7,134,192.00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3,336,041.00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22,980,124.00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126,508,631.00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884,271,736.00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862,710,538.00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148,069,829.00</w:t>
            </w:r>
          </w:p>
        </w:tc>
      </w:tr>
    </w:tbl>
    <w:p>
      <w:pPr>
        <w:spacing w:line="240" w:lineRule="auto" w:before="6"/>
        <w:rPr>
          <w:rFonts w:ascii="宋体" w:hAnsi="宋体" w:cs="宋体" w:eastAsia="宋体" w:hint="default"/>
          <w:sz w:val="20"/>
          <w:szCs w:val="20"/>
        </w:rPr>
      </w:pPr>
    </w:p>
    <w:p>
      <w:pPr>
        <w:pStyle w:val="Heading3"/>
        <w:spacing w:line="240" w:lineRule="auto" w:before="35"/>
        <w:ind w:right="0"/>
        <w:jc w:val="left"/>
        <w:rPr>
          <w:b w:val="0"/>
          <w:bCs w:val="0"/>
        </w:rPr>
      </w:pPr>
      <w:bookmarkStart w:name="（3）设定提存计划列示" w:id="290"/>
      <w:bookmarkEnd w:id="29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2,716,742.00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85,857,259.00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85,147,836.00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3,426,165.00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252,772.00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5,491,202.00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5,450,715.00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293,259.00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2,969,514.00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91,348,461.00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90,598,551.00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3,719,424.00</w:t>
            </w:r>
          </w:p>
        </w:tc>
      </w:tr>
    </w:tbl>
    <w:p>
      <w:pPr>
        <w:pStyle w:val="BodyText"/>
        <w:spacing w:line="240" w:lineRule="auto" w:before="51"/>
        <w:ind w:left="154" w:right="0"/>
        <w:jc w:val="left"/>
      </w:pPr>
      <w:r>
        <w:rPr/>
        <w:t>其他说明：</w:t>
      </w:r>
    </w:p>
    <w:p>
      <w:pPr>
        <w:pStyle w:val="BodyText"/>
        <w:spacing w:line="300" w:lineRule="auto" w:before="116"/>
        <w:ind w:right="1273"/>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日，本集团无属于拖欠性质的应付职工薪酬</w:t>
      </w:r>
      <w:r>
        <w:rPr>
          <w:spacing w:val="-1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2015</w:t>
      </w:r>
      <w:r>
        <w:rPr/>
        <w:t>年工会经费和职工教育经费发生额为人民币</w:t>
      </w:r>
      <w:r>
        <w:rPr>
          <w:rFonts w:ascii="Times New Roman" w:hAnsi="Times New Roman" w:cs="Times New Roman" w:eastAsia="Times New Roman" w:hint="default"/>
        </w:rPr>
        <w:t>7,134,192</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5,434,550</w:t>
      </w:r>
      <w:r>
        <w:rPr/>
        <w:t>元</w:t>
      </w:r>
      <w:r>
        <w:rPr>
          <w:rFonts w:ascii="Times New Roman" w:hAnsi="Times New Roman" w:cs="Times New Roman" w:eastAsia="Times New Roman" w:hint="default"/>
        </w:rPr>
        <w:t>)</w:t>
      </w:r>
      <w:r>
        <w:rPr/>
        <w:t>，非货币性福利发生额为人民币</w:t>
      </w:r>
    </w:p>
    <w:p>
      <w:pPr>
        <w:pStyle w:val="BodyText"/>
        <w:spacing w:line="240" w:lineRule="auto" w:before="13"/>
        <w:ind w:right="0"/>
        <w:jc w:val="left"/>
      </w:pPr>
      <w:r>
        <w:rPr>
          <w:rFonts w:ascii="Times New Roman" w:hAnsi="Times New Roman" w:cs="Times New Roman" w:eastAsia="Times New Roman" w:hint="default"/>
        </w:rPr>
        <w:t>81,714,706</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65,767,866</w:t>
      </w:r>
      <w:r>
        <w:rPr/>
        <w:t>元</w:t>
      </w:r>
      <w:r>
        <w:rPr>
          <w:rFonts w:ascii="Times New Roman" w:hAnsi="Times New Roman" w:cs="Times New Roman" w:eastAsia="Times New Roman" w:hint="default"/>
        </w:rPr>
        <w:t>)</w:t>
      </w:r>
      <w:r>
        <w:rPr/>
        <w:t>。</w:t>
      </w:r>
    </w:p>
    <w:p>
      <w:pPr>
        <w:pStyle w:val="BodyText"/>
        <w:spacing w:line="240" w:lineRule="auto" w:before="63"/>
        <w:ind w:right="0"/>
        <w:jc w:val="left"/>
      </w:pPr>
      <w:r>
        <w:rPr>
          <w:rFonts w:ascii="Times New Roman" w:hAnsi="Times New Roman" w:cs="Times New Roman" w:eastAsia="Times New Roman" w:hint="default"/>
        </w:rPr>
        <w:t>2015</w:t>
      </w:r>
      <w:r>
        <w:rPr/>
        <w:t>年因解除劳动关系给予补偿人民币</w:t>
      </w:r>
      <w:r>
        <w:rPr>
          <w:rFonts w:ascii="Times New Roman" w:hAnsi="Times New Roman" w:cs="Times New Roman" w:eastAsia="Times New Roman" w:hint="default"/>
        </w:rPr>
        <w:t>2,869,212</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6,718,885</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3、应交税费" w:id="291"/>
      <w:bookmarkEnd w:id="291"/>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755,386.00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42,938.00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85,272,781.00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102,991,741.00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2,527,949.00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3,268,703.00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2,630,707.00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2,690,199.00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2,035,713.00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2,284,450.00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18,951,390.00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18,700,124.00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355,143.00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509,763.00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112,529,069.00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130,487,918.00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4、应付股利" w:id="292"/>
      <w:bookmarkEnd w:id="292"/>
      <w:r>
        <w:rPr>
          <w:b w:val="0"/>
          <w:bCs w:val="0"/>
        </w:rPr>
      </w:r>
      <w:r>
        <w:rPr>
          <w:rFonts w:ascii="Times New Roman" w:hAnsi="Times New Roman" w:cs="Times New Roman" w:eastAsia="Times New Roman" w:hint="default"/>
        </w:rPr>
        <w:t>24</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979" w:header="851" w:top="1360" w:bottom="1160" w:left="980" w:right="0"/>
          <w:pgNumType w:start="101"/>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其他应付款" w:id="293"/>
      <w:bookmarkEnd w:id="293"/>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4"/>
      <w:bookmarkEnd w:id="29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97,551,230.00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95,849,869.00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77,861,710.00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80,268,204.00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42,111,595.00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53,213,729.00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13,463,651.00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11,073,316.00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31,254,476.00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32,258,618.00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276,198,662.00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272,663,736.00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5"/>
      <w:bookmarkEnd w:id="29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6、其他流动负债" w:id="296"/>
      <w:bookmarkEnd w:id="296"/>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605,643,334.00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731,780,000.00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605,643,334.00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731,780,000.00</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32"/>
              <w:jc w:val="both"/>
              <w:rPr>
                <w:rFonts w:ascii="宋体" w:hAnsi="宋体" w:cs="宋体" w:eastAsia="宋体" w:hint="default"/>
                <w:sz w:val="18"/>
                <w:szCs w:val="18"/>
              </w:rPr>
            </w:pPr>
            <w:r>
              <w:rPr>
                <w:rFonts w:ascii="宋体" w:hAnsi="宋体" w:cs="宋体" w:eastAsia="宋体" w:hint="default"/>
                <w:sz w:val="18"/>
                <w:szCs w:val="18"/>
              </w:rPr>
              <w:t>度第一期 超短期融 资券</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598,200,0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598,200,0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513,334.0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605,643,3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34.00</w:t>
            </w: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t>700,000,0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2014/4/25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697,200,0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731,780,0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15,614,79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905,205.0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748,300,0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98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45"/>
              <w:jc w:val="both"/>
              <w:rPr>
                <w:rFonts w:ascii="宋体" w:hAnsi="宋体" w:cs="宋体" w:eastAsia="宋体" w:hint="default"/>
                <w:sz w:val="18"/>
                <w:szCs w:val="18"/>
              </w:rPr>
            </w:pPr>
            <w:r>
              <w:rPr>
                <w:rFonts w:ascii="宋体" w:hAnsi="宋体" w:cs="宋体" w:eastAsia="宋体" w:hint="default"/>
                <w:sz w:val="18"/>
                <w:szCs w:val="18"/>
              </w:rPr>
              <w:t>度第一期 短期融资 券</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1"/>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1,295,400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731,780,0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598,200,0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22,544,79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1,418,539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748,300,0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605,643,3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34.00</w:t>
            </w:r>
          </w:p>
        </w:tc>
      </w:tr>
    </w:tbl>
    <w:p>
      <w:pPr>
        <w:pStyle w:val="BodyText"/>
        <w:spacing w:line="240" w:lineRule="auto" w:before="67"/>
        <w:ind w:left="154" w:right="0"/>
        <w:jc w:val="left"/>
      </w:pPr>
      <w:r>
        <w:rPr/>
        <w:t>其他说明：</w:t>
      </w:r>
    </w:p>
    <w:p>
      <w:pPr>
        <w:pStyle w:val="BodyText"/>
        <w:spacing w:line="300" w:lineRule="auto" w:before="116"/>
        <w:ind w:right="1123"/>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日公开发行了</w:t>
      </w:r>
      <w:r>
        <w:rPr>
          <w:rFonts w:ascii="Times New Roman" w:hAnsi="Times New Roman" w:cs="Times New Roman" w:eastAsia="Times New Roman" w:hint="default"/>
        </w:rPr>
        <w:t>6,000,000</w:t>
      </w:r>
      <w:r>
        <w:rPr/>
        <w:t>份超短期融资券，每份面值人民币</w:t>
      </w:r>
      <w:r>
        <w:rPr>
          <w:rFonts w:ascii="Times New Roman" w:hAnsi="Times New Roman" w:cs="Times New Roman" w:eastAsia="Times New Roman" w:hint="default"/>
        </w:rPr>
        <w:t>100</w:t>
      </w:r>
      <w:r>
        <w:rPr/>
        <w:t>元，发行总额为人民币</w:t>
      </w:r>
      <w:r>
        <w:rPr>
          <w:rFonts w:ascii="Times New Roman" w:hAnsi="Times New Roman" w:cs="Times New Roman" w:eastAsia="Times New Roman" w:hint="default"/>
        </w:rPr>
        <w:t>6</w:t>
      </w:r>
      <w:r>
        <w:rPr/>
        <w:t>亿元，期限为</w:t>
      </w:r>
      <w:r>
        <w:rPr>
          <w:rFonts w:ascii="Times New Roman" w:hAnsi="Times New Roman" w:cs="Times New Roman" w:eastAsia="Times New Roman" w:hint="default"/>
        </w:rPr>
        <w:t>270 </w:t>
      </w:r>
      <w:r>
        <w:rPr/>
        <w:t>天，年利率为</w:t>
      </w:r>
      <w:r>
        <w:rPr>
          <w:rFonts w:ascii="Times New Roman" w:hAnsi="Times New Roman" w:cs="Times New Roman" w:eastAsia="Times New Roman" w:hint="default"/>
        </w:rPr>
        <w:t>5.40%</w:t>
      </w:r>
      <w:r>
        <w:rPr/>
        <w:t>，该短期融资券到期时一次性偿付本息。</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7、应付债券" w:id="297"/>
      <w:bookmarkEnd w:id="297"/>
      <w:r>
        <w:rPr>
          <w:b w:val="0"/>
          <w:bCs w:val="0"/>
        </w:rPr>
      </w:r>
      <w:r>
        <w:rPr>
          <w:rFonts w:ascii="Times New Roman" w:hAnsi="Times New Roman" w:cs="Times New Roman" w:eastAsia="Times New Roman" w:hint="default"/>
        </w:rPr>
        <w:t>27</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298"/>
      <w:bookmarkEnd w:id="29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806,667,296.00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805,494,932.00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806,667,296.00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805,494,932.00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299"/>
      <w:bookmarkEnd w:id="29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4" w:right="23" w:hanging="18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溢折价摊</w:t>
            </w:r>
          </w:p>
          <w:p>
            <w:pPr>
              <w:pStyle w:val="TableParagraph"/>
              <w:spacing w:line="240" w:lineRule="auto" w:before="77"/>
              <w:ind w:right="22"/>
              <w:jc w:val="right"/>
              <w:rPr>
                <w:rFonts w:ascii="宋体" w:hAnsi="宋体" w:cs="宋体" w:eastAsia="宋体" w:hint="default"/>
                <w:sz w:val="18"/>
                <w:szCs w:val="18"/>
              </w:rPr>
            </w:pPr>
            <w:r>
              <w:rPr>
                <w:rFonts w:ascii="宋体" w:hAnsi="宋体" w:cs="宋体" w:eastAsia="宋体" w:hint="default"/>
                <w:sz w:val="18"/>
                <w:szCs w:val="18"/>
              </w:rPr>
              <w:t>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2013/10/2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805,494,9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1,172,364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806,667,2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805,494,9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1,172,364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57,600,00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806,667,2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其他非流动负债" w:id="300"/>
      <w:bookmarkEnd w:id="300"/>
      <w:r>
        <w:rPr>
          <w:b w:val="0"/>
          <w:bCs w:val="0"/>
        </w:rPr>
      </w:r>
      <w:r>
        <w:rPr>
          <w:rFonts w:ascii="Times New Roman" w:hAnsi="Times New Roman" w:cs="Times New Roman" w:eastAsia="Times New Roman" w:hint="default"/>
        </w:rPr>
        <w:t>28</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9、股本" w:id="301"/>
      <w:bookmarkEnd w:id="301"/>
      <w:r>
        <w:rPr>
          <w:b w:val="0"/>
          <w:bCs w:val="0"/>
        </w:rPr>
      </w:r>
      <w:r>
        <w:rPr>
          <w:rFonts w:ascii="Times New Roman" w:hAnsi="Times New Roman" w:cs="Times New Roman" w:eastAsia="Times New Roman" w:hint="default"/>
        </w:rPr>
        <w:t>29</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505,500,000.00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-1,500,000.00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2" w:lineRule="auto" w:before="116"/>
        <w:ind w:right="1033"/>
        <w:jc w:val="left"/>
      </w:pPr>
      <w:r>
        <w:rPr/>
        <w:t>根据本公司</w:t>
      </w:r>
      <w:r>
        <w:rPr>
          <w:rFonts w:ascii="Times New Roman" w:hAnsi="Times New Roman" w:cs="Times New Roman" w:eastAsia="Times New Roman" w:hint="default"/>
        </w:rPr>
        <w:t>2014</w:t>
      </w:r>
      <w:r>
        <w:rPr/>
        <w:t>年年度股东大会决议，本公司以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10.11</w:t>
      </w:r>
      <w:r>
        <w:rPr/>
        <w:t>亿股为基数，按每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股，以资本公积转 增</w:t>
      </w:r>
      <w:r>
        <w:rPr>
          <w:rFonts w:ascii="Times New Roman" w:hAnsi="Times New Roman" w:cs="Times New Roman" w:eastAsia="Times New Roman" w:hint="default"/>
        </w:rPr>
        <w:t>9</w:t>
      </w:r>
      <w:r>
        <w:rPr/>
        <w:t>股，盈余公积转增</w:t>
      </w:r>
      <w:r>
        <w:rPr>
          <w:rFonts w:ascii="Times New Roman" w:hAnsi="Times New Roman" w:cs="Times New Roman" w:eastAsia="Times New Roman" w:hint="default"/>
        </w:rPr>
        <w:t>1</w:t>
      </w:r>
      <w:r>
        <w:rPr/>
        <w:t>股，共计送股、转增</w:t>
      </w:r>
      <w:r>
        <w:rPr>
          <w:rFonts w:ascii="Times New Roman" w:hAnsi="Times New Roman" w:cs="Times New Roman" w:eastAsia="Times New Roman" w:hint="default"/>
        </w:rPr>
        <w:t>15.165</w:t>
      </w:r>
      <w:r>
        <w:rPr/>
        <w:t>亿股，并于</w:t>
      </w:r>
      <w:r>
        <w:rPr>
          <w:rFonts w:ascii="Times New Roman" w:hAnsi="Times New Roman" w:cs="Times New Roman" w:eastAsia="Times New Roman" w:hint="default"/>
        </w:rPr>
        <w:t>2015</w:t>
      </w:r>
      <w:r>
        <w:rPr/>
        <w:t>年度实施。转增后，本公司注册资本增加至人民币</w:t>
      </w:r>
      <w:r>
        <w:rPr>
          <w:rFonts w:ascii="Times New Roman" w:hAnsi="Times New Roman" w:cs="Times New Roman" w:eastAsia="Times New Roman" w:hint="default"/>
        </w:rPr>
        <w:t>25.275 </w:t>
      </w:r>
      <w:r>
        <w:rPr/>
        <w:t>亿元。 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日董事会决议，本公司决定回购并注销已授予</w:t>
      </w:r>
      <w:r>
        <w:rPr>
          <w:rFonts w:ascii="Times New Roman" w:hAnsi="Times New Roman" w:cs="Times New Roman" w:eastAsia="Times New Roman" w:hint="default"/>
        </w:rPr>
        <w:t>2</w:t>
      </w:r>
      <w:r>
        <w:rPr/>
        <w:t>名激励对象但未达到解锁条件的</w:t>
      </w:r>
      <w:r>
        <w:rPr>
          <w:rFonts w:ascii="Times New Roman" w:hAnsi="Times New Roman" w:cs="Times New Roman" w:eastAsia="Times New Roman" w:hint="default"/>
        </w:rPr>
        <w:t>60</w:t>
      </w:r>
      <w:r>
        <w:rPr/>
        <w:t>万股限制性股票，</w:t>
      </w:r>
      <w:r>
        <w:rPr>
          <w:spacing w:val="-85"/>
        </w:rPr>
        <w:t> </w:t>
      </w:r>
      <w:r>
        <w:rPr>
          <w:spacing w:val="-85"/>
        </w:rPr>
      </w:r>
      <w:r>
        <w:rPr/>
        <w:t>且根据锁定期内转增股本、派送股票红利的情况，将回购股票数量调整为</w:t>
      </w:r>
      <w:r>
        <w:rPr>
          <w:rFonts w:ascii="Times New Roman" w:hAnsi="Times New Roman" w:cs="Times New Roman" w:eastAsia="Times New Roman" w:hint="default"/>
        </w:rPr>
        <w:t>150</w:t>
      </w:r>
      <w:r>
        <w:rPr/>
        <w:t>万股。截至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月底，回购款已足额支付。</w:t>
      </w:r>
      <w:r>
        <w:rPr>
          <w:spacing w:val="-85"/>
        </w:rPr>
        <w:t> </w:t>
      </w:r>
      <w:r>
        <w:rPr>
          <w:spacing w:val="-85"/>
        </w:rPr>
      </w:r>
      <w:r>
        <w:rPr>
          <w:spacing w:val="-2"/>
        </w:rPr>
        <w:t>回购股票后，本公司注册资本变更为人民币</w:t>
      </w:r>
      <w:r>
        <w:rPr>
          <w:rFonts w:ascii="Times New Roman" w:hAnsi="Times New Roman" w:cs="Times New Roman" w:eastAsia="Times New Roman" w:hint="default"/>
          <w:spacing w:val="-2"/>
        </w:rPr>
        <w:t>25.26</w:t>
      </w:r>
      <w:r>
        <w:rPr>
          <w:spacing w:val="-2"/>
        </w:rPr>
        <w:t>亿元。本次股本变化业经安永华明会计师事务所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上海分所验</w:t>
      </w:r>
      <w:r>
        <w:rPr>
          <w:spacing w:val="-42"/>
        </w:rPr>
        <w:t> </w:t>
      </w:r>
      <w:r>
        <w:rPr/>
        <w:t>证并出具了安永华明</w:t>
      </w:r>
      <w:r>
        <w:rPr>
          <w:rFonts w:ascii="Times New Roman" w:hAnsi="Times New Roman" w:cs="Times New Roman" w:eastAsia="Times New Roman" w:hint="default"/>
        </w:rPr>
        <w:t>(2015)</w:t>
      </w:r>
      <w:r>
        <w:rPr/>
        <w:t>验字第</w:t>
      </w:r>
      <w:r>
        <w:rPr>
          <w:rFonts w:ascii="Times New Roman" w:hAnsi="Times New Roman" w:cs="Times New Roman" w:eastAsia="Times New Roman" w:hint="default"/>
        </w:rPr>
        <w:t>60644982_B01</w:t>
      </w:r>
      <w:r>
        <w:rPr/>
        <w:t>号验资报告。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30、资本公积" w:id="302"/>
      <w:bookmarkEnd w:id="302"/>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994,112,190.00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915,378,000.00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79,418,190.00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129,761,355.00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129,761,355.00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1,123,873,545.00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915,378,000.00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209,179,545.00</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5"/>
        <w:ind w:right="0"/>
        <w:jc w:val="left"/>
      </w:pPr>
      <w:r>
        <w:rPr>
          <w:spacing w:val="-2"/>
        </w:rPr>
        <w:t>本年资本公积减少系实施资本公积转增股本方案导致资本公积减少人民币</w:t>
      </w:r>
      <w:r>
        <w:rPr>
          <w:rFonts w:ascii="Times New Roman" w:hAnsi="Times New Roman" w:cs="Times New Roman" w:eastAsia="Times New Roman" w:hint="default"/>
          <w:spacing w:val="-2"/>
        </w:rPr>
        <w:t>909,900,000</w:t>
      </w:r>
      <w:r>
        <w:rPr>
          <w:spacing w:val="-2"/>
        </w:rPr>
        <w:t>元，回购限制性股票导致资本公积减少</w:t>
      </w:r>
      <w:r>
        <w:rPr>
          <w:spacing w:val="-54"/>
        </w:rPr>
        <w:t> </w:t>
      </w:r>
      <w:r>
        <w:rPr>
          <w:spacing w:val="-54"/>
        </w:rPr>
      </w:r>
      <w:r>
        <w:rPr/>
        <w:t>人民币</w:t>
      </w:r>
      <w:r>
        <w:rPr>
          <w:rFonts w:ascii="Times New Roman" w:hAnsi="Times New Roman" w:cs="Times New Roman" w:eastAsia="Times New Roman" w:hint="default"/>
        </w:rPr>
        <w:t>5,478,000</w:t>
      </w:r>
      <w:r>
        <w:rPr/>
        <w:t>元，及冲回回购限制性股票股利导致资本公积增加人民币</w:t>
      </w:r>
      <w:r>
        <w:rPr>
          <w:rFonts w:ascii="Times New Roman" w:hAnsi="Times New Roman" w:cs="Times New Roman" w:eastAsia="Times New Roman" w:hint="default"/>
        </w:rPr>
        <w:t>684,000</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1、库存股" w:id="303"/>
      <w:bookmarkEnd w:id="303"/>
      <w:r>
        <w:rPr>
          <w:b w:val="0"/>
          <w:bCs w:val="0"/>
        </w:rPr>
      </w:r>
      <w:r>
        <w:rPr>
          <w:rFonts w:ascii="Times New Roman" w:hAnsi="Times New Roman" w:cs="Times New Roman" w:eastAsia="Times New Roman" w:hint="default"/>
        </w:rPr>
        <w:t>31</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2、盈余公积" w:id="304"/>
      <w:bookmarkEnd w:id="304"/>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621,769,207.00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2,862,546.00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523,531,753.00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621,769,207.00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2,862,546.00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523,531,753.00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t>盈余公积说明，包括本期增减变动情况、变动原因说明：</w:t>
      </w:r>
    </w:p>
    <w:p>
      <w:pPr>
        <w:pStyle w:val="BodyText"/>
        <w:spacing w:line="300" w:lineRule="auto" w:before="115"/>
        <w:ind w:right="1118"/>
        <w:jc w:val="left"/>
      </w:pPr>
      <w:r>
        <w:rPr>
          <w:spacing w:val="-1"/>
        </w:rPr>
        <w:t>根据公司法、本公司及本公司子公司的公司章程的规定，本公司和本公司子公司需按弥补累计亏损后净利润的</w:t>
      </w:r>
      <w:r>
        <w:rPr>
          <w:rFonts w:ascii="Times New Roman" w:hAnsi="Times New Roman" w:cs="Times New Roman" w:eastAsia="Times New Roman" w:hint="default"/>
          <w:spacing w:val="-1"/>
        </w:rPr>
        <w:t>10%</w:t>
      </w:r>
      <w:r>
        <w:rPr>
          <w:spacing w:val="-1"/>
        </w:rPr>
        <w:t>提取法定</w:t>
      </w:r>
      <w:r>
        <w:rPr>
          <w:spacing w:val="-88"/>
        </w:rPr>
        <w:t> </w:t>
      </w:r>
      <w:r>
        <w:rPr/>
        <w:t>盈余公积。法定盈余公积累计额达到本公司和本公司子公司的注册资本</w:t>
      </w:r>
      <w:r>
        <w:rPr>
          <w:rFonts w:ascii="Times New Roman" w:hAnsi="Times New Roman" w:cs="Times New Roman" w:eastAsia="Times New Roman" w:hint="default"/>
        </w:rPr>
        <w:t>50%</w:t>
      </w:r>
      <w:r>
        <w:rPr/>
        <w:t>以上的，可不再提取。 本年盈余公积减少系实施盈余公积转增股本，每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3、未分配利润" w:id="305"/>
      <w:bookmarkEnd w:id="305"/>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949,669,040.00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1,095,192,672.00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949,669,040.00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1,095,192,672.00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-431,921,501.00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2,862,546.00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8,084,145.00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283,080,000.00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-91,715,007.00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949,669,040.00</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营业收入和营业成本" w:id="306"/>
      <w:bookmarkEnd w:id="306"/>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6,232,032,211.00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3,477,996,484.00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6,559,617,235.00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3,587,654,782.00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62,751,553.00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46,129,661.00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61,150,242.00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42,204,735.00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6,294,783,764.00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3,524,126,145.00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6,620,767,477.00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3,629,859,517.00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营业税金及附加" w:id="307"/>
      <w:bookmarkEnd w:id="307"/>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2,072,639.00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3,250,753.00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23,827,572.00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25,833,817.00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19,774,007.00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23,820,266.00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2,680,484.00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2,939,550.00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2,248,703.00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2,113,194.00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50,603,405.00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57,957,580.00</w:t>
            </w:r>
          </w:p>
        </w:tc>
      </w:tr>
    </w:tbl>
    <w:p>
      <w:pPr>
        <w:pStyle w:val="BodyText"/>
        <w:spacing w:line="357" w:lineRule="auto" w:before="67"/>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6、销售费用" w:id="308"/>
      <w:bookmarkEnd w:id="308"/>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689,230,658.00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758,659,158.00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822,416,607.00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795,736,232.00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119,892,729.00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80,704,953.00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117,126,534.00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49,630,708.00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91,768,666.00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134,944,180.00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71,339,533.00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74,588,399.00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65,394,905.00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76,342,014.00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39,793,808.00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43,242,724.00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31,041,802.00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30,691,329.00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19,739,306.00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7,357,136.00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126,744,906.00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114,236,745.00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2,194,489,454.00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2,166,133,578.00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7、管理费用" w:id="309"/>
      <w:bookmarkEnd w:id="309"/>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184,637,431.00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106,095,852.00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37,875,126.00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36,957,712.00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20,332,064.00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12,294,466.00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19,806,189.00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12,255,215.00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12,095,993.00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12,766,407.00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11,132,008.00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9,872,494.00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9,433,283.00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10,017,017.00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4,700,885.00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4,477,964.00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4,839,690.00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17,812,558.00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17,574,911.00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322,352,412.00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227,151,728.00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8、财务费用" w:id="310"/>
      <w:bookmarkEnd w:id="310"/>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126,194,461.00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148,864,789.00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-14,650,872.00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-20,931,030.00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2,287,639.00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1,232,100.00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116,583,880.00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129,165,859.00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资产减值损失" w:id="311"/>
      <w:bookmarkEnd w:id="311"/>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3,779,554.00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22,649,634.00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199,034,889.00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216,658,543.00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33,751,676.00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16,905,705.00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236,566,119.00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256,213,882.00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投资收益" w:id="312"/>
      <w:bookmarkEnd w:id="312"/>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23,964,857.00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0" w:right="0"/>
              <w:jc w:val="left"/>
              <w:rPr>
                <w:rFonts w:ascii="Times New Roman" w:hAnsi="Times New Roman" w:cs="Times New Roman" w:eastAsia="Times New Roman" w:hint="default"/>
                <w:sz w:val="18"/>
                <w:szCs w:val="18"/>
              </w:rPr>
            </w:pPr>
            <w:r>
              <w:rPr>
                <w:rFonts w:ascii="Times New Roman"/>
                <w:sz w:val="18"/>
              </w:rPr>
              <w:t>23,964,857.00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1、营业外收入" w:id="313"/>
      <w:bookmarkEnd w:id="313"/>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6,982,654.00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342,825.00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6,982,654.00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342,825.00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16,086,568.00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61,855,168.00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16,086,568.00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10,775,092.00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30,583,390.00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10,775,092.00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不能支付的应付账款核销及 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3,766,162.00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6,617,654.00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3,766,162.00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30,970,647.00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106,038,866.00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30,970,647.00</w:t>
            </w:r>
          </w:p>
        </w:tc>
      </w:tr>
    </w:tbl>
    <w:p>
      <w:pPr>
        <w:pStyle w:val="BodyText"/>
        <w:spacing w:line="240" w:lineRule="auto" w:before="51"/>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地方政府财 政支持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16,086,568.0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61,855,168.0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16,086,568.0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61,855,168.0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2、营业外支出" w:id="314"/>
      <w:bookmarkEnd w:id="314"/>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5,699,402.00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26,190,592.00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5,699,402.00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3"/>
              <w:jc w:val="righ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1,031,493.00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2,452,756.00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1,031,493.00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2"/>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145,901.00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2,441,670.00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434,985.00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232,415.00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5,365,702.00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8,944,116.00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5,365,702.00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12,789,319.00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38,011,363.00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12,789,319.00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所得税费用" w:id="315"/>
      <w:bookmarkEnd w:id="315"/>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6"/>
      <w:bookmarkEnd w:id="31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16,805,172.00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44,512,286.00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282,719,719.00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56,124,894.00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299,524,891.00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100,637,180.00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17"/>
      <w:bookmarkEnd w:id="31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-132,396,610.00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-33,099,152.00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-4,078,120.00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1,973,733.00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-3,759,148.00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8,454,910.00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-68,556,964.00</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398,429,560.00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归属于联营企业的损益</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160,072.00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299,524,891.00</w:t>
            </w:r>
          </w:p>
        </w:tc>
      </w:tr>
    </w:tbl>
    <w:p>
      <w:pPr>
        <w:pStyle w:val="BodyText"/>
        <w:spacing w:line="357" w:lineRule="auto" w:before="51"/>
        <w:ind w:right="1693"/>
        <w:jc w:val="left"/>
      </w:pPr>
      <w:r>
        <w:rPr/>
        <w:t>其他说明 本集团所得税按在中国境内取得的估计应纳税所得额及法定税率计提，</w:t>
      </w:r>
      <w:r>
        <w:rPr>
          <w:rFonts w:ascii="Times New Roman" w:hAnsi="Times New Roman" w:cs="Times New Roman" w:eastAsia="Times New Roman" w:hint="default"/>
        </w:rPr>
        <w:t>2015</w:t>
      </w:r>
      <w:r>
        <w:rPr/>
        <w:t>年度法定税率为</w:t>
      </w:r>
      <w:r>
        <w:rPr>
          <w:rFonts w:ascii="Times New Roman" w:hAnsi="Times New Roman" w:cs="Times New Roman" w:eastAsia="Times New Roman" w:hint="default"/>
        </w:rPr>
        <w:t>25%(2014</w:t>
      </w:r>
      <w:r>
        <w:rPr/>
        <w:t>年度：</w:t>
      </w:r>
      <w:r>
        <w:rPr>
          <w:rFonts w:ascii="Times New Roman" w:hAnsi="Times New Roman" w:cs="Times New Roman" w:eastAsia="Times New Roman" w:hint="default"/>
        </w:rPr>
        <w:t>25%)</w:t>
      </w:r>
      <w:r>
        <w:rPr/>
        <w:t>。</w:t>
      </w:r>
    </w:p>
    <w:p>
      <w:pPr>
        <w:spacing w:after="0" w:line="357"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44、现金流量表项目" w:id="318"/>
      <w:bookmarkEnd w:id="318"/>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319"/>
      <w:bookmarkEnd w:id="3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14,650,872.00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20,931,030.00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15,332,538.00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87,740,969.00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11,868,866.00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16,677,886.00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14,541,254.00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37,201,043.00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56,393,530.00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162,550,928.00</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20"/>
      <w:bookmarkEnd w:id="3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726,972,927.00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691,028,023.00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126,512,015.00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36,429,417.00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道具费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11,020,289.00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15,140,266.00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77,193,435.00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87,470,434.00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35,742,687.00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36,465,071.00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63,073,807.00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36,303,352.00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30,454,902.00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22,174,922.00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12,200,852.00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15,210,807.00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12,788,048.00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128,316,479.00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60,074,965.00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43,816,693.00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40,276,976.00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1,730,477.00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2,410,375.00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20,294,393.00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7,472,142.00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44,122,536.00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60,297,450.00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1,334,239,540.00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1,128,025,477.00</w:t>
            </w:r>
          </w:p>
        </w:tc>
      </w:tr>
    </w:tbl>
    <w:p>
      <w:pPr>
        <w:pStyle w:val="BodyText"/>
        <w:spacing w:line="357" w:lineRule="auto" w:before="51"/>
        <w:ind w:left="154" w:right="7512"/>
        <w:jc w:val="left"/>
      </w:pPr>
      <w:r>
        <w:rPr/>
        <w:t>支付的其他与经营活动有关的现金说明： 无</w:t>
      </w:r>
    </w:p>
    <w:p>
      <w:pPr>
        <w:spacing w:after="0" w:line="357"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3）收到的其他与投资活动有关的现金" w:id="321"/>
      <w:bookmarkEnd w:id="32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22"/>
      <w:bookmarkEnd w:id="32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23"/>
      <w:bookmarkEnd w:id="32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13,549,740.00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26,657,754.00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13,549,740.00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26,657,754.00</w:t>
            </w:r>
          </w:p>
        </w:tc>
      </w:tr>
    </w:tbl>
    <w:p>
      <w:pPr>
        <w:pStyle w:val="BodyText"/>
        <w:spacing w:line="357" w:lineRule="auto" w:before="51"/>
        <w:ind w:left="15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24"/>
      <w:bookmarkEnd w:id="32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47,505,171.00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33,136,174.00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49,305,171.00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35,936,174.00</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5、现金流量表补充资料" w:id="325"/>
      <w:bookmarkEnd w:id="325"/>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26"/>
      <w:bookmarkEnd w:id="3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after="0" w:line="240" w:lineRule="auto"/>
        <w:jc w:val="left"/>
        <w:sectPr>
          <w:footerReference w:type="default" r:id="rId17"/>
          <w:pgSz w:w="11910" w:h="16840"/>
          <w:pgMar w:footer="1564" w:header="851" w:top="1360" w:bottom="1760" w:left="980" w:right="0"/>
          <w:pgNumType w:start="111"/>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6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-431,921,501.00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145,640,513.00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236,566,119.00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256,213,881.00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93,049,625.00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96,117,293.00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19,776,278.00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18,602,898.00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86,557,801.00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120,748,314.00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5,356,577.00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19,207,938.00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128,482,100.00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148,864,789.00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640,287.00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282,719,719.00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56,124,894.00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-638,165,639.00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-72,545,869.00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-66,748,947.00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397,396,596.00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98,683,195.00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159,767,573.00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-185,004,386.00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1,322,173,963.00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1,148,599,181.00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1,395,947,083.00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1,069,565,136.00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-247,347,902.00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326,381,947.00</w:t>
            </w:r>
          </w:p>
        </w:tc>
      </w:tr>
    </w:tbl>
    <w:p>
      <w:pPr>
        <w:spacing w:line="240" w:lineRule="auto" w:before="5"/>
        <w:rPr>
          <w:rFonts w:ascii="宋体" w:hAnsi="宋体" w:cs="宋体" w:eastAsia="宋体" w:hint="default"/>
          <w:b/>
          <w:bCs/>
          <w:sz w:val="20"/>
          <w:szCs w:val="20"/>
        </w:rPr>
      </w:pPr>
    </w:p>
    <w:p>
      <w:pPr>
        <w:pStyle w:val="Heading3"/>
        <w:spacing w:line="240" w:lineRule="auto" w:before="35"/>
        <w:ind w:right="0"/>
        <w:jc w:val="left"/>
        <w:rPr>
          <w:b w:val="0"/>
          <w:bCs w:val="0"/>
        </w:rPr>
      </w:pPr>
      <w:bookmarkStart w:name="（2）现金和现金等价物的构成" w:id="327"/>
      <w:bookmarkEnd w:id="327"/>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1,148,599,181.00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2,574,698.00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2,607,968.00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1,071,576,638.00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1,393,339,115.00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74,447,845.00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1,148,599,181.00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1,395,947,083.00</w:t>
            </w:r>
          </w:p>
        </w:tc>
      </w:tr>
    </w:tbl>
    <w:p>
      <w:pPr>
        <w:pStyle w:val="BodyText"/>
        <w:spacing w:line="357" w:lineRule="auto" w:before="51"/>
        <w:ind w:right="9853"/>
        <w:jc w:val="left"/>
      </w:pPr>
      <w:r>
        <w:rPr/>
        <w:t>其他说明： 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46、所有权或使用权受到限制的资产" w:id="328"/>
      <w:bookmarkEnd w:id="328"/>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after="0" w:line="240" w:lineRule="auto"/>
        <w:jc w:val="left"/>
        <w:sectPr>
          <w:pgSz w:w="11910" w:h="16840"/>
          <w:pgMar w:header="851" w:footer="1564" w:top="1360" w:bottom="1760" w:left="980" w:right="0"/>
        </w:sectPr>
      </w:pPr>
    </w:p>
    <w:p>
      <w:pPr>
        <w:spacing w:line="240" w:lineRule="auto" w:before="9"/>
        <w:rPr>
          <w:rFonts w:ascii="宋体" w:hAnsi="宋体" w:cs="宋体" w:eastAsia="宋体" w:hint="default"/>
          <w:b/>
          <w:bCs/>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45,467,584.00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用于银行承兑汇票授信额度的保证金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1,147,423,246.00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68,824,561.00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47,768,145.00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1,309,483,536.00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5"/>
        <w:rPr>
          <w:rFonts w:ascii="宋体" w:hAnsi="宋体" w:cs="宋体" w:eastAsia="宋体" w:hint="default"/>
          <w:sz w:val="18"/>
          <w:szCs w:val="18"/>
        </w:rPr>
      </w:pPr>
    </w:p>
    <w:p>
      <w:pPr>
        <w:pStyle w:val="Heading2"/>
        <w:spacing w:line="240" w:lineRule="auto"/>
        <w:ind w:left="154" w:right="0"/>
        <w:jc w:val="both"/>
        <w:rPr>
          <w:b w:val="0"/>
          <w:bCs w:val="0"/>
        </w:rPr>
      </w:pPr>
      <w:bookmarkStart w:name="八、合并范围的变更" w:id="329"/>
      <w:bookmarkEnd w:id="32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其他原因的合并范围变动" w:id="330"/>
      <w:bookmarkEnd w:id="330"/>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说明其他原因导致的合并范围变动（如，新设子公司、清算子公司等）及其相关情况：</w:t>
      </w:r>
    </w:p>
    <w:p>
      <w:pPr>
        <w:pStyle w:val="BodyText"/>
        <w:spacing w:line="300" w:lineRule="auto" w:before="115"/>
        <w:ind w:right="1132"/>
        <w:jc w:val="both"/>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日设立子公司法人独资有限责任公司上海潮范电子商务有限公司，注册资本为人民币</w:t>
      </w:r>
      <w:r>
        <w:rPr>
          <w:rFonts w:ascii="Times New Roman" w:hAnsi="Times New Roman" w:cs="Times New Roman" w:eastAsia="Times New Roman" w:hint="default"/>
        </w:rPr>
        <w:t>1</w:t>
      </w:r>
      <w:r>
        <w:rPr/>
        <w:t>亿元；于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日设立子公司法人独资有限责任公司上海美潮国际贸易有限公司，注册资本为人民币</w:t>
      </w:r>
      <w:r>
        <w:rPr>
          <w:rFonts w:ascii="Times New Roman" w:hAnsi="Times New Roman" w:cs="Times New Roman" w:eastAsia="Times New Roman" w:hint="default"/>
        </w:rPr>
        <w:t>5,000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 </w:t>
      </w:r>
      <w:r>
        <w:rPr>
          <w:spacing w:val="-4"/>
        </w:rPr>
        <w:t>在香港设立子公司有范网络科技有限公司，注册资本为港币</w:t>
      </w:r>
      <w:r>
        <w:rPr>
          <w:rFonts w:ascii="Times New Roman" w:hAnsi="Times New Roman" w:cs="Times New Roman" w:eastAsia="Times New Roman" w:hint="default"/>
          <w:spacing w:val="-4"/>
        </w:rPr>
        <w:t>1</w:t>
      </w:r>
      <w:r>
        <w:rPr>
          <w:spacing w:val="-4"/>
        </w:rPr>
        <w:t>元。以上公司自设立之后纳入本公司合并财务报表的合并范围。</w:t>
      </w:r>
      <w:r>
        <w:rPr>
          <w:spacing w:val="-44"/>
        </w:rPr>
        <w:t> </w:t>
      </w:r>
      <w:r>
        <w:rPr>
          <w:spacing w:val="-44"/>
        </w:rPr>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日注销子公司岳阳美特斯邦威服饰有限公司，该公司自注销后不再纳入本公司合并财务报表的合并范 围。</w:t>
      </w:r>
    </w:p>
    <w:p>
      <w:pPr>
        <w:pStyle w:val="BodyText"/>
        <w:spacing w:line="240" w:lineRule="auto" w:before="31"/>
        <w:ind w:left="154" w:right="0"/>
        <w:jc w:val="both"/>
      </w:pPr>
      <w:r>
        <w:rPr/>
        <w:t>除以上事项之外，合并财务报表范围与上年度一致。</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九、在其他主体中的权益" w:id="331"/>
      <w:bookmarkEnd w:id="331"/>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在子公司中的权益" w:id="332"/>
      <w:bookmarkEnd w:id="33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企业集团的构成" w:id="333"/>
      <w:bookmarkEnd w:id="33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2"/>
        <w:gridCol w:w="992"/>
        <w:gridCol w:w="1134"/>
        <w:gridCol w:w="1277"/>
        <w:gridCol w:w="850"/>
        <w:gridCol w:w="851"/>
        <w:gridCol w:w="1207"/>
      </w:tblGrid>
      <w:tr>
        <w:trPr>
          <w:trHeight w:val="402"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上海美特斯邦威服饰博物馆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批发零售业非 营利性组织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通过设立或投</w:t>
            </w:r>
          </w:p>
        </w:tc>
      </w:tr>
    </w:tbl>
    <w:p>
      <w:pPr>
        <w:spacing w:after="0" w:line="240" w:lineRule="auto"/>
        <w:jc w:val="left"/>
        <w:rPr>
          <w:rFonts w:ascii="宋体" w:hAnsi="宋体" w:cs="宋体" w:eastAsia="宋体" w:hint="default"/>
          <w:sz w:val="18"/>
          <w:szCs w:val="18"/>
        </w:rPr>
        <w:sectPr>
          <w:footerReference w:type="default" r:id="rId18"/>
          <w:pgSz w:w="11910" w:h="16840"/>
          <w:pgMar w:footer="979" w:header="851" w:top="1360" w:bottom="1160" w:left="980" w:right="0"/>
          <w:pgNumType w:start="113"/>
        </w:sectPr>
      </w:pPr>
    </w:p>
    <w:tbl>
      <w:tblPr>
        <w:tblW w:w="0" w:type="auto"/>
        <w:jc w:val="left"/>
        <w:tblInd w:w="149" w:type="dxa"/>
        <w:tblLayout w:type="fixed"/>
        <w:tblCellMar>
          <w:top w:w="0" w:type="dxa"/>
          <w:left w:w="0" w:type="dxa"/>
          <w:bottom w:w="0" w:type="dxa"/>
          <w:right w:w="0" w:type="dxa"/>
        </w:tblCellMar>
        <w:tblLook w:val="01E0"/>
      </w:tblPr>
      <w:tblGrid>
        <w:gridCol w:w="3262"/>
        <w:gridCol w:w="992"/>
        <w:gridCol w:w="1134"/>
        <w:gridCol w:w="1277"/>
        <w:gridCol w:w="850"/>
        <w:gridCol w:w="851"/>
        <w:gridCol w:w="1207"/>
      </w:tblGrid>
      <w:tr>
        <w:trPr>
          <w:trHeight w:val="362" w:hRule="exact"/>
        </w:trPr>
        <w:tc>
          <w:tcPr>
            <w:tcW w:w="326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上海米安斯迪服饰有限公司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上海霓尚服饰有限公司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郑州米安斯迪服饰有限公司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太原米安斯迪服饰有限公司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上海祺格服饰有限公司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上海美邦邦购网络科技有限公司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上海潮范电子商务有限公司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bl>
    <w:p>
      <w:pPr>
        <w:spacing w:after="0" w:line="316" w:lineRule="auto"/>
        <w:jc w:val="left"/>
        <w:rPr>
          <w:rFonts w:ascii="宋体" w:hAnsi="宋体" w:cs="宋体" w:eastAsia="宋体" w:hint="default"/>
          <w:sz w:val="18"/>
          <w:szCs w:val="18"/>
        </w:rPr>
        <w:sectPr>
          <w:pgSz w:w="11910" w:h="16840"/>
          <w:pgMar w:header="851" w:footer="979" w:top="1440" w:bottom="1160" w:left="980" w:right="0"/>
        </w:sectPr>
      </w:pPr>
    </w:p>
    <w:tbl>
      <w:tblPr>
        <w:tblW w:w="0" w:type="auto"/>
        <w:jc w:val="left"/>
        <w:tblInd w:w="149" w:type="dxa"/>
        <w:tblLayout w:type="fixed"/>
        <w:tblCellMar>
          <w:top w:w="0" w:type="dxa"/>
          <w:left w:w="0" w:type="dxa"/>
          <w:bottom w:w="0" w:type="dxa"/>
          <w:right w:w="0" w:type="dxa"/>
        </w:tblCellMar>
        <w:tblLook w:val="01E0"/>
      </w:tblPr>
      <w:tblGrid>
        <w:gridCol w:w="3262"/>
        <w:gridCol w:w="992"/>
        <w:gridCol w:w="1134"/>
        <w:gridCol w:w="1277"/>
        <w:gridCol w:w="850"/>
        <w:gridCol w:w="851"/>
        <w:gridCol w:w="1207"/>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上海美潮国际贸易有限公司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有范网络科技有限公司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通过设立或投 资取得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上海美特斯邦威服饰销售有限公司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重庆美特斯邦威服饰有限责任公司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广州美特斯邦威服装有限公司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南京美特斯邦威服饰有限公司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同一控制下企 业合并取得</w:t>
            </w:r>
          </w:p>
        </w:tc>
      </w:tr>
    </w:tbl>
    <w:p>
      <w:pPr>
        <w:pStyle w:val="BodyText"/>
        <w:spacing w:line="357" w:lineRule="auto" w:before="51"/>
        <w:ind w:left="154" w:right="6972"/>
        <w:jc w:val="left"/>
      </w:pPr>
      <w:r>
        <w:rPr/>
        <w:t>在子公司的持股比例不同于表决权比例的说明： 不适用</w:t>
      </w:r>
    </w:p>
    <w:p>
      <w:pPr>
        <w:pStyle w:val="BodyText"/>
        <w:spacing w:line="240" w:lineRule="auto" w:before="29"/>
        <w:ind w:left="154" w:right="0"/>
        <w:jc w:val="left"/>
      </w:pPr>
      <w:r>
        <w:rPr/>
        <w:t>持有半数或以下表决权但仍控制被投资单位、以及持有半数以上表决权但不控制被投资单位的依据：</w:t>
      </w:r>
    </w:p>
    <w:p>
      <w:pPr>
        <w:spacing w:after="0" w:line="240" w:lineRule="auto"/>
        <w:jc w:val="left"/>
        <w:sectPr>
          <w:pgSz w:w="11910" w:h="16840"/>
          <w:pgMar w:header="851" w:footer="979" w:top="144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360" w:lineRule="auto" w:before="26"/>
        <w:ind w:left="154" w:right="6432"/>
        <w:jc w:val="left"/>
      </w:pPr>
      <w:r>
        <w:rPr/>
        <w:t>不适用 对于纳入合并范围的重要的结构化主体，控制的依据： 不适用</w:t>
      </w:r>
    </w:p>
    <w:p>
      <w:pPr>
        <w:pStyle w:val="BodyText"/>
        <w:spacing w:line="357" w:lineRule="auto" w:before="27"/>
        <w:ind w:left="154" w:right="7692"/>
        <w:jc w:val="left"/>
      </w:pPr>
      <w:r>
        <w:rPr/>
        <w:t>确定公司是代理人还是委托人的依据： 不适用</w:t>
      </w:r>
    </w:p>
    <w:p>
      <w:pPr>
        <w:pStyle w:val="BodyText"/>
        <w:spacing w:line="357" w:lineRule="auto" w:before="29"/>
        <w:ind w:left="154"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34"/>
      <w:bookmarkEnd w:id="33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子公司少数股东的持股比例不同于表决权比例的说明： 不适用</w:t>
      </w:r>
    </w:p>
    <w:p>
      <w:pPr>
        <w:pStyle w:val="BodyText"/>
        <w:spacing w:line="357" w:lineRule="auto" w:before="29"/>
        <w:ind w:left="154"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使用企业集团资产和清偿企业集团债务的重大限制" w:id="335"/>
      <w:bookmarkEnd w:id="335"/>
      <w:r>
        <w:rPr>
          <w:b w:val="0"/>
          <w:bCs w:val="0"/>
        </w:rPr>
      </w:r>
      <w:r>
        <w:rPr/>
        <w:t>（</w:t>
      </w:r>
      <w:r>
        <w:rPr>
          <w:rFonts w:ascii="Times New Roman" w:hAnsi="Times New Roman" w:cs="Times New Roman" w:eastAsia="Times New Roman" w:hint="default"/>
        </w:rPr>
        <w:t>3</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向纳入合并财务报表范围的结构化主体提供的财务支持或其他支持" w:id="336"/>
      <w:bookmarkEnd w:id="336"/>
      <w:r>
        <w:rPr>
          <w:b w:val="0"/>
          <w:bCs w:val="0"/>
        </w:rPr>
      </w:r>
      <w:r>
        <w:rPr/>
        <w:t>（</w:t>
      </w:r>
      <w:r>
        <w:rPr>
          <w:rFonts w:ascii="Times New Roman" w:hAnsi="Times New Roman" w:cs="Times New Roman" w:eastAsia="Times New Roman" w:hint="default"/>
        </w:rPr>
        <w:t>4</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不适用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337"/>
      <w:bookmarkEnd w:id="33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38"/>
      <w:bookmarkEnd w:id="33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报告期无此情况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39"/>
      <w:bookmarkEnd w:id="33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40"/>
      <w:bookmarkEnd w:id="34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1" w:footer="979" w:top="13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上海华瑞银行股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67"/>
        <w:ind w:left="154" w:right="5892"/>
        <w:jc w:val="left"/>
      </w:pPr>
      <w:r>
        <w:rPr/>
        <w:t>在合营企业或联营企业的持股比例不同于表决权比例的说明： 不适用</w:t>
      </w:r>
    </w:p>
    <w:p>
      <w:pPr>
        <w:pStyle w:val="BodyText"/>
        <w:spacing w:line="319" w:lineRule="auto" w:before="29"/>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本公司持有上海华瑞银行股份有限公司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该银行</w:t>
      </w:r>
      <w:r>
        <w:rPr>
          <w:rFonts w:ascii="Times New Roman" w:hAnsi="Times New Roman" w:cs="Times New Roman" w:eastAsia="Times New Roman" w:hint="default"/>
        </w:rPr>
        <w:t>”)15%</w:t>
      </w:r>
      <w:r>
        <w:rPr/>
        <w:t>的股份，但由于本公司是该银行的第二大股东，并且除第一大股</w:t>
      </w:r>
      <w:r>
        <w:rPr>
          <w:w w:val="99"/>
        </w:rPr>
        <w:t> </w:t>
      </w:r>
      <w:r>
        <w:rPr>
          <w:spacing w:val="-1"/>
        </w:rPr>
        <w:t>东的持股比例占</w:t>
      </w:r>
      <w:r>
        <w:rPr>
          <w:rFonts w:ascii="Times New Roman" w:hAnsi="Times New Roman" w:cs="Times New Roman" w:eastAsia="Times New Roman" w:hint="default"/>
          <w:spacing w:val="-1"/>
        </w:rPr>
        <w:t>30%</w:t>
      </w:r>
      <w:r>
        <w:rPr>
          <w:spacing w:val="-1"/>
        </w:rPr>
        <w:t>外，其余股东持股比例都在</w:t>
      </w:r>
      <w:r>
        <w:rPr>
          <w:rFonts w:ascii="Times New Roman" w:hAnsi="Times New Roman" w:cs="Times New Roman" w:eastAsia="Times New Roman" w:hint="default"/>
          <w:spacing w:val="-1"/>
        </w:rPr>
        <w:t>10%</w:t>
      </w:r>
      <w:r>
        <w:rPr>
          <w:spacing w:val="-1"/>
        </w:rPr>
        <w:t>以下。另外，本公司的</w:t>
      </w:r>
      <w:r>
        <w:rPr>
          <w:rFonts w:ascii="Times New Roman" w:hAnsi="Times New Roman" w:cs="Times New Roman" w:eastAsia="Times New Roman" w:hint="default"/>
          <w:spacing w:val="-1"/>
        </w:rPr>
        <w:t>1</w:t>
      </w:r>
      <w:r>
        <w:rPr>
          <w:spacing w:val="-1"/>
        </w:rPr>
        <w:t>位高管人员还是该银行的董事会</w:t>
      </w:r>
      <w:r>
        <w:rPr>
          <w:rFonts w:ascii="Times New Roman" w:hAnsi="Times New Roman" w:cs="Times New Roman" w:eastAsia="Times New Roman" w:hint="default"/>
          <w:spacing w:val="-1"/>
        </w:rPr>
        <w:t>9</w:t>
      </w:r>
      <w:r>
        <w:rPr>
          <w:spacing w:val="-1"/>
        </w:rPr>
        <w:t>名成员中的一</w:t>
      </w:r>
    </w:p>
    <w:p>
      <w:pPr>
        <w:pStyle w:val="BodyText"/>
        <w:spacing w:line="304" w:lineRule="auto"/>
        <w:ind w:right="970"/>
        <w:jc w:val="left"/>
      </w:pPr>
      <w:r>
        <w:rPr/>
        <w:t>员，本公司在华瑞银行股东大会和董事会决议中的表决权比例均为</w:t>
      </w:r>
      <w:r>
        <w:rPr>
          <w:rFonts w:ascii="Times New Roman" w:hAnsi="Times New Roman" w:cs="Times New Roman" w:eastAsia="Times New Roman" w:hint="default"/>
        </w:rPr>
        <w:t>15%</w:t>
      </w:r>
      <w:r>
        <w:rPr/>
        <w:t>，该银行第一大股东在董事会中拥有</w:t>
      </w:r>
      <w:r>
        <w:rPr>
          <w:rFonts w:ascii="Times New Roman" w:hAnsi="Times New Roman" w:cs="Times New Roman" w:eastAsia="Times New Roman" w:hint="default"/>
        </w:rPr>
        <w:t>3</w:t>
      </w:r>
      <w:r>
        <w:rPr/>
        <w:t>个席位，在股 </w:t>
      </w:r>
      <w:r>
        <w:rPr>
          <w:spacing w:val="-1"/>
        </w:rPr>
        <w:t>东大会和董事会决议中的表决权比例均为</w:t>
      </w:r>
      <w:r>
        <w:rPr>
          <w:rFonts w:ascii="Times New Roman" w:hAnsi="Times New Roman" w:cs="Times New Roman" w:eastAsia="Times New Roman" w:hint="default"/>
          <w:spacing w:val="-1"/>
        </w:rPr>
        <w:t>30%</w:t>
      </w:r>
      <w:r>
        <w:rPr>
          <w:spacing w:val="-1"/>
        </w:rPr>
        <w:t>。根据华瑞银行章程的规定，股东大会和董事会对于公司决议表决需要达到</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42"/>
        </w:rPr>
        <w:t> </w:t>
      </w:r>
      <w:r>
        <w:rPr/>
        <w:t>以上，重大决议表决需要达到</w:t>
      </w:r>
      <w:r>
        <w:rPr>
          <w:rFonts w:ascii="Times New Roman" w:hAnsi="Times New Roman" w:cs="Times New Roman" w:eastAsia="Times New Roman" w:hint="default"/>
        </w:rPr>
        <w:t>2/3</w:t>
      </w:r>
      <w:r>
        <w:rPr/>
        <w:t>以上；另外本公司所派高管已参加</w:t>
      </w:r>
      <w:r>
        <w:rPr>
          <w:rFonts w:ascii="Times New Roman" w:hAnsi="Times New Roman" w:cs="Times New Roman" w:eastAsia="Times New Roman" w:hint="default"/>
        </w:rPr>
        <w:t>2015</w:t>
      </w:r>
      <w:r>
        <w:rPr/>
        <w:t>年华瑞银行第一届董事会所有会议并参与表决。综 上，本公司认为能够对该银行的运营实施重大影响，故而本公司将对该银行的投资作为对联营企业的长期股权投资来确认和 计量。</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不重要的合营企业和联营企业的汇总财务信息" w:id="341"/>
      <w:bookmarkEnd w:id="341"/>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449,359,713.00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营企业或联营企业向本公司转移资金的能力存在重大限制的说明" w:id="342"/>
      <w:bookmarkEnd w:id="342"/>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合营企业或联营企业发生的超额亏损" w:id="343"/>
      <w:bookmarkEnd w:id="343"/>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after="0" w:line="357"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5）与合营企业或联营企业投资相关的或有负债" w:id="344"/>
      <w:bookmarkEnd w:id="344"/>
      <w:r>
        <w:rPr>
          <w:b w:val="0"/>
          <w:bCs w:val="0"/>
        </w:rPr>
      </w:r>
      <w:r>
        <w:rPr/>
        <w:t>（</w:t>
      </w:r>
      <w:r>
        <w:rPr>
          <w:rFonts w:ascii="Times New Roman" w:hAnsi="Times New Roman" w:cs="Times New Roman" w:eastAsia="Times New Roman" w:hint="default"/>
        </w:rPr>
        <w:t>5</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与金融工具相关的风险" w:id="345"/>
      <w:bookmarkEnd w:id="34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tabs>
          <w:tab w:pos="1414" w:val="left" w:leader="none"/>
        </w:tabs>
        <w:spacing w:line="530" w:lineRule="auto" w:before="0"/>
        <w:ind w:left="994" w:right="5521" w:hanging="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金融工具分类</w:t>
      </w:r>
      <w:r>
        <w:rPr>
          <w:rFonts w:ascii="宋体" w:hAnsi="宋体" w:cs="宋体" w:eastAsia="宋体" w:hint="default"/>
          <w:b/>
          <w:bCs/>
          <w:w w:val="99"/>
          <w:sz w:val="21"/>
          <w:szCs w:val="21"/>
        </w:rPr>
        <w:t> </w:t>
      </w:r>
      <w:r>
        <w:rPr>
          <w:rFonts w:ascii="宋体" w:hAnsi="宋体" w:cs="宋体" w:eastAsia="宋体" w:hint="default"/>
          <w:sz w:val="21"/>
          <w:szCs w:val="21"/>
        </w:rPr>
        <w:t>资产负债表日的各类金融工具的账面价值如下： </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p>
      <w:pPr>
        <w:pStyle w:val="Heading4"/>
        <w:spacing w:line="240" w:lineRule="auto" w:before="52"/>
        <w:ind w:left="994" w:right="0"/>
        <w:jc w:val="left"/>
      </w:pPr>
      <w:r>
        <w:rPr/>
        <w:t>金融资产</w:t>
      </w:r>
    </w:p>
    <w:p>
      <w:pPr>
        <w:pStyle w:val="Heading4"/>
        <w:spacing w:line="240" w:lineRule="auto" w:before="37"/>
        <w:ind w:left="1834" w:right="0"/>
        <w:jc w:val="left"/>
      </w:pPr>
      <w:r>
        <w:rPr/>
        <w:t>贷款和应收款项</w:t>
      </w:r>
    </w:p>
    <w:p>
      <w:pPr>
        <w:spacing w:line="240" w:lineRule="auto" w:before="13"/>
        <w:rPr>
          <w:rFonts w:ascii="宋体" w:hAnsi="宋体" w:cs="宋体" w:eastAsia="宋体" w:hint="default"/>
          <w:sz w:val="23"/>
          <w:szCs w:val="23"/>
        </w:rPr>
      </w:pPr>
    </w:p>
    <w:tbl>
      <w:tblPr>
        <w:tblW w:w="0" w:type="auto"/>
        <w:jc w:val="left"/>
        <w:tblInd w:w="959" w:type="dxa"/>
        <w:tblLayout w:type="fixed"/>
        <w:tblCellMar>
          <w:top w:w="0" w:type="dxa"/>
          <w:left w:w="0" w:type="dxa"/>
          <w:bottom w:w="0" w:type="dxa"/>
          <w:right w:w="0" w:type="dxa"/>
        </w:tblCellMar>
        <w:tblLook w:val="01E0"/>
      </w:tblPr>
      <w:tblGrid>
        <w:gridCol w:w="1820"/>
        <w:gridCol w:w="1978"/>
      </w:tblGrid>
      <w:tr>
        <w:trPr>
          <w:trHeight w:val="367"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21"/>
                <w:szCs w:val="21"/>
              </w:rPr>
            </w:pPr>
            <w:r>
              <w:rPr>
                <w:rFonts w:ascii="Times New Roman"/>
                <w:spacing w:val="-1"/>
                <w:sz w:val="21"/>
              </w:rPr>
              <w:t>1,194,066,765</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320,725,000</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248,056,889</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118,029,745</w:t>
            </w:r>
          </w:p>
        </w:tc>
      </w:tr>
      <w:tr>
        <w:trPr>
          <w:trHeight w:val="474"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78"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29"/>
              <w:ind w:left="31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109,672,840</w:t>
            </w:r>
            <w:r>
              <w:rPr>
                <w:rFonts w:ascii="Times New Roman"/>
                <w:sz w:val="21"/>
              </w:rPr>
            </w:r>
          </w:p>
        </w:tc>
      </w:tr>
      <w:tr>
        <w:trPr>
          <w:trHeight w:val="618" w:hRule="exact"/>
        </w:trPr>
        <w:tc>
          <w:tcPr>
            <w:tcW w:w="1820"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180"/>
              <w:ind w:right="3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pacing w:val="-1"/>
                <w:sz w:val="21"/>
                <w:u w:val="single" w:color="000000"/>
              </w:rPr>
              <w:t>1,990,551,239</w:t>
            </w:r>
            <w:r>
              <w:rPr>
                <w:rFonts w:ascii="Times New Roman"/>
                <w:spacing w:val="-1"/>
                <w:sz w:val="21"/>
              </w:rPr>
            </w:r>
          </w:p>
        </w:tc>
      </w:tr>
      <w:tr>
        <w:trPr>
          <w:trHeight w:val="411"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978" w:type="dxa"/>
            <w:tcBorders>
              <w:top w:val="nil" w:sz="6" w:space="0" w:color="auto"/>
              <w:left w:val="nil" w:sz="6" w:space="0" w:color="auto"/>
              <w:bottom w:val="nil" w:sz="6" w:space="0" w:color="auto"/>
              <w:right w:val="nil" w:sz="6" w:space="0" w:color="auto"/>
            </w:tcBorders>
          </w:tcPr>
          <w:p>
            <w:pPr/>
          </w:p>
        </w:tc>
      </w:tr>
      <w:tr>
        <w:trPr>
          <w:trHeight w:val="521" w:hRule="exact"/>
        </w:trPr>
        <w:tc>
          <w:tcPr>
            <w:tcW w:w="3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875" w:right="0"/>
              <w:jc w:val="left"/>
              <w:rPr>
                <w:rFonts w:ascii="宋体" w:hAnsi="宋体" w:cs="宋体" w:eastAsia="宋体" w:hint="default"/>
                <w:sz w:val="22"/>
                <w:szCs w:val="22"/>
              </w:rPr>
            </w:pPr>
            <w:r>
              <w:rPr>
                <w:rFonts w:ascii="宋体" w:hAnsi="宋体" w:cs="宋体" w:eastAsia="宋体" w:hint="default"/>
                <w:sz w:val="22"/>
                <w:szCs w:val="22"/>
              </w:rPr>
              <w:t>其他金融负债</w:t>
            </w:r>
          </w:p>
        </w:tc>
      </w:tr>
      <w:tr>
        <w:trPr>
          <w:trHeight w:val="471"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1,275,725,000</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应付短期债券</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605,643,334</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35,655,331</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482,456,530</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1,596,000</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276,198,662</w:t>
            </w:r>
          </w:p>
        </w:tc>
      </w:tr>
      <w:tr>
        <w:trPr>
          <w:trHeight w:val="312"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应付长期债券</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t>806,667,296</w:t>
            </w:r>
          </w:p>
        </w:tc>
      </w:tr>
      <w:tr>
        <w:trPr>
          <w:trHeight w:val="367"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34"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48,846,000</w:t>
            </w:r>
            <w:r>
              <w:rPr>
                <w:rFonts w:ascii="Times New Roman"/>
                <w:sz w:val="21"/>
              </w:rPr>
            </w:r>
          </w:p>
        </w:tc>
      </w:tr>
    </w:tbl>
    <w:p>
      <w:pPr>
        <w:spacing w:line="240" w:lineRule="auto" w:before="5"/>
        <w:rPr>
          <w:rFonts w:ascii="宋体" w:hAnsi="宋体" w:cs="宋体" w:eastAsia="宋体" w:hint="default"/>
          <w:sz w:val="16"/>
          <w:szCs w:val="16"/>
        </w:rPr>
      </w:pPr>
    </w:p>
    <w:p>
      <w:pPr>
        <w:pStyle w:val="Heading4"/>
        <w:tabs>
          <w:tab w:pos="3514" w:val="left" w:leader="none"/>
        </w:tabs>
        <w:spacing w:line="240" w:lineRule="auto" w:before="73"/>
        <w:ind w:left="3094" w:right="0"/>
        <w:jc w:val="left"/>
        <w:rPr>
          <w:rFonts w:ascii="Times New Roman" w:hAnsi="Times New Roman" w:cs="Times New Roman" w:eastAsia="Times New Roman" w:hint="default"/>
        </w:rPr>
      </w:pPr>
      <w:r>
        <w:rPr>
          <w:rFonts w:ascii="Times New Roman"/>
        </w:rPr>
      </w:r>
      <w:r>
        <w:rPr>
          <w:rFonts w:ascii="Times New Roman"/>
          <w:u w:val="single" w:color="000000"/>
        </w:rPr>
        <w:t> </w:t>
        <w:tab/>
        <w:t>3,532,788,153</w:t>
      </w:r>
      <w:r>
        <w:rPr>
          <w:rFonts w:ascii="Times New Roman"/>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tabs>
          <w:tab w:pos="1414" w:val="left" w:leader="none"/>
        </w:tabs>
        <w:spacing w:line="516" w:lineRule="auto" w:before="0"/>
        <w:ind w:left="874" w:right="66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tab/>
      </w:r>
      <w:r>
        <w:rPr>
          <w:rFonts w:ascii="宋体" w:hAnsi="宋体" w:cs="宋体" w:eastAsia="宋体" w:hint="default"/>
          <w:b/>
          <w:bCs/>
          <w:sz w:val="21"/>
          <w:szCs w:val="21"/>
        </w:rPr>
        <w:t>金融资产转移</w:t>
      </w:r>
      <w:r>
        <w:rPr>
          <w:rFonts w:ascii="宋体" w:hAnsi="宋体" w:cs="宋体" w:eastAsia="宋体" w:hint="default"/>
          <w:b/>
          <w:bCs/>
          <w:w w:val="99"/>
          <w:sz w:val="21"/>
          <w:szCs w:val="21"/>
        </w:rPr>
        <w:t> </w:t>
      </w:r>
      <w:r>
        <w:rPr>
          <w:rFonts w:ascii="宋体" w:hAnsi="宋体" w:cs="宋体" w:eastAsia="宋体" w:hint="default"/>
          <w:sz w:val="21"/>
          <w:szCs w:val="21"/>
        </w:rPr>
      </w:r>
      <w:r>
        <w:rPr>
          <w:rFonts w:ascii="宋体" w:hAnsi="宋体" w:cs="宋体" w:eastAsia="宋体" w:hint="default"/>
          <w:sz w:val="21"/>
          <w:szCs w:val="21"/>
          <w:u w:val="single" w:color="000000"/>
        </w:rPr>
        <w:t>已转移但未整体终止确认的金融资产</w:t>
      </w:r>
      <w:r>
        <w:rPr>
          <w:rFonts w:ascii="宋体" w:hAnsi="宋体" w:cs="宋体" w:eastAsia="宋体" w:hint="default"/>
          <w:sz w:val="21"/>
          <w:szCs w:val="21"/>
        </w:rPr>
      </w:r>
    </w:p>
    <w:p>
      <w:pPr>
        <w:pStyle w:val="Heading4"/>
        <w:spacing w:line="256" w:lineRule="auto" w:before="107"/>
        <w:ind w:right="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日，本集团已贴现给银行的商业承兑汇票的账面价值为人民币</w:t>
      </w:r>
      <w:r>
        <w:rPr>
          <w:rFonts w:ascii="Times New Roman" w:hAnsi="Times New Roman" w:cs="Times New Roman" w:eastAsia="Times New Roman" w:hint="default"/>
        </w:rPr>
        <w:t>420,725,000</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328,610,000</w:t>
      </w:r>
      <w:r>
        <w:rPr/>
        <w:t>元</w:t>
      </w:r>
      <w:r>
        <w:rPr>
          <w:rFonts w:ascii="Times New Roman" w:hAnsi="Times New Roman" w:cs="Times New Roman" w:eastAsia="Times New Roman" w:hint="default"/>
        </w:rPr>
        <w:t>)</w:t>
      </w:r>
      <w:r>
        <w:rPr/>
        <w:t>。本集团认为，本集团保留了其几乎所有的风险和报酬，包括</w:t>
      </w:r>
    </w:p>
    <w:p>
      <w:pPr>
        <w:spacing w:after="0" w:line="256"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61" w:lineRule="auto" w:before="1"/>
        <w:ind w:right="1129"/>
        <w:jc w:val="both"/>
      </w:pPr>
      <w:r>
        <w:rPr/>
        <w:t>与其相关的违约风险，因此，继续全额确认其及与之相关的银行借款。贴现后，本集团不再保留</w:t>
      </w:r>
      <w:r>
        <w:rPr>
          <w:spacing w:val="-22"/>
        </w:rPr>
        <w:t> </w:t>
      </w:r>
      <w:r>
        <w:rPr/>
        <w:t>使用该等已贴现的票据的权利，包括将其出售、转让或质押给其他第三方的权利。于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spacing w:val="-24"/>
        </w:rPr>
        <w:t> </w:t>
      </w:r>
      <w:r>
        <w:rPr>
          <w:rFonts w:ascii="Times New Roman" w:hAnsi="Times New Roman" w:cs="Times New Roman" w:eastAsia="Times New Roman" w:hint="default"/>
        </w:rPr>
        <w:t>31</w:t>
      </w:r>
      <w:r>
        <w:rPr/>
        <w:t>日，本集团因该等票据贴现获取的银行借款账面价值总计为人民币</w:t>
      </w:r>
      <w:r>
        <w:rPr>
          <w:rFonts w:ascii="Times New Roman" w:hAnsi="Times New Roman" w:cs="Times New Roman" w:eastAsia="Times New Roman" w:hint="default"/>
        </w:rPr>
        <w:t>420,725,000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日：人民币</w:t>
      </w:r>
      <w:r>
        <w:rPr>
          <w:rFonts w:ascii="Times New Roman" w:hAnsi="Times New Roman" w:cs="Times New Roman" w:eastAsia="Times New Roman" w:hint="default"/>
        </w:rPr>
        <w:t>328,610,000</w:t>
      </w:r>
      <w:r>
        <w:rPr/>
        <w:t>元</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pStyle w:val="Heading4"/>
        <w:spacing w:line="240" w:lineRule="auto"/>
        <w:ind w:right="0"/>
        <w:jc w:val="both"/>
      </w:pPr>
      <w:r>
        <w:rPr/>
        <w:t>本集团无已整体终止确认但继续涉入的已转移金融资产。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7"/>
        <w:ind w:left="874"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金融工具风险</w:t>
      </w:r>
      <w:r>
        <w:rPr>
          <w:b w:val="0"/>
          <w:bCs w:val="0"/>
        </w:rPr>
      </w:r>
    </w:p>
    <w:p>
      <w:pPr>
        <w:spacing w:line="240" w:lineRule="auto" w:before="6"/>
        <w:rPr>
          <w:rFonts w:ascii="宋体" w:hAnsi="宋体" w:cs="宋体" w:eastAsia="宋体" w:hint="default"/>
          <w:b/>
          <w:bCs/>
          <w:sz w:val="25"/>
          <w:szCs w:val="25"/>
        </w:rPr>
      </w:pPr>
    </w:p>
    <w:p>
      <w:pPr>
        <w:pStyle w:val="Heading4"/>
        <w:spacing w:line="273" w:lineRule="auto"/>
        <w:ind w:right="1026"/>
        <w:jc w:val="both"/>
      </w:pPr>
      <w:r>
        <w:rPr/>
        <w:t>本集团的主要金融工具，包括银行借款、应付短期融资券、应付长期债券和货币资金等。这些金</w:t>
      </w:r>
      <w:r>
        <w:rPr>
          <w:spacing w:val="-22"/>
        </w:rPr>
        <w:t> </w:t>
      </w:r>
      <w:r>
        <w:rPr/>
        <w:t>融工具的主要目的在于为本集团的运营融资。本集团具有多种因经营而直接产生的其他金融资产</w:t>
      </w:r>
      <w:r>
        <w:rPr>
          <w:spacing w:val="-22"/>
        </w:rPr>
        <w:t> </w:t>
      </w:r>
      <w:r>
        <w:rPr/>
        <w:t>和负债，如应收账款、其他应收款、长期应收款、应付账款、应付票据和其他应付款等。</w:t>
      </w:r>
    </w:p>
    <w:p>
      <w:pPr>
        <w:spacing w:line="240" w:lineRule="auto" w:before="6"/>
        <w:rPr>
          <w:rFonts w:ascii="宋体" w:hAnsi="宋体" w:cs="宋体" w:eastAsia="宋体" w:hint="default"/>
          <w:sz w:val="24"/>
          <w:szCs w:val="24"/>
        </w:rPr>
      </w:pPr>
    </w:p>
    <w:p>
      <w:pPr>
        <w:pStyle w:val="Heading4"/>
        <w:spacing w:line="544" w:lineRule="auto"/>
        <w:ind w:right="793" w:firstLine="15"/>
        <w:jc w:val="left"/>
        <w:rPr>
          <w:rFonts w:ascii="宋体" w:hAnsi="宋体" w:cs="宋体" w:eastAsia="宋体" w:hint="default"/>
        </w:rPr>
      </w:pPr>
      <w:r>
        <w:rPr>
          <w:spacing w:val="-1"/>
        </w:rPr>
        <w:t>本集团的金融工具导致的主要风险是信用风险和流动风险。本集团对此的风险管理政策概述如下。</w:t>
      </w:r>
      <w:r>
        <w:rPr>
          <w:spacing w:val="-99"/>
        </w:rPr>
        <w:t> </w:t>
      </w:r>
      <w:r>
        <w:rPr>
          <w:spacing w:val="-99"/>
        </w:rPr>
      </w:r>
      <w:r>
        <w:rPr>
          <w:rFonts w:ascii="宋体" w:hAnsi="宋体" w:cs="宋体" w:eastAsia="宋体" w:hint="default"/>
          <w:b/>
          <w:bCs/>
        </w:rPr>
        <w:t>信用风险</w:t>
      </w:r>
      <w:r>
        <w:rPr>
          <w:rFonts w:ascii="宋体" w:hAnsi="宋体" w:cs="宋体" w:eastAsia="宋体" w:hint="default"/>
        </w:rPr>
      </w:r>
    </w:p>
    <w:p>
      <w:pPr>
        <w:pStyle w:val="Heading4"/>
        <w:spacing w:line="273" w:lineRule="auto" w:before="82"/>
        <w:ind w:right="1129" w:firstLine="120"/>
        <w:jc w:val="both"/>
      </w:pPr>
      <w:r>
        <w:rPr>
          <w:spacing w:val="-1"/>
        </w:rPr>
        <w:t>本集团仅与经认可的、信誉良好的第三方进行交易。按照本集团的政策，需对所有要求采用信用</w:t>
      </w:r>
      <w:r>
        <w:rPr/>
        <w:t> 方式进行交易的客户进行信用审核。另外，本集团对应收账款余额进行持续监控，以确保本集团</w:t>
      </w:r>
      <w:r>
        <w:rPr>
          <w:spacing w:val="-22"/>
        </w:rPr>
        <w:t> </w:t>
      </w:r>
      <w:r>
        <w:rPr>
          <w:spacing w:val="-22"/>
        </w:rPr>
      </w:r>
      <w:r>
        <w:rPr/>
        <w:t>不致面临重大坏账风险。</w:t>
      </w:r>
    </w:p>
    <w:p>
      <w:pPr>
        <w:spacing w:line="240" w:lineRule="auto" w:before="6"/>
        <w:rPr>
          <w:rFonts w:ascii="宋体" w:hAnsi="宋体" w:cs="宋体" w:eastAsia="宋体" w:hint="default"/>
          <w:sz w:val="24"/>
          <w:szCs w:val="24"/>
        </w:rPr>
      </w:pPr>
    </w:p>
    <w:p>
      <w:pPr>
        <w:pStyle w:val="Heading4"/>
        <w:spacing w:line="273" w:lineRule="auto"/>
        <w:ind w:right="1129" w:firstLine="120"/>
        <w:jc w:val="both"/>
      </w:pPr>
      <w:r>
        <w:rPr>
          <w:spacing w:val="-1"/>
        </w:rPr>
        <w:t>本集团其他金融资产包括货币资金、应收票据、其他应收款和长期应收款，这些金融资产的信用</w:t>
      </w:r>
      <w:r>
        <w:rPr/>
        <w:t> 风险源自交易对手违约，最大风险敞口等于这些工具的账面金额。本集团通过选择信誉良好的第</w:t>
      </w:r>
      <w:r>
        <w:rPr>
          <w:spacing w:val="-22"/>
        </w:rPr>
        <w:t> </w:t>
      </w:r>
      <w:r>
        <w:rPr>
          <w:spacing w:val="-22"/>
        </w:rPr>
      </w:r>
      <w:r>
        <w:rPr/>
        <w:t>三方进行交易来控制此项风险。</w:t>
      </w:r>
    </w:p>
    <w:p>
      <w:pPr>
        <w:spacing w:line="240" w:lineRule="auto" w:before="6"/>
        <w:rPr>
          <w:rFonts w:ascii="宋体" w:hAnsi="宋体" w:cs="宋体" w:eastAsia="宋体" w:hint="default"/>
          <w:sz w:val="24"/>
          <w:szCs w:val="24"/>
        </w:rPr>
      </w:pPr>
    </w:p>
    <w:p>
      <w:pPr>
        <w:pStyle w:val="Heading4"/>
        <w:spacing w:line="264" w:lineRule="auto"/>
        <w:ind w:right="1027" w:firstLine="120"/>
        <w:jc w:val="both"/>
      </w:pPr>
      <w:r>
        <w:rPr/>
        <w:t>由于本集团仅与经认可的且信誉良好的第三方进行交易，所以无需担保物。信用风险集中按照客 户</w:t>
      </w:r>
      <w:r>
        <w:rPr>
          <w:rFonts w:ascii="Times New Roman" w:hAnsi="Times New Roman" w:cs="Times New Roman" w:eastAsia="Times New Roman" w:hint="default"/>
        </w:rPr>
        <w:t>/</w:t>
      </w:r>
      <w:r>
        <w:rPr/>
        <w:t>交易对手进行管理。由于本集团的应收账款客户群广泛地分散于不同的单位和地区中，因此在</w:t>
      </w:r>
      <w:r>
        <w:rPr>
          <w:spacing w:val="-73"/>
        </w:rPr>
        <w:t> </w:t>
      </w:r>
      <w:r>
        <w:rPr>
          <w:spacing w:val="-73"/>
        </w:rPr>
      </w:r>
      <w:r>
        <w:rPr>
          <w:spacing w:val="-1"/>
        </w:rPr>
        <w:t>本集团内部不存在重大信用风险集中。本集团对应收账款余额未持有任何担保物或其他信用增级。</w:t>
      </w:r>
    </w:p>
    <w:p>
      <w:pPr>
        <w:spacing w:line="240" w:lineRule="auto" w:before="1"/>
        <w:rPr>
          <w:rFonts w:ascii="宋体" w:hAnsi="宋体" w:cs="宋体" w:eastAsia="宋体" w:hint="default"/>
          <w:sz w:val="25"/>
          <w:szCs w:val="25"/>
        </w:rPr>
      </w:pPr>
    </w:p>
    <w:p>
      <w:pPr>
        <w:pStyle w:val="Heading4"/>
        <w:spacing w:line="240" w:lineRule="auto"/>
        <w:ind w:right="0"/>
        <w:jc w:val="both"/>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日，认为单独或组合均未发生减值的金融资产的期限分析如下：</w:t>
      </w: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51" w:footer="979" w:top="1360" w:bottom="1160" w:left="980" w:right="0"/>
        </w:sectPr>
      </w:pPr>
    </w:p>
    <w:p>
      <w:pPr>
        <w:pStyle w:val="Heading4"/>
        <w:spacing w:line="240" w:lineRule="auto" w:before="35"/>
        <w:ind w:left="994" w:right="-19"/>
        <w:jc w:val="left"/>
      </w:pPr>
      <w:r>
        <w:rPr>
          <w:rFonts w:ascii="Times New Roman" w:hAnsi="Times New Roman" w:cs="Times New Roman" w:eastAsia="Times New Roman" w:hint="default"/>
        </w:rPr>
        <w:t>2015</w:t>
      </w:r>
      <w:r>
        <w:rPr/>
        <w:t>年</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2464" w:val="left" w:leader="none"/>
          <w:tab w:pos="3274" w:val="left" w:leader="none"/>
          <w:tab w:pos="3424" w:val="left" w:leader="none"/>
          <w:tab w:pos="4564" w:val="left" w:leader="none"/>
          <w:tab w:pos="5014" w:val="left" w:leader="none"/>
          <w:tab w:pos="5777" w:val="left" w:leader="none"/>
        </w:tabs>
        <w:spacing w:line="316" w:lineRule="auto" w:before="137"/>
        <w:ind w:left="2434" w:right="3359" w:hanging="1441"/>
        <w:jc w:val="left"/>
      </w:pPr>
      <w:r>
        <w:rPr/>
        <w:t>合计</w:t>
        <w:tab/>
        <w:tab/>
        <w:t>未逾期</w:t>
        <w:tab/>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 </w:t>
      </w:r>
      <w:r>
        <w:rPr>
          <w:u w:val="single" w:color="000000"/>
        </w:rPr>
        <w:t>逾</w:t>
        <w:tab/>
        <w:t>期</w:t>
        <w:tab/>
      </w:r>
      <w:r>
        <w:rPr/>
      </w:r>
      <w:r>
        <w:rPr/>
        <w:t>未减值</w:t>
        <w:tab/>
        <w:t> </w:t>
      </w:r>
      <w:r>
        <w:rPr>
          <w:rFonts w:ascii="Times New Roman" w:hAnsi="Times New Roman" w:cs="Times New Roman" w:eastAsia="Times New Roman" w:hint="default"/>
        </w:rPr>
        <w:t>6</w:t>
      </w:r>
      <w:r>
        <w:rPr/>
        <w:t>个月以内  </w:t>
      </w:r>
      <w:r>
        <w:rPr>
          <w:rFonts w:ascii="Times New Roman" w:hAnsi="Times New Roman" w:cs="Times New Roman" w:eastAsia="Times New Roman" w:hint="default"/>
        </w:rPr>
        <w:t>7</w:t>
      </w:r>
      <w:r>
        <w:rPr/>
        <w:t>至</w:t>
      </w:r>
      <w:r>
        <w:rPr>
          <w:rFonts w:ascii="Times New Roman" w:hAnsi="Times New Roman" w:cs="Times New Roman" w:eastAsia="Times New Roman" w:hint="default"/>
        </w:rPr>
        <w:t>12</w:t>
      </w:r>
      <w:r>
        <w:rPr/>
        <w:t>个月 </w:t>
      </w:r>
      <w:r>
        <w:rPr>
          <w:rFonts w:ascii="Times New Roman" w:hAnsi="Times New Roman" w:cs="Times New Roman" w:eastAsia="Times New Roman" w:hint="default"/>
        </w:rPr>
        <w:t>1</w:t>
      </w:r>
      <w:r>
        <w:rPr/>
        <w:t>年以上</w:t>
      </w:r>
    </w:p>
    <w:p>
      <w:pPr>
        <w:spacing w:after="0" w:line="316" w:lineRule="auto"/>
        <w:jc w:val="left"/>
        <w:sectPr>
          <w:type w:val="continuous"/>
          <w:pgSz w:w="11910" w:h="16840"/>
          <w:pgMar w:top="1580" w:bottom="1160" w:left="980" w:right="0"/>
          <w:cols w:num="2" w:equalWidth="0">
            <w:col w:w="1626" w:space="144"/>
            <w:col w:w="9160"/>
          </w:cols>
        </w:sectPr>
      </w:pPr>
    </w:p>
    <w:p>
      <w:pPr>
        <w:spacing w:line="240" w:lineRule="auto" w:before="5"/>
        <w:rPr>
          <w:rFonts w:ascii="宋体" w:hAnsi="宋体" w:cs="宋体" w:eastAsia="宋体" w:hint="default"/>
          <w:sz w:val="20"/>
          <w:szCs w:val="20"/>
        </w:rPr>
      </w:pPr>
    </w:p>
    <w:tbl>
      <w:tblPr>
        <w:tblW w:w="0" w:type="auto"/>
        <w:jc w:val="left"/>
        <w:tblInd w:w="959" w:type="dxa"/>
        <w:tblLayout w:type="fixed"/>
        <w:tblCellMar>
          <w:top w:w="0" w:type="dxa"/>
          <w:left w:w="0" w:type="dxa"/>
          <w:bottom w:w="0" w:type="dxa"/>
          <w:right w:w="0" w:type="dxa"/>
        </w:tblCellMar>
        <w:tblLook w:val="01E0"/>
      </w:tblPr>
      <w:tblGrid>
        <w:gridCol w:w="1115"/>
        <w:gridCol w:w="1327"/>
        <w:gridCol w:w="1613"/>
        <w:gridCol w:w="840"/>
        <w:gridCol w:w="840"/>
        <w:gridCol w:w="695"/>
      </w:tblGrid>
      <w:tr>
        <w:trPr>
          <w:trHeight w:val="351"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7" w:right="0"/>
              <w:jc w:val="center"/>
              <w:rPr>
                <w:rFonts w:ascii="Times New Roman" w:hAnsi="Times New Roman" w:cs="Times New Roman" w:eastAsia="Times New Roman" w:hint="default"/>
                <w:sz w:val="18"/>
                <w:szCs w:val="18"/>
              </w:rPr>
            </w:pPr>
            <w:r>
              <w:rPr>
                <w:rFonts w:ascii="Times New Roman"/>
                <w:sz w:val="18"/>
              </w:rPr>
              <w:t>1,194,066,765</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5"/>
              <w:jc w:val="right"/>
              <w:rPr>
                <w:rFonts w:ascii="Times New Roman" w:hAnsi="Times New Roman" w:cs="Times New Roman" w:eastAsia="Times New Roman" w:hint="default"/>
                <w:sz w:val="18"/>
                <w:szCs w:val="18"/>
              </w:rPr>
            </w:pPr>
            <w:r>
              <w:rPr>
                <w:rFonts w:ascii="Times New Roman"/>
                <w:spacing w:val="-1"/>
                <w:sz w:val="18"/>
              </w:rPr>
              <w:t>1,194,066,765</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center"/>
              <w:rPr>
                <w:rFonts w:ascii="Times New Roman" w:hAnsi="Times New Roman" w:cs="Times New Roman" w:eastAsia="Times New Roman" w:hint="default"/>
                <w:sz w:val="18"/>
                <w:szCs w:val="18"/>
              </w:rPr>
            </w:pPr>
            <w:r>
              <w:rPr>
                <w:rFonts w:ascii="Times New Roman"/>
                <w:sz w:val="18"/>
              </w:rPr>
              <w:t>248,056,889</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7"/>
              <w:jc w:val="right"/>
              <w:rPr>
                <w:rFonts w:ascii="Times New Roman" w:hAnsi="Times New Roman" w:cs="Times New Roman" w:eastAsia="Times New Roman" w:hint="default"/>
                <w:sz w:val="18"/>
                <w:szCs w:val="18"/>
              </w:rPr>
            </w:pPr>
            <w:r>
              <w:rPr>
                <w:rFonts w:ascii="Times New Roman"/>
                <w:sz w:val="18"/>
              </w:rPr>
              <w:t>248,056,889</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center"/>
              <w:rPr>
                <w:rFonts w:ascii="Times New Roman" w:hAnsi="Times New Roman" w:cs="Times New Roman" w:eastAsia="Times New Roman" w:hint="default"/>
                <w:sz w:val="18"/>
                <w:szCs w:val="18"/>
              </w:rPr>
            </w:pPr>
            <w:r>
              <w:rPr>
                <w:rFonts w:ascii="Times New Roman"/>
                <w:sz w:val="18"/>
              </w:rPr>
              <w:t>118,029,745</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7"/>
              <w:jc w:val="right"/>
              <w:rPr>
                <w:rFonts w:ascii="Times New Roman" w:hAnsi="Times New Roman" w:cs="Times New Roman" w:eastAsia="Times New Roman" w:hint="default"/>
                <w:sz w:val="18"/>
                <w:szCs w:val="18"/>
              </w:rPr>
            </w:pPr>
            <w:r>
              <w:rPr>
                <w:rFonts w:ascii="Times New Roman"/>
                <w:sz w:val="18"/>
              </w:rPr>
              <w:t>118,029,745</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center"/>
              <w:rPr>
                <w:rFonts w:ascii="Times New Roman" w:hAnsi="Times New Roman" w:cs="Times New Roman" w:eastAsia="Times New Roman" w:hint="default"/>
                <w:sz w:val="18"/>
                <w:szCs w:val="18"/>
              </w:rPr>
            </w:pPr>
            <w:r>
              <w:rPr>
                <w:rFonts w:ascii="Times New Roman"/>
                <w:sz w:val="18"/>
              </w:rPr>
              <w:t>320,725,000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7"/>
              <w:jc w:val="right"/>
              <w:rPr>
                <w:rFonts w:ascii="Times New Roman" w:hAnsi="Times New Roman" w:cs="Times New Roman" w:eastAsia="Times New Roman" w:hint="default"/>
                <w:sz w:val="18"/>
                <w:szCs w:val="18"/>
              </w:rPr>
            </w:pPr>
            <w:r>
              <w:rPr>
                <w:rFonts w:ascii="Times New Roman"/>
                <w:sz w:val="18"/>
              </w:rPr>
              <w:t>320,725,000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4"/>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109,672,840</w:t>
            </w:r>
            <w:r>
              <w:rPr>
                <w:rFonts w:ascii="Times New Roman"/>
                <w:sz w:val="18"/>
              </w:rPr>
            </w:r>
          </w:p>
        </w:tc>
        <w:tc>
          <w:tcPr>
            <w:tcW w:w="1613"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48"/>
              <w:ind w:right="17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109,672,840</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48"/>
              <w:ind w:right="1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84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48"/>
              <w:ind w:right="17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695"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48"/>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r>
    </w:tbl>
    <w:p>
      <w:pPr>
        <w:spacing w:line="240" w:lineRule="auto" w:before="9"/>
        <w:rPr>
          <w:rFonts w:ascii="宋体" w:hAnsi="宋体" w:cs="宋体" w:eastAsia="宋体" w:hint="default"/>
          <w:sz w:val="16"/>
          <w:szCs w:val="16"/>
        </w:rPr>
      </w:pPr>
    </w:p>
    <w:p>
      <w:pPr>
        <w:pStyle w:val="Heading4"/>
        <w:spacing w:line="256" w:lineRule="auto" w:before="35"/>
        <w:ind w:right="0" w:firstLine="120"/>
        <w:jc w:val="left"/>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日，尚未逾期和发生减值的应收账款、应收票据、其他应收款和长期应收款与大</w:t>
      </w:r>
      <w:r>
        <w:rPr/>
        <w:t> 量的近期无违约记录的分散化的客户有关。</w:t>
      </w:r>
    </w:p>
    <w:p>
      <w:pPr>
        <w:spacing w:after="0" w:line="256" w:lineRule="auto"/>
        <w:jc w:val="left"/>
        <w:sectPr>
          <w:type w:val="continuous"/>
          <w:pgSz w:w="11910" w:h="16840"/>
          <w:pgMar w:top="158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1"/>
          <w:szCs w:val="21"/>
        </w:rPr>
      </w:pPr>
    </w:p>
    <w:p>
      <w:pPr>
        <w:pStyle w:val="Heading3"/>
        <w:spacing w:line="240" w:lineRule="auto" w:before="35"/>
        <w:ind w:left="994" w:right="0"/>
        <w:jc w:val="left"/>
        <w:rPr>
          <w:b w:val="0"/>
          <w:bCs w:val="0"/>
        </w:rPr>
      </w:pPr>
      <w:r>
        <w:rPr/>
        <w:t>流动性风险</w:t>
      </w:r>
      <w:r>
        <w:rPr>
          <w:b w:val="0"/>
          <w:bCs w:val="0"/>
        </w:rPr>
      </w:r>
    </w:p>
    <w:p>
      <w:pPr>
        <w:spacing w:line="240" w:lineRule="auto" w:before="9"/>
        <w:rPr>
          <w:rFonts w:ascii="宋体" w:hAnsi="宋体" w:cs="宋体" w:eastAsia="宋体" w:hint="default"/>
          <w:b/>
          <w:bCs/>
          <w:sz w:val="26"/>
          <w:szCs w:val="26"/>
        </w:rPr>
      </w:pPr>
    </w:p>
    <w:p>
      <w:pPr>
        <w:pStyle w:val="Heading4"/>
        <w:spacing w:line="273" w:lineRule="auto"/>
        <w:ind w:right="0" w:firstLine="120"/>
        <w:jc w:val="left"/>
      </w:pPr>
      <w:r>
        <w:rPr>
          <w:spacing w:val="-1"/>
        </w:rPr>
        <w:t>本集团采用循环流动性计划工具管理资金短缺风险。该工具既考虑其金融工具的到期日，也考虑</w:t>
      </w:r>
      <w:r>
        <w:rPr/>
        <w:t> 本集团运营产生的预计现金流量。</w:t>
      </w:r>
    </w:p>
    <w:p>
      <w:pPr>
        <w:spacing w:line="240" w:lineRule="auto" w:before="6"/>
        <w:rPr>
          <w:rFonts w:ascii="宋体" w:hAnsi="宋体" w:cs="宋体" w:eastAsia="宋体" w:hint="default"/>
          <w:sz w:val="24"/>
          <w:szCs w:val="24"/>
        </w:rPr>
      </w:pPr>
    </w:p>
    <w:p>
      <w:pPr>
        <w:pStyle w:val="Heading4"/>
        <w:spacing w:line="273" w:lineRule="auto"/>
        <w:ind w:right="0"/>
        <w:jc w:val="left"/>
      </w:pPr>
      <w:r>
        <w:rPr/>
        <w:t>本集团的目标是运用银行借款、短期融资券、长期债券和票据贴现等多种融资手段以保持融资的</w:t>
      </w:r>
      <w:r>
        <w:rPr>
          <w:spacing w:val="-22"/>
        </w:rPr>
        <w:t> </w:t>
      </w:r>
      <w:r>
        <w:rPr/>
        <w:t>持续性与灵活性的平衡。</w:t>
      </w:r>
    </w:p>
    <w:p>
      <w:pPr>
        <w:spacing w:line="240" w:lineRule="auto" w:before="6"/>
        <w:rPr>
          <w:rFonts w:ascii="宋体" w:hAnsi="宋体" w:cs="宋体" w:eastAsia="宋体" w:hint="default"/>
          <w:sz w:val="24"/>
          <w:szCs w:val="24"/>
        </w:rPr>
      </w:pPr>
    </w:p>
    <w:p>
      <w:pPr>
        <w:pStyle w:val="Heading4"/>
        <w:spacing w:line="240" w:lineRule="auto"/>
        <w:ind w:left="994" w:right="0"/>
        <w:jc w:val="left"/>
      </w:pPr>
      <w:r>
        <w:rPr/>
        <w:t>下表概括了金融负债按未折现的合同现金流量所作的到期期限分析：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839" w:type="dxa"/>
        <w:tblLayout w:type="fixed"/>
        <w:tblCellMar>
          <w:top w:w="0" w:type="dxa"/>
          <w:left w:w="0" w:type="dxa"/>
          <w:bottom w:w="0" w:type="dxa"/>
          <w:right w:w="0" w:type="dxa"/>
        </w:tblCellMar>
        <w:tblLook w:val="01E0"/>
      </w:tblPr>
      <w:tblGrid>
        <w:gridCol w:w="1509"/>
        <w:gridCol w:w="1564"/>
        <w:gridCol w:w="1559"/>
        <w:gridCol w:w="1559"/>
        <w:gridCol w:w="1474"/>
      </w:tblGrid>
      <w:tr>
        <w:trPr>
          <w:trHeight w:val="981"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Arial" w:hAnsi="Arial" w:cs="Arial" w:eastAsia="Arial" w:hint="default"/>
                <w:sz w:val="18"/>
                <w:szCs w:val="18"/>
              </w:rPr>
              <w:t>2015</w:t>
            </w:r>
            <w:r>
              <w:rPr>
                <w:rFonts w:ascii="黑体" w:hAnsi="黑体" w:cs="黑体" w:eastAsia="黑体" w:hint="default"/>
                <w:sz w:val="18"/>
                <w:szCs w:val="18"/>
              </w:rPr>
              <w:t>年</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个月以内</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9"/>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个月以上至</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年以上至</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415"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8"/>
              <w:jc w:val="right"/>
              <w:rPr>
                <w:rFonts w:ascii="Times New Roman" w:hAnsi="Times New Roman" w:cs="Times New Roman" w:eastAsia="Times New Roman" w:hint="default"/>
                <w:sz w:val="20"/>
                <w:szCs w:val="20"/>
              </w:rPr>
            </w:pPr>
            <w:r>
              <w:rPr>
                <w:rFonts w:ascii="Times New Roman"/>
                <w:spacing w:val="-1"/>
                <w:sz w:val="20"/>
              </w:rPr>
              <w:t>931,678,247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8"/>
              <w:jc w:val="right"/>
              <w:rPr>
                <w:rFonts w:ascii="Times New Roman" w:hAnsi="Times New Roman" w:cs="Times New Roman" w:eastAsia="Times New Roman" w:hint="default"/>
                <w:sz w:val="20"/>
                <w:szCs w:val="20"/>
              </w:rPr>
            </w:pPr>
            <w:r>
              <w:rPr>
                <w:rFonts w:ascii="Times New Roman"/>
                <w:spacing w:val="-1"/>
                <w:sz w:val="20"/>
              </w:rPr>
              <w:t>365,608,918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3"/>
              <w:jc w:val="right"/>
              <w:rPr>
                <w:rFonts w:ascii="Times New Roman" w:hAnsi="Times New Roman" w:cs="Times New Roman" w:eastAsia="Times New Roman" w:hint="default"/>
                <w:sz w:val="20"/>
                <w:szCs w:val="20"/>
              </w:rPr>
            </w:pPr>
            <w:r>
              <w:rPr>
                <w:rFonts w:ascii="Times New Roman"/>
                <w:spacing w:val="-1"/>
                <w:sz w:val="20"/>
              </w:rPr>
              <w:t>1,297,287,165</w:t>
            </w:r>
          </w:p>
        </w:tc>
      </w:tr>
      <w:tr>
        <w:trPr>
          <w:trHeight w:val="28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spacing w:val="-1"/>
                <w:sz w:val="20"/>
              </w:rPr>
              <w:t>632,400,000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20"/>
                <w:szCs w:val="20"/>
              </w:rPr>
            </w:pPr>
            <w:r>
              <w:rPr>
                <w:rFonts w:ascii="Times New Roman"/>
                <w:spacing w:val="-1"/>
                <w:sz w:val="20"/>
              </w:rPr>
              <w:t>632,400,000</w:t>
            </w:r>
          </w:p>
        </w:tc>
      </w:tr>
      <w:tr>
        <w:trPr>
          <w:trHeight w:val="287"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应付长期债券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spacing w:val="-1"/>
                <w:sz w:val="20"/>
              </w:rPr>
              <w:t>57,600,000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spacing w:val="-1"/>
                <w:sz w:val="20"/>
              </w:rPr>
              <w:t>915,200,000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0"/>
                <w:szCs w:val="20"/>
              </w:rPr>
            </w:pPr>
            <w:r>
              <w:rPr>
                <w:rFonts w:ascii="Times New Roman"/>
                <w:spacing w:val="-1"/>
                <w:sz w:val="20"/>
              </w:rPr>
              <w:t>972,800,000</w:t>
            </w:r>
          </w:p>
        </w:tc>
      </w:tr>
      <w:tr>
        <w:trPr>
          <w:trHeight w:val="28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spacing w:val="-1"/>
                <w:sz w:val="20"/>
              </w:rPr>
              <w:t>35,655,331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0"/>
                <w:szCs w:val="20"/>
              </w:rPr>
            </w:pPr>
            <w:r>
              <w:rPr>
                <w:rFonts w:ascii="Times New Roman"/>
                <w:spacing w:val="-1"/>
                <w:sz w:val="20"/>
              </w:rPr>
              <w:t>35,655,331</w:t>
            </w:r>
          </w:p>
        </w:tc>
      </w:tr>
      <w:tr>
        <w:trPr>
          <w:trHeight w:val="28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spacing w:val="-1"/>
                <w:sz w:val="20"/>
              </w:rPr>
              <w:t>482,456,530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Times New Roman" w:hAnsi="Times New Roman" w:cs="Times New Roman" w:eastAsia="Times New Roman" w:hint="default"/>
                <w:sz w:val="20"/>
                <w:szCs w:val="20"/>
              </w:rPr>
            </w:pPr>
            <w:r>
              <w:rPr>
                <w:rFonts w:ascii="Times New Roman"/>
                <w:spacing w:val="-1"/>
                <w:sz w:val="20"/>
              </w:rPr>
              <w:t>482,456,530</w:t>
            </w:r>
          </w:p>
        </w:tc>
      </w:tr>
      <w:tr>
        <w:trPr>
          <w:trHeight w:val="287"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9"/>
              <w:jc w:val="right"/>
              <w:rPr>
                <w:rFonts w:ascii="Times New Roman" w:hAnsi="Times New Roman" w:cs="Times New Roman" w:eastAsia="Times New Roman" w:hint="default"/>
                <w:sz w:val="20"/>
                <w:szCs w:val="20"/>
              </w:rPr>
            </w:pPr>
            <w:r>
              <w:rPr>
                <w:rFonts w:ascii="Times New Roman"/>
                <w:spacing w:val="-1"/>
                <w:sz w:val="20"/>
              </w:rPr>
              <w:t>1,596,000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Times New Roman" w:hAnsi="Times New Roman" w:cs="Times New Roman" w:eastAsia="Times New Roman" w:hint="default"/>
                <w:sz w:val="20"/>
                <w:szCs w:val="20"/>
              </w:rPr>
            </w:pPr>
            <w:r>
              <w:rPr>
                <w:rFonts w:ascii="Times New Roman"/>
                <w:spacing w:val="-1"/>
                <w:sz w:val="20"/>
              </w:rPr>
              <w:t>1,596,000</w:t>
            </w:r>
          </w:p>
        </w:tc>
      </w:tr>
      <w:tr>
        <w:trPr>
          <w:trHeight w:val="28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spacing w:val="-1"/>
                <w:sz w:val="20"/>
              </w:rPr>
              <w:t>178,647,432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spacing w:val="-1"/>
                <w:sz w:val="20"/>
              </w:rPr>
              <w:t>97,551,230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0"/>
                <w:szCs w:val="20"/>
              </w:rPr>
            </w:pPr>
            <w:r>
              <w:rPr>
                <w:rFonts w:ascii="Times New Roman"/>
                <w:w w:val="100"/>
                <w:sz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Times New Roman" w:hAnsi="Times New Roman" w:cs="Times New Roman" w:eastAsia="Times New Roman" w:hint="default"/>
                <w:sz w:val="20"/>
                <w:szCs w:val="20"/>
              </w:rPr>
            </w:pPr>
            <w:r>
              <w:rPr>
                <w:rFonts w:ascii="Times New Roman"/>
                <w:spacing w:val="-1"/>
                <w:sz w:val="20"/>
              </w:rPr>
              <w:t>276,198,662</w:t>
            </w:r>
          </w:p>
        </w:tc>
      </w:tr>
      <w:tr>
        <w:trPr>
          <w:trHeight w:val="406"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64" w:type="dxa"/>
            <w:tcBorders>
              <w:top w:val="nil" w:sz="6" w:space="0" w:color="auto"/>
              <w:left w:val="nil" w:sz="6" w:space="0" w:color="auto"/>
              <w:bottom w:val="nil" w:sz="6" w:space="0" w:color="auto"/>
              <w:right w:val="nil" w:sz="6" w:space="0" w:color="auto"/>
            </w:tcBorders>
          </w:tcPr>
          <w:p>
            <w:pPr>
              <w:pStyle w:val="TableParagraph"/>
              <w:tabs>
                <w:tab w:pos="1352" w:val="left" w:leader="none"/>
              </w:tabs>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21"/>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48,846,000</w:t>
            </w:r>
            <w:r>
              <w:rPr>
                <w:rFonts w:ascii="Times New Roman"/>
                <w:spacing w:val="-1"/>
                <w:sz w:val="20"/>
              </w:rPr>
            </w:r>
          </w:p>
        </w:tc>
        <w:tc>
          <w:tcPr>
            <w:tcW w:w="1474"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1"/>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48,846,000</w:t>
            </w:r>
            <w:r>
              <w:rPr>
                <w:rFonts w:ascii="Times New Roman"/>
                <w:spacing w:val="-1"/>
                <w:sz w:val="20"/>
              </w:rPr>
            </w:r>
          </w:p>
        </w:tc>
      </w:tr>
      <w:tr>
        <w:trPr>
          <w:trHeight w:val="459" w:hRule="exact"/>
        </w:trPr>
        <w:tc>
          <w:tcPr>
            <w:tcW w:w="15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3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1,628,437,540</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267" w:val="left" w:leader="none"/>
              </w:tabs>
              <w:spacing w:line="240" w:lineRule="auto" w:before="13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1,154,756,148</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3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964,046,000</w:t>
            </w:r>
            <w:r>
              <w:rPr>
                <w:rFonts w:ascii="Times New Roman"/>
                <w:spacing w:val="-1"/>
                <w:sz w:val="20"/>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7"/>
                <w:sz w:val="20"/>
                <w:u w:val="thick" w:color="000000"/>
              </w:rPr>
              <w:t> </w:t>
            </w:r>
            <w:r>
              <w:rPr>
                <w:rFonts w:ascii="Times New Roman"/>
                <w:spacing w:val="-1"/>
                <w:sz w:val="20"/>
                <w:u w:val="thick" w:color="000000"/>
              </w:rPr>
              <w:t>3,747,239,688</w:t>
            </w:r>
            <w:r>
              <w:rPr>
                <w:rFonts w:ascii="Times New Roman"/>
                <w:spacing w:val="-1"/>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544" w:lineRule="auto" w:before="35"/>
        <w:ind w:left="874" w:right="9189" w:firstLine="0"/>
        <w:jc w:val="left"/>
        <w:rPr>
          <w:rFonts w:ascii="宋体" w:hAnsi="宋体" w:cs="宋体" w:eastAsia="宋体" w:hint="default"/>
          <w:sz w:val="21"/>
          <w:szCs w:val="21"/>
        </w:rPr>
      </w:pPr>
      <w:r>
        <w:rPr>
          <w:rFonts w:ascii="宋体" w:hAnsi="宋体" w:cs="宋体" w:eastAsia="宋体" w:hint="default"/>
          <w:b/>
          <w:bCs/>
          <w:sz w:val="21"/>
          <w:szCs w:val="21"/>
        </w:rPr>
        <w:t>市场风险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r>
      <w:r>
        <w:rPr>
          <w:rFonts w:ascii="宋体" w:hAnsi="宋体" w:cs="宋体" w:eastAsia="宋体" w:hint="default"/>
          <w:sz w:val="21"/>
          <w:szCs w:val="21"/>
          <w:u w:val="single" w:color="000000"/>
        </w:rPr>
        <w:t>利率风险</w:t>
      </w:r>
      <w:r>
        <w:rPr>
          <w:rFonts w:ascii="宋体" w:hAnsi="宋体" w:cs="宋体" w:eastAsia="宋体" w:hint="default"/>
          <w:sz w:val="21"/>
          <w:szCs w:val="21"/>
        </w:rPr>
      </w:r>
    </w:p>
    <w:p>
      <w:pPr>
        <w:pStyle w:val="Heading4"/>
        <w:spacing w:line="544" w:lineRule="auto" w:before="82"/>
        <w:ind w:left="994" w:right="4872"/>
        <w:jc w:val="left"/>
      </w:pPr>
      <w:r>
        <w:rPr/>
        <w:t>本集团无以浮动利率计息的长期负债，故无利率风险。 </w:t>
      </w:r>
      <w:r>
        <w:rPr>
          <w:u w:val="single" w:color="000000"/>
        </w:rPr>
        <w:t>汇率风险</w:t>
      </w:r>
      <w:r>
        <w:rPr/>
      </w:r>
    </w:p>
    <w:p>
      <w:pPr>
        <w:pStyle w:val="Heading4"/>
        <w:spacing w:line="240" w:lineRule="auto" w:before="82"/>
        <w:ind w:left="994" w:right="0"/>
        <w:jc w:val="left"/>
      </w:pPr>
      <w:r>
        <w:rPr/>
        <w:t>本集团主要业务均发生在中国境内，以人民币计价核算，因此管理层认为本集团无汇率风险。</w:t>
      </w:r>
    </w:p>
    <w:p>
      <w:pPr>
        <w:spacing w:line="240" w:lineRule="auto" w:before="9"/>
        <w:rPr>
          <w:rFonts w:ascii="宋体" w:hAnsi="宋体" w:cs="宋体" w:eastAsia="宋体" w:hint="default"/>
          <w:sz w:val="26"/>
          <w:szCs w:val="26"/>
        </w:rPr>
      </w:pPr>
    </w:p>
    <w:p>
      <w:pPr>
        <w:pStyle w:val="Heading3"/>
        <w:tabs>
          <w:tab w:pos="1414" w:val="left" w:leader="none"/>
        </w:tabs>
        <w:spacing w:line="240" w:lineRule="auto"/>
        <w:ind w:left="874" w:right="0"/>
        <w:jc w:val="left"/>
        <w:rPr>
          <w:b w:val="0"/>
          <w:bCs w:val="0"/>
        </w:rPr>
      </w:pPr>
      <w:r>
        <w:rPr>
          <w:rFonts w:ascii="Times New Roman" w:hAnsi="Times New Roman" w:cs="Times New Roman" w:eastAsia="Times New Roman" w:hint="default"/>
        </w:rPr>
        <w:t>4.</w:t>
        <w:tab/>
      </w:r>
      <w:r>
        <w:rPr/>
        <w:t>资本管理</w:t>
      </w:r>
      <w:r>
        <w:rPr>
          <w:b w:val="0"/>
          <w:bCs w:val="0"/>
        </w:rPr>
      </w:r>
    </w:p>
    <w:p>
      <w:pPr>
        <w:spacing w:line="240" w:lineRule="auto" w:before="7"/>
        <w:rPr>
          <w:rFonts w:ascii="宋体" w:hAnsi="宋体" w:cs="宋体" w:eastAsia="宋体" w:hint="default"/>
          <w:b/>
          <w:bCs/>
          <w:sz w:val="25"/>
          <w:szCs w:val="25"/>
        </w:rPr>
      </w:pPr>
    </w:p>
    <w:p>
      <w:pPr>
        <w:pStyle w:val="Heading4"/>
        <w:spacing w:line="273" w:lineRule="auto"/>
        <w:ind w:right="0" w:firstLine="120"/>
        <w:jc w:val="left"/>
      </w:pPr>
      <w:r>
        <w:rPr>
          <w:spacing w:val="-1"/>
        </w:rPr>
        <w:t>本集团资本管理的主要目标是确保本集团持续经营的能力，并保持健康的资本比率，以支持业务</w:t>
      </w:r>
      <w:r>
        <w:rPr/>
        <w:t> 发展并使股东价值最大化。</w:t>
      </w:r>
    </w:p>
    <w:p>
      <w:pPr>
        <w:spacing w:line="240" w:lineRule="auto" w:before="6"/>
        <w:rPr>
          <w:rFonts w:ascii="宋体" w:hAnsi="宋体" w:cs="宋体" w:eastAsia="宋体" w:hint="default"/>
          <w:sz w:val="24"/>
          <w:szCs w:val="24"/>
        </w:rPr>
      </w:pPr>
    </w:p>
    <w:p>
      <w:pPr>
        <w:pStyle w:val="Heading4"/>
        <w:spacing w:line="240" w:lineRule="auto"/>
        <w:ind w:left="994" w:right="0"/>
        <w:jc w:val="left"/>
      </w:pPr>
      <w:r>
        <w:rPr/>
        <w:t>本集团管理资本结构并根据经济形势以及相关资产的风险特征的变化对其进行调整。为维持或调</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4"/>
        <w:spacing w:line="273" w:lineRule="auto" w:before="1"/>
        <w:ind w:right="0"/>
        <w:jc w:val="left"/>
      </w:pPr>
      <w:r>
        <w:rPr/>
        <w:t>整资本结构，本集团可以调整对股东的利润分配、向股东归还资本或发行新股。本集团不受外部</w:t>
      </w:r>
      <w:r>
        <w:rPr>
          <w:spacing w:val="-22"/>
        </w:rPr>
        <w:t> </w:t>
      </w:r>
      <w:r>
        <w:rPr/>
        <w:t>强制性资本要求约束。</w:t>
      </w:r>
      <w:r>
        <w:rPr>
          <w:rFonts w:ascii="Times New Roman" w:hAnsi="Times New Roman" w:cs="Times New Roman" w:eastAsia="Times New Roman" w:hint="default"/>
        </w:rPr>
        <w:t>2015</w:t>
      </w:r>
      <w:r>
        <w:rPr/>
        <w:t>年度和</w:t>
      </w:r>
      <w:r>
        <w:rPr>
          <w:rFonts w:ascii="Times New Roman" w:hAnsi="Times New Roman" w:cs="Times New Roman" w:eastAsia="Times New Roman" w:hint="default"/>
        </w:rPr>
        <w:t>2014</w:t>
      </w:r>
      <w:r>
        <w:rPr/>
        <w:t>年度，资本管理目标、政策或程序未发生变化。</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Heading2"/>
        <w:spacing w:line="240" w:lineRule="auto"/>
        <w:ind w:left="154" w:right="0"/>
        <w:jc w:val="left"/>
        <w:rPr>
          <w:b w:val="0"/>
          <w:bCs w:val="0"/>
        </w:rPr>
      </w:pPr>
      <w:bookmarkStart w:name="十一、公允价值的披露" w:id="346"/>
      <w:bookmarkEnd w:id="34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 w:id="347"/>
      <w:bookmarkEnd w:id="347"/>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货币资金、应收票据、应收账款、其他应收款和短期借款、应付短期债券、应付票据、应付账款、其他应付款等，因剩余期</w:t>
      </w:r>
      <w:r>
        <w:rPr>
          <w:spacing w:val="-67"/>
        </w:rPr>
        <w:t> </w:t>
      </w:r>
      <w:r>
        <w:rPr>
          <w:spacing w:val="-67"/>
        </w:rPr>
      </w:r>
      <w:r>
        <w:rPr/>
        <w:t>限不长，公允价值与账面价值相若。 </w:t>
      </w:r>
      <w:r>
        <w:rPr>
          <w:spacing w:val="-2"/>
        </w:rPr>
        <w:t>长期应收款和应付长期债券，采用未来现金流量折现法确定公允价值，以合同条款和特征在实质上相同的其他金融工具的市</w:t>
      </w:r>
      <w:r>
        <w:rPr>
          <w:spacing w:val="-64"/>
        </w:rPr>
        <w:t> </w:t>
      </w:r>
      <w:r>
        <w:rPr>
          <w:spacing w:val="-64"/>
        </w:rPr>
      </w:r>
      <w:r>
        <w:rPr/>
        <w:t>场收益率作为折现率，公允价值与账面价值相若。</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348"/>
      <w:bookmarkEnd w:id="348"/>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49"/>
      <w:bookmarkEnd w:id="34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34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实业投资投资管理 企业管理咨询投资 信息咨询企业策划 景观设计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16" w:lineRule="exact" w:before="128"/>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335,285,714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50.38%</w:t>
            </w:r>
          </w:p>
        </w:tc>
      </w:tr>
    </w:tbl>
    <w:p>
      <w:pPr>
        <w:pStyle w:val="BodyText"/>
        <w:spacing w:line="348" w:lineRule="auto" w:before="51"/>
        <w:ind w:left="154" w:right="5922"/>
        <w:jc w:val="left"/>
      </w:pPr>
      <w:r>
        <w:rPr/>
        <w:pict>
          <v:group style="position:absolute;margin-left:296.140015pt;margin-top:-66.938271pt;width:79.2pt;height:43.55pt;mso-position-horizontal-relative:page;mso-position-vertical-relative:paragraph;z-index:-813808" coordorigin="5923,-1339" coordsize="1584,871">
            <v:group style="position:absolute;left:5923;top:-1339;width:1584;height:468" coordorigin="5923,-1339" coordsize="1584,468">
              <v:shape style="position:absolute;left:5923;top:-1339;width:1584;height:468" coordorigin="5923,-1339" coordsize="1584,468" path="m5923,-871l7507,-871,7507,-1339,5923,-1339,5923,-871xe" filled="true" fillcolor="#ffffff" stroked="false">
                <v:path arrowok="t"/>
                <v:fill type="solid"/>
              </v:shape>
            </v:group>
            <v:group style="position:absolute;left:5934;top:-871;width:2;height:392" coordorigin="5934,-871" coordsize="2,392">
              <v:shape style="position:absolute;left:5934;top:-871;width:2;height:392" coordorigin="5934,-871" coordsize="0,392" path="m5934,-871l5934,-480e" filled="false" stroked="true" strokeweight="1.140pt" strokecolor="#ffffff">
                <v:path arrowok="t"/>
              </v:shape>
            </v:group>
            <v:group style="position:absolute;left:5946;top:-871;width:1539;height:392" coordorigin="5946,-871" coordsize="1539,392">
              <v:shape style="position:absolute;left:5946;top:-871;width:1539;height:392" coordorigin="5946,-871" coordsize="1539,392" path="m5946,-480l7484,-480,7484,-871,5946,-871,5946,-480xe" filled="true" fillcolor="#ffffff" stroked="false">
                <v:path arrowok="t"/>
                <v:fill type="solid"/>
              </v:shape>
            </v:group>
            <w10:wrap type="none"/>
          </v:group>
        </w:pict>
      </w:r>
      <w:r>
        <w:rPr/>
        <w:t>本企业的母公司情况的说明 周成建持有华服投资</w:t>
      </w:r>
      <w:r>
        <w:rPr>
          <w:rFonts w:ascii="Times New Roman" w:hAnsi="Times New Roman" w:cs="Times New Roman" w:eastAsia="Times New Roman" w:hint="default"/>
        </w:rPr>
        <w:t>70%</w:t>
      </w:r>
      <w:r>
        <w:rPr/>
        <w:t>的股权，是本公司的最终控股股东。 本企业最终控制方是周成建。</w:t>
      </w:r>
    </w:p>
    <w:p>
      <w:pPr>
        <w:pStyle w:val="BodyText"/>
        <w:spacing w:line="357" w:lineRule="auto" w:before="36"/>
        <w:ind w:left="154"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350"/>
      <w:bookmarkEnd w:id="35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本企业子公司的情况详见附注九。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51"/>
      <w:bookmarkEnd w:id="35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229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65"/>
        <w:ind w:right="10033"/>
        <w:jc w:val="left"/>
      </w:pPr>
      <w:r>
        <w:rPr/>
        <w:t>其他说明 无</w:t>
      </w:r>
    </w:p>
    <w:p>
      <w:pPr>
        <w:spacing w:after="0" w:line="357"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4、其他关联方情况" w:id="352"/>
      <w:bookmarkEnd w:id="35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本公司最终控股股东的妹夫</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本公司最终控股股东的女儿，持有本公司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w:t>
            </w:r>
            <w:r>
              <w:rPr>
                <w:rFonts w:ascii="宋体" w:hAnsi="宋体" w:cs="宋体" w:eastAsia="宋体" w:hint="default"/>
                <w:spacing w:val="-87"/>
                <w:sz w:val="18"/>
                <w:szCs w:val="18"/>
              </w:rPr>
              <w:t> </w:t>
            </w:r>
            <w:r>
              <w:rPr>
                <w:rFonts w:ascii="宋体" w:hAnsi="宋体" w:cs="宋体" w:eastAsia="宋体" w:hint="default"/>
                <w:sz w:val="18"/>
                <w:szCs w:val="18"/>
              </w:rPr>
              <w:t>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r>
    </w:tbl>
    <w:p>
      <w:pPr>
        <w:pStyle w:val="BodyText"/>
        <w:spacing w:line="357" w:lineRule="auto" w:before="51"/>
        <w:ind w:right="7333"/>
        <w:jc w:val="left"/>
      </w:pPr>
      <w:r>
        <w:rPr/>
        <w:t>其他说明 周献妹，周建花，黄岑期系本集团加盟商。</w:t>
      </w:r>
    </w:p>
    <w:p>
      <w:pPr>
        <w:spacing w:line="240" w:lineRule="auto" w:before="2"/>
        <w:rPr>
          <w:rFonts w:ascii="宋体" w:hAnsi="宋体" w:cs="宋体" w:eastAsia="宋体" w:hint="default"/>
          <w:sz w:val="20"/>
          <w:szCs w:val="20"/>
        </w:rPr>
      </w:pPr>
    </w:p>
    <w:p>
      <w:pPr>
        <w:pStyle w:val="Heading3"/>
        <w:spacing w:line="240" w:lineRule="auto"/>
        <w:ind w:left="153" w:right="0"/>
        <w:jc w:val="left"/>
        <w:rPr>
          <w:b w:val="0"/>
          <w:bCs w:val="0"/>
        </w:rPr>
      </w:pPr>
      <w:bookmarkStart w:name="5、关联交易情况" w:id="353"/>
      <w:bookmarkEnd w:id="35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54"/>
      <w:bookmarkEnd w:id="35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47,363,566.00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67,118,890.00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27,563,991.00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29,427,687.00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8,901,041.00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20,227,737.00</w:t>
            </w:r>
          </w:p>
        </w:tc>
      </w:tr>
    </w:tbl>
    <w:p>
      <w:pPr>
        <w:pStyle w:val="BodyText"/>
        <w:spacing w:line="357" w:lineRule="auto" w:before="51"/>
        <w:ind w:left="154" w:right="7152"/>
        <w:jc w:val="left"/>
      </w:pPr>
      <w:r>
        <w:rPr/>
        <w:t>购销商品、提供和接受劳务的关联交易说明 报告期内不存在采购商品、接受劳务的情况。</w:t>
      </w:r>
    </w:p>
    <w:p>
      <w:pPr>
        <w:pStyle w:val="BodyText"/>
        <w:spacing w:line="237" w:lineRule="exact"/>
        <w:ind w:left="154" w:right="0"/>
        <w:jc w:val="left"/>
      </w:pPr>
      <w:r>
        <w:rPr/>
        <w:t>报告期内本集团向关联方黄岑期、周献妹及周建花销售服装人民币</w:t>
      </w:r>
      <w:r>
        <w:rPr>
          <w:rFonts w:ascii="Times New Roman" w:hAnsi="Times New Roman" w:cs="Times New Roman" w:eastAsia="Times New Roman" w:hint="default"/>
        </w:rPr>
        <w:t>83,045,841</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115,319,040</w:t>
      </w:r>
      <w:r>
        <w:rPr/>
        <w:t>元</w:t>
      </w:r>
      <w:r>
        <w:rPr>
          <w:rFonts w:ascii="Times New Roman" w:hAnsi="Times New Roman" w:cs="Times New Roman" w:eastAsia="Times New Roman" w:hint="default"/>
        </w:rPr>
        <w:t>)</w:t>
      </w:r>
      <w:r>
        <w:rPr/>
        <w:t>及销售辅料</w:t>
      </w:r>
    </w:p>
    <w:p>
      <w:pPr>
        <w:pStyle w:val="BodyText"/>
        <w:spacing w:line="240" w:lineRule="auto" w:before="63"/>
        <w:ind w:right="0"/>
        <w:jc w:val="left"/>
      </w:pPr>
      <w:r>
        <w:rPr/>
        <w:t>人民币</w:t>
      </w:r>
      <w:r>
        <w:rPr>
          <w:rFonts w:ascii="Times New Roman" w:hAnsi="Times New Roman" w:cs="Times New Roman" w:eastAsia="Times New Roman" w:hint="default"/>
        </w:rPr>
        <w:t>782,757</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1,455,274</w:t>
      </w:r>
      <w:r>
        <w:rPr/>
        <w:t>元</w:t>
      </w:r>
      <w:r>
        <w:rPr>
          <w:rFonts w:ascii="Times New Roman" w:hAnsi="Times New Roman" w:cs="Times New Roman" w:eastAsia="Times New Roman" w:hint="default"/>
        </w:rPr>
        <w:t>)</w:t>
      </w:r>
      <w:r>
        <w:rPr/>
        <w:t>。上述销售价格与本集团销售给第三方加盟商的价格制定基础一致。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关联受托管理/承包及委托管理/出包情况" w:id="355"/>
      <w:bookmarkEnd w:id="35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after="0" w:line="240" w:lineRule="auto"/>
        <w:jc w:val="righ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pStyle w:val="BodyText"/>
        <w:spacing w:line="338" w:lineRule="auto" w:before="67"/>
        <w:ind w:left="154" w:right="-20"/>
        <w:jc w:val="left"/>
      </w:pPr>
      <w:r>
        <w:rPr/>
        <w:t>关联托管</w:t>
      </w:r>
      <w:r>
        <w:rPr>
          <w:rFonts w:ascii="Times New Roman" w:hAnsi="Times New Roman" w:cs="Times New Roman" w:eastAsia="Times New Roman" w:hint="default"/>
        </w:rPr>
        <w:t>/</w:t>
      </w:r>
      <w:r>
        <w:rPr/>
        <w:t>承包情况说明 报告期内不存在关联托管</w:t>
      </w:r>
      <w:r>
        <w:rPr>
          <w:rFonts w:ascii="Times New Roman" w:hAnsi="Times New Roman" w:cs="Times New Roman" w:eastAsia="Times New Roman" w:hint="default"/>
        </w:rPr>
        <w:t>/</w:t>
      </w:r>
      <w:r>
        <w:rPr/>
        <w:t>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580" w:bottom="1160" w:left="980" w:right="0"/>
          <w:cols w:num="2" w:equalWidth="0">
            <w:col w:w="3085" w:space="574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7822"/>
        <w:jc w:val="left"/>
      </w:pPr>
      <w:r>
        <w:rPr/>
        <w:t>关联管理</w:t>
      </w:r>
      <w:r>
        <w:rPr>
          <w:rFonts w:ascii="Times New Roman" w:hAnsi="Times New Roman" w:cs="Times New Roman" w:eastAsia="Times New Roman" w:hint="default"/>
        </w:rPr>
        <w:t>/</w:t>
      </w:r>
      <w:r>
        <w:rPr/>
        <w:t>出包情况说明 报告期内不存在委托管理</w:t>
      </w:r>
      <w:r>
        <w:rPr>
          <w:rFonts w:ascii="Times New Roman" w:hAnsi="Times New Roman" w:cs="Times New Roman" w:eastAsia="Times New Roman" w:hint="default"/>
        </w:rPr>
        <w:t>/</w:t>
      </w:r>
      <w:r>
        <w:rPr/>
        <w:t>出包情况。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关联租赁情况" w:id="356"/>
      <w:bookmarkEnd w:id="35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4,487,832.00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4,787,307.00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154" w:right="7332"/>
        <w:jc w:val="left"/>
      </w:pPr>
      <w:r>
        <w:rPr/>
        <w:t>关联租赁情况说明 报告期内不存在公司向关联方出租的情况。</w:t>
      </w:r>
    </w:p>
    <w:p>
      <w:pPr>
        <w:pStyle w:val="BodyText"/>
        <w:spacing w:line="224" w:lineRule="exact"/>
        <w:ind w:left="154" w:right="0"/>
        <w:jc w:val="left"/>
      </w:pPr>
      <w:r>
        <w:rPr/>
        <w:t>本年度，本公司向沈阳邦送租入一处房产，本公司的子公司温州美邦、武汉美邦和昆明美邦向美邦集团租入六处房产。上述</w:t>
      </w:r>
    </w:p>
    <w:p>
      <w:pPr>
        <w:pStyle w:val="BodyText"/>
        <w:spacing w:line="240" w:lineRule="auto" w:before="76"/>
        <w:ind w:left="154" w:right="0"/>
        <w:jc w:val="left"/>
      </w:pPr>
      <w:r>
        <w:rPr/>
        <w:t>租赁价格由双方参考市场价格商谈及协商决定。</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357"/>
      <w:bookmarkEnd w:id="35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本公司作为被担保方</w:t>
      </w:r>
    </w:p>
    <w:p>
      <w:pPr>
        <w:spacing w:after="0" w:line="240" w:lineRule="auto"/>
        <w:jc w:val="left"/>
        <w:sectPr>
          <w:type w:val="continuous"/>
          <w:pgSz w:w="11910" w:h="16840"/>
          <w:pgMar w:top="158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232"/>
        <w:jc w:val="left"/>
      </w:pPr>
      <w:r>
        <w:rPr/>
        <w:t>关联担保情况说明 报告期内不存在关联担保情况。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358"/>
      <w:bookmarkEnd w:id="35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359"/>
      <w:bookmarkEnd w:id="35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360"/>
      <w:bookmarkEnd w:id="36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6,454,573.00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8,339,097.00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61"/>
      <w:bookmarkEnd w:id="36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报告期内不存在其他关联交易。</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62"/>
      <w:bookmarkEnd w:id="36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63"/>
      <w:bookmarkEnd w:id="36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12,523,551.00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11,060,991.00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6,935,124.00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4,518,935.00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632,093.00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2,839,721.00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20"/>
          <w:szCs w:val="20"/>
        </w:rPr>
      </w:pPr>
    </w:p>
    <w:p>
      <w:pPr>
        <w:pStyle w:val="Heading3"/>
        <w:spacing w:line="240" w:lineRule="auto" w:before="35"/>
        <w:ind w:right="0"/>
        <w:jc w:val="left"/>
        <w:rPr>
          <w:b w:val="0"/>
          <w:bCs w:val="0"/>
        </w:rPr>
      </w:pPr>
      <w:bookmarkStart w:name="（2）应付项目" w:id="364"/>
      <w:bookmarkEnd w:id="36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492,049.00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365"/>
      <w:bookmarkEnd w:id="36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报告期内不存在关联方承诺。</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366"/>
      <w:bookmarkEnd w:id="36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报告期内无其他关联交易情况。</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股份支付" w:id="367"/>
      <w:bookmarkEnd w:id="367"/>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368"/>
      <w:bookmarkEnd w:id="36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限制性股票行权价格：人民币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11.63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元，限制性股票</w:t>
            </w:r>
            <w:r>
              <w:rPr>
                <w:rFonts w:ascii="宋体" w:hAnsi="宋体" w:cs="宋体" w:eastAsia="宋体" w:hint="default"/>
                <w:sz w:val="18"/>
                <w:szCs w:val="18"/>
              </w:rPr>
              <w:t> 的合同剩余期限：</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pStyle w:val="BodyText"/>
        <w:spacing w:line="240" w:lineRule="auto" w:before="51"/>
        <w:ind w:left="154" w:right="0"/>
        <w:jc w:val="left"/>
      </w:pPr>
      <w:r>
        <w:rPr/>
        <w:t>其他说明</w:t>
      </w:r>
    </w:p>
    <w:p>
      <w:pPr>
        <w:pStyle w:val="BodyText"/>
        <w:spacing w:line="302" w:lineRule="auto" w:before="116"/>
        <w:ind w:right="0"/>
        <w:jc w:val="left"/>
      </w:pPr>
      <w:r>
        <w:rPr/>
        <w:t>本公司《关于〈上海美特斯邦威服饰股份有限公司限制性股票激励计划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〉的议案》</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本限制性股票激 励计划</w:t>
      </w:r>
      <w:r>
        <w:rPr>
          <w:rFonts w:ascii="Times New Roman" w:hAnsi="Times New Roman" w:cs="Times New Roman" w:eastAsia="Times New Roman" w:hint="default"/>
        </w:rPr>
        <w:t>”)</w:t>
      </w:r>
      <w:r>
        <w:rPr/>
        <w:t>在获得中国证监会审核无异议回复后，经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日第一次临时股东大会审议通过后开始实施。本公司以授予 方式，向激励对象授予</w:t>
      </w:r>
      <w:r>
        <w:rPr>
          <w:rFonts w:ascii="Times New Roman" w:hAnsi="Times New Roman" w:cs="Times New Roman" w:eastAsia="Times New Roman" w:hint="default"/>
        </w:rPr>
        <w:t>660</w:t>
      </w:r>
      <w:r>
        <w:rPr/>
        <w:t>万份限制性股票，其中：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日首次授予</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首次授予</w:t>
      </w:r>
      <w:r>
        <w:rPr>
          <w:rFonts w:ascii="Times New Roman" w:hAnsi="Times New Roman" w:cs="Times New Roman" w:eastAsia="Times New Roman" w:hint="default"/>
        </w:rPr>
        <w:t>”)</w:t>
      </w:r>
      <w:r>
        <w:rPr/>
        <w:t>的限制性股票为</w:t>
      </w:r>
      <w:r>
        <w:rPr>
          <w:rFonts w:ascii="Times New Roman" w:hAnsi="Times New Roman" w:cs="Times New Roman" w:eastAsia="Times New Roman" w:hint="default"/>
        </w:rPr>
        <w:t>600</w:t>
      </w:r>
      <w:r>
        <w:rPr/>
        <w:t>万份，</w:t>
      </w:r>
      <w:r>
        <w:rPr>
          <w:spacing w:val="-17"/>
        </w:rPr>
        <w:t> </w:t>
      </w:r>
      <w:r>
        <w:rPr/>
        <w:t>占本限制性股票激励计划授予权益总额的</w:t>
      </w:r>
      <w:r>
        <w:rPr>
          <w:rFonts w:ascii="Times New Roman" w:hAnsi="Times New Roman" w:cs="Times New Roman" w:eastAsia="Times New Roman" w:hint="default"/>
        </w:rPr>
        <w:t>90.91%</w:t>
      </w:r>
      <w:r>
        <w:rPr/>
        <w:t>；预留</w:t>
      </w:r>
      <w:r>
        <w:rPr>
          <w:rFonts w:ascii="Times New Roman" w:hAnsi="Times New Roman" w:cs="Times New Roman" w:eastAsia="Times New Roman" w:hint="default"/>
        </w:rPr>
        <w:t>60</w:t>
      </w:r>
      <w:r>
        <w:rPr/>
        <w:t>万份限制性股票授予给预留激励对象，占本限制性股票激励计划 授予权益总额的</w:t>
      </w:r>
      <w:r>
        <w:rPr>
          <w:rFonts w:ascii="Times New Roman" w:hAnsi="Times New Roman" w:cs="Times New Roman" w:eastAsia="Times New Roman" w:hint="default"/>
        </w:rPr>
        <w:t>9.09%</w:t>
      </w:r>
      <w:r>
        <w:rPr/>
        <w:t>。本计划首次授予的激励对象总人数为</w:t>
      </w:r>
      <w:r>
        <w:rPr>
          <w:rFonts w:ascii="Times New Roman" w:hAnsi="Times New Roman" w:cs="Times New Roman" w:eastAsia="Times New Roman" w:hint="default"/>
        </w:rPr>
        <w:t>2</w:t>
      </w:r>
      <w:r>
        <w:rPr/>
        <w:t>人，激励对象包括公司实施本计划时在公司任职的中高级管 </w:t>
      </w:r>
      <w:r>
        <w:rPr>
          <w:spacing w:val="-2"/>
        </w:rPr>
        <w:t>理人员。本限制性股票激励计划的股票来源为本公司向激励对象定向发行股票。本限制性股票激励计划首次授予的权益自首</w:t>
      </w:r>
      <w:r>
        <w:rPr>
          <w:spacing w:val="-64"/>
        </w:rPr>
        <w:t> </w:t>
      </w:r>
      <w:r>
        <w:rPr>
          <w:spacing w:val="-64"/>
        </w:rPr>
      </w:r>
      <w:r>
        <w:rPr>
          <w:spacing w:val="-2"/>
        </w:rPr>
        <w:t>次授予日起满</w:t>
      </w:r>
      <w:r>
        <w:rPr>
          <w:rFonts w:ascii="Times New Roman" w:hAnsi="Times New Roman" w:cs="Times New Roman" w:eastAsia="Times New Roman" w:hint="default"/>
          <w:spacing w:val="-2"/>
        </w:rPr>
        <w:t>12</w:t>
      </w:r>
      <w:r>
        <w:rPr>
          <w:spacing w:val="-2"/>
        </w:rPr>
        <w:t>个月后至首次授予日起</w:t>
      </w:r>
      <w:r>
        <w:rPr>
          <w:rFonts w:ascii="Times New Roman" w:hAnsi="Times New Roman" w:cs="Times New Roman" w:eastAsia="Times New Roman" w:hint="default"/>
          <w:spacing w:val="-2"/>
        </w:rPr>
        <w:t>60</w:t>
      </w:r>
      <w:r>
        <w:rPr>
          <w:spacing w:val="-2"/>
        </w:rPr>
        <w:t>个月内分四期行权；预留部分的权益将自相应的授予日起满</w:t>
      </w:r>
      <w:r>
        <w:rPr>
          <w:rFonts w:ascii="Times New Roman" w:hAnsi="Times New Roman" w:cs="Times New Roman" w:eastAsia="Times New Roman" w:hint="default"/>
          <w:spacing w:val="-2"/>
        </w:rPr>
        <w:t>12</w:t>
      </w:r>
      <w:r>
        <w:rPr>
          <w:spacing w:val="-2"/>
        </w:rPr>
        <w:t>个月后至预留部分首</w:t>
      </w:r>
      <w:r>
        <w:rPr>
          <w:spacing w:val="-58"/>
        </w:rPr>
        <w:t> </w:t>
      </w:r>
      <w:r>
        <w:rPr/>
        <w:t>次授予日起</w:t>
      </w:r>
      <w:r>
        <w:rPr>
          <w:rFonts w:ascii="Times New Roman" w:hAnsi="Times New Roman" w:cs="Times New Roman" w:eastAsia="Times New Roman" w:hint="default"/>
        </w:rPr>
        <w:t>60</w:t>
      </w:r>
      <w:r>
        <w:rPr/>
        <w:t>个月内分四期行权。 </w:t>
      </w:r>
      <w:r>
        <w:rPr>
          <w:spacing w:val="-4"/>
        </w:rPr>
        <w:t>本公司所发行的限制性股票每股授予价格为人民币</w:t>
      </w:r>
      <w:r>
        <w:rPr>
          <w:rFonts w:ascii="Times New Roman" w:hAnsi="Times New Roman" w:cs="Times New Roman" w:eastAsia="Times New Roman" w:hint="default"/>
          <w:spacing w:val="-4"/>
        </w:rPr>
        <w:t>11.63</w:t>
      </w:r>
      <w:r>
        <w:rPr>
          <w:spacing w:val="-4"/>
        </w:rPr>
        <w:t>元，累计募集金额为</w:t>
      </w:r>
      <w:r>
        <w:rPr>
          <w:rFonts w:ascii="Times New Roman" w:hAnsi="Times New Roman" w:cs="Times New Roman" w:eastAsia="Times New Roman" w:hint="default"/>
          <w:spacing w:val="-4"/>
        </w:rPr>
        <w:t>6,978</w:t>
      </w:r>
      <w:r>
        <w:rPr>
          <w:spacing w:val="-4"/>
        </w:rPr>
        <w:t>万元。根据公司授予日收盘价（人民币</w:t>
      </w:r>
      <w:r>
        <w:rPr>
          <w:rFonts w:ascii="Times New Roman" w:hAnsi="Times New Roman" w:cs="Times New Roman" w:eastAsia="Times New Roman" w:hint="default"/>
          <w:spacing w:val="-4"/>
        </w:rPr>
        <w:t>10.57</w:t>
      </w:r>
      <w:r>
        <w:rPr>
          <w:rFonts w:ascii="Times New Roman" w:hAnsi="Times New Roman" w:cs="Times New Roman" w:eastAsia="Times New Roman" w:hint="default"/>
          <w:spacing w:val="-12"/>
        </w:rPr>
        <w:t> </w:t>
      </w:r>
      <w:r>
        <w:rPr>
          <w:spacing w:val="-3"/>
        </w:rPr>
        <w:t>元</w:t>
      </w:r>
      <w:r>
        <w:rPr>
          <w:rFonts w:ascii="Times New Roman" w:hAnsi="Times New Roman" w:cs="Times New Roman" w:eastAsia="Times New Roman" w:hint="default"/>
          <w:spacing w:val="-3"/>
        </w:rPr>
        <w:t>/</w:t>
      </w:r>
      <w:r>
        <w:rPr>
          <w:spacing w:val="-3"/>
        </w:rPr>
        <w:t>股）和授予价格（人民币</w:t>
      </w:r>
      <w:r>
        <w:rPr>
          <w:rFonts w:ascii="Times New Roman" w:hAnsi="Times New Roman" w:cs="Times New Roman" w:eastAsia="Times New Roman" w:hint="default"/>
          <w:spacing w:val="-3"/>
        </w:rPr>
        <w:t>11.63</w:t>
      </w:r>
      <w:r>
        <w:rPr>
          <w:spacing w:val="-3"/>
        </w:rPr>
        <w:t>元</w:t>
      </w:r>
      <w:r>
        <w:rPr>
          <w:rFonts w:ascii="Times New Roman" w:hAnsi="Times New Roman" w:cs="Times New Roman" w:eastAsia="Times New Roman" w:hint="default"/>
          <w:spacing w:val="-3"/>
        </w:rPr>
        <w:t>/</w:t>
      </w:r>
      <w:r>
        <w:rPr>
          <w:spacing w:val="-3"/>
        </w:rPr>
        <w:t>股），按照相关估值工具确定授予日该限制性股票（权益工具）的公允价值总额为</w:t>
      </w:r>
      <w:r>
        <w:rPr>
          <w:rFonts w:ascii="Times New Roman" w:hAnsi="Times New Roman" w:cs="Times New Roman" w:eastAsia="Times New Roman" w:hint="default"/>
          <w:spacing w:val="-3"/>
        </w:rPr>
        <w:t>0</w:t>
      </w:r>
      <w:r>
        <w:rPr>
          <w:spacing w:val="-3"/>
        </w:rPr>
        <w:t>元，</w:t>
      </w:r>
    </w:p>
    <w:p>
      <w:pPr>
        <w:spacing w:after="0" w:line="302"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6"/>
        <w:ind w:left="154" w:right="0"/>
        <w:jc w:val="left"/>
      </w:pPr>
      <w:r>
        <w:rPr/>
        <w:t>因此本期内不确认计入损益的权益工具的金额。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369"/>
      <w:bookmarkEnd w:id="3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根据相关估值工具确定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根据授予日授予激励对象的股份总数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以现金结算的股份支付情况" w:id="370"/>
      <w:bookmarkEnd w:id="3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71"/>
      <w:bookmarkEnd w:id="37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0"/>
        <w:jc w:val="left"/>
        <w:rPr>
          <w:b w:val="0"/>
          <w:bCs w:val="0"/>
        </w:rPr>
      </w:pPr>
      <w:bookmarkStart w:name="5、其他" w:id="372"/>
      <w:bookmarkEnd w:id="372"/>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四、承诺及或有事项" w:id="373"/>
      <w:bookmarkEnd w:id="373"/>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74"/>
      <w:bookmarkEnd w:id="37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资产负债表日存在的重要承诺</w:t>
      </w:r>
    </w:p>
    <w:p>
      <w:pPr>
        <w:pStyle w:val="Heading4"/>
        <w:tabs>
          <w:tab w:pos="2254" w:val="left" w:leader="none"/>
        </w:tabs>
        <w:spacing w:line="240" w:lineRule="auto" w:before="89"/>
        <w:ind w:left="1414" w:right="0"/>
        <w:jc w:val="left"/>
      </w:pPr>
      <w:r>
        <w:rPr>
          <w:rFonts w:ascii="Times New Roman" w:hAnsi="Times New Roman" w:cs="Times New Roman" w:eastAsia="Times New Roman" w:hint="default"/>
        </w:rPr>
        <w:t>2015</w:t>
      </w:r>
      <w:r>
        <w:rPr/>
        <w:t>年</w:t>
        <w:tab/>
      </w:r>
      <w:r>
        <w:rPr>
          <w:rFonts w:ascii="Times New Roman" w:hAnsi="Times New Roman" w:cs="Times New Roman" w:eastAsia="Times New Roman" w:hint="default"/>
        </w:rPr>
        <w:t>2014</w:t>
      </w:r>
      <w:r>
        <w:rPr/>
        <w:t>年</w:t>
      </w:r>
    </w:p>
    <w:p>
      <w:pPr>
        <w:spacing w:line="240" w:lineRule="auto" w:before="6"/>
        <w:rPr>
          <w:rFonts w:ascii="宋体" w:hAnsi="宋体" w:cs="宋体" w:eastAsia="宋体" w:hint="default"/>
          <w:sz w:val="25"/>
          <w:szCs w:val="25"/>
        </w:rPr>
      </w:pPr>
    </w:p>
    <w:p>
      <w:pPr>
        <w:pStyle w:val="Heading4"/>
        <w:spacing w:line="240" w:lineRule="auto"/>
        <w:ind w:left="0" w:right="7855"/>
        <w:jc w:val="center"/>
      </w:pPr>
      <w:r>
        <w:rPr/>
        <w:t>资本承诺</w:t>
      </w:r>
    </w:p>
    <w:p>
      <w:pPr>
        <w:pStyle w:val="Heading4"/>
        <w:tabs>
          <w:tab w:pos="3094" w:val="left" w:leader="none"/>
          <w:tab w:pos="3514" w:val="left" w:leader="none"/>
          <w:tab w:pos="4774" w:val="left" w:leader="none"/>
          <w:tab w:pos="5194" w:val="left" w:leader="none"/>
        </w:tabs>
        <w:spacing w:line="240" w:lineRule="auto" w:before="37"/>
        <w:ind w:left="1414" w:right="0"/>
        <w:jc w:val="left"/>
        <w:rPr>
          <w:rFonts w:ascii="Times New Roman" w:hAnsi="Times New Roman" w:cs="Times New Roman" w:eastAsia="Times New Roman" w:hint="default"/>
        </w:rPr>
      </w:pPr>
      <w:r>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23,969,860</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11,877,305</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4"/>
        <w:ind w:right="0"/>
        <w:jc w:val="left"/>
        <w:rPr>
          <w:b w:val="0"/>
          <w:bCs w:val="0"/>
        </w:rPr>
      </w:pPr>
      <w:bookmarkStart w:name="2、或有事项" w:id="375"/>
      <w:bookmarkEnd w:id="3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76"/>
      <w:bookmarkEnd w:id="37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截止资产负债表日，本集团并无需作披露的或有事项。</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公司没有需要披露的重要或有事项，也应予以说明" w:id="377"/>
      <w:bookmarkEnd w:id="3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其他" w:id="378"/>
      <w:bookmarkEnd w:id="378"/>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五、资产负债表日后事项" w:id="379"/>
      <w:bookmarkEnd w:id="379"/>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380"/>
      <w:bookmarkEnd w:id="38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81"/>
      <w:bookmarkEnd w:id="38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1,011,000,000.00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382"/>
      <w:bookmarkEnd w:id="38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本公司在资产负债表日后未发生重要销售退回。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383"/>
      <w:bookmarkEnd w:id="38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六、其他重要事项" w:id="384"/>
      <w:bookmarkEnd w:id="38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前期会计差错更正" w:id="385"/>
      <w:bookmarkEnd w:id="38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追溯重述法" w:id="386"/>
      <w:bookmarkEnd w:id="38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未来适用法" w:id="387"/>
      <w:bookmarkEnd w:id="38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388"/>
      <w:bookmarkEnd w:id="38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报告期内不存在此情况。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389"/>
      <w:bookmarkEnd w:id="38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390"/>
      <w:bookmarkEnd w:id="39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报告期内不存在此情况。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391"/>
      <w:bookmarkEnd w:id="39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报告期内不存在此情况。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年金计划" w:id="392"/>
      <w:bookmarkEnd w:id="39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报告期内不存在此情况。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393"/>
      <w:bookmarkEnd w:id="39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394"/>
      <w:bookmarkEnd w:id="39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95"/>
      <w:bookmarkEnd w:id="39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6"/>
        <w:jc w:val="left"/>
      </w:pPr>
      <w:r>
        <w:rPr/>
        <w:t>经营分部 </w:t>
      </w:r>
      <w:r>
        <w:rPr>
          <w:spacing w:val="-2"/>
        </w:rPr>
        <w:t>本集团的经营业务根据业务的性质以及所提供的产品和劳务的方式分开组织和管理。本集团的每个业务分部提供面临不同于</w:t>
      </w:r>
      <w:r>
        <w:rPr>
          <w:spacing w:val="-64"/>
        </w:rPr>
        <w:t> </w:t>
      </w:r>
      <w:r>
        <w:rPr>
          <w:spacing w:val="-64"/>
        </w:rPr>
      </w:r>
      <w:r>
        <w:rPr/>
        <w:t>其他业务分部的风险并取得不同于其他业务分部的报酬的产品和服务。以下是对业务分部详细信息的概括：</w:t>
      </w:r>
    </w:p>
    <w:p>
      <w:pPr>
        <w:pStyle w:val="BodyText"/>
        <w:tabs>
          <w:tab w:pos="573" w:val="left" w:leader="none"/>
        </w:tabs>
        <w:spacing w:line="240" w:lineRule="auto" w:before="19"/>
        <w:ind w:left="154" w:right="0"/>
        <w:jc w:val="left"/>
      </w:pPr>
      <w:r>
        <w:rPr>
          <w:rFonts w:ascii="Times New Roman" w:hAnsi="Times New Roman" w:cs="Times New Roman" w:eastAsia="Times New Roman" w:hint="default"/>
        </w:rPr>
        <w:t>a)</w:t>
        <w:tab/>
      </w:r>
      <w:r>
        <w:rPr/>
        <w:t>批发业务为主要向加盟商销售服饰产品；</w:t>
      </w:r>
    </w:p>
    <w:p>
      <w:pPr>
        <w:pStyle w:val="BodyText"/>
        <w:tabs>
          <w:tab w:pos="573" w:val="left" w:leader="none"/>
        </w:tabs>
        <w:spacing w:line="300" w:lineRule="auto" w:before="63"/>
        <w:ind w:right="5490"/>
        <w:jc w:val="left"/>
      </w:pPr>
      <w:r>
        <w:rPr>
          <w:rFonts w:ascii="Times New Roman" w:hAnsi="Times New Roman" w:cs="Times New Roman" w:eastAsia="Times New Roman" w:hint="default"/>
        </w:rPr>
        <w:t>b)</w:t>
        <w:tab/>
      </w:r>
      <w:r>
        <w:rPr/>
        <w:t>零售业务为主要通过直营店、专柜和电商平台销售服饰产品。</w:t>
      </w:r>
      <w:r>
        <w:rPr>
          <w:w w:val="99"/>
        </w:rPr>
        <w:t> </w:t>
      </w:r>
      <w:r>
        <w:rPr/>
        <w:t>分部间交易的价格为成本加成。</w:t>
      </w:r>
    </w:p>
    <w:p>
      <w:pPr>
        <w:pStyle w:val="BodyText"/>
        <w:spacing w:line="316" w:lineRule="auto" w:before="31"/>
        <w:ind w:right="1132"/>
        <w:jc w:val="both"/>
      </w:pPr>
      <w:r>
        <w:rPr>
          <w:spacing w:val="-2"/>
        </w:rPr>
        <w:t>零售业务系直营渠道的销售交易；批发业务系除直营渠道外的销售交易，包括加盟渠道及集团合并范围内公司之间的销售交</w:t>
      </w:r>
      <w:r>
        <w:rPr>
          <w:spacing w:val="-64"/>
        </w:rPr>
        <w:t> </w:t>
      </w:r>
      <w:r>
        <w:rPr>
          <w:spacing w:val="-64"/>
        </w:rPr>
      </w:r>
      <w:r>
        <w:rPr>
          <w:spacing w:val="-2"/>
        </w:rPr>
        <w:t>易，其中合并范围内各公司间的销售交易、资产及负债已全额抵消。销售费用与管理费用扣除直接归属于直营渠道的费用后</w:t>
      </w:r>
      <w:r>
        <w:rPr>
          <w:spacing w:val="-66"/>
        </w:rPr>
        <w:t> </w:t>
      </w:r>
      <w:r>
        <w:rPr>
          <w:spacing w:val="-66"/>
        </w:rPr>
      </w:r>
      <w:r>
        <w:rPr/>
        <w:t>余额按收入比重在分部间分配，财务费用、营业外收支等不进行分配。</w:t>
      </w:r>
    </w:p>
    <w:p>
      <w:pPr>
        <w:spacing w:after="0" w:line="316" w:lineRule="auto"/>
        <w:jc w:val="both"/>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2）报告分部的财务信息" w:id="396"/>
      <w:bookmarkEnd w:id="39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批发业务</w:t>
            </w:r>
          </w:p>
        </w:tc>
        <w:tc>
          <w:tcPr>
            <w:tcW w:w="191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零售业务</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2,848,854,441.00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3,383,177,770.00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62,751,553.00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6,294,783,764.00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341,980,134.00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-391,955,797.00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-100,602,275.00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-150,577,938.00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3,179,331,261.00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3,775,637,913.00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6,954,969,174.00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1,760,308,157.00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2,090,466,726.00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3,850,774,883.00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81,221,127.00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96,454,739.00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177,675,866.00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91,144,450.00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108,239,254.00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199,383,704.00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108,141,681.00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128,424,438.00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236,566,119.00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397"/>
      <w:bookmarkEnd w:id="39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说明" w:id="398"/>
      <w:bookmarkEnd w:id="3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399"/>
      <w:bookmarkEnd w:id="39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00"/>
      <w:bookmarkEnd w:id="400"/>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七、母公司财务报表主要项目注释" w:id="401"/>
      <w:bookmarkEnd w:id="40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402"/>
      <w:bookmarkEnd w:id="40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403"/>
      <w:bookmarkEnd w:id="40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304,316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304,316,34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2,751,47</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1,858.00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11,245,7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2,740,226</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,129.00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14,216,47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2,848,970,1</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84.00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2,751,47</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1,858.00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11,245,7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2,740,226</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,129.00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03,001.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14,216,47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3,153,286,5</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24.00</w:t>
            </w:r>
          </w:p>
        </w:tc>
      </w:tr>
    </w:tbl>
    <w:p>
      <w:pPr>
        <w:pStyle w:val="BodyText"/>
        <w:spacing w:line="240" w:lineRule="auto" w:before="67"/>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00" w:lineRule="auto" w:before="39"/>
        <w:ind w:left="154" w:right="1242"/>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日，单项金额虽不重大但单独进行减值测试的应收账款坏账计提准备为人民币</w:t>
      </w:r>
      <w:r>
        <w:rPr>
          <w:rFonts w:ascii="Times New Roman" w:hAnsi="Times New Roman" w:cs="Times New Roman" w:eastAsia="Times New Roman" w:hint="default"/>
        </w:rPr>
        <w:t>11,245,729</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日：人民币</w:t>
      </w:r>
      <w:r>
        <w:rPr>
          <w:rFonts w:ascii="Times New Roman" w:hAnsi="Times New Roman" w:cs="Times New Roman" w:eastAsia="Times New Roman" w:hint="default"/>
        </w:rPr>
        <w:t>14,216,477</w:t>
      </w:r>
      <w:r>
        <w:rPr/>
        <w:t>元</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本期计提、收回或转回的坏账准备情况" w:id="404"/>
      <w:bookmarkEnd w:id="40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1,104,664.00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58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05"/>
      <w:bookmarkEnd w:id="40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4,075,412.00</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第三方客户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4,075,412.00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8"/>
              <w:jc w:val="right"/>
              <w:rPr>
                <w:rFonts w:ascii="宋体" w:hAnsi="宋体" w:cs="宋体" w:eastAsia="宋体" w:hint="default"/>
                <w:sz w:val="18"/>
                <w:szCs w:val="18"/>
              </w:rPr>
            </w:pPr>
            <w:r>
              <w:rPr>
                <w:rFonts w:ascii="宋体" w:hAnsi="宋体" w:cs="宋体" w:eastAsia="宋体" w:hint="default"/>
                <w:sz w:val="18"/>
                <w:szCs w:val="18"/>
              </w:rPr>
              <w:t>逾期无法收回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4,075,412.00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spacing w:after="0" w:line="240" w:lineRule="auto"/>
        <w:jc w:val="left"/>
        <w:sectPr>
          <w:type w:val="continuous"/>
          <w:pgSz w:w="11910" w:h="16840"/>
          <w:pgMar w:top="158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6"/>
        <w:ind w:left="154" w:right="0"/>
        <w:jc w:val="left"/>
      </w:pPr>
      <w:r>
        <w:rPr/>
        <w:t>根据本公司会计政策及管理层判断无法回收的货款在本报告期内予以核销。</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按欠款方归集的期末余额前五名的应收账款情况" w:id="406"/>
      <w:bookmarkEnd w:id="40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913"/>
        <w:gridCol w:w="1913"/>
        <w:gridCol w:w="1914"/>
        <w:gridCol w:w="1913"/>
        <w:gridCol w:w="1914"/>
      </w:tblGrid>
      <w:tr>
        <w:trPr>
          <w:trHeight w:val="734"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58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317"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7"/>
              <w:ind w:left="497" w:right="318" w:hanging="180"/>
              <w:jc w:val="left"/>
              <w:rPr>
                <w:rFonts w:ascii="宋体" w:hAnsi="宋体" w:cs="宋体" w:eastAsia="宋体" w:hint="default"/>
                <w:sz w:val="18"/>
                <w:szCs w:val="18"/>
              </w:rPr>
            </w:pPr>
            <w:r>
              <w:rPr>
                <w:rFonts w:ascii="宋体" w:hAnsi="宋体" w:cs="宋体" w:eastAsia="宋体" w:hint="default"/>
                <w:sz w:val="18"/>
                <w:szCs w:val="18"/>
              </w:rPr>
              <w:t>占应收账款期末 余额的比例</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2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248,137,866</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9%</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171,588,290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26"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169,082,709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151,680,790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33" w:hRule="exact"/>
        </w:trPr>
        <w:tc>
          <w:tcPr>
            <w:tcW w:w="1913"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151,110,474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6%</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22"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891,600,129</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33%</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407"/>
      <w:bookmarkEnd w:id="40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408"/>
      <w:bookmarkEnd w:id="40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9852"/>
        <w:jc w:val="left"/>
      </w:pPr>
      <w:r>
        <w:rPr/>
        <w:t>不适用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其他应收款" w:id="409"/>
      <w:bookmarkEnd w:id="40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10"/>
      <w:bookmarkEnd w:id="41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159,854,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495.00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43.00%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159,854,4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95.00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235,626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235,626,06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211,681,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418.00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57.00%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1,837,20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209,844,2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149,442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1,837,200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147,604,81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371,535,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1,837,20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369,698,7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385,068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1,837,200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383,230,87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913.00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13.00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,073.00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67"/>
        <w:ind w:left="15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411"/>
      <w:bookmarkEnd w:id="4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1" w:footer="979" w:top="1360" w:bottom="1160" w:left="980" w:right="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580" w:bottom="1160" w:left="980" w:right="0"/>
          <w:cols w:num="2" w:equalWidth="0">
            <w:col w:w="5824" w:space="300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412"/>
      <w:bookmarkEnd w:id="41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413"/>
      <w:bookmarkEnd w:id="41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287,599,575.00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347,806,871.00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20,337,170.00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16,052,914.00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8,851,522.00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12,840,644.00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1,810,718.00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3,821,742.00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2,936,928.00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4,545,902.00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371,535,913.00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385,068,073.00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14"/>
      <w:bookmarkEnd w:id="41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57,358,965.00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52,495,531.00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26,605,798.00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20,333,447.00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206,793,741.00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15"/>
      <w:bookmarkEnd w:id="41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416"/>
      <w:bookmarkEnd w:id="41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417"/>
      <w:bookmarkEnd w:id="41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不适用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418"/>
      <w:bookmarkEnd w:id="41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396,384,026.00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449,359,713.00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449,359,713.00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845,743,739.00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845,743,739.00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19"/>
      <w:bookmarkEnd w:id="41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63,513,308.00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63,513,308.00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11,874,493.00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11,874,493.00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6,124,104.00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6,124,104.00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6,788,749.00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6,788,749.00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6,095,832.00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6,095,832.00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8,018,137.00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8,018,137.00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8,992,077.00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8,992,077.00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2,070,026.00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2,070,026.00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3,207,383.00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3,207,383.00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2,599,917.00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2,599,917.00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398,384,026.00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396,384,026.00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20"/>
      <w:bookmarkEnd w:id="42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-640,287.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449,359,7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-640,287.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449,359,7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-640,287.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449,359,7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21"/>
      <w:bookmarkEnd w:id="42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本公司初始投资额为零的长期股权投资系同一控制下企业合并中并入了资不抵债的子公司。</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before="2"/>
        <w:ind w:right="0"/>
        <w:jc w:val="left"/>
        <w:rPr>
          <w:b w:val="0"/>
          <w:bCs w:val="0"/>
        </w:rPr>
      </w:pPr>
      <w:bookmarkStart w:name="4、营业收入和营业成本" w:id="422"/>
      <w:bookmarkEnd w:id="42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4,480,883,532.00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3,723,237,041.00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4,597,989,476.00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3,556,252,670.00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50,339,332.00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42,651,328.00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46,874,354.00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45,188,033.00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4,531,222,864.00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3,765,888,369.00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4,644,863,830.00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3,601,440,703.00</w:t>
            </w:r>
          </w:p>
        </w:tc>
      </w:tr>
    </w:tbl>
    <w:p>
      <w:pPr>
        <w:pStyle w:val="BodyText"/>
        <w:spacing w:line="357" w:lineRule="auto" w:before="51"/>
        <w:ind w:right="5713"/>
        <w:jc w:val="left"/>
      </w:pPr>
      <w:r>
        <w:rPr/>
        <w:t>其他说明： 本公司的主营业务收入主要是向子公司和加盟商销售服装收入。</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投资收益" w:id="423"/>
      <w:bookmarkEnd w:id="42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661,479,849.00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-640,287.00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658,839,562.00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23,964,857.00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24"/>
      <w:bookmarkEnd w:id="424"/>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八、补充资料" w:id="425"/>
      <w:bookmarkEnd w:id="42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26"/>
      <w:bookmarkEnd w:id="42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-5,356,577.00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16,086,568.00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7,451,337.00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处置长安基金取得的投资收益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4,970,779.00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13,210,549.00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7"/>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27"/>
      <w:bookmarkEnd w:id="42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28"/>
      <w:bookmarkEnd w:id="42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29"/>
      <w:bookmarkEnd w:id="42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30"/>
      <w:bookmarkEnd w:id="43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31"/>
      <w:bookmarkEnd w:id="43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4、其他" w:id="432"/>
      <w:bookmarkEnd w:id="432"/>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51" w:footer="979" w:top="13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1"/>
        <w:spacing w:line="240" w:lineRule="auto"/>
        <w:ind w:left="3286" w:right="0"/>
        <w:jc w:val="left"/>
        <w:rPr>
          <w:b w:val="0"/>
          <w:bCs w:val="0"/>
        </w:rPr>
      </w:pPr>
      <w:bookmarkStart w:name="第十一节 备查文件目录" w:id="433"/>
      <w:bookmarkEnd w:id="433"/>
      <w:r>
        <w:rPr>
          <w:b w:val="0"/>
          <w:bCs w:val="0"/>
        </w:rPr>
      </w:r>
      <w:bookmarkStart w:name="_bookmark10" w:id="434"/>
      <w:bookmarkEnd w:id="434"/>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40" w:lineRule="auto"/>
        <w:ind w:left="154" w:right="0"/>
        <w:jc w:val="left"/>
      </w:pPr>
      <w:r>
        <w:rPr/>
        <w:t>（一）载有法定代表人、财务负责人、会计机构负责人签名并盖章的会计报表。</w:t>
      </w:r>
    </w:p>
    <w:p>
      <w:pPr>
        <w:pStyle w:val="Heading4"/>
        <w:spacing w:line="240" w:lineRule="auto" w:before="37"/>
        <w:ind w:left="154" w:right="0"/>
        <w:jc w:val="left"/>
      </w:pPr>
      <w:r>
        <w:rPr/>
        <w:t>（二）载有会计师事务所盖章、注册会计师签名并盖章的审计报告原件。</w:t>
      </w:r>
    </w:p>
    <w:p>
      <w:pPr>
        <w:pStyle w:val="Heading4"/>
        <w:spacing w:line="273" w:lineRule="auto" w:before="37"/>
        <w:ind w:left="154" w:right="0"/>
        <w:jc w:val="left"/>
      </w:pPr>
      <w:r>
        <w:rPr>
          <w:spacing w:val="-1"/>
        </w:rPr>
        <w:t>（三）报告期内在《证券时报》、《上海证券报》、《中国证券报》及《证券日报》公开披露过的所有公</w:t>
      </w:r>
      <w:r>
        <w:rPr>
          <w:spacing w:val="-87"/>
        </w:rPr>
        <w:t> </w:t>
      </w:r>
      <w:r>
        <w:rPr>
          <w:spacing w:val="-87"/>
        </w:rPr>
      </w:r>
      <w:r>
        <w:rPr/>
        <w:t>司文件的正本及公告的原稿。</w:t>
      </w:r>
    </w:p>
    <w:p>
      <w:pPr>
        <w:pStyle w:val="Heading4"/>
        <w:spacing w:line="240" w:lineRule="auto" w:before="7"/>
        <w:ind w:left="154" w:right="0"/>
        <w:jc w:val="left"/>
      </w:pPr>
      <w:r>
        <w:rPr/>
        <w:t>（四）载有董事长签名的</w:t>
      </w:r>
      <w:r>
        <w:rPr>
          <w:rFonts w:ascii="宋体" w:hAnsi="宋体" w:cs="宋体" w:eastAsia="宋体" w:hint="default"/>
        </w:rPr>
        <w:t>2015</w:t>
      </w:r>
      <w:r>
        <w:rPr/>
        <w:t>年年度报告文本原件。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ind w:left="0" w:right="1134"/>
        <w:jc w:val="right"/>
        <w:rPr>
          <w:b w:val="0"/>
          <w:bCs w:val="0"/>
        </w:rPr>
      </w:pPr>
      <w:r>
        <w:rPr>
          <w:w w:val="95"/>
        </w:rPr>
        <w:t>上海美特斯邦威服饰股份有限公司</w:t>
      </w:r>
      <w:r>
        <w:rPr>
          <w:b w:val="0"/>
          <w:bCs w:val="0"/>
        </w:rPr>
      </w:r>
    </w:p>
    <w:p>
      <w:pPr>
        <w:spacing w:line="240" w:lineRule="auto" w:before="10"/>
        <w:rPr>
          <w:rFonts w:ascii="宋体" w:hAnsi="宋体" w:cs="宋体" w:eastAsia="宋体" w:hint="default"/>
          <w:b/>
          <w:bCs/>
          <w:sz w:val="29"/>
          <w:szCs w:val="29"/>
        </w:rPr>
      </w:pPr>
    </w:p>
    <w:p>
      <w:pPr>
        <w:pStyle w:val="Heading2"/>
        <w:spacing w:line="240" w:lineRule="auto"/>
        <w:ind w:left="0" w:right="1133"/>
        <w:jc w:val="right"/>
        <w:rPr>
          <w:b w:val="0"/>
          <w:bCs w:val="0"/>
        </w:rPr>
      </w:pPr>
      <w:r>
        <w:rPr>
          <w:w w:val="95"/>
        </w:rPr>
        <w:t>董事长：周成建</w:t>
      </w:r>
      <w:r>
        <w:rPr>
          <w:b w:val="0"/>
          <w:bCs w:val="0"/>
        </w:rPr>
      </w:r>
    </w:p>
    <w:p>
      <w:pPr>
        <w:spacing w:line="240" w:lineRule="auto" w:before="11"/>
        <w:rPr>
          <w:rFonts w:ascii="宋体" w:hAnsi="宋体" w:cs="宋体" w:eastAsia="宋体" w:hint="default"/>
          <w:b/>
          <w:bCs/>
          <w:sz w:val="29"/>
          <w:szCs w:val="29"/>
        </w:rPr>
      </w:pPr>
    </w:p>
    <w:p>
      <w:pPr>
        <w:pStyle w:val="Heading2"/>
        <w:spacing w:line="240" w:lineRule="auto"/>
        <w:ind w:left="0" w:right="1132"/>
        <w:jc w:val="right"/>
        <w:rPr>
          <w:b w:val="0"/>
          <w:bCs w:val="0"/>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r>
        <w:rPr>
          <w:b w:val="0"/>
          <w:bCs w:val="0"/>
        </w:rPr>
      </w:r>
    </w:p>
    <w:sectPr>
      <w:pgSz w:w="11910" w:h="16840"/>
      <w:pgMar w:header="851" w:footer="979" w:top="13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560" type="#_x0000_t75" stroked="false">
          <v:imagedata r:id="rId1" o:title=""/>
        </v:shape>
      </w:pict>
    </w:r>
    <w:r>
      <w:rPr/>
      <w:pict>
        <v:shapetype id="_x0000_t202" o:spt="202" coordsize="21600,21600" path="m,l,21600r21600,l21600,xe">
          <v:stroke joinstyle="miter"/>
          <v:path gradientshapeok="t" o:connecttype="rect"/>
        </v:shapetype>
        <v:shape style="position:absolute;margin-left:533.179993pt;margin-top:795.517944pt;width:6.5pt;height:11pt;mso-position-horizontal-relative:page;mso-position-vertical-relative:page;z-index:-8155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440" type="#_x0000_t75" stroked="false">
          <v:imagedata r:id="rId1" o:title=""/>
        </v:shape>
      </w:pict>
    </w:r>
    <w:r>
      <w:rPr/>
      <w:pict>
        <v:shape style="position:absolute;margin-left:527.679993pt;margin-top:781.957947pt;width:13pt;height:11pt;mso-position-horizontal-relative:page;mso-position-vertical-relative:page;z-index:-815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392" type="#_x0000_t75" stroked="false">
          <v:imagedata r:id="rId1" o:title=""/>
        </v:shape>
      </w:pict>
    </w:r>
    <w:r>
      <w:rPr/>
      <w:pict>
        <v:shape style="position:absolute;margin-left:524.179993pt;margin-top:781.957947pt;width:15.5pt;height:11pt;mso-position-horizontal-relative:page;mso-position-vertical-relative:page;z-index:-815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344" type="#_x0000_t75" stroked="false">
          <v:imagedata r:id="rId1" o:title=""/>
        </v:shape>
      </w:pict>
    </w:r>
    <w:r>
      <w:rPr/>
      <w:pict>
        <v:shape style="position:absolute;margin-left:523.179993pt;margin-top:781.957947pt;width:17.5pt;height:11pt;mso-position-horizontal-relative:page;mso-position-vertical-relative:page;z-index:-815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296" type="#_x0000_t75" stroked="false">
          <v:imagedata r:id="rId1" o:title=""/>
        </v:shape>
      </w:pict>
    </w:r>
    <w:r>
      <w:rPr/>
      <w:pict>
        <v:shape style="position:absolute;margin-left:497.179993pt;margin-top:757.765625pt;width:42.5pt;height:11pt;mso-position-horizontal-relative:page;mso-position-vertical-relative:page;z-index:-815272" type="#_x0000_t202" filled="false" stroked="false">
          <v:textbox inset="0,0,0,0">
            <w:txbxContent>
              <w:p>
                <w:pPr>
                  <w:pStyle w:val="BodyText"/>
                  <w:spacing w:line="200" w:lineRule="exact"/>
                  <w:ind w:left="20" w:right="0"/>
                  <w:jc w:val="left"/>
                </w:pPr>
                <w:r>
                  <w:rPr/>
                  <w:t>单位： 元</w:t>
                </w:r>
              </w:p>
            </w:txbxContent>
          </v:textbox>
          <w10:wrap type="none"/>
        </v:shape>
      </w:pict>
    </w:r>
    <w:r>
      <w:rPr/>
      <w:pict>
        <v:shape style="position:absolute;margin-left:523.539978pt;margin-top:781.957947pt;width:17.150pt;height:11pt;mso-position-horizontal-relative:page;mso-position-vertical-relative:page;z-index:-815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15224" type="#_x0000_t75" stroked="false">
          <v:imagedata r:id="rId1" o:title=""/>
        </v:shape>
      </w:pict>
    </w:r>
    <w:r>
      <w:rPr/>
      <w:pict>
        <v:shape style="position:absolute;margin-left:523.179993pt;margin-top:781.957947pt;width:17.5pt;height:11pt;mso-position-horizontal-relative:page;mso-position-vertical-relative:page;z-index:-815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49988pt;width:102.75pt;height:24pt;mso-position-horizontal-relative:page;mso-position-vertical-relative:page;z-index:-815512" type="#_x0000_t75" stroked="false">
          <v:imagedata r:id="rId1" o:title=""/>
        </v:shape>
      </w:pict>
    </w:r>
    <w:r>
      <w:rPr/>
      <w:pict>
        <v:group style="position:absolute;margin-left:55.200001pt;margin-top:70.559982pt;width:485pt;height:.1pt;mso-position-horizontal-relative:page;mso-position-vertical-relative:page;z-index:-815488" coordorigin="1104,1411" coordsize="9700,2">
          <v:shape style="position:absolute;left:1104;top:1411;width:9700;height:2" coordorigin="1104,1411" coordsize="9700,0" path="m1104,1411l10804,1411e" filled="false" stroked="true" strokeweight=".72pt" strokecolor="#000000">
            <v:path arrowok="t"/>
          </v:shape>
          <w10:wrap type="none"/>
        </v:group>
      </w:pict>
    </w:r>
    <w:r>
      <w:rPr/>
      <w:pict>
        <v:shape style="position:absolute;margin-left:327.239990pt;margin-top:57.805607pt;width:204.55pt;height:11.5pt;mso-position-horizontal-relative:page;mso-position-vertical-relative:page;z-index:-815464"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874"/>
      <w:outlineLvl w:val="4"/>
    </w:pPr>
    <w:rPr>
      <w:rFonts w:ascii="宋体" w:hAnsi="宋体" w:eastAsia="宋体"/>
      <w:sz w:val="21"/>
      <w:szCs w:val="21"/>
    </w:rPr>
  </w:style>
  <w:style w:styleId="Heading5" w:type="paragraph">
    <w:name w:val="Heading 5"/>
    <w:basedOn w:val="Normal"/>
    <w:uiPriority w:val="1"/>
    <w:qFormat/>
    <w:pPr>
      <w:spacing w:before="20"/>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metersbonwe.com/" TargetMode="External"/><Relationship Id="rId10" Type="http://schemas.openxmlformats.org/officeDocument/2006/relationships/hyperlink" Target="mailto:Corporate@metersbonwe.com" TargetMode="External"/><Relationship Id="rId11" Type="http://schemas.openxmlformats.org/officeDocument/2006/relationships/hyperlink" Target="http://www.cninfo.com.cn/" TargetMode="External"/><Relationship Id="rId12" Type="http://schemas.openxmlformats.org/officeDocument/2006/relationships/hyperlink" Target="http://www.szse.cn/" TargetMode="External"/><Relationship Id="rId13" Type="http://schemas.openxmlformats.org/officeDocument/2006/relationships/image" Target="media/image4.pn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上海美特斯邦威服饰股份有限公司</dc:creator>
  <dc:title>上海美特斯邦威服饰股份有限公司2015年年度报告全文</dc:title>
  <dcterms:created xsi:type="dcterms:W3CDTF">2020-05-04T13:02:52Z</dcterms:created>
  <dcterms:modified xsi:type="dcterms:W3CDTF">2020-05-04T13:02:52Z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